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91" w:type="pct"/>
        <w:jc w:val="center"/>
        <w:tblCellMar>
          <w:left w:w="70" w:type="dxa"/>
          <w:right w:w="70" w:type="dxa"/>
        </w:tblCellMar>
        <w:tblLook w:val="04A0" w:firstRow="1" w:lastRow="0" w:firstColumn="1" w:lastColumn="0" w:noHBand="0" w:noVBand="1"/>
      </w:tblPr>
      <w:tblGrid>
        <w:gridCol w:w="4980"/>
        <w:gridCol w:w="2257"/>
        <w:gridCol w:w="1685"/>
        <w:gridCol w:w="898"/>
      </w:tblGrid>
      <w:tr w:rsidR="00234ACB" w:rsidRPr="00234ACB" w14:paraId="22593364" w14:textId="77777777" w:rsidTr="00234ACB">
        <w:trPr>
          <w:trHeight w:val="227"/>
          <w:jc w:val="center"/>
        </w:trPr>
        <w:tc>
          <w:tcPr>
            <w:tcW w:w="5000" w:type="pct"/>
            <w:gridSpan w:val="4"/>
            <w:tcBorders>
              <w:top w:val="nil"/>
              <w:left w:val="nil"/>
              <w:bottom w:val="nil"/>
              <w:right w:val="nil"/>
            </w:tcBorders>
            <w:shd w:val="clear" w:color="auto" w:fill="auto"/>
            <w:noWrap/>
            <w:vAlign w:val="bottom"/>
            <w:hideMark/>
          </w:tcPr>
          <w:p w14:paraId="2CB1215A" w14:textId="77777777" w:rsidR="00234ACB" w:rsidRPr="00234ACB" w:rsidRDefault="00234ACB">
            <w:pPr>
              <w:jc w:val="center"/>
              <w:rPr>
                <w:rFonts w:asciiTheme="majorHAnsi" w:hAnsiTheme="majorHAnsi" w:cs="Arial"/>
                <w:b/>
                <w:bCs/>
                <w:sz w:val="16"/>
                <w:szCs w:val="16"/>
              </w:rPr>
            </w:pPr>
            <w:r w:rsidRPr="00234ACB">
              <w:rPr>
                <w:rFonts w:asciiTheme="majorHAnsi" w:hAnsiTheme="majorHAnsi" w:cs="Arial"/>
                <w:b/>
                <w:bCs/>
                <w:sz w:val="16"/>
                <w:szCs w:val="16"/>
              </w:rPr>
              <w:t>VALEC ENGENHARIA, CONSTRUÇÕES E FERROVIAS S/A</w:t>
            </w:r>
          </w:p>
        </w:tc>
      </w:tr>
      <w:tr w:rsidR="00234ACB" w:rsidRPr="00234ACB" w14:paraId="74DAD558" w14:textId="77777777" w:rsidTr="00234ACB">
        <w:trPr>
          <w:trHeight w:val="227"/>
          <w:jc w:val="center"/>
        </w:trPr>
        <w:tc>
          <w:tcPr>
            <w:tcW w:w="5000" w:type="pct"/>
            <w:gridSpan w:val="4"/>
            <w:tcBorders>
              <w:top w:val="nil"/>
              <w:left w:val="nil"/>
              <w:bottom w:val="nil"/>
              <w:right w:val="nil"/>
            </w:tcBorders>
            <w:shd w:val="clear" w:color="auto" w:fill="auto"/>
            <w:noWrap/>
            <w:vAlign w:val="bottom"/>
            <w:hideMark/>
          </w:tcPr>
          <w:p w14:paraId="531557EC" w14:textId="77777777" w:rsidR="00234ACB" w:rsidRPr="00234ACB" w:rsidRDefault="00234ACB">
            <w:pPr>
              <w:jc w:val="center"/>
              <w:rPr>
                <w:rFonts w:asciiTheme="majorHAnsi" w:hAnsiTheme="majorHAnsi" w:cs="Arial"/>
                <w:b/>
                <w:bCs/>
                <w:sz w:val="16"/>
                <w:szCs w:val="16"/>
              </w:rPr>
            </w:pPr>
            <w:r w:rsidRPr="00234ACB">
              <w:rPr>
                <w:rFonts w:asciiTheme="majorHAnsi" w:hAnsiTheme="majorHAnsi" w:cs="Arial"/>
                <w:b/>
                <w:bCs/>
                <w:sz w:val="16"/>
                <w:szCs w:val="16"/>
              </w:rPr>
              <w:t>BALANÇO PATRIMONIAL</w:t>
            </w:r>
          </w:p>
        </w:tc>
      </w:tr>
      <w:tr w:rsidR="00234ACB" w:rsidRPr="00234ACB" w14:paraId="0DF4B753" w14:textId="77777777" w:rsidTr="00234ACB">
        <w:trPr>
          <w:trHeight w:val="227"/>
          <w:jc w:val="center"/>
        </w:trPr>
        <w:tc>
          <w:tcPr>
            <w:tcW w:w="5000" w:type="pct"/>
            <w:gridSpan w:val="4"/>
            <w:tcBorders>
              <w:top w:val="nil"/>
              <w:left w:val="nil"/>
              <w:bottom w:val="nil"/>
              <w:right w:val="nil"/>
            </w:tcBorders>
            <w:shd w:val="clear" w:color="auto" w:fill="auto"/>
            <w:noWrap/>
            <w:vAlign w:val="bottom"/>
            <w:hideMark/>
          </w:tcPr>
          <w:p w14:paraId="0A377E4B" w14:textId="77777777" w:rsidR="00234ACB" w:rsidRPr="00234ACB" w:rsidRDefault="00234ACB">
            <w:pPr>
              <w:jc w:val="center"/>
              <w:rPr>
                <w:rFonts w:asciiTheme="majorHAnsi" w:hAnsiTheme="majorHAnsi" w:cs="Arial"/>
                <w:b/>
                <w:bCs/>
                <w:sz w:val="16"/>
                <w:szCs w:val="16"/>
              </w:rPr>
            </w:pPr>
            <w:r w:rsidRPr="00234ACB">
              <w:rPr>
                <w:rFonts w:asciiTheme="majorHAnsi" w:hAnsiTheme="majorHAnsi" w:cs="Arial"/>
                <w:b/>
                <w:bCs/>
                <w:sz w:val="16"/>
                <w:szCs w:val="16"/>
              </w:rPr>
              <w:t>2º TRIMESTRE 2021</w:t>
            </w:r>
          </w:p>
        </w:tc>
      </w:tr>
      <w:tr w:rsidR="00234ACB" w:rsidRPr="00234ACB" w14:paraId="529FCFF9" w14:textId="77777777" w:rsidTr="00234ACB">
        <w:trPr>
          <w:trHeight w:val="227"/>
          <w:jc w:val="center"/>
        </w:trPr>
        <w:tc>
          <w:tcPr>
            <w:tcW w:w="5000" w:type="pct"/>
            <w:gridSpan w:val="4"/>
            <w:tcBorders>
              <w:top w:val="nil"/>
              <w:left w:val="nil"/>
              <w:bottom w:val="nil"/>
              <w:right w:val="nil"/>
            </w:tcBorders>
            <w:shd w:val="clear" w:color="auto" w:fill="auto"/>
            <w:noWrap/>
            <w:vAlign w:val="bottom"/>
            <w:hideMark/>
          </w:tcPr>
          <w:p w14:paraId="44C19C8E" w14:textId="470ECE79" w:rsidR="00234ACB" w:rsidRPr="00234ACB" w:rsidRDefault="00234ACB">
            <w:pPr>
              <w:jc w:val="center"/>
              <w:rPr>
                <w:rFonts w:asciiTheme="majorHAnsi" w:hAnsiTheme="majorHAnsi" w:cs="Arial"/>
                <w:b/>
                <w:bCs/>
                <w:sz w:val="16"/>
                <w:szCs w:val="16"/>
              </w:rPr>
            </w:pPr>
            <w:r w:rsidRPr="00234ACB">
              <w:rPr>
                <w:rFonts w:asciiTheme="majorHAnsi" w:hAnsiTheme="majorHAnsi" w:cs="Arial"/>
                <w:b/>
                <w:bCs/>
                <w:sz w:val="16"/>
                <w:szCs w:val="16"/>
              </w:rPr>
              <w:t>A T I V O (R$)</w:t>
            </w:r>
          </w:p>
        </w:tc>
      </w:tr>
      <w:tr w:rsidR="00234ACB" w:rsidRPr="00234ACB" w14:paraId="20D411BC"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57FA5BDF" w14:textId="77777777" w:rsidR="00234ACB" w:rsidRPr="00234ACB" w:rsidRDefault="00234ACB">
            <w:pPr>
              <w:jc w:val="center"/>
              <w:rPr>
                <w:rFonts w:asciiTheme="majorHAnsi" w:hAnsiTheme="majorHAnsi" w:cs="Arial"/>
                <w:b/>
                <w:bCs/>
                <w:sz w:val="16"/>
                <w:szCs w:val="16"/>
              </w:rPr>
            </w:pPr>
          </w:p>
        </w:tc>
        <w:tc>
          <w:tcPr>
            <w:tcW w:w="1149" w:type="pct"/>
            <w:tcBorders>
              <w:top w:val="nil"/>
              <w:left w:val="nil"/>
              <w:bottom w:val="nil"/>
              <w:right w:val="nil"/>
            </w:tcBorders>
            <w:shd w:val="clear" w:color="auto" w:fill="auto"/>
            <w:noWrap/>
            <w:vAlign w:val="bottom"/>
            <w:hideMark/>
          </w:tcPr>
          <w:p w14:paraId="3AA360BD" w14:textId="77777777" w:rsidR="00234ACB" w:rsidRPr="00234ACB" w:rsidRDefault="00234ACB">
            <w:pPr>
              <w:jc w:val="center"/>
              <w:rPr>
                <w:rFonts w:asciiTheme="majorHAnsi" w:hAnsiTheme="majorHAnsi"/>
                <w:sz w:val="16"/>
                <w:szCs w:val="16"/>
              </w:rPr>
            </w:pPr>
          </w:p>
        </w:tc>
        <w:tc>
          <w:tcPr>
            <w:tcW w:w="858" w:type="pct"/>
            <w:tcBorders>
              <w:top w:val="nil"/>
              <w:left w:val="nil"/>
              <w:bottom w:val="nil"/>
              <w:right w:val="nil"/>
            </w:tcBorders>
            <w:shd w:val="clear" w:color="auto" w:fill="auto"/>
            <w:noWrap/>
            <w:vAlign w:val="bottom"/>
            <w:hideMark/>
          </w:tcPr>
          <w:p w14:paraId="28C30DA0" w14:textId="77777777" w:rsidR="00234ACB" w:rsidRPr="00234ACB" w:rsidRDefault="00234ACB">
            <w:pPr>
              <w:jc w:val="center"/>
              <w:rPr>
                <w:rFonts w:asciiTheme="majorHAnsi" w:hAnsiTheme="majorHAnsi"/>
                <w:sz w:val="16"/>
                <w:szCs w:val="16"/>
              </w:rPr>
            </w:pPr>
          </w:p>
        </w:tc>
        <w:tc>
          <w:tcPr>
            <w:tcW w:w="457" w:type="pct"/>
            <w:tcBorders>
              <w:top w:val="nil"/>
              <w:left w:val="nil"/>
              <w:bottom w:val="nil"/>
              <w:right w:val="nil"/>
            </w:tcBorders>
            <w:shd w:val="clear" w:color="auto" w:fill="auto"/>
            <w:noWrap/>
            <w:vAlign w:val="center"/>
            <w:hideMark/>
          </w:tcPr>
          <w:p w14:paraId="5DEE7A3B" w14:textId="77777777" w:rsidR="00234ACB" w:rsidRPr="00234ACB" w:rsidRDefault="00234ACB" w:rsidP="00234ACB">
            <w:pPr>
              <w:jc w:val="center"/>
              <w:rPr>
                <w:rFonts w:asciiTheme="majorHAnsi" w:hAnsiTheme="majorHAnsi"/>
                <w:sz w:val="16"/>
                <w:szCs w:val="16"/>
              </w:rPr>
            </w:pPr>
          </w:p>
        </w:tc>
      </w:tr>
      <w:tr w:rsidR="00234ACB" w:rsidRPr="00234ACB" w14:paraId="0C294E0E"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02B92D25" w14:textId="77777777" w:rsidR="00234ACB" w:rsidRPr="00234ACB" w:rsidRDefault="00234ACB">
            <w:pPr>
              <w:jc w:val="right"/>
              <w:rPr>
                <w:rFonts w:asciiTheme="majorHAnsi" w:hAnsiTheme="majorHAnsi"/>
                <w:sz w:val="16"/>
                <w:szCs w:val="16"/>
              </w:rPr>
            </w:pPr>
          </w:p>
        </w:tc>
        <w:tc>
          <w:tcPr>
            <w:tcW w:w="1149" w:type="pct"/>
            <w:tcBorders>
              <w:top w:val="nil"/>
              <w:left w:val="nil"/>
              <w:bottom w:val="nil"/>
              <w:right w:val="nil"/>
            </w:tcBorders>
            <w:shd w:val="clear" w:color="auto" w:fill="auto"/>
            <w:noWrap/>
            <w:vAlign w:val="bottom"/>
            <w:hideMark/>
          </w:tcPr>
          <w:p w14:paraId="1505A1BC"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30/06/2021</w:t>
            </w:r>
          </w:p>
        </w:tc>
        <w:tc>
          <w:tcPr>
            <w:tcW w:w="858" w:type="pct"/>
            <w:tcBorders>
              <w:top w:val="nil"/>
              <w:left w:val="nil"/>
              <w:bottom w:val="nil"/>
              <w:right w:val="nil"/>
            </w:tcBorders>
            <w:shd w:val="clear" w:color="auto" w:fill="auto"/>
            <w:noWrap/>
            <w:vAlign w:val="bottom"/>
            <w:hideMark/>
          </w:tcPr>
          <w:p w14:paraId="141A731B"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31/12/2020</w:t>
            </w:r>
          </w:p>
        </w:tc>
        <w:tc>
          <w:tcPr>
            <w:tcW w:w="457" w:type="pct"/>
            <w:tcBorders>
              <w:top w:val="nil"/>
              <w:left w:val="nil"/>
              <w:bottom w:val="nil"/>
              <w:right w:val="nil"/>
            </w:tcBorders>
            <w:shd w:val="clear" w:color="auto" w:fill="auto"/>
            <w:noWrap/>
            <w:vAlign w:val="center"/>
            <w:hideMark/>
          </w:tcPr>
          <w:p w14:paraId="55BE9A10" w14:textId="024C0866" w:rsidR="00234ACB" w:rsidRPr="00234ACB" w:rsidRDefault="00234ACB" w:rsidP="00234ACB">
            <w:pPr>
              <w:jc w:val="center"/>
              <w:rPr>
                <w:rFonts w:asciiTheme="majorHAnsi" w:hAnsiTheme="majorHAnsi" w:cs="Arial"/>
                <w:b/>
                <w:bCs/>
                <w:sz w:val="16"/>
                <w:szCs w:val="16"/>
              </w:rPr>
            </w:pPr>
            <w:r w:rsidRPr="00234ACB">
              <w:rPr>
                <w:rFonts w:asciiTheme="majorHAnsi" w:hAnsiTheme="majorHAnsi" w:cs="Arial"/>
                <w:b/>
                <w:bCs/>
                <w:sz w:val="16"/>
                <w:szCs w:val="16"/>
              </w:rPr>
              <w:t>Nota</w:t>
            </w:r>
          </w:p>
        </w:tc>
      </w:tr>
      <w:tr w:rsidR="00234ACB" w:rsidRPr="00234ACB" w14:paraId="35DC9E27"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27A41454" w14:textId="77777777" w:rsidR="00234ACB" w:rsidRPr="00234ACB" w:rsidRDefault="00234ACB">
            <w:pPr>
              <w:jc w:val="right"/>
              <w:rPr>
                <w:rFonts w:asciiTheme="majorHAnsi" w:hAnsiTheme="majorHAnsi"/>
                <w:sz w:val="16"/>
                <w:szCs w:val="16"/>
              </w:rPr>
            </w:pPr>
          </w:p>
        </w:tc>
        <w:tc>
          <w:tcPr>
            <w:tcW w:w="1149" w:type="pct"/>
            <w:tcBorders>
              <w:top w:val="nil"/>
              <w:left w:val="nil"/>
              <w:bottom w:val="nil"/>
              <w:right w:val="nil"/>
            </w:tcBorders>
            <w:shd w:val="clear" w:color="auto" w:fill="auto"/>
            <w:noWrap/>
            <w:vAlign w:val="bottom"/>
            <w:hideMark/>
          </w:tcPr>
          <w:p w14:paraId="5CAC988E" w14:textId="77777777" w:rsidR="00234ACB" w:rsidRPr="00234ACB" w:rsidRDefault="00234ACB" w:rsidP="00234ACB">
            <w:pPr>
              <w:jc w:val="right"/>
              <w:rPr>
                <w:rFonts w:asciiTheme="majorHAnsi" w:hAnsiTheme="majorHAnsi"/>
                <w:sz w:val="16"/>
                <w:szCs w:val="16"/>
              </w:rPr>
            </w:pPr>
          </w:p>
        </w:tc>
        <w:tc>
          <w:tcPr>
            <w:tcW w:w="858" w:type="pct"/>
            <w:tcBorders>
              <w:top w:val="nil"/>
              <w:left w:val="nil"/>
              <w:bottom w:val="nil"/>
              <w:right w:val="nil"/>
            </w:tcBorders>
            <w:shd w:val="clear" w:color="auto" w:fill="auto"/>
            <w:noWrap/>
            <w:vAlign w:val="bottom"/>
            <w:hideMark/>
          </w:tcPr>
          <w:p w14:paraId="646568B5" w14:textId="77777777" w:rsidR="00234ACB" w:rsidRPr="00234ACB" w:rsidRDefault="00234ACB" w:rsidP="00234ACB">
            <w:pPr>
              <w:jc w:val="right"/>
              <w:rPr>
                <w:rFonts w:asciiTheme="majorHAnsi" w:hAnsiTheme="majorHAnsi"/>
                <w:sz w:val="16"/>
                <w:szCs w:val="16"/>
              </w:rPr>
            </w:pPr>
          </w:p>
        </w:tc>
        <w:tc>
          <w:tcPr>
            <w:tcW w:w="457" w:type="pct"/>
            <w:tcBorders>
              <w:top w:val="nil"/>
              <w:left w:val="nil"/>
              <w:bottom w:val="nil"/>
              <w:right w:val="nil"/>
            </w:tcBorders>
            <w:shd w:val="clear" w:color="auto" w:fill="auto"/>
            <w:noWrap/>
            <w:vAlign w:val="center"/>
            <w:hideMark/>
          </w:tcPr>
          <w:p w14:paraId="216EE1E4" w14:textId="77777777" w:rsidR="00234ACB" w:rsidRPr="00234ACB" w:rsidRDefault="00234ACB" w:rsidP="00234ACB">
            <w:pPr>
              <w:jc w:val="center"/>
              <w:rPr>
                <w:rFonts w:asciiTheme="majorHAnsi" w:hAnsiTheme="majorHAnsi"/>
                <w:sz w:val="16"/>
                <w:szCs w:val="16"/>
              </w:rPr>
            </w:pPr>
          </w:p>
        </w:tc>
      </w:tr>
      <w:tr w:rsidR="00234ACB" w:rsidRPr="00234ACB" w14:paraId="6D996FA6"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4FABA77A"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ATIVO CIRCULANTE</w:t>
            </w:r>
          </w:p>
        </w:tc>
        <w:tc>
          <w:tcPr>
            <w:tcW w:w="1149" w:type="pct"/>
            <w:tcBorders>
              <w:top w:val="nil"/>
              <w:left w:val="nil"/>
              <w:bottom w:val="nil"/>
              <w:right w:val="nil"/>
            </w:tcBorders>
            <w:shd w:val="clear" w:color="auto" w:fill="auto"/>
            <w:noWrap/>
            <w:vAlign w:val="bottom"/>
            <w:hideMark/>
          </w:tcPr>
          <w:p w14:paraId="0744DCC0"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72.276.008 </w:t>
            </w:r>
          </w:p>
        </w:tc>
        <w:tc>
          <w:tcPr>
            <w:tcW w:w="858" w:type="pct"/>
            <w:tcBorders>
              <w:top w:val="nil"/>
              <w:left w:val="nil"/>
              <w:bottom w:val="nil"/>
              <w:right w:val="nil"/>
            </w:tcBorders>
            <w:shd w:val="clear" w:color="auto" w:fill="auto"/>
            <w:noWrap/>
            <w:vAlign w:val="bottom"/>
            <w:hideMark/>
          </w:tcPr>
          <w:p w14:paraId="77D554AA"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42.056.476 </w:t>
            </w:r>
          </w:p>
        </w:tc>
        <w:tc>
          <w:tcPr>
            <w:tcW w:w="457" w:type="pct"/>
            <w:tcBorders>
              <w:top w:val="nil"/>
              <w:left w:val="nil"/>
              <w:bottom w:val="nil"/>
              <w:right w:val="nil"/>
            </w:tcBorders>
            <w:shd w:val="clear" w:color="auto" w:fill="auto"/>
            <w:noWrap/>
            <w:vAlign w:val="center"/>
            <w:hideMark/>
          </w:tcPr>
          <w:p w14:paraId="4E1DF053" w14:textId="77777777" w:rsidR="00234ACB" w:rsidRPr="00234ACB" w:rsidRDefault="00234ACB" w:rsidP="00234ACB">
            <w:pPr>
              <w:jc w:val="center"/>
              <w:rPr>
                <w:rFonts w:asciiTheme="majorHAnsi" w:hAnsiTheme="majorHAnsi" w:cs="Arial"/>
                <w:b/>
                <w:bCs/>
                <w:sz w:val="16"/>
                <w:szCs w:val="16"/>
              </w:rPr>
            </w:pPr>
          </w:p>
        </w:tc>
      </w:tr>
      <w:tr w:rsidR="00234ACB" w:rsidRPr="00234ACB" w14:paraId="6B8C5C10"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325D28CB" w14:textId="77777777" w:rsidR="00234ACB" w:rsidRPr="00234ACB" w:rsidRDefault="00234ACB">
            <w:pPr>
              <w:jc w:val="right"/>
              <w:rPr>
                <w:rFonts w:asciiTheme="majorHAnsi" w:hAnsiTheme="majorHAnsi"/>
                <w:sz w:val="16"/>
                <w:szCs w:val="16"/>
              </w:rPr>
            </w:pPr>
          </w:p>
        </w:tc>
        <w:tc>
          <w:tcPr>
            <w:tcW w:w="1149" w:type="pct"/>
            <w:tcBorders>
              <w:top w:val="nil"/>
              <w:left w:val="nil"/>
              <w:bottom w:val="nil"/>
              <w:right w:val="nil"/>
            </w:tcBorders>
            <w:shd w:val="clear" w:color="auto" w:fill="auto"/>
            <w:noWrap/>
            <w:vAlign w:val="bottom"/>
            <w:hideMark/>
          </w:tcPr>
          <w:p w14:paraId="3AF2C665" w14:textId="77777777" w:rsidR="00234ACB" w:rsidRPr="00234ACB" w:rsidRDefault="00234ACB" w:rsidP="00234ACB">
            <w:pPr>
              <w:jc w:val="right"/>
              <w:rPr>
                <w:rFonts w:asciiTheme="majorHAnsi" w:hAnsiTheme="majorHAnsi"/>
                <w:sz w:val="16"/>
                <w:szCs w:val="16"/>
              </w:rPr>
            </w:pPr>
          </w:p>
        </w:tc>
        <w:tc>
          <w:tcPr>
            <w:tcW w:w="858" w:type="pct"/>
            <w:tcBorders>
              <w:top w:val="nil"/>
              <w:left w:val="nil"/>
              <w:bottom w:val="nil"/>
              <w:right w:val="nil"/>
            </w:tcBorders>
            <w:shd w:val="clear" w:color="auto" w:fill="auto"/>
            <w:noWrap/>
            <w:vAlign w:val="bottom"/>
            <w:hideMark/>
          </w:tcPr>
          <w:p w14:paraId="0EB1D195" w14:textId="77777777" w:rsidR="00234ACB" w:rsidRPr="00234ACB" w:rsidRDefault="00234ACB" w:rsidP="00234ACB">
            <w:pPr>
              <w:jc w:val="right"/>
              <w:rPr>
                <w:rFonts w:asciiTheme="majorHAnsi" w:hAnsiTheme="majorHAnsi"/>
                <w:sz w:val="16"/>
                <w:szCs w:val="16"/>
              </w:rPr>
            </w:pPr>
          </w:p>
        </w:tc>
        <w:tc>
          <w:tcPr>
            <w:tcW w:w="457" w:type="pct"/>
            <w:tcBorders>
              <w:top w:val="nil"/>
              <w:left w:val="nil"/>
              <w:bottom w:val="nil"/>
              <w:right w:val="nil"/>
            </w:tcBorders>
            <w:shd w:val="clear" w:color="auto" w:fill="auto"/>
            <w:noWrap/>
            <w:vAlign w:val="center"/>
            <w:hideMark/>
          </w:tcPr>
          <w:p w14:paraId="56C20024" w14:textId="77777777" w:rsidR="00234ACB" w:rsidRPr="00234ACB" w:rsidRDefault="00234ACB" w:rsidP="00234ACB">
            <w:pPr>
              <w:jc w:val="center"/>
              <w:rPr>
                <w:rFonts w:asciiTheme="majorHAnsi" w:hAnsiTheme="majorHAnsi"/>
                <w:sz w:val="16"/>
                <w:szCs w:val="16"/>
              </w:rPr>
            </w:pPr>
          </w:p>
        </w:tc>
      </w:tr>
      <w:tr w:rsidR="00234ACB" w:rsidRPr="00234ACB" w14:paraId="65433BAB"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02B4BCBD"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 xml:space="preserve">     Disponível</w:t>
            </w:r>
          </w:p>
        </w:tc>
        <w:tc>
          <w:tcPr>
            <w:tcW w:w="1149" w:type="pct"/>
            <w:tcBorders>
              <w:top w:val="nil"/>
              <w:left w:val="nil"/>
              <w:bottom w:val="nil"/>
              <w:right w:val="nil"/>
            </w:tcBorders>
            <w:shd w:val="clear" w:color="auto" w:fill="auto"/>
            <w:noWrap/>
            <w:vAlign w:val="bottom"/>
            <w:hideMark/>
          </w:tcPr>
          <w:p w14:paraId="6AB959ED"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60.914.526 </w:t>
            </w:r>
          </w:p>
        </w:tc>
        <w:tc>
          <w:tcPr>
            <w:tcW w:w="858" w:type="pct"/>
            <w:tcBorders>
              <w:top w:val="nil"/>
              <w:left w:val="nil"/>
              <w:bottom w:val="nil"/>
              <w:right w:val="nil"/>
            </w:tcBorders>
            <w:shd w:val="clear" w:color="auto" w:fill="auto"/>
            <w:noWrap/>
            <w:vAlign w:val="bottom"/>
            <w:hideMark/>
          </w:tcPr>
          <w:p w14:paraId="63BBCCF0"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32.350.978 </w:t>
            </w:r>
          </w:p>
        </w:tc>
        <w:tc>
          <w:tcPr>
            <w:tcW w:w="457" w:type="pct"/>
            <w:tcBorders>
              <w:top w:val="nil"/>
              <w:left w:val="nil"/>
              <w:bottom w:val="nil"/>
              <w:right w:val="nil"/>
            </w:tcBorders>
            <w:shd w:val="clear" w:color="auto" w:fill="auto"/>
            <w:noWrap/>
            <w:vAlign w:val="center"/>
            <w:hideMark/>
          </w:tcPr>
          <w:p w14:paraId="36B1FCFD" w14:textId="77777777" w:rsidR="00234ACB" w:rsidRPr="00234ACB" w:rsidRDefault="00234ACB" w:rsidP="00234ACB">
            <w:pPr>
              <w:jc w:val="center"/>
              <w:rPr>
                <w:rFonts w:asciiTheme="majorHAnsi" w:hAnsiTheme="majorHAnsi" w:cs="Arial"/>
                <w:b/>
                <w:bCs/>
                <w:sz w:val="16"/>
                <w:szCs w:val="16"/>
              </w:rPr>
            </w:pPr>
          </w:p>
        </w:tc>
      </w:tr>
      <w:tr w:rsidR="00234ACB" w:rsidRPr="00234ACB" w14:paraId="34AFBED4"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5F54ED14"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Conta Vinculada</w:t>
            </w:r>
          </w:p>
        </w:tc>
        <w:tc>
          <w:tcPr>
            <w:tcW w:w="1149" w:type="pct"/>
            <w:tcBorders>
              <w:top w:val="nil"/>
              <w:left w:val="nil"/>
              <w:bottom w:val="nil"/>
              <w:right w:val="nil"/>
            </w:tcBorders>
            <w:shd w:val="clear" w:color="auto" w:fill="auto"/>
            <w:noWrap/>
            <w:vAlign w:val="bottom"/>
            <w:hideMark/>
          </w:tcPr>
          <w:p w14:paraId="58180FED"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60.914.526 </w:t>
            </w:r>
          </w:p>
        </w:tc>
        <w:tc>
          <w:tcPr>
            <w:tcW w:w="858" w:type="pct"/>
            <w:tcBorders>
              <w:top w:val="nil"/>
              <w:left w:val="nil"/>
              <w:bottom w:val="nil"/>
              <w:right w:val="nil"/>
            </w:tcBorders>
            <w:shd w:val="clear" w:color="auto" w:fill="auto"/>
            <w:noWrap/>
            <w:vAlign w:val="bottom"/>
            <w:hideMark/>
          </w:tcPr>
          <w:p w14:paraId="2E27D403"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32.350.978 </w:t>
            </w:r>
          </w:p>
        </w:tc>
        <w:tc>
          <w:tcPr>
            <w:tcW w:w="457" w:type="pct"/>
            <w:tcBorders>
              <w:top w:val="nil"/>
              <w:left w:val="nil"/>
              <w:bottom w:val="nil"/>
              <w:right w:val="nil"/>
            </w:tcBorders>
            <w:shd w:val="clear" w:color="auto" w:fill="auto"/>
            <w:noWrap/>
            <w:vAlign w:val="center"/>
            <w:hideMark/>
          </w:tcPr>
          <w:p w14:paraId="48FD338F" w14:textId="77777777" w:rsidR="00234ACB" w:rsidRPr="00234ACB" w:rsidRDefault="00234ACB" w:rsidP="00234ACB">
            <w:pPr>
              <w:jc w:val="center"/>
              <w:rPr>
                <w:rFonts w:asciiTheme="majorHAnsi" w:hAnsiTheme="majorHAnsi" w:cs="Arial"/>
                <w:sz w:val="16"/>
                <w:szCs w:val="16"/>
              </w:rPr>
            </w:pPr>
            <w:r w:rsidRPr="00234ACB">
              <w:rPr>
                <w:rFonts w:asciiTheme="majorHAnsi" w:hAnsiTheme="majorHAnsi" w:cs="Arial"/>
                <w:sz w:val="16"/>
                <w:szCs w:val="16"/>
              </w:rPr>
              <w:t>(3)</w:t>
            </w:r>
          </w:p>
        </w:tc>
      </w:tr>
      <w:tr w:rsidR="00234ACB" w:rsidRPr="00234ACB" w14:paraId="65548B89"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15F6E2F7"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 xml:space="preserve">     Direitos Realizáveis</w:t>
            </w:r>
          </w:p>
        </w:tc>
        <w:tc>
          <w:tcPr>
            <w:tcW w:w="1149" w:type="pct"/>
            <w:tcBorders>
              <w:top w:val="nil"/>
              <w:left w:val="nil"/>
              <w:bottom w:val="nil"/>
              <w:right w:val="nil"/>
            </w:tcBorders>
            <w:shd w:val="clear" w:color="auto" w:fill="auto"/>
            <w:noWrap/>
            <w:vAlign w:val="bottom"/>
            <w:hideMark/>
          </w:tcPr>
          <w:p w14:paraId="3B6DE98F"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11.361.482 </w:t>
            </w:r>
          </w:p>
        </w:tc>
        <w:tc>
          <w:tcPr>
            <w:tcW w:w="858" w:type="pct"/>
            <w:tcBorders>
              <w:top w:val="nil"/>
              <w:left w:val="nil"/>
              <w:bottom w:val="nil"/>
              <w:right w:val="nil"/>
            </w:tcBorders>
            <w:shd w:val="clear" w:color="auto" w:fill="auto"/>
            <w:noWrap/>
            <w:vAlign w:val="bottom"/>
            <w:hideMark/>
          </w:tcPr>
          <w:p w14:paraId="02A5E5E6"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9.705.498 </w:t>
            </w:r>
          </w:p>
        </w:tc>
        <w:tc>
          <w:tcPr>
            <w:tcW w:w="457" w:type="pct"/>
            <w:tcBorders>
              <w:top w:val="nil"/>
              <w:left w:val="nil"/>
              <w:bottom w:val="nil"/>
              <w:right w:val="nil"/>
            </w:tcBorders>
            <w:shd w:val="clear" w:color="auto" w:fill="auto"/>
            <w:noWrap/>
            <w:vAlign w:val="center"/>
            <w:hideMark/>
          </w:tcPr>
          <w:p w14:paraId="31715EF4" w14:textId="77777777" w:rsidR="00234ACB" w:rsidRPr="00234ACB" w:rsidRDefault="00234ACB" w:rsidP="00234ACB">
            <w:pPr>
              <w:jc w:val="center"/>
              <w:rPr>
                <w:rFonts w:asciiTheme="majorHAnsi" w:hAnsiTheme="majorHAnsi" w:cs="Arial"/>
                <w:sz w:val="16"/>
                <w:szCs w:val="16"/>
              </w:rPr>
            </w:pPr>
            <w:r w:rsidRPr="00234ACB">
              <w:rPr>
                <w:rFonts w:asciiTheme="majorHAnsi" w:hAnsiTheme="majorHAnsi" w:cs="Arial"/>
                <w:sz w:val="16"/>
                <w:szCs w:val="16"/>
              </w:rPr>
              <w:t>(4)</w:t>
            </w:r>
          </w:p>
        </w:tc>
      </w:tr>
      <w:tr w:rsidR="00234ACB" w:rsidRPr="00234ACB" w14:paraId="5A6BE51D"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7779EFE4" w14:textId="65CEBBFD"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Adiantamentos Concedidos</w:t>
            </w:r>
          </w:p>
        </w:tc>
        <w:tc>
          <w:tcPr>
            <w:tcW w:w="1149" w:type="pct"/>
            <w:tcBorders>
              <w:top w:val="nil"/>
              <w:left w:val="nil"/>
              <w:bottom w:val="nil"/>
              <w:right w:val="nil"/>
            </w:tcBorders>
            <w:shd w:val="clear" w:color="auto" w:fill="auto"/>
            <w:noWrap/>
            <w:vAlign w:val="bottom"/>
            <w:hideMark/>
          </w:tcPr>
          <w:p w14:paraId="1BF4F7F7"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3.198.730 </w:t>
            </w:r>
          </w:p>
        </w:tc>
        <w:tc>
          <w:tcPr>
            <w:tcW w:w="858" w:type="pct"/>
            <w:tcBorders>
              <w:top w:val="nil"/>
              <w:left w:val="nil"/>
              <w:bottom w:val="nil"/>
              <w:right w:val="nil"/>
            </w:tcBorders>
            <w:shd w:val="clear" w:color="auto" w:fill="auto"/>
            <w:noWrap/>
            <w:vAlign w:val="bottom"/>
            <w:hideMark/>
          </w:tcPr>
          <w:p w14:paraId="1FD97535"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677.873 </w:t>
            </w:r>
          </w:p>
        </w:tc>
        <w:tc>
          <w:tcPr>
            <w:tcW w:w="457" w:type="pct"/>
            <w:tcBorders>
              <w:top w:val="nil"/>
              <w:left w:val="nil"/>
              <w:bottom w:val="nil"/>
              <w:right w:val="nil"/>
            </w:tcBorders>
            <w:shd w:val="clear" w:color="auto" w:fill="auto"/>
            <w:noWrap/>
            <w:vAlign w:val="center"/>
            <w:hideMark/>
          </w:tcPr>
          <w:p w14:paraId="747227C0" w14:textId="77777777" w:rsidR="00234ACB" w:rsidRPr="00234ACB" w:rsidRDefault="00234ACB" w:rsidP="00234ACB">
            <w:pPr>
              <w:jc w:val="center"/>
              <w:rPr>
                <w:rFonts w:asciiTheme="majorHAnsi" w:hAnsiTheme="majorHAnsi" w:cs="Arial"/>
                <w:sz w:val="16"/>
                <w:szCs w:val="16"/>
              </w:rPr>
            </w:pPr>
            <w:r w:rsidRPr="00234ACB">
              <w:rPr>
                <w:rFonts w:asciiTheme="majorHAnsi" w:hAnsiTheme="majorHAnsi" w:cs="Arial"/>
                <w:sz w:val="16"/>
                <w:szCs w:val="16"/>
              </w:rPr>
              <w:t>(4a)</w:t>
            </w:r>
          </w:p>
        </w:tc>
      </w:tr>
      <w:tr w:rsidR="00234ACB" w:rsidRPr="00234ACB" w14:paraId="6998D0AE"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784166D1"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Permissões p/uso de pátios a receber</w:t>
            </w:r>
          </w:p>
        </w:tc>
        <w:tc>
          <w:tcPr>
            <w:tcW w:w="1149" w:type="pct"/>
            <w:tcBorders>
              <w:top w:val="nil"/>
              <w:left w:val="nil"/>
              <w:bottom w:val="nil"/>
              <w:right w:val="nil"/>
            </w:tcBorders>
            <w:shd w:val="clear" w:color="auto" w:fill="auto"/>
            <w:noWrap/>
            <w:vAlign w:val="bottom"/>
            <w:hideMark/>
          </w:tcPr>
          <w:p w14:paraId="0012659A"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874.442 </w:t>
            </w:r>
          </w:p>
        </w:tc>
        <w:tc>
          <w:tcPr>
            <w:tcW w:w="858" w:type="pct"/>
            <w:tcBorders>
              <w:top w:val="nil"/>
              <w:left w:val="nil"/>
              <w:bottom w:val="nil"/>
              <w:right w:val="nil"/>
            </w:tcBorders>
            <w:shd w:val="clear" w:color="auto" w:fill="auto"/>
            <w:noWrap/>
            <w:vAlign w:val="bottom"/>
            <w:hideMark/>
          </w:tcPr>
          <w:p w14:paraId="5CD07A38"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1.487.338 </w:t>
            </w:r>
          </w:p>
        </w:tc>
        <w:tc>
          <w:tcPr>
            <w:tcW w:w="457" w:type="pct"/>
            <w:tcBorders>
              <w:top w:val="nil"/>
              <w:left w:val="nil"/>
              <w:bottom w:val="nil"/>
              <w:right w:val="nil"/>
            </w:tcBorders>
            <w:shd w:val="clear" w:color="auto" w:fill="auto"/>
            <w:noWrap/>
            <w:vAlign w:val="bottom"/>
            <w:hideMark/>
          </w:tcPr>
          <w:p w14:paraId="44ED95CE" w14:textId="1362826C" w:rsidR="00234ACB" w:rsidRPr="00234ACB" w:rsidRDefault="00234ACB" w:rsidP="00234ACB">
            <w:pPr>
              <w:jc w:val="center"/>
              <w:rPr>
                <w:rFonts w:asciiTheme="majorHAnsi" w:hAnsiTheme="majorHAnsi" w:cs="Arial"/>
                <w:sz w:val="16"/>
                <w:szCs w:val="16"/>
              </w:rPr>
            </w:pPr>
            <w:r w:rsidRPr="00234ACB">
              <w:rPr>
                <w:rFonts w:asciiTheme="majorHAnsi" w:hAnsiTheme="majorHAnsi" w:cs="Arial"/>
                <w:sz w:val="16"/>
                <w:szCs w:val="16"/>
              </w:rPr>
              <w:t>(6)</w:t>
            </w:r>
          </w:p>
        </w:tc>
      </w:tr>
      <w:tr w:rsidR="00234ACB" w:rsidRPr="00234ACB" w14:paraId="505F2964"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268AA30A"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Créditos tributários a compensar</w:t>
            </w:r>
          </w:p>
        </w:tc>
        <w:tc>
          <w:tcPr>
            <w:tcW w:w="1149" w:type="pct"/>
            <w:tcBorders>
              <w:top w:val="nil"/>
              <w:left w:val="nil"/>
              <w:bottom w:val="nil"/>
              <w:right w:val="nil"/>
            </w:tcBorders>
            <w:shd w:val="clear" w:color="auto" w:fill="auto"/>
            <w:noWrap/>
            <w:vAlign w:val="bottom"/>
            <w:hideMark/>
          </w:tcPr>
          <w:p w14:paraId="2F9D8BD4"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1.882.055 </w:t>
            </w:r>
          </w:p>
        </w:tc>
        <w:tc>
          <w:tcPr>
            <w:tcW w:w="858" w:type="pct"/>
            <w:tcBorders>
              <w:top w:val="nil"/>
              <w:left w:val="nil"/>
              <w:bottom w:val="nil"/>
              <w:right w:val="nil"/>
            </w:tcBorders>
            <w:shd w:val="clear" w:color="auto" w:fill="auto"/>
            <w:noWrap/>
            <w:vAlign w:val="bottom"/>
            <w:hideMark/>
          </w:tcPr>
          <w:p w14:paraId="4A0A0BA6"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1.679.580 </w:t>
            </w:r>
          </w:p>
        </w:tc>
        <w:tc>
          <w:tcPr>
            <w:tcW w:w="457" w:type="pct"/>
            <w:tcBorders>
              <w:top w:val="nil"/>
              <w:left w:val="nil"/>
              <w:bottom w:val="nil"/>
              <w:right w:val="nil"/>
            </w:tcBorders>
            <w:shd w:val="clear" w:color="auto" w:fill="auto"/>
            <w:noWrap/>
            <w:vAlign w:val="center"/>
            <w:hideMark/>
          </w:tcPr>
          <w:p w14:paraId="7E6DABA7" w14:textId="77777777" w:rsidR="00234ACB" w:rsidRPr="00234ACB" w:rsidRDefault="00234ACB" w:rsidP="00234ACB">
            <w:pPr>
              <w:jc w:val="center"/>
              <w:rPr>
                <w:rFonts w:asciiTheme="majorHAnsi" w:hAnsiTheme="majorHAnsi" w:cs="Arial"/>
                <w:sz w:val="16"/>
                <w:szCs w:val="16"/>
              </w:rPr>
            </w:pPr>
            <w:r w:rsidRPr="00234ACB">
              <w:rPr>
                <w:rFonts w:asciiTheme="majorHAnsi" w:hAnsiTheme="majorHAnsi" w:cs="Arial"/>
                <w:sz w:val="16"/>
                <w:szCs w:val="16"/>
              </w:rPr>
              <w:t>(4b)</w:t>
            </w:r>
          </w:p>
        </w:tc>
      </w:tr>
      <w:tr w:rsidR="00234ACB" w:rsidRPr="00234ACB" w14:paraId="36689394"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6DC3C7C1"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Outros Créditos a Receber</w:t>
            </w:r>
          </w:p>
        </w:tc>
        <w:tc>
          <w:tcPr>
            <w:tcW w:w="1149" w:type="pct"/>
            <w:tcBorders>
              <w:top w:val="nil"/>
              <w:left w:val="nil"/>
              <w:bottom w:val="nil"/>
              <w:right w:val="nil"/>
            </w:tcBorders>
            <w:shd w:val="clear" w:color="auto" w:fill="auto"/>
            <w:noWrap/>
            <w:vAlign w:val="bottom"/>
            <w:hideMark/>
          </w:tcPr>
          <w:p w14:paraId="0AD31C92"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17.789.076 </w:t>
            </w:r>
          </w:p>
        </w:tc>
        <w:tc>
          <w:tcPr>
            <w:tcW w:w="858" w:type="pct"/>
            <w:tcBorders>
              <w:top w:val="nil"/>
              <w:left w:val="nil"/>
              <w:bottom w:val="nil"/>
              <w:right w:val="nil"/>
            </w:tcBorders>
            <w:shd w:val="clear" w:color="auto" w:fill="auto"/>
            <w:noWrap/>
            <w:vAlign w:val="bottom"/>
            <w:hideMark/>
          </w:tcPr>
          <w:p w14:paraId="5FFBBE6A"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18.243.528 </w:t>
            </w:r>
          </w:p>
        </w:tc>
        <w:tc>
          <w:tcPr>
            <w:tcW w:w="457" w:type="pct"/>
            <w:tcBorders>
              <w:top w:val="nil"/>
              <w:left w:val="nil"/>
              <w:bottom w:val="nil"/>
              <w:right w:val="nil"/>
            </w:tcBorders>
            <w:shd w:val="clear" w:color="auto" w:fill="auto"/>
            <w:noWrap/>
            <w:vAlign w:val="center"/>
            <w:hideMark/>
          </w:tcPr>
          <w:p w14:paraId="57C4DD3F" w14:textId="77777777" w:rsidR="00234ACB" w:rsidRPr="00234ACB" w:rsidRDefault="00234ACB" w:rsidP="00234ACB">
            <w:pPr>
              <w:jc w:val="center"/>
              <w:rPr>
                <w:rFonts w:asciiTheme="majorHAnsi" w:hAnsiTheme="majorHAnsi" w:cs="Arial"/>
                <w:sz w:val="16"/>
                <w:szCs w:val="16"/>
              </w:rPr>
            </w:pPr>
            <w:r w:rsidRPr="00234ACB">
              <w:rPr>
                <w:rFonts w:asciiTheme="majorHAnsi" w:hAnsiTheme="majorHAnsi" w:cs="Arial"/>
                <w:sz w:val="16"/>
                <w:szCs w:val="16"/>
              </w:rPr>
              <w:t>(4c)</w:t>
            </w:r>
          </w:p>
        </w:tc>
      </w:tr>
      <w:tr w:rsidR="00234ACB" w:rsidRPr="00234ACB" w14:paraId="1A48CA64"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64F25880"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Ajuste p/ Perda Demais Créditos</w:t>
            </w:r>
          </w:p>
        </w:tc>
        <w:tc>
          <w:tcPr>
            <w:tcW w:w="1149" w:type="pct"/>
            <w:tcBorders>
              <w:top w:val="nil"/>
              <w:left w:val="nil"/>
              <w:bottom w:val="nil"/>
              <w:right w:val="nil"/>
            </w:tcBorders>
            <w:shd w:val="clear" w:color="auto" w:fill="auto"/>
            <w:noWrap/>
            <w:vAlign w:val="bottom"/>
            <w:hideMark/>
          </w:tcPr>
          <w:p w14:paraId="403A0822"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(12.382.821)</w:t>
            </w:r>
          </w:p>
        </w:tc>
        <w:tc>
          <w:tcPr>
            <w:tcW w:w="858" w:type="pct"/>
            <w:tcBorders>
              <w:top w:val="nil"/>
              <w:left w:val="nil"/>
              <w:bottom w:val="nil"/>
              <w:right w:val="nil"/>
            </w:tcBorders>
            <w:shd w:val="clear" w:color="auto" w:fill="auto"/>
            <w:noWrap/>
            <w:vAlign w:val="bottom"/>
            <w:hideMark/>
          </w:tcPr>
          <w:p w14:paraId="0D56CDD5"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(12.382.821)</w:t>
            </w:r>
          </w:p>
        </w:tc>
        <w:tc>
          <w:tcPr>
            <w:tcW w:w="457" w:type="pct"/>
            <w:tcBorders>
              <w:top w:val="nil"/>
              <w:left w:val="nil"/>
              <w:bottom w:val="nil"/>
              <w:right w:val="nil"/>
            </w:tcBorders>
            <w:shd w:val="clear" w:color="auto" w:fill="auto"/>
            <w:noWrap/>
            <w:vAlign w:val="center"/>
            <w:hideMark/>
          </w:tcPr>
          <w:p w14:paraId="562310CF" w14:textId="77777777" w:rsidR="00234ACB" w:rsidRPr="00234ACB" w:rsidRDefault="00234ACB" w:rsidP="00234ACB">
            <w:pPr>
              <w:jc w:val="center"/>
              <w:rPr>
                <w:rFonts w:asciiTheme="majorHAnsi" w:hAnsiTheme="majorHAnsi" w:cs="Arial"/>
                <w:sz w:val="16"/>
                <w:szCs w:val="16"/>
              </w:rPr>
            </w:pPr>
            <w:r w:rsidRPr="00234ACB">
              <w:rPr>
                <w:rFonts w:asciiTheme="majorHAnsi" w:hAnsiTheme="majorHAnsi" w:cs="Arial"/>
                <w:sz w:val="16"/>
                <w:szCs w:val="16"/>
              </w:rPr>
              <w:t>(4c2)</w:t>
            </w:r>
          </w:p>
        </w:tc>
      </w:tr>
      <w:tr w:rsidR="00234ACB" w:rsidRPr="00234ACB" w14:paraId="2C5791E5"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75891519" w14:textId="77777777" w:rsidR="00234ACB" w:rsidRPr="00234ACB" w:rsidRDefault="00234ACB">
            <w:pPr>
              <w:jc w:val="right"/>
              <w:rPr>
                <w:rFonts w:asciiTheme="majorHAnsi" w:hAnsiTheme="majorHAnsi" w:cs="Arial"/>
                <w:sz w:val="16"/>
                <w:szCs w:val="16"/>
              </w:rPr>
            </w:pPr>
          </w:p>
        </w:tc>
        <w:tc>
          <w:tcPr>
            <w:tcW w:w="1149" w:type="pct"/>
            <w:tcBorders>
              <w:top w:val="nil"/>
              <w:left w:val="nil"/>
              <w:bottom w:val="nil"/>
              <w:right w:val="nil"/>
            </w:tcBorders>
            <w:shd w:val="clear" w:color="auto" w:fill="auto"/>
            <w:noWrap/>
            <w:vAlign w:val="bottom"/>
            <w:hideMark/>
          </w:tcPr>
          <w:p w14:paraId="26FB57D2" w14:textId="77777777" w:rsidR="00234ACB" w:rsidRPr="00234ACB" w:rsidRDefault="00234ACB" w:rsidP="00234ACB">
            <w:pPr>
              <w:jc w:val="right"/>
              <w:rPr>
                <w:rFonts w:asciiTheme="majorHAnsi" w:hAnsiTheme="majorHAnsi"/>
                <w:sz w:val="16"/>
                <w:szCs w:val="16"/>
              </w:rPr>
            </w:pPr>
          </w:p>
        </w:tc>
        <w:tc>
          <w:tcPr>
            <w:tcW w:w="858" w:type="pct"/>
            <w:tcBorders>
              <w:top w:val="nil"/>
              <w:left w:val="nil"/>
              <w:bottom w:val="nil"/>
              <w:right w:val="nil"/>
            </w:tcBorders>
            <w:shd w:val="clear" w:color="auto" w:fill="auto"/>
            <w:noWrap/>
            <w:vAlign w:val="bottom"/>
            <w:hideMark/>
          </w:tcPr>
          <w:p w14:paraId="1364D0F5" w14:textId="77777777" w:rsidR="00234ACB" w:rsidRPr="00234ACB" w:rsidRDefault="00234ACB" w:rsidP="00234ACB">
            <w:pPr>
              <w:jc w:val="right"/>
              <w:rPr>
                <w:rFonts w:asciiTheme="majorHAnsi" w:hAnsiTheme="majorHAnsi"/>
                <w:sz w:val="16"/>
                <w:szCs w:val="16"/>
              </w:rPr>
            </w:pPr>
          </w:p>
        </w:tc>
        <w:tc>
          <w:tcPr>
            <w:tcW w:w="457" w:type="pct"/>
            <w:tcBorders>
              <w:top w:val="nil"/>
              <w:left w:val="nil"/>
              <w:bottom w:val="nil"/>
              <w:right w:val="nil"/>
            </w:tcBorders>
            <w:shd w:val="clear" w:color="auto" w:fill="auto"/>
            <w:noWrap/>
            <w:vAlign w:val="center"/>
            <w:hideMark/>
          </w:tcPr>
          <w:p w14:paraId="1DB10D4A" w14:textId="77777777" w:rsidR="00234ACB" w:rsidRPr="00234ACB" w:rsidRDefault="00234ACB" w:rsidP="00234ACB">
            <w:pPr>
              <w:jc w:val="center"/>
              <w:rPr>
                <w:rFonts w:asciiTheme="majorHAnsi" w:hAnsiTheme="majorHAnsi"/>
                <w:sz w:val="16"/>
                <w:szCs w:val="16"/>
              </w:rPr>
            </w:pPr>
          </w:p>
        </w:tc>
      </w:tr>
      <w:tr w:rsidR="00234ACB" w:rsidRPr="00234ACB" w14:paraId="30DED507"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3684D901"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ATIVO NÃO CIRCULANTE</w:t>
            </w:r>
          </w:p>
        </w:tc>
        <w:tc>
          <w:tcPr>
            <w:tcW w:w="1149" w:type="pct"/>
            <w:tcBorders>
              <w:top w:val="nil"/>
              <w:left w:val="nil"/>
              <w:bottom w:val="nil"/>
              <w:right w:val="nil"/>
            </w:tcBorders>
            <w:shd w:val="clear" w:color="auto" w:fill="auto"/>
            <w:noWrap/>
            <w:vAlign w:val="bottom"/>
            <w:hideMark/>
          </w:tcPr>
          <w:p w14:paraId="2185DAE6"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3.832.153.200 </w:t>
            </w:r>
          </w:p>
        </w:tc>
        <w:tc>
          <w:tcPr>
            <w:tcW w:w="858" w:type="pct"/>
            <w:tcBorders>
              <w:top w:val="nil"/>
              <w:left w:val="nil"/>
              <w:bottom w:val="nil"/>
              <w:right w:val="nil"/>
            </w:tcBorders>
            <w:shd w:val="clear" w:color="auto" w:fill="auto"/>
            <w:noWrap/>
            <w:vAlign w:val="bottom"/>
            <w:hideMark/>
          </w:tcPr>
          <w:p w14:paraId="272B73BC"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3.701.631.852 </w:t>
            </w:r>
          </w:p>
        </w:tc>
        <w:tc>
          <w:tcPr>
            <w:tcW w:w="457" w:type="pct"/>
            <w:tcBorders>
              <w:top w:val="nil"/>
              <w:left w:val="nil"/>
              <w:bottom w:val="nil"/>
              <w:right w:val="nil"/>
            </w:tcBorders>
            <w:shd w:val="clear" w:color="auto" w:fill="auto"/>
            <w:noWrap/>
            <w:vAlign w:val="center"/>
            <w:hideMark/>
          </w:tcPr>
          <w:p w14:paraId="4903C664" w14:textId="77777777" w:rsidR="00234ACB" w:rsidRPr="00234ACB" w:rsidRDefault="00234ACB" w:rsidP="00234ACB">
            <w:pPr>
              <w:jc w:val="center"/>
              <w:rPr>
                <w:rFonts w:asciiTheme="majorHAnsi" w:hAnsiTheme="majorHAnsi" w:cs="Arial"/>
                <w:b/>
                <w:bCs/>
                <w:sz w:val="16"/>
                <w:szCs w:val="16"/>
              </w:rPr>
            </w:pPr>
          </w:p>
        </w:tc>
      </w:tr>
      <w:tr w:rsidR="00234ACB" w:rsidRPr="00234ACB" w14:paraId="346A0BAA"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53296358"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 xml:space="preserve">      Realizável a Longo Prazo</w:t>
            </w:r>
          </w:p>
        </w:tc>
        <w:tc>
          <w:tcPr>
            <w:tcW w:w="1149" w:type="pct"/>
            <w:tcBorders>
              <w:top w:val="nil"/>
              <w:left w:val="nil"/>
              <w:bottom w:val="nil"/>
              <w:right w:val="nil"/>
            </w:tcBorders>
            <w:shd w:val="clear" w:color="auto" w:fill="auto"/>
            <w:noWrap/>
            <w:vAlign w:val="bottom"/>
            <w:hideMark/>
          </w:tcPr>
          <w:p w14:paraId="75D5084C"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117.829.762 </w:t>
            </w:r>
          </w:p>
        </w:tc>
        <w:tc>
          <w:tcPr>
            <w:tcW w:w="858" w:type="pct"/>
            <w:tcBorders>
              <w:top w:val="nil"/>
              <w:left w:val="nil"/>
              <w:bottom w:val="nil"/>
              <w:right w:val="nil"/>
            </w:tcBorders>
            <w:shd w:val="clear" w:color="auto" w:fill="auto"/>
            <w:noWrap/>
            <w:vAlign w:val="bottom"/>
            <w:hideMark/>
          </w:tcPr>
          <w:p w14:paraId="08AC49F1"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115.922.885 </w:t>
            </w:r>
          </w:p>
        </w:tc>
        <w:tc>
          <w:tcPr>
            <w:tcW w:w="457" w:type="pct"/>
            <w:tcBorders>
              <w:top w:val="nil"/>
              <w:left w:val="nil"/>
              <w:bottom w:val="nil"/>
              <w:right w:val="nil"/>
            </w:tcBorders>
            <w:shd w:val="clear" w:color="auto" w:fill="auto"/>
            <w:noWrap/>
            <w:vAlign w:val="center"/>
            <w:hideMark/>
          </w:tcPr>
          <w:p w14:paraId="549D5F9E" w14:textId="77777777" w:rsidR="00234ACB" w:rsidRPr="00234ACB" w:rsidRDefault="00234ACB" w:rsidP="00234ACB">
            <w:pPr>
              <w:jc w:val="center"/>
              <w:rPr>
                <w:rFonts w:asciiTheme="majorHAnsi" w:hAnsiTheme="majorHAnsi" w:cs="Arial"/>
                <w:b/>
                <w:bCs/>
                <w:sz w:val="16"/>
                <w:szCs w:val="16"/>
              </w:rPr>
            </w:pPr>
          </w:p>
        </w:tc>
      </w:tr>
      <w:tr w:rsidR="00234ACB" w:rsidRPr="00234ACB" w14:paraId="151932B4"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634E355F"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Permissões p/uso de pátios a receber</w:t>
            </w:r>
          </w:p>
        </w:tc>
        <w:tc>
          <w:tcPr>
            <w:tcW w:w="1149" w:type="pct"/>
            <w:tcBorders>
              <w:top w:val="nil"/>
              <w:left w:val="nil"/>
              <w:bottom w:val="nil"/>
              <w:right w:val="nil"/>
            </w:tcBorders>
            <w:shd w:val="clear" w:color="auto" w:fill="auto"/>
            <w:noWrap/>
            <w:vAlign w:val="bottom"/>
            <w:hideMark/>
          </w:tcPr>
          <w:p w14:paraId="4A627BB1"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27.717.898 </w:t>
            </w:r>
          </w:p>
        </w:tc>
        <w:tc>
          <w:tcPr>
            <w:tcW w:w="858" w:type="pct"/>
            <w:tcBorders>
              <w:top w:val="nil"/>
              <w:left w:val="nil"/>
              <w:bottom w:val="nil"/>
              <w:right w:val="nil"/>
            </w:tcBorders>
            <w:shd w:val="clear" w:color="auto" w:fill="auto"/>
            <w:noWrap/>
            <w:vAlign w:val="bottom"/>
            <w:hideMark/>
          </w:tcPr>
          <w:p w14:paraId="3F300AA5"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25.488.517 </w:t>
            </w:r>
          </w:p>
        </w:tc>
        <w:tc>
          <w:tcPr>
            <w:tcW w:w="457" w:type="pct"/>
            <w:tcBorders>
              <w:top w:val="nil"/>
              <w:left w:val="nil"/>
              <w:bottom w:val="nil"/>
              <w:right w:val="nil"/>
            </w:tcBorders>
            <w:shd w:val="clear" w:color="auto" w:fill="auto"/>
            <w:noWrap/>
            <w:vAlign w:val="center"/>
            <w:hideMark/>
          </w:tcPr>
          <w:p w14:paraId="31153183" w14:textId="77777777" w:rsidR="00234ACB" w:rsidRPr="00234ACB" w:rsidRDefault="00234ACB" w:rsidP="00234ACB">
            <w:pPr>
              <w:jc w:val="center"/>
              <w:rPr>
                <w:rFonts w:asciiTheme="majorHAnsi" w:hAnsiTheme="majorHAnsi" w:cs="Arial"/>
                <w:sz w:val="16"/>
                <w:szCs w:val="16"/>
              </w:rPr>
            </w:pPr>
            <w:r w:rsidRPr="00234ACB">
              <w:rPr>
                <w:rFonts w:asciiTheme="majorHAnsi" w:hAnsiTheme="majorHAnsi" w:cs="Arial"/>
                <w:sz w:val="16"/>
                <w:szCs w:val="16"/>
              </w:rPr>
              <w:t>(6)</w:t>
            </w:r>
          </w:p>
        </w:tc>
      </w:tr>
      <w:tr w:rsidR="00234ACB" w:rsidRPr="00234ACB" w14:paraId="1F537846"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02BADB24" w14:textId="4CA80B85"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Valores a Receber (Assist. Médica- </w:t>
            </w:r>
            <w:proofErr w:type="spellStart"/>
            <w:r w:rsidRPr="00234ACB">
              <w:rPr>
                <w:rFonts w:asciiTheme="majorHAnsi" w:hAnsiTheme="majorHAnsi" w:cs="Arial"/>
                <w:sz w:val="16"/>
                <w:szCs w:val="16"/>
              </w:rPr>
              <w:t>Geipot</w:t>
            </w:r>
            <w:proofErr w:type="spellEnd"/>
            <w:r w:rsidRPr="00234ACB">
              <w:rPr>
                <w:rFonts w:asciiTheme="majorHAnsi" w:hAnsiTheme="majorHAnsi" w:cs="Arial"/>
                <w:sz w:val="16"/>
                <w:szCs w:val="16"/>
              </w:rPr>
              <w:t>)</w:t>
            </w:r>
          </w:p>
        </w:tc>
        <w:tc>
          <w:tcPr>
            <w:tcW w:w="1149" w:type="pct"/>
            <w:tcBorders>
              <w:top w:val="nil"/>
              <w:left w:val="nil"/>
              <w:bottom w:val="nil"/>
              <w:right w:val="nil"/>
            </w:tcBorders>
            <w:shd w:val="clear" w:color="auto" w:fill="auto"/>
            <w:noWrap/>
            <w:vAlign w:val="bottom"/>
            <w:hideMark/>
          </w:tcPr>
          <w:p w14:paraId="5575ACF3"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39.899 </w:t>
            </w:r>
          </w:p>
        </w:tc>
        <w:tc>
          <w:tcPr>
            <w:tcW w:w="858" w:type="pct"/>
            <w:tcBorders>
              <w:top w:val="nil"/>
              <w:left w:val="nil"/>
              <w:bottom w:val="nil"/>
              <w:right w:val="nil"/>
            </w:tcBorders>
            <w:shd w:val="clear" w:color="auto" w:fill="auto"/>
            <w:noWrap/>
            <w:vAlign w:val="bottom"/>
            <w:hideMark/>
          </w:tcPr>
          <w:p w14:paraId="1E78BAF3"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46.043 </w:t>
            </w:r>
          </w:p>
        </w:tc>
        <w:tc>
          <w:tcPr>
            <w:tcW w:w="457" w:type="pct"/>
            <w:tcBorders>
              <w:top w:val="nil"/>
              <w:left w:val="nil"/>
              <w:bottom w:val="nil"/>
              <w:right w:val="nil"/>
            </w:tcBorders>
            <w:shd w:val="clear" w:color="auto" w:fill="auto"/>
            <w:noWrap/>
            <w:vAlign w:val="bottom"/>
            <w:hideMark/>
          </w:tcPr>
          <w:p w14:paraId="18A8D080" w14:textId="2DDAAB6C" w:rsidR="00234ACB" w:rsidRPr="00234ACB" w:rsidRDefault="00234ACB" w:rsidP="00234ACB">
            <w:pPr>
              <w:jc w:val="center"/>
              <w:rPr>
                <w:rFonts w:asciiTheme="majorHAnsi" w:hAnsiTheme="majorHAnsi" w:cs="Arial"/>
                <w:sz w:val="16"/>
                <w:szCs w:val="16"/>
              </w:rPr>
            </w:pPr>
            <w:r w:rsidRPr="00234ACB">
              <w:rPr>
                <w:rFonts w:asciiTheme="majorHAnsi" w:hAnsiTheme="majorHAnsi" w:cs="Arial"/>
                <w:sz w:val="16"/>
                <w:szCs w:val="16"/>
              </w:rPr>
              <w:t>(5c)</w:t>
            </w:r>
          </w:p>
        </w:tc>
      </w:tr>
      <w:tr w:rsidR="00234ACB" w:rsidRPr="00234ACB" w14:paraId="2A568D0B"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594556A2"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 xml:space="preserve">      Investimentos</w:t>
            </w:r>
          </w:p>
        </w:tc>
        <w:tc>
          <w:tcPr>
            <w:tcW w:w="1149" w:type="pct"/>
            <w:tcBorders>
              <w:top w:val="nil"/>
              <w:left w:val="nil"/>
              <w:bottom w:val="nil"/>
              <w:right w:val="nil"/>
            </w:tcBorders>
            <w:shd w:val="clear" w:color="auto" w:fill="auto"/>
            <w:noWrap/>
            <w:vAlign w:val="bottom"/>
            <w:hideMark/>
          </w:tcPr>
          <w:p w14:paraId="54196A74"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943.522.963 </w:t>
            </w:r>
          </w:p>
        </w:tc>
        <w:tc>
          <w:tcPr>
            <w:tcW w:w="858" w:type="pct"/>
            <w:tcBorders>
              <w:top w:val="nil"/>
              <w:left w:val="nil"/>
              <w:bottom w:val="nil"/>
              <w:right w:val="nil"/>
            </w:tcBorders>
            <w:shd w:val="clear" w:color="auto" w:fill="auto"/>
            <w:noWrap/>
            <w:vAlign w:val="bottom"/>
            <w:hideMark/>
          </w:tcPr>
          <w:p w14:paraId="6E15C9AA"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959.800.293 </w:t>
            </w:r>
          </w:p>
        </w:tc>
        <w:tc>
          <w:tcPr>
            <w:tcW w:w="457" w:type="pct"/>
            <w:tcBorders>
              <w:top w:val="nil"/>
              <w:left w:val="nil"/>
              <w:bottom w:val="nil"/>
              <w:right w:val="nil"/>
            </w:tcBorders>
            <w:shd w:val="clear" w:color="auto" w:fill="auto"/>
            <w:noWrap/>
            <w:vAlign w:val="center"/>
            <w:hideMark/>
          </w:tcPr>
          <w:p w14:paraId="54E683AE" w14:textId="77777777" w:rsidR="00234ACB" w:rsidRPr="00234ACB" w:rsidRDefault="00234ACB" w:rsidP="00234ACB">
            <w:pPr>
              <w:jc w:val="center"/>
              <w:rPr>
                <w:rFonts w:asciiTheme="majorHAnsi" w:hAnsiTheme="majorHAnsi" w:cs="Arial"/>
                <w:b/>
                <w:bCs/>
                <w:sz w:val="16"/>
                <w:szCs w:val="16"/>
              </w:rPr>
            </w:pPr>
          </w:p>
        </w:tc>
      </w:tr>
      <w:tr w:rsidR="00234ACB" w:rsidRPr="00234ACB" w14:paraId="16331DD1"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556DA8E0"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Participação Societária - MEP</w:t>
            </w:r>
          </w:p>
        </w:tc>
        <w:tc>
          <w:tcPr>
            <w:tcW w:w="1149" w:type="pct"/>
            <w:tcBorders>
              <w:top w:val="nil"/>
              <w:left w:val="nil"/>
              <w:bottom w:val="nil"/>
              <w:right w:val="nil"/>
            </w:tcBorders>
            <w:shd w:val="clear" w:color="auto" w:fill="auto"/>
            <w:noWrap/>
            <w:vAlign w:val="bottom"/>
            <w:hideMark/>
          </w:tcPr>
          <w:p w14:paraId="6AF476F5"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943.496.685 </w:t>
            </w:r>
          </w:p>
        </w:tc>
        <w:tc>
          <w:tcPr>
            <w:tcW w:w="858" w:type="pct"/>
            <w:tcBorders>
              <w:top w:val="nil"/>
              <w:left w:val="nil"/>
              <w:bottom w:val="nil"/>
              <w:right w:val="nil"/>
            </w:tcBorders>
            <w:shd w:val="clear" w:color="auto" w:fill="auto"/>
            <w:noWrap/>
            <w:vAlign w:val="bottom"/>
            <w:hideMark/>
          </w:tcPr>
          <w:p w14:paraId="3F849030"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959.774.015 </w:t>
            </w:r>
          </w:p>
        </w:tc>
        <w:tc>
          <w:tcPr>
            <w:tcW w:w="457" w:type="pct"/>
            <w:tcBorders>
              <w:top w:val="nil"/>
              <w:left w:val="nil"/>
              <w:bottom w:val="nil"/>
              <w:right w:val="nil"/>
            </w:tcBorders>
            <w:shd w:val="clear" w:color="auto" w:fill="auto"/>
            <w:noWrap/>
            <w:vAlign w:val="center"/>
            <w:hideMark/>
          </w:tcPr>
          <w:p w14:paraId="5B9C4C97" w14:textId="77777777" w:rsidR="00234ACB" w:rsidRPr="00234ACB" w:rsidRDefault="00234ACB" w:rsidP="00234ACB">
            <w:pPr>
              <w:jc w:val="center"/>
              <w:rPr>
                <w:rFonts w:asciiTheme="majorHAnsi" w:hAnsiTheme="majorHAnsi" w:cs="Arial"/>
                <w:sz w:val="16"/>
                <w:szCs w:val="16"/>
              </w:rPr>
            </w:pPr>
            <w:r w:rsidRPr="00234ACB">
              <w:rPr>
                <w:rFonts w:asciiTheme="majorHAnsi" w:hAnsiTheme="majorHAnsi" w:cs="Arial"/>
                <w:sz w:val="16"/>
                <w:szCs w:val="16"/>
              </w:rPr>
              <w:t>(7b)</w:t>
            </w:r>
          </w:p>
        </w:tc>
      </w:tr>
      <w:tr w:rsidR="00234ACB" w:rsidRPr="00234ACB" w14:paraId="6C41840E"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420B900D"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Participação Societária - CUSTO</w:t>
            </w:r>
          </w:p>
        </w:tc>
        <w:tc>
          <w:tcPr>
            <w:tcW w:w="1149" w:type="pct"/>
            <w:tcBorders>
              <w:top w:val="nil"/>
              <w:left w:val="nil"/>
              <w:bottom w:val="nil"/>
              <w:right w:val="nil"/>
            </w:tcBorders>
            <w:shd w:val="clear" w:color="auto" w:fill="auto"/>
            <w:noWrap/>
            <w:vAlign w:val="bottom"/>
            <w:hideMark/>
          </w:tcPr>
          <w:p w14:paraId="50A2143E"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26.278 </w:t>
            </w:r>
          </w:p>
        </w:tc>
        <w:tc>
          <w:tcPr>
            <w:tcW w:w="858" w:type="pct"/>
            <w:tcBorders>
              <w:top w:val="nil"/>
              <w:left w:val="nil"/>
              <w:bottom w:val="nil"/>
              <w:right w:val="nil"/>
            </w:tcBorders>
            <w:shd w:val="clear" w:color="auto" w:fill="auto"/>
            <w:noWrap/>
            <w:vAlign w:val="bottom"/>
            <w:hideMark/>
          </w:tcPr>
          <w:p w14:paraId="74EF8056"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26.278 </w:t>
            </w:r>
          </w:p>
        </w:tc>
        <w:tc>
          <w:tcPr>
            <w:tcW w:w="457" w:type="pct"/>
            <w:tcBorders>
              <w:top w:val="nil"/>
              <w:left w:val="nil"/>
              <w:bottom w:val="nil"/>
              <w:right w:val="nil"/>
            </w:tcBorders>
            <w:shd w:val="clear" w:color="auto" w:fill="auto"/>
            <w:noWrap/>
            <w:vAlign w:val="center"/>
            <w:hideMark/>
          </w:tcPr>
          <w:p w14:paraId="231B6013" w14:textId="77777777" w:rsidR="00234ACB" w:rsidRPr="00234ACB" w:rsidRDefault="00234ACB" w:rsidP="00234ACB">
            <w:pPr>
              <w:jc w:val="center"/>
              <w:rPr>
                <w:rFonts w:asciiTheme="majorHAnsi" w:hAnsiTheme="majorHAnsi" w:cs="Arial"/>
                <w:sz w:val="16"/>
                <w:szCs w:val="16"/>
              </w:rPr>
            </w:pPr>
            <w:r w:rsidRPr="00234ACB">
              <w:rPr>
                <w:rFonts w:asciiTheme="majorHAnsi" w:hAnsiTheme="majorHAnsi" w:cs="Arial"/>
                <w:sz w:val="16"/>
                <w:szCs w:val="16"/>
              </w:rPr>
              <w:t>(7a)</w:t>
            </w:r>
          </w:p>
        </w:tc>
      </w:tr>
      <w:tr w:rsidR="00234ACB" w:rsidRPr="00234ACB" w14:paraId="7D3094C2"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7EFB978D"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 xml:space="preserve">      Imobilizado</w:t>
            </w:r>
          </w:p>
        </w:tc>
        <w:tc>
          <w:tcPr>
            <w:tcW w:w="1149" w:type="pct"/>
            <w:tcBorders>
              <w:top w:val="nil"/>
              <w:left w:val="nil"/>
              <w:bottom w:val="nil"/>
              <w:right w:val="nil"/>
            </w:tcBorders>
            <w:shd w:val="clear" w:color="auto" w:fill="auto"/>
            <w:noWrap/>
            <w:vAlign w:val="bottom"/>
            <w:hideMark/>
          </w:tcPr>
          <w:p w14:paraId="14F205B8"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2.763.537.436 </w:t>
            </w:r>
          </w:p>
        </w:tc>
        <w:tc>
          <w:tcPr>
            <w:tcW w:w="858" w:type="pct"/>
            <w:tcBorders>
              <w:top w:val="nil"/>
              <w:left w:val="nil"/>
              <w:bottom w:val="nil"/>
              <w:right w:val="nil"/>
            </w:tcBorders>
            <w:shd w:val="clear" w:color="auto" w:fill="auto"/>
            <w:noWrap/>
            <w:vAlign w:val="bottom"/>
            <w:hideMark/>
          </w:tcPr>
          <w:p w14:paraId="23D2234F"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2.615.171.591 </w:t>
            </w:r>
          </w:p>
        </w:tc>
        <w:tc>
          <w:tcPr>
            <w:tcW w:w="457" w:type="pct"/>
            <w:tcBorders>
              <w:top w:val="nil"/>
              <w:left w:val="nil"/>
              <w:bottom w:val="nil"/>
              <w:right w:val="nil"/>
            </w:tcBorders>
            <w:shd w:val="clear" w:color="auto" w:fill="auto"/>
            <w:noWrap/>
            <w:vAlign w:val="center"/>
            <w:hideMark/>
          </w:tcPr>
          <w:p w14:paraId="4FA161C5" w14:textId="77777777" w:rsidR="00234ACB" w:rsidRPr="00234ACB" w:rsidRDefault="00234ACB" w:rsidP="00234ACB">
            <w:pPr>
              <w:jc w:val="center"/>
              <w:rPr>
                <w:rFonts w:asciiTheme="majorHAnsi" w:hAnsiTheme="majorHAnsi" w:cs="Arial"/>
                <w:sz w:val="16"/>
                <w:szCs w:val="16"/>
              </w:rPr>
            </w:pPr>
            <w:r w:rsidRPr="00234ACB">
              <w:rPr>
                <w:rFonts w:asciiTheme="majorHAnsi" w:hAnsiTheme="majorHAnsi" w:cs="Arial"/>
                <w:sz w:val="16"/>
                <w:szCs w:val="16"/>
              </w:rPr>
              <w:t>(8)</w:t>
            </w:r>
          </w:p>
        </w:tc>
      </w:tr>
      <w:tr w:rsidR="00234ACB" w:rsidRPr="00234ACB" w14:paraId="542A78D4"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4BC7E0A5"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 xml:space="preserve">              Terrenos </w:t>
            </w:r>
          </w:p>
        </w:tc>
        <w:tc>
          <w:tcPr>
            <w:tcW w:w="1149" w:type="pct"/>
            <w:tcBorders>
              <w:top w:val="nil"/>
              <w:left w:val="nil"/>
              <w:bottom w:val="nil"/>
              <w:right w:val="nil"/>
            </w:tcBorders>
            <w:shd w:val="clear" w:color="auto" w:fill="auto"/>
            <w:noWrap/>
            <w:vAlign w:val="bottom"/>
            <w:hideMark/>
          </w:tcPr>
          <w:p w14:paraId="4E01F1AF"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405.895.049 </w:t>
            </w:r>
          </w:p>
        </w:tc>
        <w:tc>
          <w:tcPr>
            <w:tcW w:w="858" w:type="pct"/>
            <w:tcBorders>
              <w:top w:val="nil"/>
              <w:left w:val="nil"/>
              <w:bottom w:val="nil"/>
              <w:right w:val="nil"/>
            </w:tcBorders>
            <w:shd w:val="clear" w:color="auto" w:fill="auto"/>
            <w:noWrap/>
            <w:vAlign w:val="bottom"/>
            <w:hideMark/>
          </w:tcPr>
          <w:p w14:paraId="3BA194F3"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404.877.899 </w:t>
            </w:r>
          </w:p>
        </w:tc>
        <w:tc>
          <w:tcPr>
            <w:tcW w:w="457" w:type="pct"/>
            <w:tcBorders>
              <w:top w:val="nil"/>
              <w:left w:val="nil"/>
              <w:bottom w:val="nil"/>
              <w:right w:val="nil"/>
            </w:tcBorders>
            <w:shd w:val="clear" w:color="auto" w:fill="auto"/>
            <w:noWrap/>
            <w:vAlign w:val="center"/>
            <w:hideMark/>
          </w:tcPr>
          <w:p w14:paraId="40DC07F7" w14:textId="77777777" w:rsidR="00234ACB" w:rsidRPr="00234ACB" w:rsidRDefault="00234ACB" w:rsidP="00234ACB">
            <w:pPr>
              <w:jc w:val="center"/>
              <w:rPr>
                <w:rFonts w:asciiTheme="majorHAnsi" w:hAnsiTheme="majorHAnsi" w:cs="Arial"/>
                <w:b/>
                <w:bCs/>
                <w:sz w:val="16"/>
                <w:szCs w:val="16"/>
              </w:rPr>
            </w:pPr>
          </w:p>
        </w:tc>
      </w:tr>
      <w:tr w:rsidR="00234ACB" w:rsidRPr="00234ACB" w14:paraId="4DE186CC"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7C6A3EA5"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 xml:space="preserve">              Geral </w:t>
            </w:r>
          </w:p>
        </w:tc>
        <w:tc>
          <w:tcPr>
            <w:tcW w:w="1149" w:type="pct"/>
            <w:tcBorders>
              <w:top w:val="nil"/>
              <w:left w:val="nil"/>
              <w:bottom w:val="nil"/>
              <w:right w:val="nil"/>
            </w:tcBorders>
            <w:shd w:val="clear" w:color="auto" w:fill="auto"/>
            <w:noWrap/>
            <w:vAlign w:val="bottom"/>
            <w:hideMark/>
          </w:tcPr>
          <w:p w14:paraId="12F233C9"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9.512.848 </w:t>
            </w:r>
          </w:p>
        </w:tc>
        <w:tc>
          <w:tcPr>
            <w:tcW w:w="858" w:type="pct"/>
            <w:tcBorders>
              <w:top w:val="nil"/>
              <w:left w:val="nil"/>
              <w:bottom w:val="nil"/>
              <w:right w:val="nil"/>
            </w:tcBorders>
            <w:shd w:val="clear" w:color="auto" w:fill="auto"/>
            <w:noWrap/>
            <w:vAlign w:val="bottom"/>
            <w:hideMark/>
          </w:tcPr>
          <w:p w14:paraId="70B95299"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11.313.961 </w:t>
            </w:r>
          </w:p>
        </w:tc>
        <w:tc>
          <w:tcPr>
            <w:tcW w:w="457" w:type="pct"/>
            <w:tcBorders>
              <w:top w:val="nil"/>
              <w:left w:val="nil"/>
              <w:bottom w:val="nil"/>
              <w:right w:val="nil"/>
            </w:tcBorders>
            <w:shd w:val="clear" w:color="auto" w:fill="auto"/>
            <w:noWrap/>
            <w:vAlign w:val="center"/>
            <w:hideMark/>
          </w:tcPr>
          <w:p w14:paraId="10A2BAB6" w14:textId="77777777" w:rsidR="00234ACB" w:rsidRPr="00234ACB" w:rsidRDefault="00234ACB" w:rsidP="00234ACB">
            <w:pPr>
              <w:jc w:val="center"/>
              <w:rPr>
                <w:rFonts w:asciiTheme="majorHAnsi" w:hAnsiTheme="majorHAnsi" w:cs="Arial"/>
                <w:b/>
                <w:bCs/>
                <w:sz w:val="16"/>
                <w:szCs w:val="16"/>
              </w:rPr>
            </w:pPr>
          </w:p>
        </w:tc>
      </w:tr>
      <w:tr w:rsidR="00234ACB" w:rsidRPr="00234ACB" w14:paraId="796D16C8"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5FFD202A"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Bens Imóveis </w:t>
            </w:r>
          </w:p>
        </w:tc>
        <w:tc>
          <w:tcPr>
            <w:tcW w:w="1149" w:type="pct"/>
            <w:tcBorders>
              <w:top w:val="nil"/>
              <w:left w:val="nil"/>
              <w:bottom w:val="nil"/>
              <w:right w:val="nil"/>
            </w:tcBorders>
            <w:shd w:val="clear" w:color="auto" w:fill="auto"/>
            <w:noWrap/>
            <w:vAlign w:val="bottom"/>
            <w:hideMark/>
          </w:tcPr>
          <w:p w14:paraId="0CC7E638"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5.452.770 </w:t>
            </w:r>
          </w:p>
        </w:tc>
        <w:tc>
          <w:tcPr>
            <w:tcW w:w="858" w:type="pct"/>
            <w:tcBorders>
              <w:top w:val="nil"/>
              <w:left w:val="nil"/>
              <w:bottom w:val="nil"/>
              <w:right w:val="nil"/>
            </w:tcBorders>
            <w:shd w:val="clear" w:color="auto" w:fill="auto"/>
            <w:noWrap/>
            <w:vAlign w:val="bottom"/>
            <w:hideMark/>
          </w:tcPr>
          <w:p w14:paraId="6BD7A897"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6.324.576 </w:t>
            </w:r>
          </w:p>
        </w:tc>
        <w:tc>
          <w:tcPr>
            <w:tcW w:w="457" w:type="pct"/>
            <w:tcBorders>
              <w:top w:val="nil"/>
              <w:left w:val="nil"/>
              <w:bottom w:val="nil"/>
              <w:right w:val="nil"/>
            </w:tcBorders>
            <w:shd w:val="clear" w:color="auto" w:fill="auto"/>
            <w:noWrap/>
            <w:vAlign w:val="center"/>
            <w:hideMark/>
          </w:tcPr>
          <w:p w14:paraId="4B6B962D" w14:textId="77777777" w:rsidR="00234ACB" w:rsidRPr="00234ACB" w:rsidRDefault="00234ACB" w:rsidP="00234ACB">
            <w:pPr>
              <w:jc w:val="center"/>
              <w:rPr>
                <w:rFonts w:asciiTheme="majorHAnsi" w:hAnsiTheme="majorHAnsi" w:cs="Arial"/>
                <w:sz w:val="16"/>
                <w:szCs w:val="16"/>
              </w:rPr>
            </w:pPr>
          </w:p>
        </w:tc>
      </w:tr>
      <w:tr w:rsidR="00234ACB" w:rsidRPr="00234ACB" w14:paraId="720F7719"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69100013"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Bens Móveis </w:t>
            </w:r>
          </w:p>
        </w:tc>
        <w:tc>
          <w:tcPr>
            <w:tcW w:w="1149" w:type="pct"/>
            <w:tcBorders>
              <w:top w:val="nil"/>
              <w:left w:val="nil"/>
              <w:bottom w:val="nil"/>
              <w:right w:val="nil"/>
            </w:tcBorders>
            <w:shd w:val="clear" w:color="auto" w:fill="auto"/>
            <w:noWrap/>
            <w:vAlign w:val="bottom"/>
            <w:hideMark/>
          </w:tcPr>
          <w:p w14:paraId="25DFB7D7"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37.182.928 </w:t>
            </w:r>
          </w:p>
        </w:tc>
        <w:tc>
          <w:tcPr>
            <w:tcW w:w="858" w:type="pct"/>
            <w:tcBorders>
              <w:top w:val="nil"/>
              <w:left w:val="nil"/>
              <w:bottom w:val="nil"/>
              <w:right w:val="nil"/>
            </w:tcBorders>
            <w:shd w:val="clear" w:color="auto" w:fill="auto"/>
            <w:noWrap/>
            <w:vAlign w:val="bottom"/>
            <w:hideMark/>
          </w:tcPr>
          <w:p w14:paraId="129C6BE7"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36.950.427 </w:t>
            </w:r>
          </w:p>
        </w:tc>
        <w:tc>
          <w:tcPr>
            <w:tcW w:w="457" w:type="pct"/>
            <w:tcBorders>
              <w:top w:val="nil"/>
              <w:left w:val="nil"/>
              <w:bottom w:val="nil"/>
              <w:right w:val="nil"/>
            </w:tcBorders>
            <w:shd w:val="clear" w:color="auto" w:fill="auto"/>
            <w:noWrap/>
            <w:vAlign w:val="center"/>
            <w:hideMark/>
          </w:tcPr>
          <w:p w14:paraId="15E44A9F" w14:textId="77777777" w:rsidR="00234ACB" w:rsidRPr="00234ACB" w:rsidRDefault="00234ACB" w:rsidP="00234ACB">
            <w:pPr>
              <w:jc w:val="center"/>
              <w:rPr>
                <w:rFonts w:asciiTheme="majorHAnsi" w:hAnsiTheme="majorHAnsi" w:cs="Arial"/>
                <w:sz w:val="16"/>
                <w:szCs w:val="16"/>
              </w:rPr>
            </w:pPr>
          </w:p>
        </w:tc>
      </w:tr>
      <w:tr w:rsidR="00234ACB" w:rsidRPr="00234ACB" w14:paraId="2091D860"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5658E2E8"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(Depreciações Acumuladas -Bens Imóveis)</w:t>
            </w:r>
          </w:p>
        </w:tc>
        <w:tc>
          <w:tcPr>
            <w:tcW w:w="1149" w:type="pct"/>
            <w:tcBorders>
              <w:top w:val="nil"/>
              <w:left w:val="nil"/>
              <w:bottom w:val="nil"/>
              <w:right w:val="nil"/>
            </w:tcBorders>
            <w:shd w:val="clear" w:color="auto" w:fill="auto"/>
            <w:noWrap/>
            <w:vAlign w:val="bottom"/>
            <w:hideMark/>
          </w:tcPr>
          <w:p w14:paraId="2B05BC9E"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(5.072.459)</w:t>
            </w:r>
          </w:p>
        </w:tc>
        <w:tc>
          <w:tcPr>
            <w:tcW w:w="858" w:type="pct"/>
            <w:tcBorders>
              <w:top w:val="nil"/>
              <w:left w:val="nil"/>
              <w:bottom w:val="nil"/>
              <w:right w:val="nil"/>
            </w:tcBorders>
            <w:shd w:val="clear" w:color="auto" w:fill="auto"/>
            <w:noWrap/>
            <w:vAlign w:val="bottom"/>
            <w:hideMark/>
          </w:tcPr>
          <w:p w14:paraId="1621C72D"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(5.680.648)</w:t>
            </w:r>
          </w:p>
        </w:tc>
        <w:tc>
          <w:tcPr>
            <w:tcW w:w="457" w:type="pct"/>
            <w:tcBorders>
              <w:top w:val="nil"/>
              <w:left w:val="nil"/>
              <w:bottom w:val="nil"/>
              <w:right w:val="nil"/>
            </w:tcBorders>
            <w:shd w:val="clear" w:color="auto" w:fill="auto"/>
            <w:noWrap/>
            <w:vAlign w:val="center"/>
            <w:hideMark/>
          </w:tcPr>
          <w:p w14:paraId="28E2D1A8" w14:textId="77777777" w:rsidR="00234ACB" w:rsidRPr="00234ACB" w:rsidRDefault="00234ACB" w:rsidP="00234ACB">
            <w:pPr>
              <w:jc w:val="center"/>
              <w:rPr>
                <w:rFonts w:asciiTheme="majorHAnsi" w:hAnsiTheme="majorHAnsi" w:cs="Arial"/>
                <w:sz w:val="16"/>
                <w:szCs w:val="16"/>
              </w:rPr>
            </w:pPr>
          </w:p>
        </w:tc>
      </w:tr>
      <w:tr w:rsidR="00234ACB" w:rsidRPr="00234ACB" w14:paraId="498A93CA"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16269326"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(Depreciações Acumuladas -Bens Móveis)</w:t>
            </w:r>
          </w:p>
        </w:tc>
        <w:tc>
          <w:tcPr>
            <w:tcW w:w="1149" w:type="pct"/>
            <w:tcBorders>
              <w:top w:val="nil"/>
              <w:left w:val="nil"/>
              <w:bottom w:val="nil"/>
              <w:right w:val="nil"/>
            </w:tcBorders>
            <w:shd w:val="clear" w:color="auto" w:fill="auto"/>
            <w:noWrap/>
            <w:vAlign w:val="bottom"/>
            <w:hideMark/>
          </w:tcPr>
          <w:p w14:paraId="60E7DC17"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(28.033.297)</w:t>
            </w:r>
          </w:p>
        </w:tc>
        <w:tc>
          <w:tcPr>
            <w:tcW w:w="858" w:type="pct"/>
            <w:tcBorders>
              <w:top w:val="nil"/>
              <w:left w:val="nil"/>
              <w:bottom w:val="nil"/>
              <w:right w:val="nil"/>
            </w:tcBorders>
            <w:shd w:val="clear" w:color="auto" w:fill="auto"/>
            <w:noWrap/>
            <w:vAlign w:val="bottom"/>
            <w:hideMark/>
          </w:tcPr>
          <w:p w14:paraId="39F33C8B"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(26.263.300)</w:t>
            </w:r>
          </w:p>
        </w:tc>
        <w:tc>
          <w:tcPr>
            <w:tcW w:w="457" w:type="pct"/>
            <w:tcBorders>
              <w:top w:val="nil"/>
              <w:left w:val="nil"/>
              <w:bottom w:val="nil"/>
              <w:right w:val="nil"/>
            </w:tcBorders>
            <w:shd w:val="clear" w:color="auto" w:fill="auto"/>
            <w:noWrap/>
            <w:vAlign w:val="center"/>
            <w:hideMark/>
          </w:tcPr>
          <w:p w14:paraId="43666056" w14:textId="77777777" w:rsidR="00234ACB" w:rsidRPr="00234ACB" w:rsidRDefault="00234ACB" w:rsidP="00234ACB">
            <w:pPr>
              <w:jc w:val="center"/>
              <w:rPr>
                <w:rFonts w:asciiTheme="majorHAnsi" w:hAnsiTheme="majorHAnsi" w:cs="Arial"/>
                <w:sz w:val="16"/>
                <w:szCs w:val="16"/>
              </w:rPr>
            </w:pPr>
          </w:p>
        </w:tc>
      </w:tr>
      <w:tr w:rsidR="00234ACB" w:rsidRPr="00234ACB" w14:paraId="45C8651F"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64549056"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(Redução ao Valor Recuperável - Bens Móveis)</w:t>
            </w:r>
          </w:p>
        </w:tc>
        <w:tc>
          <w:tcPr>
            <w:tcW w:w="1149" w:type="pct"/>
            <w:tcBorders>
              <w:top w:val="nil"/>
              <w:left w:val="nil"/>
              <w:bottom w:val="nil"/>
              <w:right w:val="nil"/>
            </w:tcBorders>
            <w:shd w:val="clear" w:color="auto" w:fill="auto"/>
            <w:noWrap/>
            <w:vAlign w:val="bottom"/>
            <w:hideMark/>
          </w:tcPr>
          <w:p w14:paraId="1B3218EC"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(17.094)</w:t>
            </w:r>
          </w:p>
        </w:tc>
        <w:tc>
          <w:tcPr>
            <w:tcW w:w="858" w:type="pct"/>
            <w:tcBorders>
              <w:top w:val="nil"/>
              <w:left w:val="nil"/>
              <w:bottom w:val="nil"/>
              <w:right w:val="nil"/>
            </w:tcBorders>
            <w:shd w:val="clear" w:color="auto" w:fill="auto"/>
            <w:noWrap/>
            <w:vAlign w:val="bottom"/>
            <w:hideMark/>
          </w:tcPr>
          <w:p w14:paraId="6BF2DBDD"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(17.094)</w:t>
            </w:r>
          </w:p>
        </w:tc>
        <w:tc>
          <w:tcPr>
            <w:tcW w:w="457" w:type="pct"/>
            <w:tcBorders>
              <w:top w:val="nil"/>
              <w:left w:val="nil"/>
              <w:bottom w:val="nil"/>
              <w:right w:val="nil"/>
            </w:tcBorders>
            <w:shd w:val="clear" w:color="auto" w:fill="auto"/>
            <w:noWrap/>
            <w:vAlign w:val="center"/>
            <w:hideMark/>
          </w:tcPr>
          <w:p w14:paraId="5EE9AE16" w14:textId="77777777" w:rsidR="00234ACB" w:rsidRPr="00234ACB" w:rsidRDefault="00234ACB" w:rsidP="00234ACB">
            <w:pPr>
              <w:jc w:val="center"/>
              <w:rPr>
                <w:rFonts w:asciiTheme="majorHAnsi" w:hAnsiTheme="majorHAnsi" w:cs="Arial"/>
                <w:sz w:val="16"/>
                <w:szCs w:val="16"/>
              </w:rPr>
            </w:pPr>
          </w:p>
        </w:tc>
      </w:tr>
      <w:tr w:rsidR="00234ACB" w:rsidRPr="00234ACB" w14:paraId="2C97CD99"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33DC3C04"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 xml:space="preserve">             FNS - Ferrovia Norte-Sul</w:t>
            </w:r>
          </w:p>
        </w:tc>
        <w:tc>
          <w:tcPr>
            <w:tcW w:w="1149" w:type="pct"/>
            <w:tcBorders>
              <w:top w:val="nil"/>
              <w:left w:val="nil"/>
              <w:bottom w:val="nil"/>
              <w:right w:val="nil"/>
            </w:tcBorders>
            <w:shd w:val="clear" w:color="auto" w:fill="auto"/>
            <w:noWrap/>
            <w:vAlign w:val="bottom"/>
            <w:hideMark/>
          </w:tcPr>
          <w:p w14:paraId="22F7328E"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6.228.938 </w:t>
            </w:r>
          </w:p>
        </w:tc>
        <w:tc>
          <w:tcPr>
            <w:tcW w:w="858" w:type="pct"/>
            <w:tcBorders>
              <w:top w:val="nil"/>
              <w:left w:val="nil"/>
              <w:bottom w:val="nil"/>
              <w:right w:val="nil"/>
            </w:tcBorders>
            <w:shd w:val="clear" w:color="auto" w:fill="auto"/>
            <w:noWrap/>
            <w:vAlign w:val="bottom"/>
            <w:hideMark/>
          </w:tcPr>
          <w:p w14:paraId="005B47E8"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   </w:t>
            </w:r>
          </w:p>
        </w:tc>
        <w:tc>
          <w:tcPr>
            <w:tcW w:w="457" w:type="pct"/>
            <w:tcBorders>
              <w:top w:val="nil"/>
              <w:left w:val="nil"/>
              <w:bottom w:val="nil"/>
              <w:right w:val="nil"/>
            </w:tcBorders>
            <w:shd w:val="clear" w:color="auto" w:fill="auto"/>
            <w:noWrap/>
            <w:vAlign w:val="center"/>
            <w:hideMark/>
          </w:tcPr>
          <w:p w14:paraId="48E24C59" w14:textId="77777777" w:rsidR="00234ACB" w:rsidRPr="00234ACB" w:rsidRDefault="00234ACB" w:rsidP="00234ACB">
            <w:pPr>
              <w:jc w:val="center"/>
              <w:rPr>
                <w:rFonts w:asciiTheme="majorHAnsi" w:hAnsiTheme="majorHAnsi" w:cs="Arial"/>
                <w:b/>
                <w:bCs/>
                <w:sz w:val="16"/>
                <w:szCs w:val="16"/>
              </w:rPr>
            </w:pPr>
          </w:p>
        </w:tc>
      </w:tr>
      <w:tr w:rsidR="00234ACB" w:rsidRPr="00234ACB" w14:paraId="69F4C7CE"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56B73196"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Implantação de Ferrovias - FNS</w:t>
            </w:r>
          </w:p>
        </w:tc>
        <w:tc>
          <w:tcPr>
            <w:tcW w:w="1149" w:type="pct"/>
            <w:tcBorders>
              <w:top w:val="nil"/>
              <w:left w:val="nil"/>
              <w:bottom w:val="nil"/>
              <w:right w:val="nil"/>
            </w:tcBorders>
            <w:shd w:val="clear" w:color="auto" w:fill="auto"/>
            <w:noWrap/>
            <w:vAlign w:val="bottom"/>
            <w:hideMark/>
          </w:tcPr>
          <w:p w14:paraId="4CF61A83"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55.375.610 </w:t>
            </w:r>
          </w:p>
        </w:tc>
        <w:tc>
          <w:tcPr>
            <w:tcW w:w="858" w:type="pct"/>
            <w:tcBorders>
              <w:top w:val="nil"/>
              <w:left w:val="nil"/>
              <w:bottom w:val="nil"/>
              <w:right w:val="nil"/>
            </w:tcBorders>
            <w:shd w:val="clear" w:color="auto" w:fill="auto"/>
            <w:noWrap/>
            <w:vAlign w:val="bottom"/>
            <w:hideMark/>
          </w:tcPr>
          <w:p w14:paraId="1863F752"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49.144.521 </w:t>
            </w:r>
          </w:p>
        </w:tc>
        <w:tc>
          <w:tcPr>
            <w:tcW w:w="457" w:type="pct"/>
            <w:tcBorders>
              <w:top w:val="nil"/>
              <w:left w:val="nil"/>
              <w:bottom w:val="nil"/>
              <w:right w:val="nil"/>
            </w:tcBorders>
            <w:shd w:val="clear" w:color="auto" w:fill="auto"/>
            <w:noWrap/>
            <w:vAlign w:val="center"/>
            <w:hideMark/>
          </w:tcPr>
          <w:p w14:paraId="4E13D590" w14:textId="77777777" w:rsidR="00234ACB" w:rsidRPr="00234ACB" w:rsidRDefault="00234ACB" w:rsidP="00234ACB">
            <w:pPr>
              <w:jc w:val="center"/>
              <w:rPr>
                <w:rFonts w:asciiTheme="majorHAnsi" w:hAnsiTheme="majorHAnsi" w:cs="Arial"/>
                <w:sz w:val="16"/>
                <w:szCs w:val="16"/>
              </w:rPr>
            </w:pPr>
          </w:p>
        </w:tc>
      </w:tr>
      <w:tr w:rsidR="00234ACB" w:rsidRPr="00234ACB" w14:paraId="27C32D52"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6EA22983"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Estudos e Projetos - FNS</w:t>
            </w:r>
          </w:p>
        </w:tc>
        <w:tc>
          <w:tcPr>
            <w:tcW w:w="1149" w:type="pct"/>
            <w:tcBorders>
              <w:top w:val="nil"/>
              <w:left w:val="nil"/>
              <w:bottom w:val="nil"/>
              <w:right w:val="nil"/>
            </w:tcBorders>
            <w:shd w:val="clear" w:color="auto" w:fill="auto"/>
            <w:noWrap/>
            <w:vAlign w:val="bottom"/>
            <w:hideMark/>
          </w:tcPr>
          <w:p w14:paraId="5E1F7435"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   </w:t>
            </w:r>
          </w:p>
        </w:tc>
        <w:tc>
          <w:tcPr>
            <w:tcW w:w="858" w:type="pct"/>
            <w:tcBorders>
              <w:top w:val="nil"/>
              <w:left w:val="nil"/>
              <w:bottom w:val="nil"/>
              <w:right w:val="nil"/>
            </w:tcBorders>
            <w:shd w:val="clear" w:color="auto" w:fill="auto"/>
            <w:noWrap/>
            <w:vAlign w:val="bottom"/>
            <w:hideMark/>
          </w:tcPr>
          <w:p w14:paraId="77BA0B90"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   </w:t>
            </w:r>
          </w:p>
        </w:tc>
        <w:tc>
          <w:tcPr>
            <w:tcW w:w="457" w:type="pct"/>
            <w:tcBorders>
              <w:top w:val="nil"/>
              <w:left w:val="nil"/>
              <w:bottom w:val="nil"/>
              <w:right w:val="nil"/>
            </w:tcBorders>
            <w:shd w:val="clear" w:color="auto" w:fill="auto"/>
            <w:noWrap/>
            <w:vAlign w:val="center"/>
            <w:hideMark/>
          </w:tcPr>
          <w:p w14:paraId="375A8C3F" w14:textId="77777777" w:rsidR="00234ACB" w:rsidRPr="00234ACB" w:rsidRDefault="00234ACB" w:rsidP="00234ACB">
            <w:pPr>
              <w:jc w:val="center"/>
              <w:rPr>
                <w:rFonts w:asciiTheme="majorHAnsi" w:hAnsiTheme="majorHAnsi" w:cs="Arial"/>
                <w:sz w:val="16"/>
                <w:szCs w:val="16"/>
              </w:rPr>
            </w:pPr>
          </w:p>
        </w:tc>
      </w:tr>
      <w:tr w:rsidR="00234ACB" w:rsidRPr="00234ACB" w14:paraId="6D0A66F7"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05AE73DE"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Ativo de Concessão Imóveis - FNS</w:t>
            </w:r>
          </w:p>
        </w:tc>
        <w:tc>
          <w:tcPr>
            <w:tcW w:w="1149" w:type="pct"/>
            <w:tcBorders>
              <w:top w:val="nil"/>
              <w:left w:val="nil"/>
              <w:bottom w:val="nil"/>
              <w:right w:val="nil"/>
            </w:tcBorders>
            <w:shd w:val="clear" w:color="auto" w:fill="auto"/>
            <w:noWrap/>
            <w:vAlign w:val="bottom"/>
            <w:hideMark/>
          </w:tcPr>
          <w:p w14:paraId="109FAD4B"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12.221.661.516 </w:t>
            </w:r>
          </w:p>
        </w:tc>
        <w:tc>
          <w:tcPr>
            <w:tcW w:w="858" w:type="pct"/>
            <w:tcBorders>
              <w:top w:val="nil"/>
              <w:left w:val="nil"/>
              <w:bottom w:val="nil"/>
              <w:right w:val="nil"/>
            </w:tcBorders>
            <w:shd w:val="clear" w:color="auto" w:fill="auto"/>
            <w:noWrap/>
            <w:vAlign w:val="bottom"/>
            <w:hideMark/>
          </w:tcPr>
          <w:p w14:paraId="58C7DF13"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12.221.663.667 </w:t>
            </w:r>
          </w:p>
        </w:tc>
        <w:tc>
          <w:tcPr>
            <w:tcW w:w="457" w:type="pct"/>
            <w:tcBorders>
              <w:top w:val="nil"/>
              <w:left w:val="nil"/>
              <w:bottom w:val="nil"/>
              <w:right w:val="nil"/>
            </w:tcBorders>
            <w:shd w:val="clear" w:color="auto" w:fill="auto"/>
            <w:noWrap/>
            <w:vAlign w:val="center"/>
            <w:hideMark/>
          </w:tcPr>
          <w:p w14:paraId="06C5CB06" w14:textId="77777777" w:rsidR="00234ACB" w:rsidRPr="00234ACB" w:rsidRDefault="00234ACB" w:rsidP="00234ACB">
            <w:pPr>
              <w:jc w:val="center"/>
              <w:rPr>
                <w:rFonts w:asciiTheme="majorHAnsi" w:hAnsiTheme="majorHAnsi" w:cs="Arial"/>
                <w:sz w:val="16"/>
                <w:szCs w:val="16"/>
              </w:rPr>
            </w:pPr>
          </w:p>
        </w:tc>
      </w:tr>
      <w:tr w:rsidR="00234ACB" w:rsidRPr="00234ACB" w14:paraId="5AD3A3F1"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431CFE01"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CMT Lei 8.200/91 - FNS</w:t>
            </w:r>
          </w:p>
        </w:tc>
        <w:tc>
          <w:tcPr>
            <w:tcW w:w="1149" w:type="pct"/>
            <w:tcBorders>
              <w:top w:val="nil"/>
              <w:left w:val="nil"/>
              <w:bottom w:val="nil"/>
              <w:right w:val="nil"/>
            </w:tcBorders>
            <w:shd w:val="clear" w:color="auto" w:fill="auto"/>
            <w:noWrap/>
            <w:vAlign w:val="bottom"/>
            <w:hideMark/>
          </w:tcPr>
          <w:p w14:paraId="4A4931F9"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283.967 </w:t>
            </w:r>
          </w:p>
        </w:tc>
        <w:tc>
          <w:tcPr>
            <w:tcW w:w="858" w:type="pct"/>
            <w:tcBorders>
              <w:top w:val="nil"/>
              <w:left w:val="nil"/>
              <w:bottom w:val="nil"/>
              <w:right w:val="nil"/>
            </w:tcBorders>
            <w:shd w:val="clear" w:color="auto" w:fill="auto"/>
            <w:noWrap/>
            <w:vAlign w:val="bottom"/>
            <w:hideMark/>
          </w:tcPr>
          <w:p w14:paraId="750EED7A"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283.967 </w:t>
            </w:r>
          </w:p>
        </w:tc>
        <w:tc>
          <w:tcPr>
            <w:tcW w:w="457" w:type="pct"/>
            <w:tcBorders>
              <w:top w:val="nil"/>
              <w:left w:val="nil"/>
              <w:bottom w:val="nil"/>
              <w:right w:val="nil"/>
            </w:tcBorders>
            <w:shd w:val="clear" w:color="auto" w:fill="auto"/>
            <w:noWrap/>
            <w:vAlign w:val="center"/>
            <w:hideMark/>
          </w:tcPr>
          <w:p w14:paraId="58B96139" w14:textId="77777777" w:rsidR="00234ACB" w:rsidRPr="00234ACB" w:rsidRDefault="00234ACB" w:rsidP="00234ACB">
            <w:pPr>
              <w:jc w:val="center"/>
              <w:rPr>
                <w:rFonts w:asciiTheme="majorHAnsi" w:hAnsiTheme="majorHAnsi" w:cs="Arial"/>
                <w:sz w:val="16"/>
                <w:szCs w:val="16"/>
              </w:rPr>
            </w:pPr>
          </w:p>
        </w:tc>
      </w:tr>
      <w:tr w:rsidR="00234ACB" w:rsidRPr="00234ACB" w14:paraId="43DBB09F"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04454566"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(Redução ao Valor Recuperável - FNS)</w:t>
            </w:r>
          </w:p>
        </w:tc>
        <w:tc>
          <w:tcPr>
            <w:tcW w:w="1149" w:type="pct"/>
            <w:tcBorders>
              <w:top w:val="nil"/>
              <w:left w:val="nil"/>
              <w:bottom w:val="nil"/>
              <w:right w:val="nil"/>
            </w:tcBorders>
            <w:shd w:val="clear" w:color="auto" w:fill="auto"/>
            <w:noWrap/>
            <w:vAlign w:val="bottom"/>
            <w:hideMark/>
          </w:tcPr>
          <w:p w14:paraId="7083FC4B"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(11.354.416.372)</w:t>
            </w:r>
          </w:p>
        </w:tc>
        <w:tc>
          <w:tcPr>
            <w:tcW w:w="858" w:type="pct"/>
            <w:tcBorders>
              <w:top w:val="nil"/>
              <w:left w:val="nil"/>
              <w:bottom w:val="nil"/>
              <w:right w:val="nil"/>
            </w:tcBorders>
            <w:shd w:val="clear" w:color="auto" w:fill="auto"/>
            <w:noWrap/>
            <w:vAlign w:val="bottom"/>
            <w:hideMark/>
          </w:tcPr>
          <w:p w14:paraId="1272C9D3"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(11.354.416.372)</w:t>
            </w:r>
          </w:p>
        </w:tc>
        <w:tc>
          <w:tcPr>
            <w:tcW w:w="457" w:type="pct"/>
            <w:tcBorders>
              <w:top w:val="nil"/>
              <w:left w:val="nil"/>
              <w:bottom w:val="nil"/>
              <w:right w:val="nil"/>
            </w:tcBorders>
            <w:shd w:val="clear" w:color="auto" w:fill="auto"/>
            <w:noWrap/>
            <w:vAlign w:val="center"/>
            <w:hideMark/>
          </w:tcPr>
          <w:p w14:paraId="58B571CD" w14:textId="77777777" w:rsidR="00234ACB" w:rsidRPr="00234ACB" w:rsidRDefault="00234ACB" w:rsidP="00234ACB">
            <w:pPr>
              <w:jc w:val="center"/>
              <w:rPr>
                <w:rFonts w:asciiTheme="majorHAnsi" w:hAnsiTheme="majorHAnsi" w:cs="Arial"/>
                <w:sz w:val="16"/>
                <w:szCs w:val="16"/>
              </w:rPr>
            </w:pPr>
          </w:p>
        </w:tc>
      </w:tr>
      <w:tr w:rsidR="00234ACB" w:rsidRPr="00234ACB" w14:paraId="65539174"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5E1393DC"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(Depreciações Acumuladas - FNS)</w:t>
            </w:r>
          </w:p>
        </w:tc>
        <w:tc>
          <w:tcPr>
            <w:tcW w:w="1149" w:type="pct"/>
            <w:tcBorders>
              <w:top w:val="nil"/>
              <w:left w:val="nil"/>
              <w:bottom w:val="nil"/>
              <w:right w:val="nil"/>
            </w:tcBorders>
            <w:shd w:val="clear" w:color="auto" w:fill="auto"/>
            <w:noWrap/>
            <w:vAlign w:val="bottom"/>
            <w:hideMark/>
          </w:tcPr>
          <w:p w14:paraId="301C3F6E"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(916.675.783)</w:t>
            </w:r>
          </w:p>
        </w:tc>
        <w:tc>
          <w:tcPr>
            <w:tcW w:w="858" w:type="pct"/>
            <w:tcBorders>
              <w:top w:val="nil"/>
              <w:left w:val="nil"/>
              <w:bottom w:val="nil"/>
              <w:right w:val="nil"/>
            </w:tcBorders>
            <w:shd w:val="clear" w:color="auto" w:fill="auto"/>
            <w:noWrap/>
            <w:vAlign w:val="bottom"/>
            <w:hideMark/>
          </w:tcPr>
          <w:p w14:paraId="46BA3700"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(916.675.783)</w:t>
            </w:r>
          </w:p>
        </w:tc>
        <w:tc>
          <w:tcPr>
            <w:tcW w:w="457" w:type="pct"/>
            <w:tcBorders>
              <w:top w:val="nil"/>
              <w:left w:val="nil"/>
              <w:bottom w:val="nil"/>
              <w:right w:val="nil"/>
            </w:tcBorders>
            <w:shd w:val="clear" w:color="auto" w:fill="auto"/>
            <w:noWrap/>
            <w:vAlign w:val="center"/>
            <w:hideMark/>
          </w:tcPr>
          <w:p w14:paraId="70DCE53F" w14:textId="77777777" w:rsidR="00234ACB" w:rsidRPr="00234ACB" w:rsidRDefault="00234ACB" w:rsidP="00234ACB">
            <w:pPr>
              <w:jc w:val="center"/>
              <w:rPr>
                <w:rFonts w:asciiTheme="majorHAnsi" w:hAnsiTheme="majorHAnsi" w:cs="Arial"/>
                <w:sz w:val="16"/>
                <w:szCs w:val="16"/>
              </w:rPr>
            </w:pPr>
          </w:p>
        </w:tc>
      </w:tr>
      <w:tr w:rsidR="00234ACB" w:rsidRPr="00234ACB" w14:paraId="5766BA70"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51FFFAD0"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w:t>
            </w:r>
            <w:r w:rsidRPr="00234ACB">
              <w:rPr>
                <w:rFonts w:asciiTheme="majorHAnsi" w:hAnsiTheme="majorHAnsi" w:cs="Arial"/>
                <w:b/>
                <w:bCs/>
                <w:sz w:val="16"/>
                <w:szCs w:val="16"/>
              </w:rPr>
              <w:t>FIOL - Ferrovia de Integração Oeste Leste</w:t>
            </w:r>
          </w:p>
        </w:tc>
        <w:tc>
          <w:tcPr>
            <w:tcW w:w="1149" w:type="pct"/>
            <w:tcBorders>
              <w:top w:val="nil"/>
              <w:left w:val="nil"/>
              <w:bottom w:val="nil"/>
              <w:right w:val="nil"/>
            </w:tcBorders>
            <w:shd w:val="clear" w:color="auto" w:fill="auto"/>
            <w:noWrap/>
            <w:vAlign w:val="bottom"/>
            <w:hideMark/>
          </w:tcPr>
          <w:p w14:paraId="6445D813"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2.176.375.157 </w:t>
            </w:r>
          </w:p>
        </w:tc>
        <w:tc>
          <w:tcPr>
            <w:tcW w:w="858" w:type="pct"/>
            <w:tcBorders>
              <w:top w:val="nil"/>
              <w:left w:val="nil"/>
              <w:bottom w:val="nil"/>
              <w:right w:val="nil"/>
            </w:tcBorders>
            <w:shd w:val="clear" w:color="auto" w:fill="auto"/>
            <w:noWrap/>
            <w:vAlign w:val="bottom"/>
            <w:hideMark/>
          </w:tcPr>
          <w:p w14:paraId="667F3AED"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2.033.281.106 </w:t>
            </w:r>
          </w:p>
        </w:tc>
        <w:tc>
          <w:tcPr>
            <w:tcW w:w="457" w:type="pct"/>
            <w:tcBorders>
              <w:top w:val="nil"/>
              <w:left w:val="nil"/>
              <w:bottom w:val="nil"/>
              <w:right w:val="nil"/>
            </w:tcBorders>
            <w:shd w:val="clear" w:color="auto" w:fill="auto"/>
            <w:noWrap/>
            <w:vAlign w:val="center"/>
            <w:hideMark/>
          </w:tcPr>
          <w:p w14:paraId="3A0470C3" w14:textId="77777777" w:rsidR="00234ACB" w:rsidRPr="00234ACB" w:rsidRDefault="00234ACB" w:rsidP="00234ACB">
            <w:pPr>
              <w:jc w:val="center"/>
              <w:rPr>
                <w:rFonts w:asciiTheme="majorHAnsi" w:hAnsiTheme="majorHAnsi" w:cs="Arial"/>
                <w:b/>
                <w:bCs/>
                <w:sz w:val="16"/>
                <w:szCs w:val="16"/>
              </w:rPr>
            </w:pPr>
          </w:p>
        </w:tc>
      </w:tr>
      <w:tr w:rsidR="00234ACB" w:rsidRPr="00234ACB" w14:paraId="22C93862"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1B0B2D1C"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Implantação de Ferrovias - FIOL</w:t>
            </w:r>
          </w:p>
        </w:tc>
        <w:tc>
          <w:tcPr>
            <w:tcW w:w="1149" w:type="pct"/>
            <w:tcBorders>
              <w:top w:val="nil"/>
              <w:left w:val="nil"/>
              <w:bottom w:val="nil"/>
              <w:right w:val="nil"/>
            </w:tcBorders>
            <w:shd w:val="clear" w:color="auto" w:fill="auto"/>
            <w:noWrap/>
            <w:vAlign w:val="bottom"/>
            <w:hideMark/>
          </w:tcPr>
          <w:p w14:paraId="16CE5D85"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5.418.184.077 </w:t>
            </w:r>
          </w:p>
        </w:tc>
        <w:tc>
          <w:tcPr>
            <w:tcW w:w="858" w:type="pct"/>
            <w:tcBorders>
              <w:top w:val="nil"/>
              <w:left w:val="nil"/>
              <w:bottom w:val="nil"/>
              <w:right w:val="nil"/>
            </w:tcBorders>
            <w:shd w:val="clear" w:color="auto" w:fill="auto"/>
            <w:noWrap/>
            <w:vAlign w:val="bottom"/>
            <w:hideMark/>
          </w:tcPr>
          <w:p w14:paraId="05E682B3"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5.275.090.026 </w:t>
            </w:r>
          </w:p>
        </w:tc>
        <w:tc>
          <w:tcPr>
            <w:tcW w:w="457" w:type="pct"/>
            <w:tcBorders>
              <w:top w:val="nil"/>
              <w:left w:val="nil"/>
              <w:bottom w:val="nil"/>
              <w:right w:val="nil"/>
            </w:tcBorders>
            <w:shd w:val="clear" w:color="auto" w:fill="auto"/>
            <w:noWrap/>
            <w:vAlign w:val="center"/>
            <w:hideMark/>
          </w:tcPr>
          <w:p w14:paraId="7730B629" w14:textId="77777777" w:rsidR="00234ACB" w:rsidRPr="00234ACB" w:rsidRDefault="00234ACB" w:rsidP="00234ACB">
            <w:pPr>
              <w:jc w:val="center"/>
              <w:rPr>
                <w:rFonts w:asciiTheme="majorHAnsi" w:hAnsiTheme="majorHAnsi" w:cs="Arial"/>
                <w:sz w:val="16"/>
                <w:szCs w:val="16"/>
              </w:rPr>
            </w:pPr>
          </w:p>
        </w:tc>
      </w:tr>
      <w:tr w:rsidR="00234ACB" w:rsidRPr="00234ACB" w14:paraId="61D40F87"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1C84DA40"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Estudos e Projetos - FIOL</w:t>
            </w:r>
          </w:p>
        </w:tc>
        <w:tc>
          <w:tcPr>
            <w:tcW w:w="1149" w:type="pct"/>
            <w:tcBorders>
              <w:top w:val="nil"/>
              <w:left w:val="nil"/>
              <w:bottom w:val="nil"/>
              <w:right w:val="nil"/>
            </w:tcBorders>
            <w:shd w:val="clear" w:color="auto" w:fill="auto"/>
            <w:noWrap/>
            <w:vAlign w:val="bottom"/>
            <w:hideMark/>
          </w:tcPr>
          <w:p w14:paraId="2FB58A24"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4.128.336 </w:t>
            </w:r>
          </w:p>
        </w:tc>
        <w:tc>
          <w:tcPr>
            <w:tcW w:w="858" w:type="pct"/>
            <w:tcBorders>
              <w:top w:val="nil"/>
              <w:left w:val="nil"/>
              <w:bottom w:val="nil"/>
              <w:right w:val="nil"/>
            </w:tcBorders>
            <w:shd w:val="clear" w:color="auto" w:fill="auto"/>
            <w:noWrap/>
            <w:vAlign w:val="bottom"/>
            <w:hideMark/>
          </w:tcPr>
          <w:p w14:paraId="62814617"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4.128.336 </w:t>
            </w:r>
          </w:p>
        </w:tc>
        <w:tc>
          <w:tcPr>
            <w:tcW w:w="457" w:type="pct"/>
            <w:tcBorders>
              <w:top w:val="nil"/>
              <w:left w:val="nil"/>
              <w:bottom w:val="nil"/>
              <w:right w:val="nil"/>
            </w:tcBorders>
            <w:shd w:val="clear" w:color="auto" w:fill="auto"/>
            <w:noWrap/>
            <w:vAlign w:val="center"/>
            <w:hideMark/>
          </w:tcPr>
          <w:p w14:paraId="146AD758" w14:textId="77777777" w:rsidR="00234ACB" w:rsidRPr="00234ACB" w:rsidRDefault="00234ACB" w:rsidP="00234ACB">
            <w:pPr>
              <w:jc w:val="center"/>
              <w:rPr>
                <w:rFonts w:asciiTheme="majorHAnsi" w:hAnsiTheme="majorHAnsi" w:cs="Arial"/>
                <w:sz w:val="16"/>
                <w:szCs w:val="16"/>
              </w:rPr>
            </w:pPr>
          </w:p>
        </w:tc>
      </w:tr>
      <w:tr w:rsidR="00234ACB" w:rsidRPr="00234ACB" w14:paraId="7C09D335"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1F648F9A" w14:textId="08CA1C30"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(Redução ao Valor Recuperável -FIOL I)</w:t>
            </w:r>
          </w:p>
        </w:tc>
        <w:tc>
          <w:tcPr>
            <w:tcW w:w="1149" w:type="pct"/>
            <w:tcBorders>
              <w:top w:val="nil"/>
              <w:left w:val="nil"/>
              <w:bottom w:val="nil"/>
              <w:right w:val="nil"/>
            </w:tcBorders>
            <w:shd w:val="clear" w:color="auto" w:fill="auto"/>
            <w:noWrap/>
            <w:vAlign w:val="bottom"/>
            <w:hideMark/>
          </w:tcPr>
          <w:p w14:paraId="6FE5CD73"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(3.245.937.256)</w:t>
            </w:r>
          </w:p>
        </w:tc>
        <w:tc>
          <w:tcPr>
            <w:tcW w:w="858" w:type="pct"/>
            <w:tcBorders>
              <w:top w:val="nil"/>
              <w:left w:val="nil"/>
              <w:bottom w:val="nil"/>
              <w:right w:val="nil"/>
            </w:tcBorders>
            <w:shd w:val="clear" w:color="auto" w:fill="auto"/>
            <w:noWrap/>
            <w:vAlign w:val="bottom"/>
            <w:hideMark/>
          </w:tcPr>
          <w:p w14:paraId="5E07B20E"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(3.245.937.256)</w:t>
            </w:r>
          </w:p>
        </w:tc>
        <w:tc>
          <w:tcPr>
            <w:tcW w:w="457" w:type="pct"/>
            <w:tcBorders>
              <w:top w:val="nil"/>
              <w:left w:val="nil"/>
              <w:bottom w:val="nil"/>
              <w:right w:val="nil"/>
            </w:tcBorders>
            <w:shd w:val="clear" w:color="auto" w:fill="auto"/>
            <w:noWrap/>
            <w:vAlign w:val="center"/>
            <w:hideMark/>
          </w:tcPr>
          <w:p w14:paraId="6846B7E6" w14:textId="77777777" w:rsidR="00234ACB" w:rsidRPr="00234ACB" w:rsidRDefault="00234ACB" w:rsidP="00234ACB">
            <w:pPr>
              <w:jc w:val="center"/>
              <w:rPr>
                <w:rFonts w:asciiTheme="majorHAnsi" w:hAnsiTheme="majorHAnsi" w:cs="Arial"/>
                <w:sz w:val="16"/>
                <w:szCs w:val="16"/>
              </w:rPr>
            </w:pPr>
          </w:p>
        </w:tc>
      </w:tr>
      <w:tr w:rsidR="00234ACB" w:rsidRPr="00234ACB" w14:paraId="35D47333"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1FF8A499"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 xml:space="preserve">              Outros</w:t>
            </w:r>
          </w:p>
        </w:tc>
        <w:tc>
          <w:tcPr>
            <w:tcW w:w="1149" w:type="pct"/>
            <w:tcBorders>
              <w:top w:val="nil"/>
              <w:left w:val="nil"/>
              <w:bottom w:val="nil"/>
              <w:right w:val="nil"/>
            </w:tcBorders>
            <w:shd w:val="clear" w:color="auto" w:fill="auto"/>
            <w:noWrap/>
            <w:vAlign w:val="bottom"/>
            <w:hideMark/>
          </w:tcPr>
          <w:p w14:paraId="20CF3D4D"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165.525.444 </w:t>
            </w:r>
          </w:p>
        </w:tc>
        <w:tc>
          <w:tcPr>
            <w:tcW w:w="858" w:type="pct"/>
            <w:tcBorders>
              <w:top w:val="nil"/>
              <w:left w:val="nil"/>
              <w:bottom w:val="nil"/>
              <w:right w:val="nil"/>
            </w:tcBorders>
            <w:shd w:val="clear" w:color="auto" w:fill="auto"/>
            <w:noWrap/>
            <w:vAlign w:val="bottom"/>
            <w:hideMark/>
          </w:tcPr>
          <w:p w14:paraId="496F83E5"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165.698.625 </w:t>
            </w:r>
          </w:p>
        </w:tc>
        <w:tc>
          <w:tcPr>
            <w:tcW w:w="457" w:type="pct"/>
            <w:tcBorders>
              <w:top w:val="nil"/>
              <w:left w:val="nil"/>
              <w:bottom w:val="nil"/>
              <w:right w:val="nil"/>
            </w:tcBorders>
            <w:shd w:val="clear" w:color="auto" w:fill="auto"/>
            <w:noWrap/>
            <w:vAlign w:val="center"/>
            <w:hideMark/>
          </w:tcPr>
          <w:p w14:paraId="5623C8A0" w14:textId="77777777" w:rsidR="00234ACB" w:rsidRPr="00234ACB" w:rsidRDefault="00234ACB" w:rsidP="00234ACB">
            <w:pPr>
              <w:jc w:val="center"/>
              <w:rPr>
                <w:rFonts w:asciiTheme="majorHAnsi" w:hAnsiTheme="majorHAnsi" w:cs="Arial"/>
                <w:b/>
                <w:bCs/>
                <w:sz w:val="16"/>
                <w:szCs w:val="16"/>
              </w:rPr>
            </w:pPr>
          </w:p>
        </w:tc>
      </w:tr>
      <w:tr w:rsidR="00234ACB" w:rsidRPr="00234ACB" w14:paraId="2041889F"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32543389"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Estudos e Projetos - Outros</w:t>
            </w:r>
          </w:p>
        </w:tc>
        <w:tc>
          <w:tcPr>
            <w:tcW w:w="1149" w:type="pct"/>
            <w:tcBorders>
              <w:top w:val="nil"/>
              <w:left w:val="nil"/>
              <w:bottom w:val="nil"/>
              <w:right w:val="nil"/>
            </w:tcBorders>
            <w:shd w:val="clear" w:color="auto" w:fill="auto"/>
            <w:noWrap/>
            <w:vAlign w:val="bottom"/>
            <w:hideMark/>
          </w:tcPr>
          <w:p w14:paraId="6349D799"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157.510.633 </w:t>
            </w:r>
          </w:p>
        </w:tc>
        <w:tc>
          <w:tcPr>
            <w:tcW w:w="858" w:type="pct"/>
            <w:tcBorders>
              <w:top w:val="nil"/>
              <w:left w:val="nil"/>
              <w:bottom w:val="nil"/>
              <w:right w:val="nil"/>
            </w:tcBorders>
            <w:shd w:val="clear" w:color="auto" w:fill="auto"/>
            <w:noWrap/>
            <w:vAlign w:val="bottom"/>
            <w:hideMark/>
          </w:tcPr>
          <w:p w14:paraId="22E0F7B4"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157.502.969 </w:t>
            </w:r>
          </w:p>
        </w:tc>
        <w:tc>
          <w:tcPr>
            <w:tcW w:w="457" w:type="pct"/>
            <w:tcBorders>
              <w:top w:val="nil"/>
              <w:left w:val="nil"/>
              <w:bottom w:val="nil"/>
              <w:right w:val="nil"/>
            </w:tcBorders>
            <w:shd w:val="clear" w:color="auto" w:fill="auto"/>
            <w:noWrap/>
            <w:vAlign w:val="center"/>
            <w:hideMark/>
          </w:tcPr>
          <w:p w14:paraId="2B8B762E" w14:textId="77777777" w:rsidR="00234ACB" w:rsidRPr="00234ACB" w:rsidRDefault="00234ACB" w:rsidP="00234ACB">
            <w:pPr>
              <w:jc w:val="center"/>
              <w:rPr>
                <w:rFonts w:asciiTheme="majorHAnsi" w:hAnsiTheme="majorHAnsi" w:cs="Arial"/>
                <w:sz w:val="16"/>
                <w:szCs w:val="16"/>
              </w:rPr>
            </w:pPr>
          </w:p>
        </w:tc>
      </w:tr>
      <w:tr w:rsidR="00234ACB" w:rsidRPr="00234ACB" w14:paraId="63A5EA80"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0D23014C"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Ativo de Concessão Imóveis - Pátios</w:t>
            </w:r>
          </w:p>
        </w:tc>
        <w:tc>
          <w:tcPr>
            <w:tcW w:w="1149" w:type="pct"/>
            <w:tcBorders>
              <w:top w:val="nil"/>
              <w:left w:val="nil"/>
              <w:bottom w:val="nil"/>
              <w:right w:val="nil"/>
            </w:tcBorders>
            <w:shd w:val="clear" w:color="auto" w:fill="auto"/>
            <w:noWrap/>
            <w:vAlign w:val="bottom"/>
            <w:hideMark/>
          </w:tcPr>
          <w:p w14:paraId="12F589AB"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9.009.461 </w:t>
            </w:r>
          </w:p>
        </w:tc>
        <w:tc>
          <w:tcPr>
            <w:tcW w:w="858" w:type="pct"/>
            <w:tcBorders>
              <w:top w:val="nil"/>
              <w:left w:val="nil"/>
              <w:bottom w:val="nil"/>
              <w:right w:val="nil"/>
            </w:tcBorders>
            <w:shd w:val="clear" w:color="auto" w:fill="auto"/>
            <w:noWrap/>
            <w:vAlign w:val="bottom"/>
            <w:hideMark/>
          </w:tcPr>
          <w:p w14:paraId="70AF1C6A"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9.009.461 </w:t>
            </w:r>
          </w:p>
        </w:tc>
        <w:tc>
          <w:tcPr>
            <w:tcW w:w="457" w:type="pct"/>
            <w:tcBorders>
              <w:top w:val="nil"/>
              <w:left w:val="nil"/>
              <w:bottom w:val="nil"/>
              <w:right w:val="nil"/>
            </w:tcBorders>
            <w:shd w:val="clear" w:color="auto" w:fill="auto"/>
            <w:noWrap/>
            <w:vAlign w:val="center"/>
            <w:hideMark/>
          </w:tcPr>
          <w:p w14:paraId="08E210A9" w14:textId="77777777" w:rsidR="00234ACB" w:rsidRPr="00234ACB" w:rsidRDefault="00234ACB" w:rsidP="00234ACB">
            <w:pPr>
              <w:jc w:val="center"/>
              <w:rPr>
                <w:rFonts w:asciiTheme="majorHAnsi" w:hAnsiTheme="majorHAnsi" w:cs="Arial"/>
                <w:sz w:val="16"/>
                <w:szCs w:val="16"/>
              </w:rPr>
            </w:pPr>
          </w:p>
        </w:tc>
      </w:tr>
      <w:tr w:rsidR="00234ACB" w:rsidRPr="00234ACB" w14:paraId="193088D6"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6F2218CC"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(Depreciações Acumuladas - Pátios)</w:t>
            </w:r>
          </w:p>
        </w:tc>
        <w:tc>
          <w:tcPr>
            <w:tcW w:w="1149" w:type="pct"/>
            <w:tcBorders>
              <w:top w:val="nil"/>
              <w:left w:val="nil"/>
              <w:bottom w:val="nil"/>
              <w:right w:val="nil"/>
            </w:tcBorders>
            <w:shd w:val="clear" w:color="auto" w:fill="auto"/>
            <w:noWrap/>
            <w:vAlign w:val="bottom"/>
            <w:hideMark/>
          </w:tcPr>
          <w:p w14:paraId="0A1E4452"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(994.650)</w:t>
            </w:r>
          </w:p>
        </w:tc>
        <w:tc>
          <w:tcPr>
            <w:tcW w:w="858" w:type="pct"/>
            <w:tcBorders>
              <w:top w:val="nil"/>
              <w:left w:val="nil"/>
              <w:bottom w:val="nil"/>
              <w:right w:val="nil"/>
            </w:tcBorders>
            <w:shd w:val="clear" w:color="auto" w:fill="auto"/>
            <w:noWrap/>
            <w:vAlign w:val="bottom"/>
            <w:hideMark/>
          </w:tcPr>
          <w:p w14:paraId="462FBB28"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(813.805)</w:t>
            </w:r>
          </w:p>
        </w:tc>
        <w:tc>
          <w:tcPr>
            <w:tcW w:w="457" w:type="pct"/>
            <w:tcBorders>
              <w:top w:val="nil"/>
              <w:left w:val="nil"/>
              <w:bottom w:val="nil"/>
              <w:right w:val="nil"/>
            </w:tcBorders>
            <w:shd w:val="clear" w:color="auto" w:fill="auto"/>
            <w:noWrap/>
            <w:vAlign w:val="center"/>
            <w:hideMark/>
          </w:tcPr>
          <w:p w14:paraId="302BBE4E" w14:textId="77777777" w:rsidR="00234ACB" w:rsidRPr="00234ACB" w:rsidRDefault="00234ACB" w:rsidP="00234ACB">
            <w:pPr>
              <w:jc w:val="center"/>
              <w:rPr>
                <w:rFonts w:asciiTheme="majorHAnsi" w:hAnsiTheme="majorHAnsi" w:cs="Arial"/>
                <w:sz w:val="16"/>
                <w:szCs w:val="16"/>
              </w:rPr>
            </w:pPr>
          </w:p>
        </w:tc>
      </w:tr>
      <w:tr w:rsidR="00234ACB" w:rsidRPr="00234ACB" w14:paraId="70EDE4D5"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3F772D73"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 xml:space="preserve">     Direito de Uso</w:t>
            </w:r>
          </w:p>
        </w:tc>
        <w:tc>
          <w:tcPr>
            <w:tcW w:w="1149" w:type="pct"/>
            <w:tcBorders>
              <w:top w:val="nil"/>
              <w:left w:val="nil"/>
              <w:bottom w:val="nil"/>
              <w:right w:val="nil"/>
            </w:tcBorders>
            <w:shd w:val="clear" w:color="auto" w:fill="auto"/>
            <w:noWrap/>
            <w:vAlign w:val="bottom"/>
            <w:hideMark/>
          </w:tcPr>
          <w:p w14:paraId="5A175CEF"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3.339.183 </w:t>
            </w:r>
          </w:p>
        </w:tc>
        <w:tc>
          <w:tcPr>
            <w:tcW w:w="858" w:type="pct"/>
            <w:tcBorders>
              <w:top w:val="nil"/>
              <w:left w:val="nil"/>
              <w:bottom w:val="nil"/>
              <w:right w:val="nil"/>
            </w:tcBorders>
            <w:shd w:val="clear" w:color="auto" w:fill="auto"/>
            <w:noWrap/>
            <w:vAlign w:val="bottom"/>
            <w:hideMark/>
          </w:tcPr>
          <w:p w14:paraId="4D551397"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6.044.654 </w:t>
            </w:r>
          </w:p>
        </w:tc>
        <w:tc>
          <w:tcPr>
            <w:tcW w:w="457" w:type="pct"/>
            <w:tcBorders>
              <w:top w:val="nil"/>
              <w:left w:val="nil"/>
              <w:bottom w:val="nil"/>
              <w:right w:val="nil"/>
            </w:tcBorders>
            <w:shd w:val="clear" w:color="auto" w:fill="auto"/>
            <w:noWrap/>
            <w:vAlign w:val="center"/>
            <w:hideMark/>
          </w:tcPr>
          <w:p w14:paraId="53DD6EBB" w14:textId="77777777" w:rsidR="00234ACB" w:rsidRPr="00234ACB" w:rsidRDefault="00234ACB" w:rsidP="00234ACB">
            <w:pPr>
              <w:jc w:val="center"/>
              <w:rPr>
                <w:rFonts w:asciiTheme="majorHAnsi" w:hAnsiTheme="majorHAnsi" w:cs="Arial"/>
                <w:b/>
                <w:bCs/>
                <w:sz w:val="16"/>
                <w:szCs w:val="16"/>
              </w:rPr>
            </w:pPr>
          </w:p>
        </w:tc>
      </w:tr>
      <w:tr w:rsidR="00234ACB" w:rsidRPr="00234ACB" w14:paraId="6EF987BF"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7170A49B"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Direito de Uso de Veículos e Imóveis</w:t>
            </w:r>
          </w:p>
        </w:tc>
        <w:tc>
          <w:tcPr>
            <w:tcW w:w="1149" w:type="pct"/>
            <w:tcBorders>
              <w:top w:val="nil"/>
              <w:left w:val="nil"/>
              <w:bottom w:val="nil"/>
              <w:right w:val="nil"/>
            </w:tcBorders>
            <w:shd w:val="clear" w:color="auto" w:fill="auto"/>
            <w:noWrap/>
            <w:vAlign w:val="bottom"/>
            <w:hideMark/>
          </w:tcPr>
          <w:p w14:paraId="0967B770"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35.775.832 </w:t>
            </w:r>
          </w:p>
        </w:tc>
        <w:tc>
          <w:tcPr>
            <w:tcW w:w="858" w:type="pct"/>
            <w:tcBorders>
              <w:top w:val="nil"/>
              <w:left w:val="nil"/>
              <w:bottom w:val="nil"/>
              <w:right w:val="nil"/>
            </w:tcBorders>
            <w:shd w:val="clear" w:color="auto" w:fill="auto"/>
            <w:noWrap/>
            <w:vAlign w:val="bottom"/>
            <w:hideMark/>
          </w:tcPr>
          <w:p w14:paraId="6AF4F12B"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36.138.032 </w:t>
            </w:r>
          </w:p>
        </w:tc>
        <w:tc>
          <w:tcPr>
            <w:tcW w:w="457" w:type="pct"/>
            <w:tcBorders>
              <w:top w:val="nil"/>
              <w:left w:val="nil"/>
              <w:bottom w:val="nil"/>
              <w:right w:val="nil"/>
            </w:tcBorders>
            <w:shd w:val="clear" w:color="auto" w:fill="auto"/>
            <w:noWrap/>
            <w:vAlign w:val="center"/>
            <w:hideMark/>
          </w:tcPr>
          <w:p w14:paraId="51D4E246" w14:textId="77777777" w:rsidR="00234ACB" w:rsidRPr="00234ACB" w:rsidRDefault="00234ACB" w:rsidP="00234ACB">
            <w:pPr>
              <w:jc w:val="center"/>
              <w:rPr>
                <w:rFonts w:asciiTheme="majorHAnsi" w:hAnsiTheme="majorHAnsi" w:cs="Arial"/>
                <w:sz w:val="16"/>
                <w:szCs w:val="16"/>
              </w:rPr>
            </w:pPr>
            <w:r w:rsidRPr="00234ACB">
              <w:rPr>
                <w:rFonts w:asciiTheme="majorHAnsi" w:hAnsiTheme="majorHAnsi" w:cs="Arial"/>
                <w:sz w:val="16"/>
                <w:szCs w:val="16"/>
              </w:rPr>
              <w:t>(13)</w:t>
            </w:r>
          </w:p>
        </w:tc>
      </w:tr>
      <w:tr w:rsidR="00234ACB" w:rsidRPr="00234ACB" w14:paraId="1813F01D"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75D98EF0" w14:textId="54CE48C2"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(Depreciação Acumulada - Direito de Uso)</w:t>
            </w:r>
          </w:p>
        </w:tc>
        <w:tc>
          <w:tcPr>
            <w:tcW w:w="1149" w:type="pct"/>
            <w:tcBorders>
              <w:top w:val="nil"/>
              <w:left w:val="nil"/>
              <w:bottom w:val="nil"/>
              <w:right w:val="nil"/>
            </w:tcBorders>
            <w:shd w:val="clear" w:color="auto" w:fill="auto"/>
            <w:noWrap/>
            <w:vAlign w:val="bottom"/>
            <w:hideMark/>
          </w:tcPr>
          <w:p w14:paraId="364D8466"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(32.436.649)</w:t>
            </w:r>
          </w:p>
        </w:tc>
        <w:tc>
          <w:tcPr>
            <w:tcW w:w="858" w:type="pct"/>
            <w:tcBorders>
              <w:top w:val="nil"/>
              <w:left w:val="nil"/>
              <w:bottom w:val="nil"/>
              <w:right w:val="nil"/>
            </w:tcBorders>
            <w:shd w:val="clear" w:color="auto" w:fill="auto"/>
            <w:noWrap/>
            <w:vAlign w:val="bottom"/>
            <w:hideMark/>
          </w:tcPr>
          <w:p w14:paraId="56DD1698"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(30.093.378)</w:t>
            </w:r>
          </w:p>
        </w:tc>
        <w:tc>
          <w:tcPr>
            <w:tcW w:w="457" w:type="pct"/>
            <w:tcBorders>
              <w:top w:val="nil"/>
              <w:left w:val="nil"/>
              <w:bottom w:val="nil"/>
              <w:right w:val="nil"/>
            </w:tcBorders>
            <w:shd w:val="clear" w:color="auto" w:fill="auto"/>
            <w:noWrap/>
            <w:vAlign w:val="center"/>
            <w:hideMark/>
          </w:tcPr>
          <w:p w14:paraId="7AB8A161" w14:textId="77777777" w:rsidR="00234ACB" w:rsidRPr="00234ACB" w:rsidRDefault="00234ACB" w:rsidP="00234ACB">
            <w:pPr>
              <w:jc w:val="center"/>
              <w:rPr>
                <w:rFonts w:asciiTheme="majorHAnsi" w:hAnsiTheme="majorHAnsi" w:cs="Arial"/>
                <w:sz w:val="16"/>
                <w:szCs w:val="16"/>
              </w:rPr>
            </w:pPr>
          </w:p>
        </w:tc>
      </w:tr>
      <w:tr w:rsidR="00234ACB" w:rsidRPr="00234ACB" w14:paraId="5B2B2292"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31F70E29"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 xml:space="preserve">      Intangível</w:t>
            </w:r>
          </w:p>
        </w:tc>
        <w:tc>
          <w:tcPr>
            <w:tcW w:w="1149" w:type="pct"/>
            <w:tcBorders>
              <w:top w:val="nil"/>
              <w:left w:val="nil"/>
              <w:bottom w:val="nil"/>
              <w:right w:val="nil"/>
            </w:tcBorders>
            <w:shd w:val="clear" w:color="auto" w:fill="auto"/>
            <w:noWrap/>
            <w:vAlign w:val="bottom"/>
            <w:hideMark/>
          </w:tcPr>
          <w:p w14:paraId="6DE708BE"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3.923.856 </w:t>
            </w:r>
          </w:p>
        </w:tc>
        <w:tc>
          <w:tcPr>
            <w:tcW w:w="858" w:type="pct"/>
            <w:tcBorders>
              <w:top w:val="nil"/>
              <w:left w:val="nil"/>
              <w:bottom w:val="nil"/>
              <w:right w:val="nil"/>
            </w:tcBorders>
            <w:shd w:val="clear" w:color="auto" w:fill="auto"/>
            <w:noWrap/>
            <w:vAlign w:val="bottom"/>
            <w:hideMark/>
          </w:tcPr>
          <w:p w14:paraId="534756A9"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4.692.429 </w:t>
            </w:r>
          </w:p>
        </w:tc>
        <w:tc>
          <w:tcPr>
            <w:tcW w:w="457" w:type="pct"/>
            <w:tcBorders>
              <w:top w:val="nil"/>
              <w:left w:val="nil"/>
              <w:bottom w:val="nil"/>
              <w:right w:val="nil"/>
            </w:tcBorders>
            <w:shd w:val="clear" w:color="auto" w:fill="auto"/>
            <w:noWrap/>
            <w:vAlign w:val="center"/>
            <w:hideMark/>
          </w:tcPr>
          <w:p w14:paraId="72D47220" w14:textId="77777777" w:rsidR="00234ACB" w:rsidRPr="00234ACB" w:rsidRDefault="00234ACB" w:rsidP="00234ACB">
            <w:pPr>
              <w:jc w:val="center"/>
              <w:rPr>
                <w:rFonts w:asciiTheme="majorHAnsi" w:hAnsiTheme="majorHAnsi" w:cs="Arial"/>
                <w:sz w:val="16"/>
                <w:szCs w:val="16"/>
              </w:rPr>
            </w:pPr>
            <w:r w:rsidRPr="00234ACB">
              <w:rPr>
                <w:rFonts w:asciiTheme="majorHAnsi" w:hAnsiTheme="majorHAnsi" w:cs="Arial"/>
                <w:sz w:val="16"/>
                <w:szCs w:val="16"/>
              </w:rPr>
              <w:t>(9)</w:t>
            </w:r>
          </w:p>
        </w:tc>
      </w:tr>
      <w:tr w:rsidR="00234ACB" w:rsidRPr="00234ACB" w14:paraId="4894FE0E"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20DA1914"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Direito de uso de Comunicação</w:t>
            </w:r>
          </w:p>
        </w:tc>
        <w:tc>
          <w:tcPr>
            <w:tcW w:w="1149" w:type="pct"/>
            <w:tcBorders>
              <w:top w:val="nil"/>
              <w:left w:val="nil"/>
              <w:bottom w:val="nil"/>
              <w:right w:val="nil"/>
            </w:tcBorders>
            <w:shd w:val="clear" w:color="auto" w:fill="auto"/>
            <w:noWrap/>
            <w:vAlign w:val="bottom"/>
            <w:hideMark/>
          </w:tcPr>
          <w:p w14:paraId="6A00C62A"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139.790 </w:t>
            </w:r>
          </w:p>
        </w:tc>
        <w:tc>
          <w:tcPr>
            <w:tcW w:w="858" w:type="pct"/>
            <w:tcBorders>
              <w:top w:val="nil"/>
              <w:left w:val="nil"/>
              <w:bottom w:val="nil"/>
              <w:right w:val="nil"/>
            </w:tcBorders>
            <w:shd w:val="clear" w:color="auto" w:fill="auto"/>
            <w:noWrap/>
            <w:vAlign w:val="bottom"/>
            <w:hideMark/>
          </w:tcPr>
          <w:p w14:paraId="3ABF3869"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139.790 </w:t>
            </w:r>
          </w:p>
        </w:tc>
        <w:tc>
          <w:tcPr>
            <w:tcW w:w="457" w:type="pct"/>
            <w:tcBorders>
              <w:top w:val="nil"/>
              <w:left w:val="nil"/>
              <w:bottom w:val="nil"/>
              <w:right w:val="nil"/>
            </w:tcBorders>
            <w:shd w:val="clear" w:color="auto" w:fill="auto"/>
            <w:noWrap/>
            <w:vAlign w:val="center"/>
            <w:hideMark/>
          </w:tcPr>
          <w:p w14:paraId="54E3F759" w14:textId="77777777" w:rsidR="00234ACB" w:rsidRPr="00234ACB" w:rsidRDefault="00234ACB" w:rsidP="00234ACB">
            <w:pPr>
              <w:jc w:val="center"/>
              <w:rPr>
                <w:rFonts w:asciiTheme="majorHAnsi" w:hAnsiTheme="majorHAnsi" w:cs="Arial"/>
                <w:sz w:val="16"/>
                <w:szCs w:val="16"/>
              </w:rPr>
            </w:pPr>
          </w:p>
        </w:tc>
      </w:tr>
      <w:tr w:rsidR="00234ACB" w:rsidRPr="00234ACB" w14:paraId="347FD92A"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16E32812"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Software</w:t>
            </w:r>
          </w:p>
        </w:tc>
        <w:tc>
          <w:tcPr>
            <w:tcW w:w="1149" w:type="pct"/>
            <w:tcBorders>
              <w:top w:val="nil"/>
              <w:left w:val="nil"/>
              <w:bottom w:val="nil"/>
              <w:right w:val="nil"/>
            </w:tcBorders>
            <w:shd w:val="clear" w:color="auto" w:fill="auto"/>
            <w:noWrap/>
            <w:vAlign w:val="bottom"/>
            <w:hideMark/>
          </w:tcPr>
          <w:p w14:paraId="2384EADF"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11.731.207 </w:t>
            </w:r>
          </w:p>
        </w:tc>
        <w:tc>
          <w:tcPr>
            <w:tcW w:w="858" w:type="pct"/>
            <w:tcBorders>
              <w:top w:val="nil"/>
              <w:left w:val="nil"/>
              <w:bottom w:val="nil"/>
              <w:right w:val="nil"/>
            </w:tcBorders>
            <w:shd w:val="clear" w:color="auto" w:fill="auto"/>
            <w:noWrap/>
            <w:vAlign w:val="bottom"/>
            <w:hideMark/>
          </w:tcPr>
          <w:p w14:paraId="3D33268F"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11.428.470 </w:t>
            </w:r>
          </w:p>
        </w:tc>
        <w:tc>
          <w:tcPr>
            <w:tcW w:w="457" w:type="pct"/>
            <w:tcBorders>
              <w:top w:val="nil"/>
              <w:left w:val="nil"/>
              <w:bottom w:val="nil"/>
              <w:right w:val="nil"/>
            </w:tcBorders>
            <w:shd w:val="clear" w:color="auto" w:fill="auto"/>
            <w:noWrap/>
            <w:vAlign w:val="center"/>
            <w:hideMark/>
          </w:tcPr>
          <w:p w14:paraId="6E5B029B" w14:textId="77777777" w:rsidR="00234ACB" w:rsidRPr="00234ACB" w:rsidRDefault="00234ACB" w:rsidP="00234ACB">
            <w:pPr>
              <w:jc w:val="right"/>
              <w:rPr>
                <w:rFonts w:asciiTheme="majorHAnsi" w:hAnsiTheme="majorHAnsi" w:cs="Arial"/>
                <w:sz w:val="16"/>
                <w:szCs w:val="16"/>
              </w:rPr>
            </w:pPr>
          </w:p>
        </w:tc>
      </w:tr>
      <w:tr w:rsidR="00234ACB" w:rsidRPr="00234ACB" w14:paraId="36DFD02C"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27BAE69E"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(Amortizações Acumuladas)</w:t>
            </w:r>
          </w:p>
        </w:tc>
        <w:tc>
          <w:tcPr>
            <w:tcW w:w="1149" w:type="pct"/>
            <w:tcBorders>
              <w:top w:val="nil"/>
              <w:left w:val="nil"/>
              <w:bottom w:val="nil"/>
              <w:right w:val="nil"/>
            </w:tcBorders>
            <w:shd w:val="clear" w:color="auto" w:fill="auto"/>
            <w:noWrap/>
            <w:vAlign w:val="bottom"/>
            <w:hideMark/>
          </w:tcPr>
          <w:p w14:paraId="482E0461"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(7.947.141)</w:t>
            </w:r>
          </w:p>
        </w:tc>
        <w:tc>
          <w:tcPr>
            <w:tcW w:w="858" w:type="pct"/>
            <w:tcBorders>
              <w:top w:val="nil"/>
              <w:left w:val="nil"/>
              <w:bottom w:val="nil"/>
              <w:right w:val="nil"/>
            </w:tcBorders>
            <w:shd w:val="clear" w:color="auto" w:fill="auto"/>
            <w:noWrap/>
            <w:vAlign w:val="bottom"/>
            <w:hideMark/>
          </w:tcPr>
          <w:p w14:paraId="286AD3EF" w14:textId="77777777" w:rsidR="00234ACB" w:rsidRPr="00234ACB" w:rsidRDefault="00234ACB" w:rsidP="00234ACB">
            <w:pPr>
              <w:jc w:val="right"/>
              <w:rPr>
                <w:rFonts w:asciiTheme="majorHAnsi" w:hAnsiTheme="majorHAnsi" w:cs="Arial"/>
                <w:sz w:val="16"/>
                <w:szCs w:val="16"/>
              </w:rPr>
            </w:pPr>
            <w:r w:rsidRPr="00234ACB">
              <w:rPr>
                <w:rFonts w:asciiTheme="majorHAnsi" w:hAnsiTheme="majorHAnsi" w:cs="Arial"/>
                <w:sz w:val="16"/>
                <w:szCs w:val="16"/>
              </w:rPr>
              <w:t xml:space="preserve">                     (6.875.831)</w:t>
            </w:r>
          </w:p>
        </w:tc>
        <w:tc>
          <w:tcPr>
            <w:tcW w:w="457" w:type="pct"/>
            <w:tcBorders>
              <w:top w:val="nil"/>
              <w:left w:val="nil"/>
              <w:bottom w:val="nil"/>
              <w:right w:val="nil"/>
            </w:tcBorders>
            <w:shd w:val="clear" w:color="auto" w:fill="auto"/>
            <w:noWrap/>
            <w:vAlign w:val="center"/>
            <w:hideMark/>
          </w:tcPr>
          <w:p w14:paraId="2551315F" w14:textId="77777777" w:rsidR="00234ACB" w:rsidRPr="00234ACB" w:rsidRDefault="00234ACB" w:rsidP="00234ACB">
            <w:pPr>
              <w:jc w:val="right"/>
              <w:rPr>
                <w:rFonts w:asciiTheme="majorHAnsi" w:hAnsiTheme="majorHAnsi" w:cs="Arial"/>
                <w:sz w:val="16"/>
                <w:szCs w:val="16"/>
              </w:rPr>
            </w:pPr>
          </w:p>
        </w:tc>
      </w:tr>
      <w:tr w:rsidR="00234ACB" w:rsidRPr="00234ACB" w14:paraId="10809F48"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4341E67A" w14:textId="77777777" w:rsidR="00234ACB" w:rsidRPr="00234ACB" w:rsidRDefault="00234ACB">
            <w:pPr>
              <w:jc w:val="right"/>
              <w:rPr>
                <w:rFonts w:asciiTheme="majorHAnsi" w:hAnsiTheme="majorHAnsi"/>
                <w:sz w:val="16"/>
                <w:szCs w:val="16"/>
              </w:rPr>
            </w:pPr>
          </w:p>
        </w:tc>
        <w:tc>
          <w:tcPr>
            <w:tcW w:w="1149" w:type="pct"/>
            <w:tcBorders>
              <w:top w:val="nil"/>
              <w:left w:val="nil"/>
              <w:bottom w:val="nil"/>
              <w:right w:val="nil"/>
            </w:tcBorders>
            <w:shd w:val="clear" w:color="auto" w:fill="auto"/>
            <w:noWrap/>
            <w:vAlign w:val="bottom"/>
            <w:hideMark/>
          </w:tcPr>
          <w:p w14:paraId="52339C87" w14:textId="77777777" w:rsidR="00234ACB" w:rsidRPr="00234ACB" w:rsidRDefault="00234ACB" w:rsidP="00234ACB">
            <w:pPr>
              <w:jc w:val="right"/>
              <w:rPr>
                <w:rFonts w:asciiTheme="majorHAnsi" w:hAnsiTheme="majorHAnsi"/>
                <w:sz w:val="16"/>
                <w:szCs w:val="16"/>
              </w:rPr>
            </w:pPr>
          </w:p>
        </w:tc>
        <w:tc>
          <w:tcPr>
            <w:tcW w:w="858" w:type="pct"/>
            <w:tcBorders>
              <w:top w:val="nil"/>
              <w:left w:val="nil"/>
              <w:bottom w:val="nil"/>
              <w:right w:val="nil"/>
            </w:tcBorders>
            <w:shd w:val="clear" w:color="auto" w:fill="auto"/>
            <w:noWrap/>
            <w:vAlign w:val="bottom"/>
            <w:hideMark/>
          </w:tcPr>
          <w:p w14:paraId="2108C874" w14:textId="77777777" w:rsidR="00234ACB" w:rsidRPr="00234ACB" w:rsidRDefault="00234ACB" w:rsidP="00234ACB">
            <w:pPr>
              <w:jc w:val="right"/>
              <w:rPr>
                <w:rFonts w:asciiTheme="majorHAnsi" w:hAnsiTheme="majorHAnsi"/>
                <w:sz w:val="16"/>
                <w:szCs w:val="16"/>
              </w:rPr>
            </w:pPr>
          </w:p>
        </w:tc>
        <w:tc>
          <w:tcPr>
            <w:tcW w:w="457" w:type="pct"/>
            <w:tcBorders>
              <w:top w:val="nil"/>
              <w:left w:val="nil"/>
              <w:bottom w:val="nil"/>
              <w:right w:val="nil"/>
            </w:tcBorders>
            <w:shd w:val="clear" w:color="auto" w:fill="auto"/>
            <w:noWrap/>
            <w:vAlign w:val="center"/>
            <w:hideMark/>
          </w:tcPr>
          <w:p w14:paraId="68FEC2B6" w14:textId="77777777" w:rsidR="00234ACB" w:rsidRPr="00234ACB" w:rsidRDefault="00234ACB" w:rsidP="00234ACB">
            <w:pPr>
              <w:jc w:val="right"/>
              <w:rPr>
                <w:rFonts w:asciiTheme="majorHAnsi" w:hAnsiTheme="majorHAnsi"/>
                <w:sz w:val="16"/>
                <w:szCs w:val="16"/>
              </w:rPr>
            </w:pPr>
          </w:p>
        </w:tc>
      </w:tr>
      <w:tr w:rsidR="00234ACB" w:rsidRPr="00234ACB" w14:paraId="62B6B1D2"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0ECCB5E7"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TOTAL DO ATIVO</w:t>
            </w:r>
          </w:p>
        </w:tc>
        <w:tc>
          <w:tcPr>
            <w:tcW w:w="1149" w:type="pct"/>
            <w:tcBorders>
              <w:top w:val="nil"/>
              <w:left w:val="nil"/>
              <w:bottom w:val="nil"/>
              <w:right w:val="nil"/>
            </w:tcBorders>
            <w:shd w:val="clear" w:color="auto" w:fill="auto"/>
            <w:noWrap/>
            <w:vAlign w:val="bottom"/>
            <w:hideMark/>
          </w:tcPr>
          <w:p w14:paraId="5E6B1923"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3.904.429.209 </w:t>
            </w:r>
          </w:p>
        </w:tc>
        <w:tc>
          <w:tcPr>
            <w:tcW w:w="858" w:type="pct"/>
            <w:tcBorders>
              <w:top w:val="nil"/>
              <w:left w:val="nil"/>
              <w:bottom w:val="nil"/>
              <w:right w:val="nil"/>
            </w:tcBorders>
            <w:shd w:val="clear" w:color="auto" w:fill="auto"/>
            <w:noWrap/>
            <w:vAlign w:val="bottom"/>
            <w:hideMark/>
          </w:tcPr>
          <w:p w14:paraId="4DB032B9" w14:textId="77777777" w:rsidR="00234ACB" w:rsidRPr="00234ACB" w:rsidRDefault="00234ACB" w:rsidP="00234ACB">
            <w:pPr>
              <w:jc w:val="right"/>
              <w:rPr>
                <w:rFonts w:asciiTheme="majorHAnsi" w:hAnsiTheme="majorHAnsi" w:cs="Arial"/>
                <w:b/>
                <w:bCs/>
                <w:sz w:val="16"/>
                <w:szCs w:val="16"/>
              </w:rPr>
            </w:pPr>
            <w:r w:rsidRPr="00234ACB">
              <w:rPr>
                <w:rFonts w:asciiTheme="majorHAnsi" w:hAnsiTheme="majorHAnsi" w:cs="Arial"/>
                <w:b/>
                <w:bCs/>
                <w:sz w:val="16"/>
                <w:szCs w:val="16"/>
              </w:rPr>
              <w:t xml:space="preserve">               3.743.688.328 </w:t>
            </w:r>
          </w:p>
        </w:tc>
        <w:tc>
          <w:tcPr>
            <w:tcW w:w="457" w:type="pct"/>
            <w:tcBorders>
              <w:top w:val="nil"/>
              <w:left w:val="nil"/>
              <w:bottom w:val="nil"/>
              <w:right w:val="nil"/>
            </w:tcBorders>
            <w:shd w:val="clear" w:color="auto" w:fill="auto"/>
            <w:noWrap/>
            <w:vAlign w:val="center"/>
            <w:hideMark/>
          </w:tcPr>
          <w:p w14:paraId="7B96C955" w14:textId="77777777" w:rsidR="00234ACB" w:rsidRPr="00234ACB" w:rsidRDefault="00234ACB" w:rsidP="00234ACB">
            <w:pPr>
              <w:jc w:val="right"/>
              <w:rPr>
                <w:rFonts w:asciiTheme="majorHAnsi" w:hAnsiTheme="majorHAnsi" w:cs="Arial"/>
                <w:b/>
                <w:bCs/>
                <w:sz w:val="16"/>
                <w:szCs w:val="16"/>
              </w:rPr>
            </w:pPr>
          </w:p>
        </w:tc>
      </w:tr>
      <w:tr w:rsidR="00234ACB" w:rsidRPr="00234ACB" w14:paraId="64EE11FC"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15D0AD84" w14:textId="77777777" w:rsidR="00234ACB" w:rsidRPr="00234ACB" w:rsidRDefault="00234ACB">
            <w:pPr>
              <w:jc w:val="right"/>
              <w:rPr>
                <w:rFonts w:asciiTheme="majorHAnsi" w:hAnsiTheme="majorHAnsi"/>
                <w:sz w:val="16"/>
                <w:szCs w:val="16"/>
              </w:rPr>
            </w:pPr>
          </w:p>
        </w:tc>
        <w:tc>
          <w:tcPr>
            <w:tcW w:w="1149" w:type="pct"/>
            <w:tcBorders>
              <w:top w:val="nil"/>
              <w:left w:val="nil"/>
              <w:bottom w:val="nil"/>
              <w:right w:val="nil"/>
            </w:tcBorders>
            <w:shd w:val="clear" w:color="auto" w:fill="auto"/>
            <w:noWrap/>
            <w:vAlign w:val="bottom"/>
            <w:hideMark/>
          </w:tcPr>
          <w:p w14:paraId="019D6DD5" w14:textId="77777777" w:rsidR="00234ACB" w:rsidRPr="00234ACB" w:rsidRDefault="00234ACB">
            <w:pPr>
              <w:rPr>
                <w:rFonts w:asciiTheme="majorHAnsi" w:hAnsiTheme="majorHAnsi"/>
                <w:sz w:val="16"/>
                <w:szCs w:val="16"/>
              </w:rPr>
            </w:pPr>
          </w:p>
        </w:tc>
        <w:tc>
          <w:tcPr>
            <w:tcW w:w="858" w:type="pct"/>
            <w:tcBorders>
              <w:top w:val="nil"/>
              <w:left w:val="nil"/>
              <w:bottom w:val="nil"/>
              <w:right w:val="nil"/>
            </w:tcBorders>
            <w:shd w:val="clear" w:color="auto" w:fill="auto"/>
            <w:noWrap/>
            <w:vAlign w:val="bottom"/>
            <w:hideMark/>
          </w:tcPr>
          <w:p w14:paraId="0F8B45CB" w14:textId="77777777" w:rsidR="00234ACB" w:rsidRPr="00234ACB" w:rsidRDefault="00234ACB" w:rsidP="00234ACB">
            <w:pPr>
              <w:jc w:val="right"/>
              <w:rPr>
                <w:rFonts w:asciiTheme="majorHAnsi" w:hAnsiTheme="majorHAnsi"/>
                <w:sz w:val="16"/>
                <w:szCs w:val="16"/>
              </w:rPr>
            </w:pPr>
          </w:p>
        </w:tc>
        <w:tc>
          <w:tcPr>
            <w:tcW w:w="457" w:type="pct"/>
            <w:tcBorders>
              <w:top w:val="nil"/>
              <w:left w:val="nil"/>
              <w:bottom w:val="nil"/>
              <w:right w:val="nil"/>
            </w:tcBorders>
            <w:shd w:val="clear" w:color="auto" w:fill="auto"/>
            <w:noWrap/>
            <w:vAlign w:val="center"/>
            <w:hideMark/>
          </w:tcPr>
          <w:p w14:paraId="6D01462D" w14:textId="77777777" w:rsidR="00234ACB" w:rsidRPr="00234ACB" w:rsidRDefault="00234ACB">
            <w:pPr>
              <w:jc w:val="right"/>
              <w:rPr>
                <w:rFonts w:asciiTheme="majorHAnsi" w:hAnsiTheme="majorHAnsi"/>
                <w:sz w:val="16"/>
                <w:szCs w:val="16"/>
              </w:rPr>
            </w:pPr>
          </w:p>
        </w:tc>
      </w:tr>
      <w:tr w:rsidR="00234ACB" w:rsidRPr="00234ACB" w14:paraId="13BE5C43" w14:textId="77777777" w:rsidTr="00234ACB">
        <w:trPr>
          <w:trHeight w:val="227"/>
          <w:jc w:val="center"/>
        </w:trPr>
        <w:tc>
          <w:tcPr>
            <w:tcW w:w="2536" w:type="pct"/>
            <w:tcBorders>
              <w:top w:val="nil"/>
              <w:left w:val="nil"/>
              <w:bottom w:val="nil"/>
              <w:right w:val="nil"/>
            </w:tcBorders>
            <w:shd w:val="clear" w:color="auto" w:fill="auto"/>
            <w:noWrap/>
            <w:vAlign w:val="bottom"/>
            <w:hideMark/>
          </w:tcPr>
          <w:p w14:paraId="1C34ECDB" w14:textId="77777777" w:rsidR="00234ACB" w:rsidRPr="00234ACB" w:rsidRDefault="00234ACB">
            <w:pPr>
              <w:jc w:val="right"/>
              <w:rPr>
                <w:rFonts w:asciiTheme="majorHAnsi" w:hAnsiTheme="majorHAnsi"/>
                <w:sz w:val="16"/>
                <w:szCs w:val="16"/>
              </w:rPr>
            </w:pPr>
          </w:p>
        </w:tc>
        <w:tc>
          <w:tcPr>
            <w:tcW w:w="1149" w:type="pct"/>
            <w:tcBorders>
              <w:top w:val="nil"/>
              <w:left w:val="nil"/>
              <w:bottom w:val="nil"/>
              <w:right w:val="nil"/>
            </w:tcBorders>
            <w:shd w:val="clear" w:color="auto" w:fill="auto"/>
            <w:noWrap/>
            <w:vAlign w:val="bottom"/>
            <w:hideMark/>
          </w:tcPr>
          <w:p w14:paraId="356F4E26" w14:textId="77777777" w:rsidR="00234ACB" w:rsidRPr="00234ACB" w:rsidRDefault="00234ACB">
            <w:pPr>
              <w:rPr>
                <w:rFonts w:asciiTheme="majorHAnsi" w:hAnsiTheme="majorHAnsi"/>
                <w:sz w:val="16"/>
                <w:szCs w:val="16"/>
              </w:rPr>
            </w:pPr>
          </w:p>
        </w:tc>
        <w:tc>
          <w:tcPr>
            <w:tcW w:w="858" w:type="pct"/>
            <w:tcBorders>
              <w:top w:val="nil"/>
              <w:left w:val="nil"/>
              <w:bottom w:val="nil"/>
              <w:right w:val="nil"/>
            </w:tcBorders>
            <w:shd w:val="clear" w:color="auto" w:fill="auto"/>
            <w:noWrap/>
            <w:vAlign w:val="bottom"/>
            <w:hideMark/>
          </w:tcPr>
          <w:p w14:paraId="0A15D150" w14:textId="77777777" w:rsidR="00234ACB" w:rsidRPr="00234ACB" w:rsidRDefault="00234ACB">
            <w:pPr>
              <w:rPr>
                <w:rFonts w:asciiTheme="majorHAnsi" w:hAnsiTheme="majorHAnsi"/>
                <w:sz w:val="16"/>
                <w:szCs w:val="16"/>
              </w:rPr>
            </w:pPr>
          </w:p>
        </w:tc>
        <w:tc>
          <w:tcPr>
            <w:tcW w:w="457" w:type="pct"/>
            <w:tcBorders>
              <w:top w:val="nil"/>
              <w:left w:val="nil"/>
              <w:bottom w:val="nil"/>
              <w:right w:val="nil"/>
            </w:tcBorders>
            <w:shd w:val="clear" w:color="auto" w:fill="auto"/>
            <w:noWrap/>
            <w:vAlign w:val="center"/>
            <w:hideMark/>
          </w:tcPr>
          <w:p w14:paraId="020BA4CF" w14:textId="77777777" w:rsidR="00234ACB" w:rsidRPr="00234ACB" w:rsidRDefault="00234ACB">
            <w:pPr>
              <w:rPr>
                <w:rFonts w:asciiTheme="majorHAnsi" w:hAnsiTheme="majorHAnsi"/>
                <w:sz w:val="16"/>
                <w:szCs w:val="16"/>
              </w:rPr>
            </w:pPr>
          </w:p>
        </w:tc>
      </w:tr>
      <w:tr w:rsidR="00234ACB" w:rsidRPr="00234ACB" w14:paraId="042399F9" w14:textId="77777777" w:rsidTr="00234ACB">
        <w:trPr>
          <w:trHeight w:val="227"/>
          <w:jc w:val="center"/>
        </w:trPr>
        <w:tc>
          <w:tcPr>
            <w:tcW w:w="5000" w:type="pct"/>
            <w:gridSpan w:val="4"/>
            <w:tcBorders>
              <w:top w:val="nil"/>
              <w:left w:val="nil"/>
              <w:bottom w:val="nil"/>
              <w:right w:val="nil"/>
            </w:tcBorders>
            <w:shd w:val="clear" w:color="auto" w:fill="auto"/>
            <w:noWrap/>
            <w:vAlign w:val="bottom"/>
            <w:hideMark/>
          </w:tcPr>
          <w:p w14:paraId="08E63FA0" w14:textId="77777777" w:rsidR="00234ACB" w:rsidRPr="00234ACB" w:rsidRDefault="00234ACB">
            <w:pPr>
              <w:jc w:val="center"/>
              <w:rPr>
                <w:rFonts w:asciiTheme="majorHAnsi" w:hAnsiTheme="majorHAnsi" w:cs="Arial"/>
                <w:sz w:val="16"/>
                <w:szCs w:val="16"/>
              </w:rPr>
            </w:pPr>
            <w:r w:rsidRPr="00234ACB">
              <w:rPr>
                <w:rFonts w:asciiTheme="majorHAnsi" w:hAnsiTheme="majorHAnsi" w:cs="Arial"/>
                <w:sz w:val="16"/>
                <w:szCs w:val="16"/>
              </w:rPr>
              <w:t>(As Notas Explicativas são parte integrante das demonstrações contábeis intermediárias)</w:t>
            </w:r>
          </w:p>
        </w:tc>
      </w:tr>
    </w:tbl>
    <w:p w14:paraId="7AE2B89B" w14:textId="77777777" w:rsidR="00331A4D" w:rsidRDefault="00331A4D" w:rsidP="002E2B5B">
      <w:pPr>
        <w:pStyle w:val="Ttulo1"/>
        <w:tabs>
          <w:tab w:val="left" w:pos="1701"/>
        </w:tabs>
        <w:ind w:right="-142"/>
        <w:rPr>
          <w:rFonts w:ascii="Calibri" w:hAnsi="Calibri" w:cs="Calibri"/>
          <w:szCs w:val="22"/>
        </w:rPr>
      </w:pPr>
    </w:p>
    <w:tbl>
      <w:tblPr>
        <w:tblW w:w="5000" w:type="pct"/>
        <w:tblCellMar>
          <w:left w:w="70" w:type="dxa"/>
          <w:right w:w="70" w:type="dxa"/>
        </w:tblCellMar>
        <w:tblLook w:val="04A0" w:firstRow="1" w:lastRow="0" w:firstColumn="1" w:lastColumn="0" w:noHBand="0" w:noVBand="1"/>
      </w:tblPr>
      <w:tblGrid>
        <w:gridCol w:w="4691"/>
        <w:gridCol w:w="2458"/>
        <w:gridCol w:w="2144"/>
        <w:gridCol w:w="1166"/>
        <w:gridCol w:w="8"/>
      </w:tblGrid>
      <w:tr w:rsidR="00234ACB" w:rsidRPr="00234ACB" w14:paraId="44987965" w14:textId="77777777" w:rsidTr="009444AA">
        <w:trPr>
          <w:gridAfter w:val="1"/>
          <w:wAfter w:w="4" w:type="pct"/>
          <w:trHeight w:val="227"/>
        </w:trPr>
        <w:tc>
          <w:tcPr>
            <w:tcW w:w="4996" w:type="pct"/>
            <w:gridSpan w:val="4"/>
            <w:tcBorders>
              <w:top w:val="nil"/>
              <w:left w:val="nil"/>
              <w:bottom w:val="nil"/>
              <w:right w:val="nil"/>
            </w:tcBorders>
            <w:shd w:val="clear" w:color="auto" w:fill="auto"/>
            <w:noWrap/>
            <w:vAlign w:val="bottom"/>
            <w:hideMark/>
          </w:tcPr>
          <w:p w14:paraId="3E2FA34C" w14:textId="77777777" w:rsidR="00234ACB" w:rsidRPr="00234ACB" w:rsidRDefault="00234ACB">
            <w:pPr>
              <w:jc w:val="center"/>
              <w:rPr>
                <w:rFonts w:asciiTheme="majorHAnsi" w:hAnsiTheme="majorHAnsi" w:cs="Arial"/>
                <w:b/>
                <w:bCs/>
                <w:sz w:val="16"/>
                <w:szCs w:val="16"/>
              </w:rPr>
            </w:pPr>
            <w:r w:rsidRPr="00234ACB">
              <w:rPr>
                <w:rFonts w:asciiTheme="majorHAnsi" w:hAnsiTheme="majorHAnsi" w:cs="Arial"/>
                <w:b/>
                <w:bCs/>
                <w:sz w:val="16"/>
                <w:szCs w:val="16"/>
              </w:rPr>
              <w:t>VALEC ENGENHARIA, CONSTRUÇÕES E FERROVIAS S/A</w:t>
            </w:r>
          </w:p>
        </w:tc>
      </w:tr>
      <w:tr w:rsidR="00234ACB" w:rsidRPr="00234ACB" w14:paraId="4E752EF3" w14:textId="77777777" w:rsidTr="009444AA">
        <w:trPr>
          <w:gridAfter w:val="1"/>
          <w:wAfter w:w="4" w:type="pct"/>
          <w:trHeight w:val="227"/>
        </w:trPr>
        <w:tc>
          <w:tcPr>
            <w:tcW w:w="4996" w:type="pct"/>
            <w:gridSpan w:val="4"/>
            <w:tcBorders>
              <w:top w:val="nil"/>
              <w:left w:val="nil"/>
              <w:bottom w:val="nil"/>
              <w:right w:val="nil"/>
            </w:tcBorders>
            <w:shd w:val="clear" w:color="auto" w:fill="auto"/>
            <w:noWrap/>
            <w:vAlign w:val="bottom"/>
            <w:hideMark/>
          </w:tcPr>
          <w:p w14:paraId="2875E8EA" w14:textId="77777777" w:rsidR="00234ACB" w:rsidRPr="00234ACB" w:rsidRDefault="00234ACB">
            <w:pPr>
              <w:jc w:val="center"/>
              <w:rPr>
                <w:rFonts w:asciiTheme="majorHAnsi" w:hAnsiTheme="majorHAnsi" w:cs="Arial"/>
                <w:b/>
                <w:bCs/>
                <w:sz w:val="16"/>
                <w:szCs w:val="16"/>
              </w:rPr>
            </w:pPr>
            <w:r w:rsidRPr="00234ACB">
              <w:rPr>
                <w:rFonts w:asciiTheme="majorHAnsi" w:hAnsiTheme="majorHAnsi" w:cs="Arial"/>
                <w:b/>
                <w:bCs/>
                <w:sz w:val="16"/>
                <w:szCs w:val="16"/>
              </w:rPr>
              <w:t>BALANÇO PATRIMONIAL</w:t>
            </w:r>
          </w:p>
        </w:tc>
      </w:tr>
      <w:tr w:rsidR="00234ACB" w:rsidRPr="00234ACB" w14:paraId="3CFD2BF0" w14:textId="77777777" w:rsidTr="009444AA">
        <w:trPr>
          <w:gridAfter w:val="1"/>
          <w:wAfter w:w="4" w:type="pct"/>
          <w:trHeight w:val="227"/>
        </w:trPr>
        <w:tc>
          <w:tcPr>
            <w:tcW w:w="4996" w:type="pct"/>
            <w:gridSpan w:val="4"/>
            <w:tcBorders>
              <w:top w:val="nil"/>
              <w:left w:val="nil"/>
              <w:bottom w:val="nil"/>
              <w:right w:val="nil"/>
            </w:tcBorders>
            <w:shd w:val="clear" w:color="auto" w:fill="auto"/>
            <w:noWrap/>
            <w:vAlign w:val="bottom"/>
            <w:hideMark/>
          </w:tcPr>
          <w:p w14:paraId="0097073C" w14:textId="77777777" w:rsidR="00234ACB" w:rsidRPr="00234ACB" w:rsidRDefault="00234ACB">
            <w:pPr>
              <w:jc w:val="center"/>
              <w:rPr>
                <w:rFonts w:asciiTheme="majorHAnsi" w:hAnsiTheme="majorHAnsi" w:cs="Arial"/>
                <w:b/>
                <w:bCs/>
                <w:sz w:val="16"/>
                <w:szCs w:val="16"/>
              </w:rPr>
            </w:pPr>
            <w:r w:rsidRPr="00234ACB">
              <w:rPr>
                <w:rFonts w:asciiTheme="majorHAnsi" w:hAnsiTheme="majorHAnsi" w:cs="Arial"/>
                <w:b/>
                <w:bCs/>
                <w:sz w:val="16"/>
                <w:szCs w:val="16"/>
              </w:rPr>
              <w:t>2º TRIMESTRE 2021</w:t>
            </w:r>
          </w:p>
        </w:tc>
      </w:tr>
      <w:tr w:rsidR="00234ACB" w:rsidRPr="00234ACB" w14:paraId="33147499" w14:textId="77777777" w:rsidTr="009444AA">
        <w:trPr>
          <w:gridAfter w:val="1"/>
          <w:wAfter w:w="4" w:type="pct"/>
          <w:trHeight w:val="227"/>
        </w:trPr>
        <w:tc>
          <w:tcPr>
            <w:tcW w:w="4996" w:type="pct"/>
            <w:gridSpan w:val="4"/>
            <w:tcBorders>
              <w:top w:val="nil"/>
              <w:left w:val="nil"/>
              <w:bottom w:val="nil"/>
              <w:right w:val="nil"/>
            </w:tcBorders>
            <w:shd w:val="clear" w:color="auto" w:fill="auto"/>
            <w:noWrap/>
            <w:vAlign w:val="bottom"/>
            <w:hideMark/>
          </w:tcPr>
          <w:p w14:paraId="2059E0DE" w14:textId="59F14B72" w:rsidR="00234ACB" w:rsidRPr="00234ACB" w:rsidRDefault="00234ACB">
            <w:pPr>
              <w:jc w:val="center"/>
              <w:rPr>
                <w:rFonts w:asciiTheme="majorHAnsi" w:hAnsiTheme="majorHAnsi" w:cs="Arial"/>
                <w:b/>
                <w:bCs/>
                <w:sz w:val="16"/>
                <w:szCs w:val="16"/>
              </w:rPr>
            </w:pPr>
            <w:r w:rsidRPr="00234ACB">
              <w:rPr>
                <w:rFonts w:asciiTheme="majorHAnsi" w:hAnsiTheme="majorHAnsi" w:cs="Arial"/>
                <w:b/>
                <w:bCs/>
                <w:sz w:val="16"/>
                <w:szCs w:val="16"/>
              </w:rPr>
              <w:t xml:space="preserve">PA S </w:t>
            </w:r>
            <w:proofErr w:type="spellStart"/>
            <w:r w:rsidRPr="00234ACB">
              <w:rPr>
                <w:rFonts w:asciiTheme="majorHAnsi" w:hAnsiTheme="majorHAnsi" w:cs="Arial"/>
                <w:b/>
                <w:bCs/>
                <w:sz w:val="16"/>
                <w:szCs w:val="16"/>
              </w:rPr>
              <w:t>S</w:t>
            </w:r>
            <w:proofErr w:type="spellEnd"/>
            <w:r w:rsidRPr="00234ACB">
              <w:rPr>
                <w:rFonts w:asciiTheme="majorHAnsi" w:hAnsiTheme="majorHAnsi" w:cs="Arial"/>
                <w:b/>
                <w:bCs/>
                <w:sz w:val="16"/>
                <w:szCs w:val="16"/>
              </w:rPr>
              <w:t xml:space="preserve"> I V O (R$)</w:t>
            </w:r>
          </w:p>
        </w:tc>
      </w:tr>
      <w:tr w:rsidR="009444AA" w:rsidRPr="00234ACB" w14:paraId="15745B14" w14:textId="77777777" w:rsidTr="009444AA">
        <w:trPr>
          <w:trHeight w:val="227"/>
        </w:trPr>
        <w:tc>
          <w:tcPr>
            <w:tcW w:w="2241" w:type="pct"/>
            <w:tcBorders>
              <w:top w:val="nil"/>
              <w:left w:val="nil"/>
              <w:bottom w:val="nil"/>
              <w:right w:val="nil"/>
            </w:tcBorders>
            <w:shd w:val="clear" w:color="auto" w:fill="auto"/>
            <w:noWrap/>
            <w:vAlign w:val="bottom"/>
            <w:hideMark/>
          </w:tcPr>
          <w:p w14:paraId="32C9E427" w14:textId="77777777" w:rsidR="00234ACB" w:rsidRPr="00234ACB" w:rsidRDefault="00234ACB">
            <w:pPr>
              <w:jc w:val="center"/>
              <w:rPr>
                <w:rFonts w:asciiTheme="majorHAnsi" w:hAnsiTheme="majorHAnsi" w:cs="Arial"/>
                <w:b/>
                <w:bCs/>
                <w:sz w:val="16"/>
                <w:szCs w:val="16"/>
              </w:rPr>
            </w:pPr>
          </w:p>
        </w:tc>
        <w:tc>
          <w:tcPr>
            <w:tcW w:w="1174" w:type="pct"/>
            <w:tcBorders>
              <w:top w:val="nil"/>
              <w:left w:val="nil"/>
              <w:bottom w:val="nil"/>
              <w:right w:val="nil"/>
            </w:tcBorders>
            <w:shd w:val="clear" w:color="auto" w:fill="auto"/>
            <w:noWrap/>
            <w:vAlign w:val="bottom"/>
            <w:hideMark/>
          </w:tcPr>
          <w:p w14:paraId="06428C74" w14:textId="77777777" w:rsidR="00234ACB" w:rsidRPr="00234ACB" w:rsidRDefault="00234ACB">
            <w:pPr>
              <w:jc w:val="center"/>
              <w:rPr>
                <w:rFonts w:asciiTheme="majorHAnsi" w:hAnsiTheme="majorHAnsi"/>
                <w:sz w:val="16"/>
                <w:szCs w:val="16"/>
              </w:rPr>
            </w:pPr>
          </w:p>
        </w:tc>
        <w:tc>
          <w:tcPr>
            <w:tcW w:w="1024" w:type="pct"/>
            <w:tcBorders>
              <w:top w:val="nil"/>
              <w:left w:val="nil"/>
              <w:bottom w:val="nil"/>
              <w:right w:val="nil"/>
            </w:tcBorders>
            <w:shd w:val="clear" w:color="auto" w:fill="auto"/>
            <w:noWrap/>
            <w:vAlign w:val="bottom"/>
            <w:hideMark/>
          </w:tcPr>
          <w:p w14:paraId="42130147" w14:textId="77777777" w:rsidR="00234ACB" w:rsidRPr="00234ACB" w:rsidRDefault="00234ACB">
            <w:pPr>
              <w:jc w:val="center"/>
              <w:rPr>
                <w:rFonts w:asciiTheme="majorHAnsi" w:hAnsiTheme="majorHAnsi"/>
                <w:sz w:val="16"/>
                <w:szCs w:val="16"/>
              </w:rPr>
            </w:pPr>
          </w:p>
        </w:tc>
        <w:tc>
          <w:tcPr>
            <w:tcW w:w="561" w:type="pct"/>
            <w:gridSpan w:val="2"/>
            <w:tcBorders>
              <w:top w:val="nil"/>
              <w:left w:val="nil"/>
              <w:bottom w:val="nil"/>
              <w:right w:val="nil"/>
            </w:tcBorders>
            <w:shd w:val="clear" w:color="auto" w:fill="auto"/>
            <w:noWrap/>
            <w:vAlign w:val="center"/>
            <w:hideMark/>
          </w:tcPr>
          <w:p w14:paraId="6E24D10A" w14:textId="77777777" w:rsidR="00234ACB" w:rsidRPr="00234ACB" w:rsidRDefault="00234ACB">
            <w:pPr>
              <w:jc w:val="center"/>
              <w:rPr>
                <w:rFonts w:asciiTheme="majorHAnsi" w:hAnsiTheme="majorHAnsi"/>
                <w:sz w:val="16"/>
                <w:szCs w:val="16"/>
              </w:rPr>
            </w:pPr>
          </w:p>
        </w:tc>
      </w:tr>
      <w:tr w:rsidR="009444AA" w:rsidRPr="00234ACB" w14:paraId="101E7CE8" w14:textId="77777777" w:rsidTr="009444AA">
        <w:trPr>
          <w:trHeight w:val="227"/>
        </w:trPr>
        <w:tc>
          <w:tcPr>
            <w:tcW w:w="2241" w:type="pct"/>
            <w:tcBorders>
              <w:top w:val="nil"/>
              <w:left w:val="nil"/>
              <w:bottom w:val="nil"/>
              <w:right w:val="nil"/>
            </w:tcBorders>
            <w:shd w:val="clear" w:color="auto" w:fill="auto"/>
            <w:noWrap/>
            <w:vAlign w:val="bottom"/>
            <w:hideMark/>
          </w:tcPr>
          <w:p w14:paraId="2BD6DE37" w14:textId="77777777" w:rsidR="00234ACB" w:rsidRPr="00234ACB" w:rsidRDefault="00234ACB">
            <w:pPr>
              <w:jc w:val="center"/>
              <w:rPr>
                <w:rFonts w:asciiTheme="majorHAnsi" w:hAnsiTheme="majorHAnsi"/>
                <w:sz w:val="16"/>
                <w:szCs w:val="16"/>
              </w:rPr>
            </w:pPr>
          </w:p>
        </w:tc>
        <w:tc>
          <w:tcPr>
            <w:tcW w:w="1174" w:type="pct"/>
            <w:tcBorders>
              <w:top w:val="nil"/>
              <w:left w:val="nil"/>
              <w:bottom w:val="nil"/>
              <w:right w:val="nil"/>
            </w:tcBorders>
            <w:shd w:val="clear" w:color="auto" w:fill="auto"/>
            <w:noWrap/>
            <w:vAlign w:val="bottom"/>
            <w:hideMark/>
          </w:tcPr>
          <w:p w14:paraId="6D17B68D" w14:textId="77777777" w:rsidR="00234ACB" w:rsidRPr="00234ACB" w:rsidRDefault="00234ACB">
            <w:pPr>
              <w:jc w:val="right"/>
              <w:rPr>
                <w:rFonts w:asciiTheme="majorHAnsi" w:hAnsiTheme="majorHAnsi" w:cs="Arial"/>
                <w:b/>
                <w:bCs/>
                <w:sz w:val="16"/>
                <w:szCs w:val="16"/>
              </w:rPr>
            </w:pPr>
            <w:r w:rsidRPr="00234ACB">
              <w:rPr>
                <w:rFonts w:asciiTheme="majorHAnsi" w:hAnsiTheme="majorHAnsi" w:cs="Arial"/>
                <w:b/>
                <w:bCs/>
                <w:sz w:val="16"/>
                <w:szCs w:val="16"/>
              </w:rPr>
              <w:t>30/06/2021</w:t>
            </w:r>
          </w:p>
        </w:tc>
        <w:tc>
          <w:tcPr>
            <w:tcW w:w="1024" w:type="pct"/>
            <w:tcBorders>
              <w:top w:val="nil"/>
              <w:left w:val="nil"/>
              <w:bottom w:val="nil"/>
              <w:right w:val="nil"/>
            </w:tcBorders>
            <w:shd w:val="clear" w:color="auto" w:fill="auto"/>
            <w:noWrap/>
            <w:vAlign w:val="bottom"/>
            <w:hideMark/>
          </w:tcPr>
          <w:p w14:paraId="41C31F81" w14:textId="77777777" w:rsidR="00234ACB" w:rsidRPr="00234ACB" w:rsidRDefault="00234ACB">
            <w:pPr>
              <w:jc w:val="right"/>
              <w:rPr>
                <w:rFonts w:asciiTheme="majorHAnsi" w:hAnsiTheme="majorHAnsi" w:cs="Arial"/>
                <w:b/>
                <w:bCs/>
                <w:sz w:val="16"/>
                <w:szCs w:val="16"/>
              </w:rPr>
            </w:pPr>
            <w:r w:rsidRPr="00234ACB">
              <w:rPr>
                <w:rFonts w:asciiTheme="majorHAnsi" w:hAnsiTheme="majorHAnsi" w:cs="Arial"/>
                <w:b/>
                <w:bCs/>
                <w:sz w:val="16"/>
                <w:szCs w:val="16"/>
              </w:rPr>
              <w:t>31/12/2020</w:t>
            </w:r>
          </w:p>
        </w:tc>
        <w:tc>
          <w:tcPr>
            <w:tcW w:w="561" w:type="pct"/>
            <w:gridSpan w:val="2"/>
            <w:tcBorders>
              <w:top w:val="nil"/>
              <w:left w:val="nil"/>
              <w:bottom w:val="nil"/>
              <w:right w:val="nil"/>
            </w:tcBorders>
            <w:shd w:val="clear" w:color="auto" w:fill="auto"/>
            <w:noWrap/>
            <w:vAlign w:val="center"/>
            <w:hideMark/>
          </w:tcPr>
          <w:p w14:paraId="759C816F" w14:textId="20C72851" w:rsidR="00234ACB" w:rsidRPr="00234ACB" w:rsidRDefault="00234ACB" w:rsidP="009444AA">
            <w:pPr>
              <w:jc w:val="center"/>
              <w:rPr>
                <w:rFonts w:asciiTheme="majorHAnsi" w:hAnsiTheme="majorHAnsi" w:cs="Arial"/>
                <w:b/>
                <w:bCs/>
                <w:sz w:val="16"/>
                <w:szCs w:val="16"/>
              </w:rPr>
            </w:pPr>
            <w:r w:rsidRPr="00234ACB">
              <w:rPr>
                <w:rFonts w:asciiTheme="majorHAnsi" w:hAnsiTheme="majorHAnsi" w:cs="Arial"/>
                <w:b/>
                <w:bCs/>
                <w:sz w:val="16"/>
                <w:szCs w:val="16"/>
              </w:rPr>
              <w:t>Nota</w:t>
            </w:r>
          </w:p>
        </w:tc>
      </w:tr>
      <w:tr w:rsidR="009444AA" w:rsidRPr="00234ACB" w14:paraId="1A92D732" w14:textId="77777777" w:rsidTr="009444AA">
        <w:trPr>
          <w:trHeight w:val="227"/>
        </w:trPr>
        <w:tc>
          <w:tcPr>
            <w:tcW w:w="2241" w:type="pct"/>
            <w:tcBorders>
              <w:top w:val="nil"/>
              <w:left w:val="nil"/>
              <w:bottom w:val="nil"/>
              <w:right w:val="nil"/>
            </w:tcBorders>
            <w:shd w:val="clear" w:color="auto" w:fill="auto"/>
            <w:noWrap/>
            <w:vAlign w:val="bottom"/>
            <w:hideMark/>
          </w:tcPr>
          <w:p w14:paraId="7CAA943D" w14:textId="77777777" w:rsidR="00234ACB" w:rsidRPr="00234ACB" w:rsidRDefault="00234ACB">
            <w:pPr>
              <w:jc w:val="center"/>
              <w:rPr>
                <w:rFonts w:asciiTheme="majorHAnsi" w:hAnsiTheme="majorHAnsi"/>
                <w:sz w:val="16"/>
                <w:szCs w:val="16"/>
              </w:rPr>
            </w:pPr>
          </w:p>
        </w:tc>
        <w:tc>
          <w:tcPr>
            <w:tcW w:w="1174" w:type="pct"/>
            <w:tcBorders>
              <w:top w:val="nil"/>
              <w:left w:val="nil"/>
              <w:bottom w:val="nil"/>
              <w:right w:val="nil"/>
            </w:tcBorders>
            <w:shd w:val="clear" w:color="auto" w:fill="auto"/>
            <w:noWrap/>
            <w:vAlign w:val="bottom"/>
            <w:hideMark/>
          </w:tcPr>
          <w:p w14:paraId="3705DEB3" w14:textId="77777777" w:rsidR="00234ACB" w:rsidRPr="00234ACB" w:rsidRDefault="00234ACB">
            <w:pPr>
              <w:jc w:val="center"/>
              <w:rPr>
                <w:rFonts w:asciiTheme="majorHAnsi" w:hAnsiTheme="majorHAnsi"/>
                <w:sz w:val="16"/>
                <w:szCs w:val="16"/>
              </w:rPr>
            </w:pPr>
          </w:p>
        </w:tc>
        <w:tc>
          <w:tcPr>
            <w:tcW w:w="1024" w:type="pct"/>
            <w:tcBorders>
              <w:top w:val="nil"/>
              <w:left w:val="nil"/>
              <w:bottom w:val="nil"/>
              <w:right w:val="nil"/>
            </w:tcBorders>
            <w:shd w:val="clear" w:color="auto" w:fill="auto"/>
            <w:noWrap/>
            <w:vAlign w:val="bottom"/>
            <w:hideMark/>
          </w:tcPr>
          <w:p w14:paraId="773D3A49" w14:textId="77777777" w:rsidR="00234ACB" w:rsidRPr="00234ACB" w:rsidRDefault="00234ACB">
            <w:pPr>
              <w:jc w:val="right"/>
              <w:rPr>
                <w:rFonts w:asciiTheme="majorHAnsi" w:hAnsiTheme="majorHAnsi"/>
                <w:sz w:val="16"/>
                <w:szCs w:val="16"/>
              </w:rPr>
            </w:pPr>
          </w:p>
        </w:tc>
        <w:tc>
          <w:tcPr>
            <w:tcW w:w="561" w:type="pct"/>
            <w:gridSpan w:val="2"/>
            <w:tcBorders>
              <w:top w:val="nil"/>
              <w:left w:val="nil"/>
              <w:bottom w:val="nil"/>
              <w:right w:val="nil"/>
            </w:tcBorders>
            <w:shd w:val="clear" w:color="auto" w:fill="auto"/>
            <w:noWrap/>
            <w:vAlign w:val="center"/>
            <w:hideMark/>
          </w:tcPr>
          <w:p w14:paraId="02F20ABE" w14:textId="77777777" w:rsidR="00234ACB" w:rsidRPr="00234ACB" w:rsidRDefault="00234ACB" w:rsidP="009444AA">
            <w:pPr>
              <w:jc w:val="center"/>
              <w:rPr>
                <w:rFonts w:asciiTheme="majorHAnsi" w:hAnsiTheme="majorHAnsi"/>
                <w:sz w:val="16"/>
                <w:szCs w:val="16"/>
              </w:rPr>
            </w:pPr>
          </w:p>
        </w:tc>
      </w:tr>
      <w:tr w:rsidR="009444AA" w:rsidRPr="00234ACB" w14:paraId="02E9CC54" w14:textId="77777777" w:rsidTr="009444AA">
        <w:trPr>
          <w:trHeight w:val="227"/>
        </w:trPr>
        <w:tc>
          <w:tcPr>
            <w:tcW w:w="2241" w:type="pct"/>
            <w:tcBorders>
              <w:top w:val="nil"/>
              <w:left w:val="nil"/>
              <w:bottom w:val="nil"/>
              <w:right w:val="nil"/>
            </w:tcBorders>
            <w:shd w:val="clear" w:color="auto" w:fill="auto"/>
            <w:noWrap/>
            <w:vAlign w:val="bottom"/>
            <w:hideMark/>
          </w:tcPr>
          <w:p w14:paraId="15A9EE42"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PASSIVO CIRCULANTE</w:t>
            </w:r>
          </w:p>
        </w:tc>
        <w:tc>
          <w:tcPr>
            <w:tcW w:w="1174" w:type="pct"/>
            <w:tcBorders>
              <w:top w:val="nil"/>
              <w:left w:val="nil"/>
              <w:bottom w:val="nil"/>
              <w:right w:val="nil"/>
            </w:tcBorders>
            <w:shd w:val="clear" w:color="auto" w:fill="auto"/>
            <w:noWrap/>
            <w:vAlign w:val="bottom"/>
            <w:hideMark/>
          </w:tcPr>
          <w:p w14:paraId="33262A13" w14:textId="77777777" w:rsidR="00234ACB" w:rsidRPr="00234ACB" w:rsidRDefault="00234ACB">
            <w:pPr>
              <w:jc w:val="right"/>
              <w:rPr>
                <w:rFonts w:asciiTheme="majorHAnsi" w:hAnsiTheme="majorHAnsi" w:cs="Arial"/>
                <w:b/>
                <w:bCs/>
                <w:sz w:val="16"/>
                <w:szCs w:val="16"/>
              </w:rPr>
            </w:pPr>
            <w:r w:rsidRPr="00234ACB">
              <w:rPr>
                <w:rFonts w:asciiTheme="majorHAnsi" w:hAnsiTheme="majorHAnsi" w:cs="Arial"/>
                <w:b/>
                <w:bCs/>
                <w:sz w:val="16"/>
                <w:szCs w:val="16"/>
              </w:rPr>
              <w:t xml:space="preserve">                      342.336.318 </w:t>
            </w:r>
          </w:p>
        </w:tc>
        <w:tc>
          <w:tcPr>
            <w:tcW w:w="1024" w:type="pct"/>
            <w:tcBorders>
              <w:top w:val="nil"/>
              <w:left w:val="nil"/>
              <w:bottom w:val="nil"/>
              <w:right w:val="nil"/>
            </w:tcBorders>
            <w:shd w:val="clear" w:color="auto" w:fill="auto"/>
            <w:noWrap/>
            <w:vAlign w:val="bottom"/>
            <w:hideMark/>
          </w:tcPr>
          <w:p w14:paraId="5A28FB69" w14:textId="77777777" w:rsidR="00234ACB" w:rsidRPr="00234ACB" w:rsidRDefault="00234ACB">
            <w:pPr>
              <w:jc w:val="right"/>
              <w:rPr>
                <w:rFonts w:asciiTheme="majorHAnsi" w:hAnsiTheme="majorHAnsi" w:cs="Arial"/>
                <w:b/>
                <w:bCs/>
                <w:sz w:val="16"/>
                <w:szCs w:val="16"/>
              </w:rPr>
            </w:pPr>
            <w:r w:rsidRPr="00234ACB">
              <w:rPr>
                <w:rFonts w:asciiTheme="majorHAnsi" w:hAnsiTheme="majorHAnsi" w:cs="Arial"/>
                <w:b/>
                <w:bCs/>
                <w:sz w:val="16"/>
                <w:szCs w:val="16"/>
              </w:rPr>
              <w:t xml:space="preserve">                318.636.324 </w:t>
            </w:r>
          </w:p>
        </w:tc>
        <w:tc>
          <w:tcPr>
            <w:tcW w:w="561" w:type="pct"/>
            <w:gridSpan w:val="2"/>
            <w:tcBorders>
              <w:top w:val="nil"/>
              <w:left w:val="nil"/>
              <w:bottom w:val="nil"/>
              <w:right w:val="nil"/>
            </w:tcBorders>
            <w:shd w:val="clear" w:color="auto" w:fill="auto"/>
            <w:noWrap/>
            <w:vAlign w:val="center"/>
            <w:hideMark/>
          </w:tcPr>
          <w:p w14:paraId="7141C32F" w14:textId="77777777" w:rsidR="00234ACB" w:rsidRPr="00234ACB" w:rsidRDefault="00234ACB" w:rsidP="009444AA">
            <w:pPr>
              <w:jc w:val="center"/>
              <w:rPr>
                <w:rFonts w:asciiTheme="majorHAnsi" w:hAnsiTheme="majorHAnsi" w:cs="Arial"/>
                <w:b/>
                <w:bCs/>
                <w:sz w:val="16"/>
                <w:szCs w:val="16"/>
              </w:rPr>
            </w:pPr>
          </w:p>
        </w:tc>
      </w:tr>
      <w:tr w:rsidR="009444AA" w:rsidRPr="00234ACB" w14:paraId="13F8AC53" w14:textId="77777777" w:rsidTr="009444AA">
        <w:trPr>
          <w:trHeight w:val="227"/>
        </w:trPr>
        <w:tc>
          <w:tcPr>
            <w:tcW w:w="2241" w:type="pct"/>
            <w:tcBorders>
              <w:top w:val="nil"/>
              <w:left w:val="nil"/>
              <w:bottom w:val="nil"/>
              <w:right w:val="nil"/>
            </w:tcBorders>
            <w:shd w:val="clear" w:color="auto" w:fill="auto"/>
            <w:noWrap/>
            <w:vAlign w:val="bottom"/>
            <w:hideMark/>
          </w:tcPr>
          <w:p w14:paraId="5E505581"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Fornecedores e Desapropriação a pagar</w:t>
            </w:r>
          </w:p>
        </w:tc>
        <w:tc>
          <w:tcPr>
            <w:tcW w:w="1174" w:type="pct"/>
            <w:tcBorders>
              <w:top w:val="nil"/>
              <w:left w:val="nil"/>
              <w:bottom w:val="nil"/>
              <w:right w:val="nil"/>
            </w:tcBorders>
            <w:shd w:val="clear" w:color="auto" w:fill="auto"/>
            <w:noWrap/>
            <w:vAlign w:val="bottom"/>
            <w:hideMark/>
          </w:tcPr>
          <w:p w14:paraId="4AED2F66"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5.905.789 </w:t>
            </w:r>
          </w:p>
        </w:tc>
        <w:tc>
          <w:tcPr>
            <w:tcW w:w="1024" w:type="pct"/>
            <w:tcBorders>
              <w:top w:val="nil"/>
              <w:left w:val="nil"/>
              <w:bottom w:val="nil"/>
              <w:right w:val="nil"/>
            </w:tcBorders>
            <w:shd w:val="clear" w:color="auto" w:fill="auto"/>
            <w:noWrap/>
            <w:vAlign w:val="bottom"/>
            <w:hideMark/>
          </w:tcPr>
          <w:p w14:paraId="08403E5D"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   </w:t>
            </w:r>
          </w:p>
        </w:tc>
        <w:tc>
          <w:tcPr>
            <w:tcW w:w="561" w:type="pct"/>
            <w:gridSpan w:val="2"/>
            <w:tcBorders>
              <w:top w:val="nil"/>
              <w:left w:val="nil"/>
              <w:bottom w:val="nil"/>
              <w:right w:val="nil"/>
            </w:tcBorders>
            <w:shd w:val="clear" w:color="auto" w:fill="auto"/>
            <w:noWrap/>
            <w:vAlign w:val="center"/>
            <w:hideMark/>
          </w:tcPr>
          <w:p w14:paraId="23A53540" w14:textId="77777777" w:rsidR="00234ACB" w:rsidRPr="00234ACB" w:rsidRDefault="00234ACB" w:rsidP="009444AA">
            <w:pPr>
              <w:jc w:val="center"/>
              <w:rPr>
                <w:rFonts w:asciiTheme="majorHAnsi" w:hAnsiTheme="majorHAnsi" w:cs="Arial"/>
                <w:sz w:val="16"/>
                <w:szCs w:val="16"/>
              </w:rPr>
            </w:pPr>
            <w:r w:rsidRPr="00234ACB">
              <w:rPr>
                <w:rFonts w:asciiTheme="majorHAnsi" w:hAnsiTheme="majorHAnsi" w:cs="Arial"/>
                <w:sz w:val="16"/>
                <w:szCs w:val="16"/>
              </w:rPr>
              <w:t>(10a)</w:t>
            </w:r>
          </w:p>
        </w:tc>
      </w:tr>
      <w:tr w:rsidR="009444AA" w:rsidRPr="00234ACB" w14:paraId="19419881" w14:textId="77777777" w:rsidTr="009444AA">
        <w:trPr>
          <w:trHeight w:val="227"/>
        </w:trPr>
        <w:tc>
          <w:tcPr>
            <w:tcW w:w="2241" w:type="pct"/>
            <w:tcBorders>
              <w:top w:val="nil"/>
              <w:left w:val="nil"/>
              <w:bottom w:val="nil"/>
              <w:right w:val="nil"/>
            </w:tcBorders>
            <w:shd w:val="clear" w:color="auto" w:fill="auto"/>
            <w:noWrap/>
            <w:vAlign w:val="bottom"/>
            <w:hideMark/>
          </w:tcPr>
          <w:p w14:paraId="45F797FC"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Provisão de 13º salário e férias c/encargos  </w:t>
            </w:r>
          </w:p>
        </w:tc>
        <w:tc>
          <w:tcPr>
            <w:tcW w:w="1174" w:type="pct"/>
            <w:tcBorders>
              <w:top w:val="nil"/>
              <w:left w:val="nil"/>
              <w:bottom w:val="nil"/>
              <w:right w:val="nil"/>
            </w:tcBorders>
            <w:shd w:val="clear" w:color="auto" w:fill="auto"/>
            <w:noWrap/>
            <w:vAlign w:val="bottom"/>
            <w:hideMark/>
          </w:tcPr>
          <w:p w14:paraId="468E825A"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17.712.574 </w:t>
            </w:r>
          </w:p>
        </w:tc>
        <w:tc>
          <w:tcPr>
            <w:tcW w:w="1024" w:type="pct"/>
            <w:tcBorders>
              <w:top w:val="nil"/>
              <w:left w:val="nil"/>
              <w:bottom w:val="nil"/>
              <w:right w:val="nil"/>
            </w:tcBorders>
            <w:shd w:val="clear" w:color="auto" w:fill="auto"/>
            <w:noWrap/>
            <w:vAlign w:val="bottom"/>
            <w:hideMark/>
          </w:tcPr>
          <w:p w14:paraId="642B8E6F"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14.675.584 </w:t>
            </w:r>
          </w:p>
        </w:tc>
        <w:tc>
          <w:tcPr>
            <w:tcW w:w="561" w:type="pct"/>
            <w:gridSpan w:val="2"/>
            <w:tcBorders>
              <w:top w:val="nil"/>
              <w:left w:val="nil"/>
              <w:bottom w:val="nil"/>
              <w:right w:val="nil"/>
            </w:tcBorders>
            <w:shd w:val="clear" w:color="auto" w:fill="auto"/>
            <w:noWrap/>
            <w:vAlign w:val="center"/>
            <w:hideMark/>
          </w:tcPr>
          <w:p w14:paraId="76042D0F" w14:textId="77777777" w:rsidR="00234ACB" w:rsidRPr="00234ACB" w:rsidRDefault="00234ACB" w:rsidP="009444AA">
            <w:pPr>
              <w:jc w:val="center"/>
              <w:rPr>
                <w:rFonts w:asciiTheme="majorHAnsi" w:hAnsiTheme="majorHAnsi" w:cs="Arial"/>
                <w:sz w:val="16"/>
                <w:szCs w:val="16"/>
              </w:rPr>
            </w:pPr>
            <w:r w:rsidRPr="00234ACB">
              <w:rPr>
                <w:rFonts w:asciiTheme="majorHAnsi" w:hAnsiTheme="majorHAnsi" w:cs="Arial"/>
                <w:sz w:val="16"/>
                <w:szCs w:val="16"/>
              </w:rPr>
              <w:t>(10b)</w:t>
            </w:r>
          </w:p>
        </w:tc>
      </w:tr>
      <w:tr w:rsidR="009444AA" w:rsidRPr="00234ACB" w14:paraId="09873D2B" w14:textId="77777777" w:rsidTr="009444AA">
        <w:trPr>
          <w:trHeight w:val="227"/>
        </w:trPr>
        <w:tc>
          <w:tcPr>
            <w:tcW w:w="2241" w:type="pct"/>
            <w:tcBorders>
              <w:top w:val="nil"/>
              <w:left w:val="nil"/>
              <w:bottom w:val="nil"/>
              <w:right w:val="nil"/>
            </w:tcBorders>
            <w:shd w:val="clear" w:color="auto" w:fill="auto"/>
            <w:noWrap/>
            <w:vAlign w:val="bottom"/>
            <w:hideMark/>
          </w:tcPr>
          <w:p w14:paraId="048450AD"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Salários a pagar</w:t>
            </w:r>
          </w:p>
        </w:tc>
        <w:tc>
          <w:tcPr>
            <w:tcW w:w="1174" w:type="pct"/>
            <w:tcBorders>
              <w:top w:val="nil"/>
              <w:left w:val="nil"/>
              <w:bottom w:val="nil"/>
              <w:right w:val="nil"/>
            </w:tcBorders>
            <w:shd w:val="clear" w:color="auto" w:fill="auto"/>
            <w:noWrap/>
            <w:vAlign w:val="bottom"/>
            <w:hideMark/>
          </w:tcPr>
          <w:p w14:paraId="6317BF15"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6.579.032 </w:t>
            </w:r>
          </w:p>
        </w:tc>
        <w:tc>
          <w:tcPr>
            <w:tcW w:w="1024" w:type="pct"/>
            <w:tcBorders>
              <w:top w:val="nil"/>
              <w:left w:val="nil"/>
              <w:bottom w:val="nil"/>
              <w:right w:val="nil"/>
            </w:tcBorders>
            <w:shd w:val="clear" w:color="auto" w:fill="auto"/>
            <w:noWrap/>
            <w:vAlign w:val="bottom"/>
            <w:hideMark/>
          </w:tcPr>
          <w:p w14:paraId="210A7859"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5.559.214 </w:t>
            </w:r>
          </w:p>
        </w:tc>
        <w:tc>
          <w:tcPr>
            <w:tcW w:w="561" w:type="pct"/>
            <w:gridSpan w:val="2"/>
            <w:tcBorders>
              <w:top w:val="nil"/>
              <w:left w:val="nil"/>
              <w:bottom w:val="nil"/>
              <w:right w:val="nil"/>
            </w:tcBorders>
            <w:shd w:val="clear" w:color="auto" w:fill="auto"/>
            <w:noWrap/>
            <w:vAlign w:val="center"/>
            <w:hideMark/>
          </w:tcPr>
          <w:p w14:paraId="29B7C181" w14:textId="77777777" w:rsidR="00234ACB" w:rsidRPr="00234ACB" w:rsidRDefault="00234ACB" w:rsidP="009444AA">
            <w:pPr>
              <w:jc w:val="center"/>
              <w:rPr>
                <w:rFonts w:asciiTheme="majorHAnsi" w:hAnsiTheme="majorHAnsi" w:cs="Arial"/>
                <w:sz w:val="16"/>
                <w:szCs w:val="16"/>
              </w:rPr>
            </w:pPr>
          </w:p>
        </w:tc>
      </w:tr>
      <w:tr w:rsidR="009444AA" w:rsidRPr="00234ACB" w14:paraId="560E86CB" w14:textId="77777777" w:rsidTr="009444AA">
        <w:trPr>
          <w:trHeight w:val="227"/>
        </w:trPr>
        <w:tc>
          <w:tcPr>
            <w:tcW w:w="2241" w:type="pct"/>
            <w:tcBorders>
              <w:top w:val="nil"/>
              <w:left w:val="nil"/>
              <w:bottom w:val="nil"/>
              <w:right w:val="nil"/>
            </w:tcBorders>
            <w:shd w:val="clear" w:color="auto" w:fill="auto"/>
            <w:noWrap/>
            <w:vAlign w:val="bottom"/>
            <w:hideMark/>
          </w:tcPr>
          <w:p w14:paraId="24426327"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Encargos a pagar        </w:t>
            </w:r>
          </w:p>
        </w:tc>
        <w:tc>
          <w:tcPr>
            <w:tcW w:w="1174" w:type="pct"/>
            <w:tcBorders>
              <w:top w:val="nil"/>
              <w:left w:val="nil"/>
              <w:bottom w:val="nil"/>
              <w:right w:val="nil"/>
            </w:tcBorders>
            <w:shd w:val="clear" w:color="auto" w:fill="auto"/>
            <w:noWrap/>
            <w:vAlign w:val="bottom"/>
            <w:hideMark/>
          </w:tcPr>
          <w:p w14:paraId="21E2A26A"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253.513 </w:t>
            </w:r>
          </w:p>
        </w:tc>
        <w:tc>
          <w:tcPr>
            <w:tcW w:w="1024" w:type="pct"/>
            <w:tcBorders>
              <w:top w:val="nil"/>
              <w:left w:val="nil"/>
              <w:bottom w:val="nil"/>
              <w:right w:val="nil"/>
            </w:tcBorders>
            <w:shd w:val="clear" w:color="auto" w:fill="auto"/>
            <w:noWrap/>
            <w:vAlign w:val="bottom"/>
            <w:hideMark/>
          </w:tcPr>
          <w:p w14:paraId="0E7D8EC8"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312.821 </w:t>
            </w:r>
          </w:p>
        </w:tc>
        <w:tc>
          <w:tcPr>
            <w:tcW w:w="561" w:type="pct"/>
            <w:gridSpan w:val="2"/>
            <w:tcBorders>
              <w:top w:val="nil"/>
              <w:left w:val="nil"/>
              <w:bottom w:val="nil"/>
              <w:right w:val="nil"/>
            </w:tcBorders>
            <w:shd w:val="clear" w:color="auto" w:fill="auto"/>
            <w:noWrap/>
            <w:vAlign w:val="center"/>
            <w:hideMark/>
          </w:tcPr>
          <w:p w14:paraId="01DB5312" w14:textId="77777777" w:rsidR="00234ACB" w:rsidRPr="00234ACB" w:rsidRDefault="00234ACB" w:rsidP="009444AA">
            <w:pPr>
              <w:jc w:val="center"/>
              <w:rPr>
                <w:rFonts w:asciiTheme="majorHAnsi" w:hAnsiTheme="majorHAnsi" w:cs="Arial"/>
                <w:sz w:val="16"/>
                <w:szCs w:val="16"/>
              </w:rPr>
            </w:pPr>
          </w:p>
        </w:tc>
      </w:tr>
      <w:tr w:rsidR="009444AA" w:rsidRPr="00234ACB" w14:paraId="1077EEBA" w14:textId="77777777" w:rsidTr="009444AA">
        <w:trPr>
          <w:trHeight w:val="227"/>
        </w:trPr>
        <w:tc>
          <w:tcPr>
            <w:tcW w:w="2241" w:type="pct"/>
            <w:tcBorders>
              <w:top w:val="nil"/>
              <w:left w:val="nil"/>
              <w:bottom w:val="nil"/>
              <w:right w:val="nil"/>
            </w:tcBorders>
            <w:shd w:val="clear" w:color="auto" w:fill="auto"/>
            <w:noWrap/>
            <w:vAlign w:val="bottom"/>
            <w:hideMark/>
          </w:tcPr>
          <w:p w14:paraId="06560EDD"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Tributos retidos a recolher</w:t>
            </w:r>
          </w:p>
        </w:tc>
        <w:tc>
          <w:tcPr>
            <w:tcW w:w="1174" w:type="pct"/>
            <w:tcBorders>
              <w:top w:val="nil"/>
              <w:left w:val="nil"/>
              <w:bottom w:val="nil"/>
              <w:right w:val="nil"/>
            </w:tcBorders>
            <w:shd w:val="clear" w:color="auto" w:fill="auto"/>
            <w:noWrap/>
            <w:vAlign w:val="bottom"/>
            <w:hideMark/>
          </w:tcPr>
          <w:p w14:paraId="2E84FB18"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480.329 </w:t>
            </w:r>
          </w:p>
        </w:tc>
        <w:tc>
          <w:tcPr>
            <w:tcW w:w="1024" w:type="pct"/>
            <w:tcBorders>
              <w:top w:val="nil"/>
              <w:left w:val="nil"/>
              <w:bottom w:val="nil"/>
              <w:right w:val="nil"/>
            </w:tcBorders>
            <w:shd w:val="clear" w:color="auto" w:fill="auto"/>
            <w:noWrap/>
            <w:vAlign w:val="bottom"/>
            <w:hideMark/>
          </w:tcPr>
          <w:p w14:paraId="3EA19425"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295.239 </w:t>
            </w:r>
          </w:p>
        </w:tc>
        <w:tc>
          <w:tcPr>
            <w:tcW w:w="561" w:type="pct"/>
            <w:gridSpan w:val="2"/>
            <w:tcBorders>
              <w:top w:val="nil"/>
              <w:left w:val="nil"/>
              <w:bottom w:val="nil"/>
              <w:right w:val="nil"/>
            </w:tcBorders>
            <w:shd w:val="clear" w:color="auto" w:fill="auto"/>
            <w:noWrap/>
            <w:vAlign w:val="center"/>
            <w:hideMark/>
          </w:tcPr>
          <w:p w14:paraId="57BD33C5" w14:textId="77777777" w:rsidR="00234ACB" w:rsidRPr="00234ACB" w:rsidRDefault="00234ACB" w:rsidP="009444AA">
            <w:pPr>
              <w:jc w:val="center"/>
              <w:rPr>
                <w:rFonts w:asciiTheme="majorHAnsi" w:hAnsiTheme="majorHAnsi" w:cs="Arial"/>
                <w:sz w:val="16"/>
                <w:szCs w:val="16"/>
              </w:rPr>
            </w:pPr>
          </w:p>
        </w:tc>
      </w:tr>
      <w:tr w:rsidR="009444AA" w:rsidRPr="00234ACB" w14:paraId="1097A5E7" w14:textId="77777777" w:rsidTr="009444AA">
        <w:trPr>
          <w:trHeight w:val="227"/>
        </w:trPr>
        <w:tc>
          <w:tcPr>
            <w:tcW w:w="2241" w:type="pct"/>
            <w:tcBorders>
              <w:top w:val="nil"/>
              <w:left w:val="nil"/>
              <w:bottom w:val="nil"/>
              <w:right w:val="nil"/>
            </w:tcBorders>
            <w:shd w:val="clear" w:color="auto" w:fill="auto"/>
            <w:noWrap/>
            <w:vAlign w:val="bottom"/>
            <w:hideMark/>
          </w:tcPr>
          <w:p w14:paraId="640E0719"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Receita a diferir - Pátios e Terminais</w:t>
            </w:r>
          </w:p>
        </w:tc>
        <w:tc>
          <w:tcPr>
            <w:tcW w:w="1174" w:type="pct"/>
            <w:tcBorders>
              <w:top w:val="nil"/>
              <w:left w:val="nil"/>
              <w:bottom w:val="nil"/>
              <w:right w:val="nil"/>
            </w:tcBorders>
            <w:shd w:val="clear" w:color="auto" w:fill="auto"/>
            <w:noWrap/>
            <w:vAlign w:val="bottom"/>
            <w:hideMark/>
          </w:tcPr>
          <w:p w14:paraId="09332666"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2.242.086 </w:t>
            </w:r>
          </w:p>
        </w:tc>
        <w:tc>
          <w:tcPr>
            <w:tcW w:w="1024" w:type="pct"/>
            <w:tcBorders>
              <w:top w:val="nil"/>
              <w:left w:val="nil"/>
              <w:bottom w:val="nil"/>
              <w:right w:val="nil"/>
            </w:tcBorders>
            <w:shd w:val="clear" w:color="auto" w:fill="auto"/>
            <w:noWrap/>
            <w:vAlign w:val="bottom"/>
            <w:hideMark/>
          </w:tcPr>
          <w:p w14:paraId="0A54C224"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2.271.695 </w:t>
            </w:r>
          </w:p>
        </w:tc>
        <w:tc>
          <w:tcPr>
            <w:tcW w:w="561" w:type="pct"/>
            <w:gridSpan w:val="2"/>
            <w:tcBorders>
              <w:top w:val="nil"/>
              <w:left w:val="nil"/>
              <w:bottom w:val="nil"/>
              <w:right w:val="nil"/>
            </w:tcBorders>
            <w:shd w:val="clear" w:color="auto" w:fill="auto"/>
            <w:noWrap/>
            <w:vAlign w:val="bottom"/>
            <w:hideMark/>
          </w:tcPr>
          <w:p w14:paraId="70A8A38F" w14:textId="68A28573" w:rsidR="00234ACB" w:rsidRPr="00234ACB" w:rsidRDefault="00234ACB" w:rsidP="009444AA">
            <w:pPr>
              <w:jc w:val="center"/>
              <w:rPr>
                <w:rFonts w:asciiTheme="majorHAnsi" w:hAnsiTheme="majorHAnsi" w:cs="Arial"/>
                <w:sz w:val="16"/>
                <w:szCs w:val="16"/>
              </w:rPr>
            </w:pPr>
            <w:r w:rsidRPr="00234ACB">
              <w:rPr>
                <w:rFonts w:asciiTheme="majorHAnsi" w:hAnsiTheme="majorHAnsi" w:cs="Arial"/>
                <w:sz w:val="16"/>
                <w:szCs w:val="16"/>
              </w:rPr>
              <w:t>(12)</w:t>
            </w:r>
          </w:p>
        </w:tc>
      </w:tr>
      <w:tr w:rsidR="009444AA" w:rsidRPr="00234ACB" w14:paraId="1929F28C" w14:textId="77777777" w:rsidTr="009444AA">
        <w:trPr>
          <w:trHeight w:val="227"/>
        </w:trPr>
        <w:tc>
          <w:tcPr>
            <w:tcW w:w="2241" w:type="pct"/>
            <w:tcBorders>
              <w:top w:val="nil"/>
              <w:left w:val="nil"/>
              <w:bottom w:val="nil"/>
              <w:right w:val="nil"/>
            </w:tcBorders>
            <w:shd w:val="clear" w:color="auto" w:fill="auto"/>
            <w:noWrap/>
            <w:vAlign w:val="bottom"/>
            <w:hideMark/>
          </w:tcPr>
          <w:p w14:paraId="24C459A0"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Retenções s/ salários a pagar</w:t>
            </w:r>
          </w:p>
        </w:tc>
        <w:tc>
          <w:tcPr>
            <w:tcW w:w="1174" w:type="pct"/>
            <w:tcBorders>
              <w:top w:val="nil"/>
              <w:left w:val="nil"/>
              <w:bottom w:val="nil"/>
              <w:right w:val="nil"/>
            </w:tcBorders>
            <w:shd w:val="clear" w:color="auto" w:fill="auto"/>
            <w:noWrap/>
            <w:vAlign w:val="bottom"/>
            <w:hideMark/>
          </w:tcPr>
          <w:p w14:paraId="1BAF0646"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532.138 </w:t>
            </w:r>
          </w:p>
        </w:tc>
        <w:tc>
          <w:tcPr>
            <w:tcW w:w="1024" w:type="pct"/>
            <w:tcBorders>
              <w:top w:val="nil"/>
              <w:left w:val="nil"/>
              <w:bottom w:val="nil"/>
              <w:right w:val="nil"/>
            </w:tcBorders>
            <w:shd w:val="clear" w:color="auto" w:fill="auto"/>
            <w:noWrap/>
            <w:vAlign w:val="bottom"/>
            <w:hideMark/>
          </w:tcPr>
          <w:p w14:paraId="24907948"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485.451 </w:t>
            </w:r>
          </w:p>
        </w:tc>
        <w:tc>
          <w:tcPr>
            <w:tcW w:w="561" w:type="pct"/>
            <w:gridSpan w:val="2"/>
            <w:tcBorders>
              <w:top w:val="nil"/>
              <w:left w:val="nil"/>
              <w:bottom w:val="nil"/>
              <w:right w:val="nil"/>
            </w:tcBorders>
            <w:shd w:val="clear" w:color="auto" w:fill="auto"/>
            <w:noWrap/>
            <w:vAlign w:val="center"/>
            <w:hideMark/>
          </w:tcPr>
          <w:p w14:paraId="55898E6E" w14:textId="77777777" w:rsidR="00234ACB" w:rsidRPr="00234ACB" w:rsidRDefault="00234ACB" w:rsidP="009444AA">
            <w:pPr>
              <w:jc w:val="center"/>
              <w:rPr>
                <w:rFonts w:asciiTheme="majorHAnsi" w:hAnsiTheme="majorHAnsi" w:cs="Arial"/>
                <w:sz w:val="16"/>
                <w:szCs w:val="16"/>
              </w:rPr>
            </w:pPr>
          </w:p>
        </w:tc>
      </w:tr>
      <w:tr w:rsidR="009444AA" w:rsidRPr="00234ACB" w14:paraId="26E5BD43" w14:textId="77777777" w:rsidTr="009444AA">
        <w:trPr>
          <w:trHeight w:val="227"/>
        </w:trPr>
        <w:tc>
          <w:tcPr>
            <w:tcW w:w="2241" w:type="pct"/>
            <w:tcBorders>
              <w:top w:val="nil"/>
              <w:left w:val="nil"/>
              <w:bottom w:val="nil"/>
              <w:right w:val="nil"/>
            </w:tcBorders>
            <w:shd w:val="clear" w:color="auto" w:fill="auto"/>
            <w:noWrap/>
            <w:vAlign w:val="bottom"/>
            <w:hideMark/>
          </w:tcPr>
          <w:p w14:paraId="794A9D81"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Provisões de Ações Trabalhistas/Cíveis</w:t>
            </w:r>
          </w:p>
        </w:tc>
        <w:tc>
          <w:tcPr>
            <w:tcW w:w="1174" w:type="pct"/>
            <w:tcBorders>
              <w:top w:val="nil"/>
              <w:left w:val="nil"/>
              <w:bottom w:val="nil"/>
              <w:right w:val="nil"/>
            </w:tcBorders>
            <w:shd w:val="clear" w:color="auto" w:fill="auto"/>
            <w:noWrap/>
            <w:vAlign w:val="bottom"/>
            <w:hideMark/>
          </w:tcPr>
          <w:p w14:paraId="3E8943FE"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306.814.973 </w:t>
            </w:r>
          </w:p>
        </w:tc>
        <w:tc>
          <w:tcPr>
            <w:tcW w:w="1024" w:type="pct"/>
            <w:tcBorders>
              <w:top w:val="nil"/>
              <w:left w:val="nil"/>
              <w:bottom w:val="nil"/>
              <w:right w:val="nil"/>
            </w:tcBorders>
            <w:shd w:val="clear" w:color="auto" w:fill="auto"/>
            <w:noWrap/>
            <w:vAlign w:val="bottom"/>
            <w:hideMark/>
          </w:tcPr>
          <w:p w14:paraId="330230EE"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290.971.766 </w:t>
            </w:r>
          </w:p>
        </w:tc>
        <w:tc>
          <w:tcPr>
            <w:tcW w:w="561" w:type="pct"/>
            <w:gridSpan w:val="2"/>
            <w:tcBorders>
              <w:top w:val="nil"/>
              <w:left w:val="nil"/>
              <w:bottom w:val="nil"/>
              <w:right w:val="nil"/>
            </w:tcBorders>
            <w:shd w:val="clear" w:color="auto" w:fill="auto"/>
            <w:noWrap/>
            <w:vAlign w:val="center"/>
            <w:hideMark/>
          </w:tcPr>
          <w:p w14:paraId="761BE323" w14:textId="77777777" w:rsidR="00234ACB" w:rsidRPr="00234ACB" w:rsidRDefault="00234ACB" w:rsidP="009444AA">
            <w:pPr>
              <w:jc w:val="center"/>
              <w:rPr>
                <w:rFonts w:asciiTheme="majorHAnsi" w:hAnsiTheme="majorHAnsi" w:cs="Arial"/>
                <w:sz w:val="16"/>
                <w:szCs w:val="16"/>
              </w:rPr>
            </w:pPr>
          </w:p>
        </w:tc>
      </w:tr>
      <w:tr w:rsidR="009444AA" w:rsidRPr="00234ACB" w14:paraId="202147A3" w14:textId="77777777" w:rsidTr="009444AA">
        <w:trPr>
          <w:trHeight w:val="227"/>
        </w:trPr>
        <w:tc>
          <w:tcPr>
            <w:tcW w:w="2241" w:type="pct"/>
            <w:tcBorders>
              <w:top w:val="nil"/>
              <w:left w:val="nil"/>
              <w:bottom w:val="nil"/>
              <w:right w:val="nil"/>
            </w:tcBorders>
            <w:shd w:val="clear" w:color="auto" w:fill="auto"/>
            <w:noWrap/>
            <w:vAlign w:val="bottom"/>
            <w:hideMark/>
          </w:tcPr>
          <w:p w14:paraId="569A7D71"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Passivo de Arrendamento</w:t>
            </w:r>
          </w:p>
        </w:tc>
        <w:tc>
          <w:tcPr>
            <w:tcW w:w="1174" w:type="pct"/>
            <w:tcBorders>
              <w:top w:val="nil"/>
              <w:left w:val="nil"/>
              <w:bottom w:val="nil"/>
              <w:right w:val="nil"/>
            </w:tcBorders>
            <w:shd w:val="clear" w:color="auto" w:fill="auto"/>
            <w:noWrap/>
            <w:vAlign w:val="bottom"/>
            <w:hideMark/>
          </w:tcPr>
          <w:p w14:paraId="7FCB4A8A"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1.815.883 </w:t>
            </w:r>
          </w:p>
        </w:tc>
        <w:tc>
          <w:tcPr>
            <w:tcW w:w="1024" w:type="pct"/>
            <w:tcBorders>
              <w:top w:val="nil"/>
              <w:left w:val="nil"/>
              <w:bottom w:val="nil"/>
              <w:right w:val="nil"/>
            </w:tcBorders>
            <w:shd w:val="clear" w:color="auto" w:fill="auto"/>
            <w:noWrap/>
            <w:vAlign w:val="bottom"/>
            <w:hideMark/>
          </w:tcPr>
          <w:p w14:paraId="34F77EF4"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4.064.554 </w:t>
            </w:r>
          </w:p>
        </w:tc>
        <w:tc>
          <w:tcPr>
            <w:tcW w:w="561" w:type="pct"/>
            <w:gridSpan w:val="2"/>
            <w:tcBorders>
              <w:top w:val="nil"/>
              <w:left w:val="nil"/>
              <w:bottom w:val="nil"/>
              <w:right w:val="nil"/>
            </w:tcBorders>
            <w:shd w:val="clear" w:color="auto" w:fill="auto"/>
            <w:noWrap/>
            <w:vAlign w:val="center"/>
            <w:hideMark/>
          </w:tcPr>
          <w:p w14:paraId="15CE22FF" w14:textId="77777777" w:rsidR="00234ACB" w:rsidRPr="00234ACB" w:rsidRDefault="00234ACB" w:rsidP="009444AA">
            <w:pPr>
              <w:jc w:val="center"/>
              <w:rPr>
                <w:rFonts w:asciiTheme="majorHAnsi" w:hAnsiTheme="majorHAnsi" w:cs="Arial"/>
                <w:sz w:val="16"/>
                <w:szCs w:val="16"/>
              </w:rPr>
            </w:pPr>
            <w:r w:rsidRPr="00234ACB">
              <w:rPr>
                <w:rFonts w:asciiTheme="majorHAnsi" w:hAnsiTheme="majorHAnsi" w:cs="Arial"/>
                <w:sz w:val="16"/>
                <w:szCs w:val="16"/>
              </w:rPr>
              <w:t>(13)</w:t>
            </w:r>
          </w:p>
        </w:tc>
      </w:tr>
      <w:tr w:rsidR="009444AA" w:rsidRPr="00234ACB" w14:paraId="7DA99874" w14:textId="77777777" w:rsidTr="009444AA">
        <w:trPr>
          <w:trHeight w:val="227"/>
        </w:trPr>
        <w:tc>
          <w:tcPr>
            <w:tcW w:w="2241" w:type="pct"/>
            <w:tcBorders>
              <w:top w:val="nil"/>
              <w:left w:val="nil"/>
              <w:bottom w:val="nil"/>
              <w:right w:val="nil"/>
            </w:tcBorders>
            <w:shd w:val="clear" w:color="auto" w:fill="auto"/>
            <w:noWrap/>
            <w:vAlign w:val="bottom"/>
            <w:hideMark/>
          </w:tcPr>
          <w:p w14:paraId="37C5F821" w14:textId="77777777" w:rsidR="00234ACB" w:rsidRPr="00234ACB" w:rsidRDefault="00234ACB">
            <w:pPr>
              <w:jc w:val="right"/>
              <w:rPr>
                <w:rFonts w:asciiTheme="majorHAnsi" w:hAnsiTheme="majorHAnsi" w:cs="Arial"/>
                <w:sz w:val="16"/>
                <w:szCs w:val="16"/>
              </w:rPr>
            </w:pPr>
          </w:p>
        </w:tc>
        <w:tc>
          <w:tcPr>
            <w:tcW w:w="1174" w:type="pct"/>
            <w:tcBorders>
              <w:top w:val="nil"/>
              <w:left w:val="nil"/>
              <w:bottom w:val="nil"/>
              <w:right w:val="nil"/>
            </w:tcBorders>
            <w:shd w:val="clear" w:color="auto" w:fill="auto"/>
            <w:noWrap/>
            <w:vAlign w:val="bottom"/>
            <w:hideMark/>
          </w:tcPr>
          <w:p w14:paraId="40CCE181" w14:textId="77777777" w:rsidR="00234ACB" w:rsidRPr="00234ACB" w:rsidRDefault="00234ACB">
            <w:pPr>
              <w:rPr>
                <w:rFonts w:asciiTheme="majorHAnsi" w:hAnsiTheme="majorHAnsi"/>
                <w:sz w:val="16"/>
                <w:szCs w:val="16"/>
              </w:rPr>
            </w:pPr>
          </w:p>
        </w:tc>
        <w:tc>
          <w:tcPr>
            <w:tcW w:w="1024" w:type="pct"/>
            <w:tcBorders>
              <w:top w:val="nil"/>
              <w:left w:val="nil"/>
              <w:bottom w:val="nil"/>
              <w:right w:val="nil"/>
            </w:tcBorders>
            <w:shd w:val="clear" w:color="auto" w:fill="auto"/>
            <w:noWrap/>
            <w:vAlign w:val="bottom"/>
            <w:hideMark/>
          </w:tcPr>
          <w:p w14:paraId="0EF3F1B3" w14:textId="77777777" w:rsidR="00234ACB" w:rsidRPr="00234ACB" w:rsidRDefault="00234ACB">
            <w:pPr>
              <w:jc w:val="right"/>
              <w:rPr>
                <w:rFonts w:asciiTheme="majorHAnsi" w:hAnsiTheme="majorHAnsi"/>
                <w:sz w:val="16"/>
                <w:szCs w:val="16"/>
              </w:rPr>
            </w:pPr>
          </w:p>
        </w:tc>
        <w:tc>
          <w:tcPr>
            <w:tcW w:w="561" w:type="pct"/>
            <w:gridSpan w:val="2"/>
            <w:tcBorders>
              <w:top w:val="nil"/>
              <w:left w:val="nil"/>
              <w:bottom w:val="nil"/>
              <w:right w:val="nil"/>
            </w:tcBorders>
            <w:shd w:val="clear" w:color="auto" w:fill="auto"/>
            <w:noWrap/>
            <w:vAlign w:val="center"/>
            <w:hideMark/>
          </w:tcPr>
          <w:p w14:paraId="3F8C1FB7" w14:textId="77777777" w:rsidR="00234ACB" w:rsidRPr="00234ACB" w:rsidRDefault="00234ACB" w:rsidP="009444AA">
            <w:pPr>
              <w:jc w:val="center"/>
              <w:rPr>
                <w:rFonts w:asciiTheme="majorHAnsi" w:hAnsiTheme="majorHAnsi"/>
                <w:sz w:val="16"/>
                <w:szCs w:val="16"/>
              </w:rPr>
            </w:pPr>
          </w:p>
        </w:tc>
      </w:tr>
      <w:tr w:rsidR="009444AA" w:rsidRPr="00234ACB" w14:paraId="6ADB82E8" w14:textId="77777777" w:rsidTr="009444AA">
        <w:trPr>
          <w:trHeight w:val="227"/>
        </w:trPr>
        <w:tc>
          <w:tcPr>
            <w:tcW w:w="2241" w:type="pct"/>
            <w:tcBorders>
              <w:top w:val="nil"/>
              <w:left w:val="nil"/>
              <w:bottom w:val="nil"/>
              <w:right w:val="nil"/>
            </w:tcBorders>
            <w:shd w:val="clear" w:color="auto" w:fill="auto"/>
            <w:noWrap/>
            <w:vAlign w:val="bottom"/>
            <w:hideMark/>
          </w:tcPr>
          <w:p w14:paraId="6E4A8656"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PASSIVO NÃO CIRCULANTE</w:t>
            </w:r>
          </w:p>
        </w:tc>
        <w:tc>
          <w:tcPr>
            <w:tcW w:w="1174" w:type="pct"/>
            <w:tcBorders>
              <w:top w:val="nil"/>
              <w:left w:val="nil"/>
              <w:bottom w:val="nil"/>
              <w:right w:val="nil"/>
            </w:tcBorders>
            <w:shd w:val="clear" w:color="auto" w:fill="auto"/>
            <w:noWrap/>
            <w:vAlign w:val="bottom"/>
            <w:hideMark/>
          </w:tcPr>
          <w:p w14:paraId="3C10762C" w14:textId="77777777" w:rsidR="00234ACB" w:rsidRPr="00234ACB" w:rsidRDefault="00234ACB">
            <w:pPr>
              <w:jc w:val="right"/>
              <w:rPr>
                <w:rFonts w:asciiTheme="majorHAnsi" w:hAnsiTheme="majorHAnsi" w:cs="Arial"/>
                <w:b/>
                <w:bCs/>
                <w:sz w:val="16"/>
                <w:szCs w:val="16"/>
              </w:rPr>
            </w:pPr>
            <w:r w:rsidRPr="00234ACB">
              <w:rPr>
                <w:rFonts w:asciiTheme="majorHAnsi" w:hAnsiTheme="majorHAnsi" w:cs="Arial"/>
                <w:b/>
                <w:bCs/>
                <w:sz w:val="16"/>
                <w:szCs w:val="16"/>
              </w:rPr>
              <w:t xml:space="preserve">                      570.550.804 </w:t>
            </w:r>
          </w:p>
        </w:tc>
        <w:tc>
          <w:tcPr>
            <w:tcW w:w="1024" w:type="pct"/>
            <w:tcBorders>
              <w:top w:val="nil"/>
              <w:left w:val="nil"/>
              <w:bottom w:val="nil"/>
              <w:right w:val="nil"/>
            </w:tcBorders>
            <w:shd w:val="clear" w:color="auto" w:fill="auto"/>
            <w:noWrap/>
            <w:vAlign w:val="bottom"/>
            <w:hideMark/>
          </w:tcPr>
          <w:p w14:paraId="5E92433C" w14:textId="77777777" w:rsidR="00234ACB" w:rsidRPr="00234ACB" w:rsidRDefault="00234ACB">
            <w:pPr>
              <w:jc w:val="right"/>
              <w:rPr>
                <w:rFonts w:asciiTheme="majorHAnsi" w:hAnsiTheme="majorHAnsi" w:cs="Arial"/>
                <w:b/>
                <w:bCs/>
                <w:sz w:val="16"/>
                <w:szCs w:val="16"/>
              </w:rPr>
            </w:pPr>
            <w:r w:rsidRPr="00234ACB">
              <w:rPr>
                <w:rFonts w:asciiTheme="majorHAnsi" w:hAnsiTheme="majorHAnsi" w:cs="Arial"/>
                <w:b/>
                <w:bCs/>
                <w:sz w:val="16"/>
                <w:szCs w:val="16"/>
              </w:rPr>
              <w:t xml:space="preserve">                542.347.474 </w:t>
            </w:r>
          </w:p>
        </w:tc>
        <w:tc>
          <w:tcPr>
            <w:tcW w:w="561" w:type="pct"/>
            <w:gridSpan w:val="2"/>
            <w:tcBorders>
              <w:top w:val="nil"/>
              <w:left w:val="nil"/>
              <w:bottom w:val="nil"/>
              <w:right w:val="nil"/>
            </w:tcBorders>
            <w:shd w:val="clear" w:color="auto" w:fill="auto"/>
            <w:noWrap/>
            <w:vAlign w:val="center"/>
            <w:hideMark/>
          </w:tcPr>
          <w:p w14:paraId="2C2A390D" w14:textId="77777777" w:rsidR="00234ACB" w:rsidRPr="00234ACB" w:rsidRDefault="00234ACB" w:rsidP="009444AA">
            <w:pPr>
              <w:jc w:val="center"/>
              <w:rPr>
                <w:rFonts w:asciiTheme="majorHAnsi" w:hAnsiTheme="majorHAnsi" w:cs="Arial"/>
                <w:b/>
                <w:bCs/>
                <w:sz w:val="16"/>
                <w:szCs w:val="16"/>
              </w:rPr>
            </w:pPr>
          </w:p>
        </w:tc>
      </w:tr>
      <w:tr w:rsidR="009444AA" w:rsidRPr="00234ACB" w14:paraId="383B77F5" w14:textId="77777777" w:rsidTr="009444AA">
        <w:trPr>
          <w:trHeight w:val="227"/>
        </w:trPr>
        <w:tc>
          <w:tcPr>
            <w:tcW w:w="2241" w:type="pct"/>
            <w:tcBorders>
              <w:top w:val="nil"/>
              <w:left w:val="nil"/>
              <w:bottom w:val="nil"/>
              <w:right w:val="nil"/>
            </w:tcBorders>
            <w:shd w:val="clear" w:color="auto" w:fill="auto"/>
            <w:noWrap/>
            <w:vAlign w:val="bottom"/>
            <w:hideMark/>
          </w:tcPr>
          <w:p w14:paraId="023A00A9"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Fornecedores</w:t>
            </w:r>
          </w:p>
        </w:tc>
        <w:tc>
          <w:tcPr>
            <w:tcW w:w="1174" w:type="pct"/>
            <w:tcBorders>
              <w:top w:val="nil"/>
              <w:left w:val="nil"/>
              <w:bottom w:val="nil"/>
              <w:right w:val="nil"/>
            </w:tcBorders>
            <w:shd w:val="clear" w:color="auto" w:fill="auto"/>
            <w:noWrap/>
            <w:vAlign w:val="bottom"/>
            <w:hideMark/>
          </w:tcPr>
          <w:p w14:paraId="063808F9"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3.077.451 </w:t>
            </w:r>
          </w:p>
        </w:tc>
        <w:tc>
          <w:tcPr>
            <w:tcW w:w="1024" w:type="pct"/>
            <w:tcBorders>
              <w:top w:val="nil"/>
              <w:left w:val="nil"/>
              <w:bottom w:val="nil"/>
              <w:right w:val="nil"/>
            </w:tcBorders>
            <w:shd w:val="clear" w:color="auto" w:fill="auto"/>
            <w:noWrap/>
            <w:vAlign w:val="bottom"/>
            <w:hideMark/>
          </w:tcPr>
          <w:p w14:paraId="2EBCE711"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3.077.451 </w:t>
            </w:r>
          </w:p>
        </w:tc>
        <w:tc>
          <w:tcPr>
            <w:tcW w:w="561" w:type="pct"/>
            <w:gridSpan w:val="2"/>
            <w:tcBorders>
              <w:top w:val="nil"/>
              <w:left w:val="nil"/>
              <w:bottom w:val="nil"/>
              <w:right w:val="nil"/>
            </w:tcBorders>
            <w:shd w:val="clear" w:color="auto" w:fill="auto"/>
            <w:noWrap/>
            <w:vAlign w:val="center"/>
            <w:hideMark/>
          </w:tcPr>
          <w:p w14:paraId="1FF940E6" w14:textId="77777777" w:rsidR="00234ACB" w:rsidRPr="00234ACB" w:rsidRDefault="00234ACB" w:rsidP="009444AA">
            <w:pPr>
              <w:jc w:val="center"/>
              <w:rPr>
                <w:rFonts w:asciiTheme="majorHAnsi" w:hAnsiTheme="majorHAnsi" w:cs="Arial"/>
                <w:sz w:val="16"/>
                <w:szCs w:val="16"/>
              </w:rPr>
            </w:pPr>
          </w:p>
        </w:tc>
      </w:tr>
      <w:tr w:rsidR="009444AA" w:rsidRPr="00234ACB" w14:paraId="60F628DF" w14:textId="77777777" w:rsidTr="009444AA">
        <w:trPr>
          <w:trHeight w:val="227"/>
        </w:trPr>
        <w:tc>
          <w:tcPr>
            <w:tcW w:w="2241" w:type="pct"/>
            <w:tcBorders>
              <w:top w:val="nil"/>
              <w:left w:val="nil"/>
              <w:bottom w:val="nil"/>
              <w:right w:val="nil"/>
            </w:tcBorders>
            <w:shd w:val="clear" w:color="auto" w:fill="auto"/>
            <w:noWrap/>
            <w:vAlign w:val="bottom"/>
            <w:hideMark/>
          </w:tcPr>
          <w:p w14:paraId="5C75BD45"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Depósitos retidos sobre fornecedores</w:t>
            </w:r>
          </w:p>
        </w:tc>
        <w:tc>
          <w:tcPr>
            <w:tcW w:w="1174" w:type="pct"/>
            <w:tcBorders>
              <w:top w:val="nil"/>
              <w:left w:val="nil"/>
              <w:bottom w:val="nil"/>
              <w:right w:val="nil"/>
            </w:tcBorders>
            <w:shd w:val="clear" w:color="auto" w:fill="auto"/>
            <w:noWrap/>
            <w:vAlign w:val="bottom"/>
            <w:hideMark/>
          </w:tcPr>
          <w:p w14:paraId="2BEAD855"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38.580.349 </w:t>
            </w:r>
          </w:p>
        </w:tc>
        <w:tc>
          <w:tcPr>
            <w:tcW w:w="1024" w:type="pct"/>
            <w:tcBorders>
              <w:top w:val="nil"/>
              <w:left w:val="nil"/>
              <w:bottom w:val="nil"/>
              <w:right w:val="nil"/>
            </w:tcBorders>
            <w:shd w:val="clear" w:color="auto" w:fill="auto"/>
            <w:noWrap/>
            <w:vAlign w:val="bottom"/>
            <w:hideMark/>
          </w:tcPr>
          <w:p w14:paraId="6B7A0DAB"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38.526.493 </w:t>
            </w:r>
          </w:p>
        </w:tc>
        <w:tc>
          <w:tcPr>
            <w:tcW w:w="561" w:type="pct"/>
            <w:gridSpan w:val="2"/>
            <w:tcBorders>
              <w:top w:val="nil"/>
              <w:left w:val="nil"/>
              <w:bottom w:val="nil"/>
              <w:right w:val="nil"/>
            </w:tcBorders>
            <w:shd w:val="clear" w:color="auto" w:fill="auto"/>
            <w:noWrap/>
            <w:vAlign w:val="center"/>
            <w:hideMark/>
          </w:tcPr>
          <w:p w14:paraId="446B3C54" w14:textId="77777777" w:rsidR="00234ACB" w:rsidRPr="00234ACB" w:rsidRDefault="00234ACB" w:rsidP="009444AA">
            <w:pPr>
              <w:jc w:val="center"/>
              <w:rPr>
                <w:rFonts w:asciiTheme="majorHAnsi" w:hAnsiTheme="majorHAnsi" w:cs="Arial"/>
                <w:sz w:val="16"/>
                <w:szCs w:val="16"/>
              </w:rPr>
            </w:pPr>
            <w:r w:rsidRPr="00234ACB">
              <w:rPr>
                <w:rFonts w:asciiTheme="majorHAnsi" w:hAnsiTheme="majorHAnsi" w:cs="Arial"/>
                <w:sz w:val="16"/>
                <w:szCs w:val="16"/>
              </w:rPr>
              <w:t>(11a)</w:t>
            </w:r>
          </w:p>
        </w:tc>
      </w:tr>
      <w:tr w:rsidR="009444AA" w:rsidRPr="00234ACB" w14:paraId="0EA2B594" w14:textId="77777777" w:rsidTr="009444AA">
        <w:trPr>
          <w:trHeight w:val="227"/>
        </w:trPr>
        <w:tc>
          <w:tcPr>
            <w:tcW w:w="2241" w:type="pct"/>
            <w:tcBorders>
              <w:top w:val="nil"/>
              <w:left w:val="nil"/>
              <w:bottom w:val="nil"/>
              <w:right w:val="nil"/>
            </w:tcBorders>
            <w:shd w:val="clear" w:color="auto" w:fill="auto"/>
            <w:noWrap/>
            <w:vAlign w:val="bottom"/>
            <w:hideMark/>
          </w:tcPr>
          <w:p w14:paraId="5E8AE25B"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Provisões de Ações Trabalhistas/Cíveis</w:t>
            </w:r>
          </w:p>
        </w:tc>
        <w:tc>
          <w:tcPr>
            <w:tcW w:w="1174" w:type="pct"/>
            <w:tcBorders>
              <w:top w:val="nil"/>
              <w:left w:val="nil"/>
              <w:bottom w:val="nil"/>
              <w:right w:val="nil"/>
            </w:tcBorders>
            <w:shd w:val="clear" w:color="auto" w:fill="auto"/>
            <w:noWrap/>
            <w:vAlign w:val="bottom"/>
            <w:hideMark/>
          </w:tcPr>
          <w:p w14:paraId="111A93C1"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504.907.267 </w:t>
            </w:r>
          </w:p>
        </w:tc>
        <w:tc>
          <w:tcPr>
            <w:tcW w:w="1024" w:type="pct"/>
            <w:tcBorders>
              <w:top w:val="nil"/>
              <w:left w:val="nil"/>
              <w:bottom w:val="nil"/>
              <w:right w:val="nil"/>
            </w:tcBorders>
            <w:shd w:val="clear" w:color="auto" w:fill="auto"/>
            <w:noWrap/>
            <w:vAlign w:val="bottom"/>
            <w:hideMark/>
          </w:tcPr>
          <w:p w14:paraId="43A30CA9"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475.158.953 </w:t>
            </w:r>
          </w:p>
        </w:tc>
        <w:tc>
          <w:tcPr>
            <w:tcW w:w="561" w:type="pct"/>
            <w:gridSpan w:val="2"/>
            <w:tcBorders>
              <w:top w:val="nil"/>
              <w:left w:val="nil"/>
              <w:bottom w:val="nil"/>
              <w:right w:val="nil"/>
            </w:tcBorders>
            <w:shd w:val="clear" w:color="auto" w:fill="auto"/>
            <w:noWrap/>
            <w:vAlign w:val="center"/>
            <w:hideMark/>
          </w:tcPr>
          <w:p w14:paraId="6129760D" w14:textId="77777777" w:rsidR="00234ACB" w:rsidRPr="00234ACB" w:rsidRDefault="00234ACB" w:rsidP="009444AA">
            <w:pPr>
              <w:jc w:val="center"/>
              <w:rPr>
                <w:rFonts w:asciiTheme="majorHAnsi" w:hAnsiTheme="majorHAnsi" w:cs="Arial"/>
                <w:sz w:val="16"/>
                <w:szCs w:val="16"/>
              </w:rPr>
            </w:pPr>
            <w:r w:rsidRPr="00234ACB">
              <w:rPr>
                <w:rFonts w:asciiTheme="majorHAnsi" w:hAnsiTheme="majorHAnsi" w:cs="Arial"/>
                <w:sz w:val="16"/>
                <w:szCs w:val="16"/>
              </w:rPr>
              <w:t>(11b)</w:t>
            </w:r>
          </w:p>
        </w:tc>
      </w:tr>
      <w:tr w:rsidR="009444AA" w:rsidRPr="00234ACB" w14:paraId="6FCE07B6" w14:textId="77777777" w:rsidTr="009444AA">
        <w:trPr>
          <w:trHeight w:val="227"/>
        </w:trPr>
        <w:tc>
          <w:tcPr>
            <w:tcW w:w="2241" w:type="pct"/>
            <w:tcBorders>
              <w:top w:val="nil"/>
              <w:left w:val="nil"/>
              <w:bottom w:val="nil"/>
              <w:right w:val="nil"/>
            </w:tcBorders>
            <w:shd w:val="clear" w:color="auto" w:fill="auto"/>
            <w:noWrap/>
            <w:vAlign w:val="bottom"/>
            <w:hideMark/>
          </w:tcPr>
          <w:p w14:paraId="131CB4FA"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Depósitos de Cauções</w:t>
            </w:r>
          </w:p>
        </w:tc>
        <w:tc>
          <w:tcPr>
            <w:tcW w:w="1174" w:type="pct"/>
            <w:tcBorders>
              <w:top w:val="nil"/>
              <w:left w:val="nil"/>
              <w:bottom w:val="nil"/>
              <w:right w:val="nil"/>
            </w:tcBorders>
            <w:shd w:val="clear" w:color="auto" w:fill="auto"/>
            <w:noWrap/>
            <w:vAlign w:val="bottom"/>
            <w:hideMark/>
          </w:tcPr>
          <w:p w14:paraId="4F5795DD"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257.879 </w:t>
            </w:r>
          </w:p>
        </w:tc>
        <w:tc>
          <w:tcPr>
            <w:tcW w:w="1024" w:type="pct"/>
            <w:tcBorders>
              <w:top w:val="nil"/>
              <w:left w:val="nil"/>
              <w:bottom w:val="nil"/>
              <w:right w:val="nil"/>
            </w:tcBorders>
            <w:shd w:val="clear" w:color="auto" w:fill="auto"/>
            <w:noWrap/>
            <w:vAlign w:val="bottom"/>
            <w:hideMark/>
          </w:tcPr>
          <w:p w14:paraId="6E1D1E38"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233.338 </w:t>
            </w:r>
          </w:p>
        </w:tc>
        <w:tc>
          <w:tcPr>
            <w:tcW w:w="561" w:type="pct"/>
            <w:gridSpan w:val="2"/>
            <w:tcBorders>
              <w:top w:val="nil"/>
              <w:left w:val="nil"/>
              <w:bottom w:val="nil"/>
              <w:right w:val="nil"/>
            </w:tcBorders>
            <w:shd w:val="clear" w:color="auto" w:fill="auto"/>
            <w:noWrap/>
            <w:vAlign w:val="center"/>
            <w:hideMark/>
          </w:tcPr>
          <w:p w14:paraId="6E1D2980" w14:textId="77777777" w:rsidR="00234ACB" w:rsidRPr="00234ACB" w:rsidRDefault="00234ACB" w:rsidP="009444AA">
            <w:pPr>
              <w:jc w:val="center"/>
              <w:rPr>
                <w:rFonts w:asciiTheme="majorHAnsi" w:hAnsiTheme="majorHAnsi" w:cs="Arial"/>
                <w:sz w:val="16"/>
                <w:szCs w:val="16"/>
              </w:rPr>
            </w:pPr>
            <w:r w:rsidRPr="00234ACB">
              <w:rPr>
                <w:rFonts w:asciiTheme="majorHAnsi" w:hAnsiTheme="majorHAnsi" w:cs="Arial"/>
                <w:sz w:val="16"/>
                <w:szCs w:val="16"/>
              </w:rPr>
              <w:t>(5a)</w:t>
            </w:r>
          </w:p>
        </w:tc>
      </w:tr>
      <w:tr w:rsidR="009444AA" w:rsidRPr="00234ACB" w14:paraId="17F7B930" w14:textId="77777777" w:rsidTr="009444AA">
        <w:trPr>
          <w:trHeight w:val="227"/>
        </w:trPr>
        <w:tc>
          <w:tcPr>
            <w:tcW w:w="2241" w:type="pct"/>
            <w:tcBorders>
              <w:top w:val="nil"/>
              <w:left w:val="nil"/>
              <w:bottom w:val="nil"/>
              <w:right w:val="nil"/>
            </w:tcBorders>
            <w:shd w:val="clear" w:color="auto" w:fill="auto"/>
            <w:noWrap/>
            <w:vAlign w:val="bottom"/>
            <w:hideMark/>
          </w:tcPr>
          <w:p w14:paraId="4E0AC6D4"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Receita a diferir - Pátios e Terminais</w:t>
            </w:r>
          </w:p>
        </w:tc>
        <w:tc>
          <w:tcPr>
            <w:tcW w:w="1174" w:type="pct"/>
            <w:tcBorders>
              <w:top w:val="nil"/>
              <w:left w:val="nil"/>
              <w:bottom w:val="nil"/>
              <w:right w:val="nil"/>
            </w:tcBorders>
            <w:shd w:val="clear" w:color="auto" w:fill="auto"/>
            <w:noWrap/>
            <w:vAlign w:val="bottom"/>
            <w:hideMark/>
          </w:tcPr>
          <w:p w14:paraId="0E7A9AA5"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22.204.557 </w:t>
            </w:r>
          </w:p>
        </w:tc>
        <w:tc>
          <w:tcPr>
            <w:tcW w:w="1024" w:type="pct"/>
            <w:tcBorders>
              <w:top w:val="nil"/>
              <w:left w:val="nil"/>
              <w:bottom w:val="nil"/>
              <w:right w:val="nil"/>
            </w:tcBorders>
            <w:shd w:val="clear" w:color="auto" w:fill="auto"/>
            <w:noWrap/>
            <w:vAlign w:val="bottom"/>
            <w:hideMark/>
          </w:tcPr>
          <w:p w14:paraId="108B6770"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23.371.139 </w:t>
            </w:r>
          </w:p>
        </w:tc>
        <w:tc>
          <w:tcPr>
            <w:tcW w:w="561" w:type="pct"/>
            <w:gridSpan w:val="2"/>
            <w:tcBorders>
              <w:top w:val="nil"/>
              <w:left w:val="nil"/>
              <w:bottom w:val="nil"/>
              <w:right w:val="nil"/>
            </w:tcBorders>
            <w:shd w:val="clear" w:color="auto" w:fill="auto"/>
            <w:noWrap/>
            <w:vAlign w:val="bottom"/>
            <w:hideMark/>
          </w:tcPr>
          <w:p w14:paraId="4F0BEFB4" w14:textId="3DE67048" w:rsidR="00234ACB" w:rsidRPr="00234ACB" w:rsidRDefault="00234ACB" w:rsidP="009444AA">
            <w:pPr>
              <w:jc w:val="center"/>
              <w:rPr>
                <w:rFonts w:asciiTheme="majorHAnsi" w:hAnsiTheme="majorHAnsi" w:cs="Arial"/>
                <w:sz w:val="16"/>
                <w:szCs w:val="16"/>
              </w:rPr>
            </w:pPr>
            <w:r w:rsidRPr="00234ACB">
              <w:rPr>
                <w:rFonts w:asciiTheme="majorHAnsi" w:hAnsiTheme="majorHAnsi" w:cs="Arial"/>
                <w:sz w:val="16"/>
                <w:szCs w:val="16"/>
              </w:rPr>
              <w:t>(12)</w:t>
            </w:r>
          </w:p>
        </w:tc>
      </w:tr>
      <w:tr w:rsidR="009444AA" w:rsidRPr="00234ACB" w14:paraId="6FDE4CF4" w14:textId="77777777" w:rsidTr="009444AA">
        <w:trPr>
          <w:trHeight w:val="227"/>
        </w:trPr>
        <w:tc>
          <w:tcPr>
            <w:tcW w:w="2241" w:type="pct"/>
            <w:tcBorders>
              <w:top w:val="nil"/>
              <w:left w:val="nil"/>
              <w:bottom w:val="nil"/>
              <w:right w:val="nil"/>
            </w:tcBorders>
            <w:shd w:val="clear" w:color="auto" w:fill="auto"/>
            <w:noWrap/>
            <w:vAlign w:val="bottom"/>
            <w:hideMark/>
          </w:tcPr>
          <w:p w14:paraId="15883664"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Passivo de Arrendamento</w:t>
            </w:r>
          </w:p>
        </w:tc>
        <w:tc>
          <w:tcPr>
            <w:tcW w:w="1174" w:type="pct"/>
            <w:tcBorders>
              <w:top w:val="nil"/>
              <w:left w:val="nil"/>
              <w:bottom w:val="nil"/>
              <w:right w:val="nil"/>
            </w:tcBorders>
            <w:shd w:val="clear" w:color="auto" w:fill="auto"/>
            <w:noWrap/>
            <w:vAlign w:val="bottom"/>
            <w:hideMark/>
          </w:tcPr>
          <w:p w14:paraId="259B468A"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1.523.300 </w:t>
            </w:r>
          </w:p>
        </w:tc>
        <w:tc>
          <w:tcPr>
            <w:tcW w:w="1024" w:type="pct"/>
            <w:tcBorders>
              <w:top w:val="nil"/>
              <w:left w:val="nil"/>
              <w:bottom w:val="nil"/>
              <w:right w:val="nil"/>
            </w:tcBorders>
            <w:shd w:val="clear" w:color="auto" w:fill="auto"/>
            <w:noWrap/>
            <w:vAlign w:val="bottom"/>
            <w:hideMark/>
          </w:tcPr>
          <w:p w14:paraId="50EDD60D"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1.980.100 </w:t>
            </w:r>
          </w:p>
        </w:tc>
        <w:tc>
          <w:tcPr>
            <w:tcW w:w="561" w:type="pct"/>
            <w:gridSpan w:val="2"/>
            <w:tcBorders>
              <w:top w:val="nil"/>
              <w:left w:val="nil"/>
              <w:bottom w:val="nil"/>
              <w:right w:val="nil"/>
            </w:tcBorders>
            <w:shd w:val="clear" w:color="auto" w:fill="auto"/>
            <w:noWrap/>
            <w:vAlign w:val="center"/>
            <w:hideMark/>
          </w:tcPr>
          <w:p w14:paraId="4F399A39" w14:textId="77777777" w:rsidR="00234ACB" w:rsidRPr="00234ACB" w:rsidRDefault="00234ACB" w:rsidP="009444AA">
            <w:pPr>
              <w:jc w:val="center"/>
              <w:rPr>
                <w:rFonts w:asciiTheme="majorHAnsi" w:hAnsiTheme="majorHAnsi" w:cs="Arial"/>
                <w:sz w:val="16"/>
                <w:szCs w:val="16"/>
              </w:rPr>
            </w:pPr>
            <w:r w:rsidRPr="00234ACB">
              <w:rPr>
                <w:rFonts w:asciiTheme="majorHAnsi" w:hAnsiTheme="majorHAnsi" w:cs="Arial"/>
                <w:sz w:val="16"/>
                <w:szCs w:val="16"/>
              </w:rPr>
              <w:t>(13)</w:t>
            </w:r>
          </w:p>
        </w:tc>
      </w:tr>
      <w:tr w:rsidR="009444AA" w:rsidRPr="00234ACB" w14:paraId="6865D0CF" w14:textId="77777777" w:rsidTr="009444AA">
        <w:trPr>
          <w:trHeight w:val="227"/>
        </w:trPr>
        <w:tc>
          <w:tcPr>
            <w:tcW w:w="2241" w:type="pct"/>
            <w:tcBorders>
              <w:top w:val="nil"/>
              <w:left w:val="nil"/>
              <w:bottom w:val="nil"/>
              <w:right w:val="nil"/>
            </w:tcBorders>
            <w:shd w:val="clear" w:color="auto" w:fill="auto"/>
            <w:noWrap/>
            <w:vAlign w:val="bottom"/>
            <w:hideMark/>
          </w:tcPr>
          <w:p w14:paraId="3E3B1B16" w14:textId="77777777" w:rsidR="00234ACB" w:rsidRPr="00234ACB" w:rsidRDefault="00234ACB">
            <w:pPr>
              <w:jc w:val="right"/>
              <w:rPr>
                <w:rFonts w:asciiTheme="majorHAnsi" w:hAnsiTheme="majorHAnsi" w:cs="Arial"/>
                <w:sz w:val="16"/>
                <w:szCs w:val="16"/>
              </w:rPr>
            </w:pPr>
          </w:p>
        </w:tc>
        <w:tc>
          <w:tcPr>
            <w:tcW w:w="1174" w:type="pct"/>
            <w:tcBorders>
              <w:top w:val="nil"/>
              <w:left w:val="nil"/>
              <w:bottom w:val="nil"/>
              <w:right w:val="nil"/>
            </w:tcBorders>
            <w:shd w:val="clear" w:color="auto" w:fill="auto"/>
            <w:noWrap/>
            <w:vAlign w:val="bottom"/>
            <w:hideMark/>
          </w:tcPr>
          <w:p w14:paraId="7C8AEAF0" w14:textId="77777777" w:rsidR="00234ACB" w:rsidRPr="00234ACB" w:rsidRDefault="00234ACB">
            <w:pPr>
              <w:rPr>
                <w:rFonts w:asciiTheme="majorHAnsi" w:hAnsiTheme="majorHAnsi"/>
                <w:sz w:val="16"/>
                <w:szCs w:val="16"/>
              </w:rPr>
            </w:pPr>
          </w:p>
        </w:tc>
        <w:tc>
          <w:tcPr>
            <w:tcW w:w="1024" w:type="pct"/>
            <w:tcBorders>
              <w:top w:val="nil"/>
              <w:left w:val="nil"/>
              <w:bottom w:val="nil"/>
              <w:right w:val="nil"/>
            </w:tcBorders>
            <w:shd w:val="clear" w:color="auto" w:fill="auto"/>
            <w:noWrap/>
            <w:vAlign w:val="bottom"/>
            <w:hideMark/>
          </w:tcPr>
          <w:p w14:paraId="7863F21E" w14:textId="77777777" w:rsidR="00234ACB" w:rsidRPr="00234ACB" w:rsidRDefault="00234ACB">
            <w:pPr>
              <w:jc w:val="right"/>
              <w:rPr>
                <w:rFonts w:asciiTheme="majorHAnsi" w:hAnsiTheme="majorHAnsi"/>
                <w:sz w:val="16"/>
                <w:szCs w:val="16"/>
              </w:rPr>
            </w:pPr>
          </w:p>
        </w:tc>
        <w:tc>
          <w:tcPr>
            <w:tcW w:w="561" w:type="pct"/>
            <w:gridSpan w:val="2"/>
            <w:tcBorders>
              <w:top w:val="nil"/>
              <w:left w:val="nil"/>
              <w:bottom w:val="nil"/>
              <w:right w:val="nil"/>
            </w:tcBorders>
            <w:shd w:val="clear" w:color="auto" w:fill="auto"/>
            <w:noWrap/>
            <w:vAlign w:val="center"/>
            <w:hideMark/>
          </w:tcPr>
          <w:p w14:paraId="2D4C6FB2" w14:textId="77777777" w:rsidR="00234ACB" w:rsidRPr="00234ACB" w:rsidRDefault="00234ACB" w:rsidP="009444AA">
            <w:pPr>
              <w:jc w:val="center"/>
              <w:rPr>
                <w:rFonts w:asciiTheme="majorHAnsi" w:hAnsiTheme="majorHAnsi"/>
                <w:sz w:val="16"/>
                <w:szCs w:val="16"/>
              </w:rPr>
            </w:pPr>
          </w:p>
        </w:tc>
      </w:tr>
      <w:tr w:rsidR="009444AA" w:rsidRPr="00234ACB" w14:paraId="17B8BC49" w14:textId="77777777" w:rsidTr="009444AA">
        <w:trPr>
          <w:trHeight w:val="227"/>
        </w:trPr>
        <w:tc>
          <w:tcPr>
            <w:tcW w:w="2241" w:type="pct"/>
            <w:tcBorders>
              <w:top w:val="nil"/>
              <w:left w:val="nil"/>
              <w:bottom w:val="nil"/>
              <w:right w:val="nil"/>
            </w:tcBorders>
            <w:shd w:val="clear" w:color="auto" w:fill="auto"/>
            <w:noWrap/>
            <w:vAlign w:val="bottom"/>
            <w:hideMark/>
          </w:tcPr>
          <w:p w14:paraId="25088A8A"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PATRIMÔNIO LÍQUIDO</w:t>
            </w:r>
          </w:p>
        </w:tc>
        <w:tc>
          <w:tcPr>
            <w:tcW w:w="1174" w:type="pct"/>
            <w:tcBorders>
              <w:top w:val="nil"/>
              <w:left w:val="nil"/>
              <w:bottom w:val="nil"/>
              <w:right w:val="nil"/>
            </w:tcBorders>
            <w:shd w:val="clear" w:color="auto" w:fill="auto"/>
            <w:noWrap/>
            <w:vAlign w:val="bottom"/>
            <w:hideMark/>
          </w:tcPr>
          <w:p w14:paraId="53B794D7" w14:textId="77777777" w:rsidR="00234ACB" w:rsidRPr="00234ACB" w:rsidRDefault="00234ACB">
            <w:pPr>
              <w:jc w:val="right"/>
              <w:rPr>
                <w:rFonts w:asciiTheme="majorHAnsi" w:hAnsiTheme="majorHAnsi" w:cs="Arial"/>
                <w:b/>
                <w:bCs/>
                <w:sz w:val="16"/>
                <w:szCs w:val="16"/>
              </w:rPr>
            </w:pPr>
            <w:r w:rsidRPr="00234ACB">
              <w:rPr>
                <w:rFonts w:asciiTheme="majorHAnsi" w:hAnsiTheme="majorHAnsi" w:cs="Arial"/>
                <w:b/>
                <w:bCs/>
                <w:sz w:val="16"/>
                <w:szCs w:val="16"/>
              </w:rPr>
              <w:t xml:space="preserve">                  2.991.542.088 </w:t>
            </w:r>
          </w:p>
        </w:tc>
        <w:tc>
          <w:tcPr>
            <w:tcW w:w="1024" w:type="pct"/>
            <w:tcBorders>
              <w:top w:val="nil"/>
              <w:left w:val="nil"/>
              <w:bottom w:val="nil"/>
              <w:right w:val="nil"/>
            </w:tcBorders>
            <w:shd w:val="clear" w:color="auto" w:fill="auto"/>
            <w:noWrap/>
            <w:vAlign w:val="bottom"/>
            <w:hideMark/>
          </w:tcPr>
          <w:p w14:paraId="44D5EB99" w14:textId="77777777" w:rsidR="00234ACB" w:rsidRPr="00234ACB" w:rsidRDefault="00234ACB">
            <w:pPr>
              <w:jc w:val="right"/>
              <w:rPr>
                <w:rFonts w:asciiTheme="majorHAnsi" w:hAnsiTheme="majorHAnsi" w:cs="Arial"/>
                <w:b/>
                <w:bCs/>
                <w:sz w:val="16"/>
                <w:szCs w:val="16"/>
              </w:rPr>
            </w:pPr>
            <w:r w:rsidRPr="00234ACB">
              <w:rPr>
                <w:rFonts w:asciiTheme="majorHAnsi" w:hAnsiTheme="majorHAnsi" w:cs="Arial"/>
                <w:b/>
                <w:bCs/>
                <w:sz w:val="16"/>
                <w:szCs w:val="16"/>
              </w:rPr>
              <w:t xml:space="preserve">            2.882.704.530 </w:t>
            </w:r>
          </w:p>
        </w:tc>
        <w:tc>
          <w:tcPr>
            <w:tcW w:w="561" w:type="pct"/>
            <w:gridSpan w:val="2"/>
            <w:tcBorders>
              <w:top w:val="nil"/>
              <w:left w:val="nil"/>
              <w:bottom w:val="nil"/>
              <w:right w:val="nil"/>
            </w:tcBorders>
            <w:shd w:val="clear" w:color="auto" w:fill="auto"/>
            <w:noWrap/>
            <w:vAlign w:val="center"/>
            <w:hideMark/>
          </w:tcPr>
          <w:p w14:paraId="5DBC3136" w14:textId="77777777" w:rsidR="00234ACB" w:rsidRPr="00234ACB" w:rsidRDefault="00234ACB" w:rsidP="009444AA">
            <w:pPr>
              <w:jc w:val="center"/>
              <w:rPr>
                <w:rFonts w:asciiTheme="majorHAnsi" w:hAnsiTheme="majorHAnsi" w:cs="Arial"/>
                <w:b/>
                <w:bCs/>
                <w:sz w:val="16"/>
                <w:szCs w:val="16"/>
              </w:rPr>
            </w:pPr>
          </w:p>
        </w:tc>
      </w:tr>
      <w:tr w:rsidR="009444AA" w:rsidRPr="00234ACB" w14:paraId="74329F08" w14:textId="77777777" w:rsidTr="009444AA">
        <w:trPr>
          <w:trHeight w:val="227"/>
        </w:trPr>
        <w:tc>
          <w:tcPr>
            <w:tcW w:w="2241" w:type="pct"/>
            <w:tcBorders>
              <w:top w:val="nil"/>
              <w:left w:val="nil"/>
              <w:bottom w:val="nil"/>
              <w:right w:val="nil"/>
            </w:tcBorders>
            <w:shd w:val="clear" w:color="auto" w:fill="auto"/>
            <w:noWrap/>
            <w:vAlign w:val="bottom"/>
            <w:hideMark/>
          </w:tcPr>
          <w:p w14:paraId="251C03EE"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Capital Social</w:t>
            </w:r>
          </w:p>
        </w:tc>
        <w:tc>
          <w:tcPr>
            <w:tcW w:w="1174" w:type="pct"/>
            <w:tcBorders>
              <w:top w:val="nil"/>
              <w:left w:val="nil"/>
              <w:bottom w:val="nil"/>
              <w:right w:val="nil"/>
            </w:tcBorders>
            <w:shd w:val="clear" w:color="auto" w:fill="auto"/>
            <w:noWrap/>
            <w:vAlign w:val="bottom"/>
            <w:hideMark/>
          </w:tcPr>
          <w:p w14:paraId="3ECF78E9"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22.233.502.272 </w:t>
            </w:r>
          </w:p>
        </w:tc>
        <w:tc>
          <w:tcPr>
            <w:tcW w:w="1024" w:type="pct"/>
            <w:tcBorders>
              <w:top w:val="nil"/>
              <w:left w:val="nil"/>
              <w:bottom w:val="nil"/>
              <w:right w:val="nil"/>
            </w:tcBorders>
            <w:shd w:val="clear" w:color="auto" w:fill="auto"/>
            <w:noWrap/>
            <w:vAlign w:val="bottom"/>
            <w:hideMark/>
          </w:tcPr>
          <w:p w14:paraId="385E4602"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22.233.502.272 </w:t>
            </w:r>
          </w:p>
        </w:tc>
        <w:tc>
          <w:tcPr>
            <w:tcW w:w="561" w:type="pct"/>
            <w:gridSpan w:val="2"/>
            <w:tcBorders>
              <w:top w:val="nil"/>
              <w:left w:val="nil"/>
              <w:bottom w:val="nil"/>
              <w:right w:val="nil"/>
            </w:tcBorders>
            <w:shd w:val="clear" w:color="auto" w:fill="auto"/>
            <w:noWrap/>
            <w:vAlign w:val="center"/>
            <w:hideMark/>
          </w:tcPr>
          <w:p w14:paraId="13B07985" w14:textId="77777777" w:rsidR="00234ACB" w:rsidRPr="00234ACB" w:rsidRDefault="00234ACB" w:rsidP="009444AA">
            <w:pPr>
              <w:jc w:val="center"/>
              <w:rPr>
                <w:rFonts w:asciiTheme="majorHAnsi" w:hAnsiTheme="majorHAnsi" w:cs="Arial"/>
                <w:sz w:val="16"/>
                <w:szCs w:val="16"/>
              </w:rPr>
            </w:pPr>
            <w:r w:rsidRPr="00234ACB">
              <w:rPr>
                <w:rFonts w:asciiTheme="majorHAnsi" w:hAnsiTheme="majorHAnsi" w:cs="Arial"/>
                <w:sz w:val="16"/>
                <w:szCs w:val="16"/>
              </w:rPr>
              <w:t>(14a)</w:t>
            </w:r>
          </w:p>
        </w:tc>
      </w:tr>
      <w:tr w:rsidR="009444AA" w:rsidRPr="00234ACB" w14:paraId="3BD962A6" w14:textId="77777777" w:rsidTr="009444AA">
        <w:trPr>
          <w:trHeight w:val="227"/>
        </w:trPr>
        <w:tc>
          <w:tcPr>
            <w:tcW w:w="2241" w:type="pct"/>
            <w:tcBorders>
              <w:top w:val="nil"/>
              <w:left w:val="nil"/>
              <w:bottom w:val="nil"/>
              <w:right w:val="nil"/>
            </w:tcBorders>
            <w:shd w:val="clear" w:color="auto" w:fill="auto"/>
            <w:noWrap/>
            <w:vAlign w:val="bottom"/>
            <w:hideMark/>
          </w:tcPr>
          <w:p w14:paraId="550BED31"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Adiantamento para Futuro Aumento de Capital</w:t>
            </w:r>
          </w:p>
        </w:tc>
        <w:tc>
          <w:tcPr>
            <w:tcW w:w="1174" w:type="pct"/>
            <w:tcBorders>
              <w:top w:val="nil"/>
              <w:left w:val="nil"/>
              <w:bottom w:val="nil"/>
              <w:right w:val="nil"/>
            </w:tcBorders>
            <w:shd w:val="clear" w:color="auto" w:fill="auto"/>
            <w:noWrap/>
            <w:vAlign w:val="bottom"/>
            <w:hideMark/>
          </w:tcPr>
          <w:p w14:paraId="4597513C"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1.071.423.997 </w:t>
            </w:r>
          </w:p>
        </w:tc>
        <w:tc>
          <w:tcPr>
            <w:tcW w:w="1024" w:type="pct"/>
            <w:tcBorders>
              <w:top w:val="nil"/>
              <w:left w:val="nil"/>
              <w:bottom w:val="nil"/>
              <w:right w:val="nil"/>
            </w:tcBorders>
            <w:shd w:val="clear" w:color="auto" w:fill="auto"/>
            <w:noWrap/>
            <w:vAlign w:val="bottom"/>
            <w:hideMark/>
          </w:tcPr>
          <w:p w14:paraId="59143BDE"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903.489.907 </w:t>
            </w:r>
          </w:p>
        </w:tc>
        <w:tc>
          <w:tcPr>
            <w:tcW w:w="561" w:type="pct"/>
            <w:gridSpan w:val="2"/>
            <w:tcBorders>
              <w:top w:val="nil"/>
              <w:left w:val="nil"/>
              <w:bottom w:val="nil"/>
              <w:right w:val="nil"/>
            </w:tcBorders>
            <w:shd w:val="clear" w:color="auto" w:fill="auto"/>
            <w:noWrap/>
            <w:vAlign w:val="center"/>
            <w:hideMark/>
          </w:tcPr>
          <w:p w14:paraId="7849A204" w14:textId="77777777" w:rsidR="00234ACB" w:rsidRPr="00234ACB" w:rsidRDefault="00234ACB" w:rsidP="009444AA">
            <w:pPr>
              <w:jc w:val="center"/>
              <w:rPr>
                <w:rFonts w:asciiTheme="majorHAnsi" w:hAnsiTheme="majorHAnsi" w:cs="Arial"/>
                <w:sz w:val="16"/>
                <w:szCs w:val="16"/>
              </w:rPr>
            </w:pPr>
            <w:r w:rsidRPr="00234ACB">
              <w:rPr>
                <w:rFonts w:asciiTheme="majorHAnsi" w:hAnsiTheme="majorHAnsi" w:cs="Arial"/>
                <w:sz w:val="16"/>
                <w:szCs w:val="16"/>
              </w:rPr>
              <w:t>(11a)</w:t>
            </w:r>
          </w:p>
        </w:tc>
      </w:tr>
      <w:tr w:rsidR="009444AA" w:rsidRPr="00234ACB" w14:paraId="081E13C7" w14:textId="77777777" w:rsidTr="009444AA">
        <w:trPr>
          <w:trHeight w:val="227"/>
        </w:trPr>
        <w:tc>
          <w:tcPr>
            <w:tcW w:w="2241" w:type="pct"/>
            <w:tcBorders>
              <w:top w:val="nil"/>
              <w:left w:val="nil"/>
              <w:bottom w:val="nil"/>
              <w:right w:val="nil"/>
            </w:tcBorders>
            <w:shd w:val="clear" w:color="auto" w:fill="auto"/>
            <w:noWrap/>
            <w:vAlign w:val="bottom"/>
            <w:hideMark/>
          </w:tcPr>
          <w:p w14:paraId="1DAA4310" w14:textId="77777777" w:rsidR="00234ACB" w:rsidRPr="00234ACB" w:rsidRDefault="00234ACB">
            <w:pPr>
              <w:rPr>
                <w:rFonts w:asciiTheme="majorHAnsi" w:hAnsiTheme="majorHAnsi" w:cs="Arial"/>
                <w:sz w:val="16"/>
                <w:szCs w:val="16"/>
              </w:rPr>
            </w:pPr>
            <w:r w:rsidRPr="00234ACB">
              <w:rPr>
                <w:rFonts w:asciiTheme="majorHAnsi" w:hAnsiTheme="majorHAnsi" w:cs="Arial"/>
                <w:sz w:val="16"/>
                <w:szCs w:val="16"/>
              </w:rPr>
              <w:t xml:space="preserve">        Prejuízos Acumulados</w:t>
            </w:r>
          </w:p>
        </w:tc>
        <w:tc>
          <w:tcPr>
            <w:tcW w:w="1174" w:type="pct"/>
            <w:tcBorders>
              <w:top w:val="nil"/>
              <w:left w:val="nil"/>
              <w:bottom w:val="nil"/>
              <w:right w:val="nil"/>
            </w:tcBorders>
            <w:shd w:val="clear" w:color="auto" w:fill="auto"/>
            <w:noWrap/>
            <w:vAlign w:val="bottom"/>
            <w:hideMark/>
          </w:tcPr>
          <w:p w14:paraId="27DB7E9A"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(20.313.384.181)</w:t>
            </w:r>
          </w:p>
        </w:tc>
        <w:tc>
          <w:tcPr>
            <w:tcW w:w="1024" w:type="pct"/>
            <w:tcBorders>
              <w:top w:val="nil"/>
              <w:left w:val="nil"/>
              <w:bottom w:val="nil"/>
              <w:right w:val="nil"/>
            </w:tcBorders>
            <w:shd w:val="clear" w:color="auto" w:fill="auto"/>
            <w:noWrap/>
            <w:vAlign w:val="bottom"/>
            <w:hideMark/>
          </w:tcPr>
          <w:p w14:paraId="2A949FDB" w14:textId="77777777" w:rsidR="00234ACB" w:rsidRPr="00234ACB" w:rsidRDefault="00234ACB">
            <w:pPr>
              <w:jc w:val="right"/>
              <w:rPr>
                <w:rFonts w:asciiTheme="majorHAnsi" w:hAnsiTheme="majorHAnsi" w:cs="Arial"/>
                <w:sz w:val="16"/>
                <w:szCs w:val="16"/>
              </w:rPr>
            </w:pPr>
            <w:r w:rsidRPr="00234ACB">
              <w:rPr>
                <w:rFonts w:asciiTheme="majorHAnsi" w:hAnsiTheme="majorHAnsi" w:cs="Arial"/>
                <w:sz w:val="16"/>
                <w:szCs w:val="16"/>
              </w:rPr>
              <w:t xml:space="preserve">       (20.254.287.649)</w:t>
            </w:r>
          </w:p>
        </w:tc>
        <w:tc>
          <w:tcPr>
            <w:tcW w:w="561" w:type="pct"/>
            <w:gridSpan w:val="2"/>
            <w:tcBorders>
              <w:top w:val="nil"/>
              <w:left w:val="nil"/>
              <w:bottom w:val="nil"/>
              <w:right w:val="nil"/>
            </w:tcBorders>
            <w:shd w:val="clear" w:color="auto" w:fill="auto"/>
            <w:noWrap/>
            <w:vAlign w:val="center"/>
            <w:hideMark/>
          </w:tcPr>
          <w:p w14:paraId="22C55A18" w14:textId="77777777" w:rsidR="00234ACB" w:rsidRPr="00234ACB" w:rsidRDefault="00234ACB" w:rsidP="009444AA">
            <w:pPr>
              <w:jc w:val="center"/>
              <w:rPr>
                <w:rFonts w:asciiTheme="majorHAnsi" w:hAnsiTheme="majorHAnsi" w:cs="Arial"/>
                <w:sz w:val="16"/>
                <w:szCs w:val="16"/>
              </w:rPr>
            </w:pPr>
            <w:r w:rsidRPr="00234ACB">
              <w:rPr>
                <w:rFonts w:asciiTheme="majorHAnsi" w:hAnsiTheme="majorHAnsi" w:cs="Arial"/>
                <w:sz w:val="16"/>
                <w:szCs w:val="16"/>
              </w:rPr>
              <w:t>(14b)</w:t>
            </w:r>
          </w:p>
        </w:tc>
      </w:tr>
      <w:tr w:rsidR="009444AA" w:rsidRPr="00234ACB" w14:paraId="52D4466C" w14:textId="77777777" w:rsidTr="009444AA">
        <w:trPr>
          <w:trHeight w:val="227"/>
        </w:trPr>
        <w:tc>
          <w:tcPr>
            <w:tcW w:w="2241" w:type="pct"/>
            <w:tcBorders>
              <w:top w:val="nil"/>
              <w:left w:val="nil"/>
              <w:bottom w:val="nil"/>
              <w:right w:val="nil"/>
            </w:tcBorders>
            <w:shd w:val="clear" w:color="auto" w:fill="auto"/>
            <w:noWrap/>
            <w:vAlign w:val="bottom"/>
            <w:hideMark/>
          </w:tcPr>
          <w:p w14:paraId="04E97098" w14:textId="77777777" w:rsidR="00234ACB" w:rsidRPr="00234ACB" w:rsidRDefault="00234ACB">
            <w:pPr>
              <w:jc w:val="right"/>
              <w:rPr>
                <w:rFonts w:asciiTheme="majorHAnsi" w:hAnsiTheme="majorHAnsi" w:cs="Arial"/>
                <w:sz w:val="16"/>
                <w:szCs w:val="16"/>
              </w:rPr>
            </w:pPr>
          </w:p>
        </w:tc>
        <w:tc>
          <w:tcPr>
            <w:tcW w:w="1174" w:type="pct"/>
            <w:tcBorders>
              <w:top w:val="nil"/>
              <w:left w:val="nil"/>
              <w:bottom w:val="nil"/>
              <w:right w:val="nil"/>
            </w:tcBorders>
            <w:shd w:val="clear" w:color="auto" w:fill="auto"/>
            <w:noWrap/>
            <w:vAlign w:val="bottom"/>
            <w:hideMark/>
          </w:tcPr>
          <w:p w14:paraId="0A912CA5" w14:textId="77777777" w:rsidR="00234ACB" w:rsidRPr="00234ACB" w:rsidRDefault="00234ACB">
            <w:pPr>
              <w:rPr>
                <w:rFonts w:asciiTheme="majorHAnsi" w:hAnsiTheme="majorHAnsi"/>
                <w:sz w:val="16"/>
                <w:szCs w:val="16"/>
              </w:rPr>
            </w:pPr>
          </w:p>
        </w:tc>
        <w:tc>
          <w:tcPr>
            <w:tcW w:w="1024" w:type="pct"/>
            <w:tcBorders>
              <w:top w:val="nil"/>
              <w:left w:val="nil"/>
              <w:bottom w:val="nil"/>
              <w:right w:val="nil"/>
            </w:tcBorders>
            <w:shd w:val="clear" w:color="auto" w:fill="auto"/>
            <w:noWrap/>
            <w:vAlign w:val="bottom"/>
            <w:hideMark/>
          </w:tcPr>
          <w:p w14:paraId="7E6A7CF8" w14:textId="77777777" w:rsidR="00234ACB" w:rsidRPr="00234ACB" w:rsidRDefault="00234ACB">
            <w:pPr>
              <w:jc w:val="right"/>
              <w:rPr>
                <w:rFonts w:asciiTheme="majorHAnsi" w:hAnsiTheme="majorHAnsi"/>
                <w:sz w:val="16"/>
                <w:szCs w:val="16"/>
              </w:rPr>
            </w:pPr>
          </w:p>
        </w:tc>
        <w:tc>
          <w:tcPr>
            <w:tcW w:w="561" w:type="pct"/>
            <w:gridSpan w:val="2"/>
            <w:tcBorders>
              <w:top w:val="nil"/>
              <w:left w:val="nil"/>
              <w:bottom w:val="nil"/>
              <w:right w:val="nil"/>
            </w:tcBorders>
            <w:shd w:val="clear" w:color="auto" w:fill="auto"/>
            <w:noWrap/>
            <w:vAlign w:val="center"/>
            <w:hideMark/>
          </w:tcPr>
          <w:p w14:paraId="56493DCA" w14:textId="77777777" w:rsidR="00234ACB" w:rsidRPr="00234ACB" w:rsidRDefault="00234ACB" w:rsidP="009444AA">
            <w:pPr>
              <w:jc w:val="center"/>
              <w:rPr>
                <w:rFonts w:asciiTheme="majorHAnsi" w:hAnsiTheme="majorHAnsi"/>
                <w:sz w:val="16"/>
                <w:szCs w:val="16"/>
              </w:rPr>
            </w:pPr>
          </w:p>
        </w:tc>
      </w:tr>
      <w:tr w:rsidR="009444AA" w:rsidRPr="00234ACB" w14:paraId="37146805" w14:textId="77777777" w:rsidTr="009444AA">
        <w:trPr>
          <w:trHeight w:val="227"/>
        </w:trPr>
        <w:tc>
          <w:tcPr>
            <w:tcW w:w="2241" w:type="pct"/>
            <w:tcBorders>
              <w:top w:val="nil"/>
              <w:left w:val="nil"/>
              <w:bottom w:val="nil"/>
              <w:right w:val="nil"/>
            </w:tcBorders>
            <w:shd w:val="clear" w:color="auto" w:fill="auto"/>
            <w:noWrap/>
            <w:vAlign w:val="bottom"/>
            <w:hideMark/>
          </w:tcPr>
          <w:p w14:paraId="349E877C" w14:textId="77777777" w:rsidR="00234ACB" w:rsidRPr="00234ACB" w:rsidRDefault="00234ACB">
            <w:pPr>
              <w:rPr>
                <w:rFonts w:asciiTheme="majorHAnsi" w:hAnsiTheme="majorHAnsi" w:cs="Arial"/>
                <w:b/>
                <w:bCs/>
                <w:sz w:val="16"/>
                <w:szCs w:val="16"/>
              </w:rPr>
            </w:pPr>
            <w:r w:rsidRPr="00234ACB">
              <w:rPr>
                <w:rFonts w:asciiTheme="majorHAnsi" w:hAnsiTheme="majorHAnsi" w:cs="Arial"/>
                <w:b/>
                <w:bCs/>
                <w:sz w:val="16"/>
                <w:szCs w:val="16"/>
              </w:rPr>
              <w:t>TOTAL DO PASSIVO</w:t>
            </w:r>
          </w:p>
        </w:tc>
        <w:tc>
          <w:tcPr>
            <w:tcW w:w="1174" w:type="pct"/>
            <w:tcBorders>
              <w:top w:val="nil"/>
              <w:left w:val="nil"/>
              <w:bottom w:val="nil"/>
              <w:right w:val="nil"/>
            </w:tcBorders>
            <w:shd w:val="clear" w:color="auto" w:fill="auto"/>
            <w:noWrap/>
            <w:vAlign w:val="bottom"/>
            <w:hideMark/>
          </w:tcPr>
          <w:p w14:paraId="40C06941" w14:textId="77777777" w:rsidR="00234ACB" w:rsidRPr="00234ACB" w:rsidRDefault="00234ACB">
            <w:pPr>
              <w:jc w:val="right"/>
              <w:rPr>
                <w:rFonts w:asciiTheme="majorHAnsi" w:hAnsiTheme="majorHAnsi" w:cs="Arial"/>
                <w:b/>
                <w:bCs/>
                <w:sz w:val="16"/>
                <w:szCs w:val="16"/>
              </w:rPr>
            </w:pPr>
            <w:r w:rsidRPr="00234ACB">
              <w:rPr>
                <w:rFonts w:asciiTheme="majorHAnsi" w:hAnsiTheme="majorHAnsi" w:cs="Arial"/>
                <w:b/>
                <w:bCs/>
                <w:sz w:val="16"/>
                <w:szCs w:val="16"/>
              </w:rPr>
              <w:t xml:space="preserve">                  3.904.429.209 </w:t>
            </w:r>
          </w:p>
        </w:tc>
        <w:tc>
          <w:tcPr>
            <w:tcW w:w="1024" w:type="pct"/>
            <w:tcBorders>
              <w:top w:val="nil"/>
              <w:left w:val="nil"/>
              <w:bottom w:val="nil"/>
              <w:right w:val="nil"/>
            </w:tcBorders>
            <w:shd w:val="clear" w:color="auto" w:fill="auto"/>
            <w:noWrap/>
            <w:vAlign w:val="bottom"/>
            <w:hideMark/>
          </w:tcPr>
          <w:p w14:paraId="3092A7D9" w14:textId="77777777" w:rsidR="00234ACB" w:rsidRPr="00234ACB" w:rsidRDefault="00234ACB">
            <w:pPr>
              <w:jc w:val="right"/>
              <w:rPr>
                <w:rFonts w:asciiTheme="majorHAnsi" w:hAnsiTheme="majorHAnsi" w:cs="Arial"/>
                <w:b/>
                <w:bCs/>
                <w:sz w:val="16"/>
                <w:szCs w:val="16"/>
              </w:rPr>
            </w:pPr>
            <w:r w:rsidRPr="00234ACB">
              <w:rPr>
                <w:rFonts w:asciiTheme="majorHAnsi" w:hAnsiTheme="majorHAnsi" w:cs="Arial"/>
                <w:b/>
                <w:bCs/>
                <w:sz w:val="16"/>
                <w:szCs w:val="16"/>
              </w:rPr>
              <w:t xml:space="preserve">            3.743.688.328 </w:t>
            </w:r>
          </w:p>
        </w:tc>
        <w:tc>
          <w:tcPr>
            <w:tcW w:w="561" w:type="pct"/>
            <w:gridSpan w:val="2"/>
            <w:tcBorders>
              <w:top w:val="nil"/>
              <w:left w:val="nil"/>
              <w:bottom w:val="nil"/>
              <w:right w:val="nil"/>
            </w:tcBorders>
            <w:shd w:val="clear" w:color="auto" w:fill="auto"/>
            <w:noWrap/>
            <w:vAlign w:val="center"/>
            <w:hideMark/>
          </w:tcPr>
          <w:p w14:paraId="053E0362" w14:textId="77777777" w:rsidR="00234ACB" w:rsidRPr="00234ACB" w:rsidRDefault="00234ACB" w:rsidP="009444AA">
            <w:pPr>
              <w:jc w:val="center"/>
              <w:rPr>
                <w:rFonts w:asciiTheme="majorHAnsi" w:hAnsiTheme="majorHAnsi" w:cs="Arial"/>
                <w:b/>
                <w:bCs/>
                <w:sz w:val="16"/>
                <w:szCs w:val="16"/>
              </w:rPr>
            </w:pPr>
          </w:p>
        </w:tc>
      </w:tr>
      <w:tr w:rsidR="009444AA" w:rsidRPr="00234ACB" w14:paraId="4A4AAD11" w14:textId="77777777" w:rsidTr="009444AA">
        <w:trPr>
          <w:trHeight w:val="227"/>
        </w:trPr>
        <w:tc>
          <w:tcPr>
            <w:tcW w:w="2241" w:type="pct"/>
            <w:tcBorders>
              <w:top w:val="nil"/>
              <w:left w:val="nil"/>
              <w:bottom w:val="nil"/>
              <w:right w:val="nil"/>
            </w:tcBorders>
            <w:shd w:val="clear" w:color="auto" w:fill="auto"/>
            <w:noWrap/>
            <w:vAlign w:val="bottom"/>
            <w:hideMark/>
          </w:tcPr>
          <w:p w14:paraId="24E7621B" w14:textId="77777777" w:rsidR="00234ACB" w:rsidRPr="00234ACB" w:rsidRDefault="00234ACB">
            <w:pPr>
              <w:jc w:val="right"/>
              <w:rPr>
                <w:rFonts w:asciiTheme="majorHAnsi" w:hAnsiTheme="majorHAnsi"/>
                <w:sz w:val="16"/>
                <w:szCs w:val="16"/>
              </w:rPr>
            </w:pPr>
          </w:p>
        </w:tc>
        <w:tc>
          <w:tcPr>
            <w:tcW w:w="1174" w:type="pct"/>
            <w:tcBorders>
              <w:top w:val="nil"/>
              <w:left w:val="nil"/>
              <w:bottom w:val="nil"/>
              <w:right w:val="nil"/>
            </w:tcBorders>
            <w:shd w:val="clear" w:color="auto" w:fill="auto"/>
            <w:noWrap/>
            <w:vAlign w:val="bottom"/>
            <w:hideMark/>
          </w:tcPr>
          <w:p w14:paraId="5BAB7AED" w14:textId="77777777" w:rsidR="00234ACB" w:rsidRPr="00234ACB" w:rsidRDefault="00234ACB">
            <w:pPr>
              <w:rPr>
                <w:rFonts w:asciiTheme="majorHAnsi" w:hAnsiTheme="majorHAnsi"/>
                <w:sz w:val="16"/>
                <w:szCs w:val="16"/>
              </w:rPr>
            </w:pPr>
          </w:p>
        </w:tc>
        <w:tc>
          <w:tcPr>
            <w:tcW w:w="1024" w:type="pct"/>
            <w:tcBorders>
              <w:top w:val="nil"/>
              <w:left w:val="nil"/>
              <w:bottom w:val="nil"/>
              <w:right w:val="nil"/>
            </w:tcBorders>
            <w:shd w:val="clear" w:color="auto" w:fill="auto"/>
            <w:noWrap/>
            <w:vAlign w:val="bottom"/>
            <w:hideMark/>
          </w:tcPr>
          <w:p w14:paraId="5C97BD1F" w14:textId="77777777" w:rsidR="00234ACB" w:rsidRPr="00234ACB" w:rsidRDefault="00234ACB">
            <w:pPr>
              <w:jc w:val="right"/>
              <w:rPr>
                <w:rFonts w:asciiTheme="majorHAnsi" w:hAnsiTheme="majorHAnsi"/>
                <w:sz w:val="16"/>
                <w:szCs w:val="16"/>
              </w:rPr>
            </w:pPr>
          </w:p>
        </w:tc>
        <w:tc>
          <w:tcPr>
            <w:tcW w:w="561" w:type="pct"/>
            <w:gridSpan w:val="2"/>
            <w:tcBorders>
              <w:top w:val="nil"/>
              <w:left w:val="nil"/>
              <w:bottom w:val="nil"/>
              <w:right w:val="nil"/>
            </w:tcBorders>
            <w:shd w:val="clear" w:color="auto" w:fill="auto"/>
            <w:noWrap/>
            <w:vAlign w:val="center"/>
            <w:hideMark/>
          </w:tcPr>
          <w:p w14:paraId="443F4519" w14:textId="77777777" w:rsidR="00234ACB" w:rsidRPr="00234ACB" w:rsidRDefault="00234ACB" w:rsidP="009444AA">
            <w:pPr>
              <w:jc w:val="center"/>
              <w:rPr>
                <w:rFonts w:asciiTheme="majorHAnsi" w:hAnsiTheme="majorHAnsi"/>
                <w:sz w:val="16"/>
                <w:szCs w:val="16"/>
              </w:rPr>
            </w:pPr>
          </w:p>
        </w:tc>
      </w:tr>
      <w:tr w:rsidR="009444AA" w:rsidRPr="00234ACB" w14:paraId="44738E8F" w14:textId="77777777" w:rsidTr="009444AA">
        <w:trPr>
          <w:trHeight w:val="227"/>
        </w:trPr>
        <w:tc>
          <w:tcPr>
            <w:tcW w:w="2241" w:type="pct"/>
            <w:tcBorders>
              <w:top w:val="nil"/>
              <w:left w:val="nil"/>
              <w:bottom w:val="nil"/>
              <w:right w:val="nil"/>
            </w:tcBorders>
            <w:shd w:val="clear" w:color="auto" w:fill="auto"/>
            <w:noWrap/>
            <w:vAlign w:val="bottom"/>
            <w:hideMark/>
          </w:tcPr>
          <w:p w14:paraId="2DDE4EFA" w14:textId="77777777" w:rsidR="00234ACB" w:rsidRPr="00234ACB" w:rsidRDefault="00234ACB">
            <w:pPr>
              <w:jc w:val="right"/>
              <w:rPr>
                <w:rFonts w:asciiTheme="majorHAnsi" w:hAnsiTheme="majorHAnsi"/>
                <w:sz w:val="16"/>
                <w:szCs w:val="16"/>
              </w:rPr>
            </w:pPr>
          </w:p>
        </w:tc>
        <w:tc>
          <w:tcPr>
            <w:tcW w:w="1174" w:type="pct"/>
            <w:tcBorders>
              <w:top w:val="nil"/>
              <w:left w:val="nil"/>
              <w:bottom w:val="nil"/>
              <w:right w:val="nil"/>
            </w:tcBorders>
            <w:shd w:val="clear" w:color="auto" w:fill="auto"/>
            <w:noWrap/>
            <w:vAlign w:val="bottom"/>
            <w:hideMark/>
          </w:tcPr>
          <w:p w14:paraId="44889294" w14:textId="77777777" w:rsidR="00234ACB" w:rsidRPr="00234ACB" w:rsidRDefault="00234ACB">
            <w:pPr>
              <w:rPr>
                <w:rFonts w:asciiTheme="majorHAnsi" w:hAnsiTheme="majorHAnsi"/>
                <w:sz w:val="16"/>
                <w:szCs w:val="16"/>
              </w:rPr>
            </w:pPr>
          </w:p>
        </w:tc>
        <w:tc>
          <w:tcPr>
            <w:tcW w:w="1024" w:type="pct"/>
            <w:tcBorders>
              <w:top w:val="nil"/>
              <w:left w:val="nil"/>
              <w:bottom w:val="nil"/>
              <w:right w:val="nil"/>
            </w:tcBorders>
            <w:shd w:val="clear" w:color="auto" w:fill="auto"/>
            <w:noWrap/>
            <w:vAlign w:val="bottom"/>
            <w:hideMark/>
          </w:tcPr>
          <w:p w14:paraId="466C15BA" w14:textId="77777777" w:rsidR="00234ACB" w:rsidRPr="00234ACB" w:rsidRDefault="00234ACB">
            <w:pPr>
              <w:jc w:val="center"/>
              <w:rPr>
                <w:rFonts w:asciiTheme="majorHAnsi" w:hAnsiTheme="majorHAnsi"/>
                <w:sz w:val="16"/>
                <w:szCs w:val="16"/>
              </w:rPr>
            </w:pPr>
          </w:p>
        </w:tc>
        <w:tc>
          <w:tcPr>
            <w:tcW w:w="561" w:type="pct"/>
            <w:gridSpan w:val="2"/>
            <w:tcBorders>
              <w:top w:val="nil"/>
              <w:left w:val="nil"/>
              <w:bottom w:val="nil"/>
              <w:right w:val="nil"/>
            </w:tcBorders>
            <w:shd w:val="clear" w:color="auto" w:fill="auto"/>
            <w:noWrap/>
            <w:vAlign w:val="center"/>
            <w:hideMark/>
          </w:tcPr>
          <w:p w14:paraId="3B8A51DE" w14:textId="77777777" w:rsidR="00234ACB" w:rsidRPr="00234ACB" w:rsidRDefault="00234ACB">
            <w:pPr>
              <w:jc w:val="right"/>
              <w:rPr>
                <w:rFonts w:asciiTheme="majorHAnsi" w:hAnsiTheme="majorHAnsi"/>
                <w:sz w:val="16"/>
                <w:szCs w:val="16"/>
              </w:rPr>
            </w:pPr>
          </w:p>
        </w:tc>
      </w:tr>
      <w:tr w:rsidR="009444AA" w:rsidRPr="00234ACB" w14:paraId="3B1A9AE4" w14:textId="77777777" w:rsidTr="009444AA">
        <w:trPr>
          <w:trHeight w:val="227"/>
        </w:trPr>
        <w:tc>
          <w:tcPr>
            <w:tcW w:w="2241" w:type="pct"/>
            <w:tcBorders>
              <w:top w:val="nil"/>
              <w:left w:val="nil"/>
              <w:bottom w:val="nil"/>
              <w:right w:val="nil"/>
            </w:tcBorders>
            <w:shd w:val="clear" w:color="auto" w:fill="auto"/>
            <w:noWrap/>
            <w:vAlign w:val="bottom"/>
            <w:hideMark/>
          </w:tcPr>
          <w:p w14:paraId="2030E6C8" w14:textId="77777777" w:rsidR="00234ACB" w:rsidRPr="00234ACB" w:rsidRDefault="00234ACB">
            <w:pPr>
              <w:jc w:val="center"/>
              <w:rPr>
                <w:rFonts w:asciiTheme="majorHAnsi" w:hAnsiTheme="majorHAnsi"/>
                <w:sz w:val="16"/>
                <w:szCs w:val="16"/>
              </w:rPr>
            </w:pPr>
          </w:p>
        </w:tc>
        <w:tc>
          <w:tcPr>
            <w:tcW w:w="1174" w:type="pct"/>
            <w:tcBorders>
              <w:top w:val="nil"/>
              <w:left w:val="nil"/>
              <w:bottom w:val="nil"/>
              <w:right w:val="nil"/>
            </w:tcBorders>
            <w:shd w:val="clear" w:color="auto" w:fill="auto"/>
            <w:noWrap/>
            <w:vAlign w:val="bottom"/>
            <w:hideMark/>
          </w:tcPr>
          <w:p w14:paraId="0F12508A" w14:textId="77777777" w:rsidR="00234ACB" w:rsidRPr="00234ACB" w:rsidRDefault="00234ACB">
            <w:pPr>
              <w:rPr>
                <w:rFonts w:asciiTheme="majorHAnsi" w:hAnsiTheme="majorHAnsi"/>
                <w:sz w:val="16"/>
                <w:szCs w:val="16"/>
              </w:rPr>
            </w:pPr>
          </w:p>
        </w:tc>
        <w:tc>
          <w:tcPr>
            <w:tcW w:w="1024" w:type="pct"/>
            <w:tcBorders>
              <w:top w:val="nil"/>
              <w:left w:val="nil"/>
              <w:bottom w:val="nil"/>
              <w:right w:val="nil"/>
            </w:tcBorders>
            <w:shd w:val="clear" w:color="auto" w:fill="auto"/>
            <w:noWrap/>
            <w:vAlign w:val="bottom"/>
            <w:hideMark/>
          </w:tcPr>
          <w:p w14:paraId="4CA8755B" w14:textId="77777777" w:rsidR="00234ACB" w:rsidRPr="00234ACB" w:rsidRDefault="00234ACB">
            <w:pPr>
              <w:rPr>
                <w:rFonts w:asciiTheme="majorHAnsi" w:hAnsiTheme="majorHAnsi"/>
                <w:sz w:val="16"/>
                <w:szCs w:val="16"/>
              </w:rPr>
            </w:pPr>
          </w:p>
        </w:tc>
        <w:tc>
          <w:tcPr>
            <w:tcW w:w="561" w:type="pct"/>
            <w:gridSpan w:val="2"/>
            <w:tcBorders>
              <w:top w:val="nil"/>
              <w:left w:val="nil"/>
              <w:bottom w:val="nil"/>
              <w:right w:val="nil"/>
            </w:tcBorders>
            <w:shd w:val="clear" w:color="auto" w:fill="auto"/>
            <w:noWrap/>
            <w:vAlign w:val="center"/>
            <w:hideMark/>
          </w:tcPr>
          <w:p w14:paraId="75AAF8E0" w14:textId="77777777" w:rsidR="00234ACB" w:rsidRPr="00234ACB" w:rsidRDefault="00234ACB">
            <w:pPr>
              <w:jc w:val="right"/>
              <w:rPr>
                <w:rFonts w:asciiTheme="majorHAnsi" w:hAnsiTheme="majorHAnsi"/>
                <w:sz w:val="16"/>
                <w:szCs w:val="16"/>
              </w:rPr>
            </w:pPr>
          </w:p>
        </w:tc>
      </w:tr>
      <w:tr w:rsidR="009444AA" w:rsidRPr="00234ACB" w14:paraId="188140BB" w14:textId="77777777" w:rsidTr="009444AA">
        <w:trPr>
          <w:trHeight w:val="227"/>
        </w:trPr>
        <w:tc>
          <w:tcPr>
            <w:tcW w:w="2241" w:type="pct"/>
            <w:tcBorders>
              <w:top w:val="nil"/>
              <w:left w:val="nil"/>
              <w:bottom w:val="nil"/>
              <w:right w:val="nil"/>
            </w:tcBorders>
            <w:shd w:val="clear" w:color="auto" w:fill="auto"/>
            <w:noWrap/>
            <w:vAlign w:val="bottom"/>
            <w:hideMark/>
          </w:tcPr>
          <w:p w14:paraId="06B4FDDD" w14:textId="77777777" w:rsidR="00234ACB" w:rsidRPr="00234ACB" w:rsidRDefault="00234ACB">
            <w:pPr>
              <w:jc w:val="center"/>
              <w:rPr>
                <w:rFonts w:asciiTheme="majorHAnsi" w:hAnsiTheme="majorHAnsi"/>
                <w:sz w:val="16"/>
                <w:szCs w:val="16"/>
              </w:rPr>
            </w:pPr>
          </w:p>
        </w:tc>
        <w:tc>
          <w:tcPr>
            <w:tcW w:w="1174" w:type="pct"/>
            <w:tcBorders>
              <w:top w:val="nil"/>
              <w:left w:val="nil"/>
              <w:bottom w:val="nil"/>
              <w:right w:val="nil"/>
            </w:tcBorders>
            <w:shd w:val="clear" w:color="auto" w:fill="auto"/>
            <w:noWrap/>
            <w:vAlign w:val="bottom"/>
            <w:hideMark/>
          </w:tcPr>
          <w:p w14:paraId="687BC360" w14:textId="77777777" w:rsidR="00234ACB" w:rsidRPr="00234ACB" w:rsidRDefault="00234ACB">
            <w:pPr>
              <w:jc w:val="center"/>
              <w:rPr>
                <w:rFonts w:asciiTheme="majorHAnsi" w:hAnsiTheme="majorHAnsi"/>
                <w:sz w:val="16"/>
                <w:szCs w:val="16"/>
              </w:rPr>
            </w:pPr>
          </w:p>
        </w:tc>
        <w:tc>
          <w:tcPr>
            <w:tcW w:w="1024" w:type="pct"/>
            <w:tcBorders>
              <w:top w:val="nil"/>
              <w:left w:val="nil"/>
              <w:bottom w:val="nil"/>
              <w:right w:val="nil"/>
            </w:tcBorders>
            <w:shd w:val="clear" w:color="auto" w:fill="auto"/>
            <w:noWrap/>
            <w:vAlign w:val="bottom"/>
            <w:hideMark/>
          </w:tcPr>
          <w:p w14:paraId="6F032DA3" w14:textId="77777777" w:rsidR="00234ACB" w:rsidRPr="00234ACB" w:rsidRDefault="00234ACB">
            <w:pPr>
              <w:rPr>
                <w:rFonts w:asciiTheme="majorHAnsi" w:hAnsiTheme="majorHAnsi"/>
                <w:sz w:val="16"/>
                <w:szCs w:val="16"/>
              </w:rPr>
            </w:pPr>
          </w:p>
        </w:tc>
        <w:tc>
          <w:tcPr>
            <w:tcW w:w="561" w:type="pct"/>
            <w:gridSpan w:val="2"/>
            <w:tcBorders>
              <w:top w:val="nil"/>
              <w:left w:val="nil"/>
              <w:bottom w:val="nil"/>
              <w:right w:val="nil"/>
            </w:tcBorders>
            <w:shd w:val="clear" w:color="auto" w:fill="auto"/>
            <w:noWrap/>
            <w:vAlign w:val="center"/>
            <w:hideMark/>
          </w:tcPr>
          <w:p w14:paraId="67FAB867" w14:textId="77777777" w:rsidR="00234ACB" w:rsidRPr="00234ACB" w:rsidRDefault="00234ACB">
            <w:pPr>
              <w:jc w:val="right"/>
              <w:rPr>
                <w:rFonts w:asciiTheme="majorHAnsi" w:hAnsiTheme="majorHAnsi"/>
                <w:sz w:val="16"/>
                <w:szCs w:val="16"/>
              </w:rPr>
            </w:pPr>
          </w:p>
        </w:tc>
      </w:tr>
      <w:tr w:rsidR="00234ACB" w:rsidRPr="00234ACB" w14:paraId="6E891DC5" w14:textId="77777777" w:rsidTr="009444AA">
        <w:trPr>
          <w:gridAfter w:val="1"/>
          <w:wAfter w:w="4" w:type="pct"/>
          <w:trHeight w:val="227"/>
        </w:trPr>
        <w:tc>
          <w:tcPr>
            <w:tcW w:w="4996" w:type="pct"/>
            <w:gridSpan w:val="4"/>
            <w:tcBorders>
              <w:top w:val="nil"/>
              <w:left w:val="nil"/>
              <w:bottom w:val="nil"/>
              <w:right w:val="nil"/>
            </w:tcBorders>
            <w:shd w:val="clear" w:color="auto" w:fill="auto"/>
            <w:noWrap/>
            <w:vAlign w:val="bottom"/>
            <w:hideMark/>
          </w:tcPr>
          <w:p w14:paraId="319CFC55" w14:textId="77777777" w:rsidR="00234ACB" w:rsidRPr="00234ACB" w:rsidRDefault="00234ACB">
            <w:pPr>
              <w:jc w:val="center"/>
              <w:rPr>
                <w:rFonts w:asciiTheme="majorHAnsi" w:hAnsiTheme="majorHAnsi" w:cs="Arial"/>
                <w:sz w:val="16"/>
                <w:szCs w:val="16"/>
              </w:rPr>
            </w:pPr>
            <w:r w:rsidRPr="00234ACB">
              <w:rPr>
                <w:rFonts w:asciiTheme="majorHAnsi" w:hAnsiTheme="majorHAnsi" w:cs="Arial"/>
                <w:sz w:val="16"/>
                <w:szCs w:val="16"/>
              </w:rPr>
              <w:t>(As Notas Explicativas são parte integrante das demonstrações contábeis intermediárias)</w:t>
            </w:r>
          </w:p>
        </w:tc>
      </w:tr>
    </w:tbl>
    <w:p w14:paraId="7D10A54C" w14:textId="3B2008D4" w:rsidR="00331A4D" w:rsidRDefault="00331A4D" w:rsidP="002E2B5B">
      <w:pPr>
        <w:pStyle w:val="Ttulo1"/>
        <w:tabs>
          <w:tab w:val="left" w:pos="1701"/>
        </w:tabs>
        <w:ind w:right="-142"/>
        <w:rPr>
          <w:rFonts w:ascii="Calibri" w:hAnsi="Calibri" w:cs="Calibri"/>
          <w:szCs w:val="22"/>
        </w:rPr>
      </w:pPr>
    </w:p>
    <w:p w14:paraId="56FF77F1" w14:textId="21A94AF8" w:rsidR="009444AA" w:rsidRDefault="009444AA" w:rsidP="009444AA"/>
    <w:p w14:paraId="76ADCD94" w14:textId="04B49D88" w:rsidR="009444AA" w:rsidRDefault="009444AA" w:rsidP="009444AA"/>
    <w:p w14:paraId="200C1A23" w14:textId="0B537F3E" w:rsidR="009444AA" w:rsidRDefault="009444AA" w:rsidP="009444AA"/>
    <w:p w14:paraId="1D452ECA" w14:textId="0220B6E1" w:rsidR="009444AA" w:rsidRDefault="009444AA" w:rsidP="009444AA"/>
    <w:p w14:paraId="3C1491C2" w14:textId="7C2885E8" w:rsidR="009444AA" w:rsidRDefault="009444AA" w:rsidP="009444AA"/>
    <w:p w14:paraId="39A62299" w14:textId="358A113D" w:rsidR="009444AA" w:rsidRDefault="009444AA" w:rsidP="009444AA"/>
    <w:p w14:paraId="0CC419D8" w14:textId="5A202E49" w:rsidR="009444AA" w:rsidRDefault="009444AA" w:rsidP="009444AA"/>
    <w:p w14:paraId="1F9C96EA" w14:textId="5556542A" w:rsidR="009444AA" w:rsidRDefault="009444AA" w:rsidP="009444AA"/>
    <w:p w14:paraId="6BE7C232" w14:textId="3511EA6E" w:rsidR="009444AA" w:rsidRDefault="009444AA" w:rsidP="009444AA"/>
    <w:p w14:paraId="0B5B57F4" w14:textId="4A49E4E3" w:rsidR="009444AA" w:rsidRDefault="009444AA" w:rsidP="009444AA"/>
    <w:p w14:paraId="0FDEA99E" w14:textId="6C1DBB02" w:rsidR="009444AA" w:rsidRDefault="009444AA" w:rsidP="009444AA"/>
    <w:p w14:paraId="4B9C26CC" w14:textId="40894FAE" w:rsidR="009444AA" w:rsidRDefault="009444AA" w:rsidP="009444AA"/>
    <w:p w14:paraId="6EC28B71" w14:textId="386C67F6" w:rsidR="009444AA" w:rsidRDefault="009444AA" w:rsidP="009444AA"/>
    <w:p w14:paraId="31DD103A" w14:textId="08C43BF8" w:rsidR="009444AA" w:rsidRDefault="009444AA" w:rsidP="009444AA"/>
    <w:p w14:paraId="6B3D43BA" w14:textId="285C1DF9" w:rsidR="009444AA" w:rsidRDefault="009444AA" w:rsidP="009444AA"/>
    <w:p w14:paraId="70F6A668" w14:textId="415AD287" w:rsidR="009444AA" w:rsidRDefault="009444AA" w:rsidP="009444AA"/>
    <w:p w14:paraId="544B4A80" w14:textId="6775F8F3" w:rsidR="009444AA" w:rsidRDefault="009444AA" w:rsidP="009444AA"/>
    <w:p w14:paraId="33DC640F" w14:textId="28F76EDD" w:rsidR="009444AA" w:rsidRDefault="009444AA" w:rsidP="009444AA"/>
    <w:p w14:paraId="3764DED7" w14:textId="77777777" w:rsidR="009444AA" w:rsidRPr="009444AA" w:rsidRDefault="009444AA" w:rsidP="009444AA"/>
    <w:tbl>
      <w:tblPr>
        <w:tblW w:w="5000" w:type="pct"/>
        <w:tblCellMar>
          <w:left w:w="70" w:type="dxa"/>
          <w:right w:w="70" w:type="dxa"/>
        </w:tblCellMar>
        <w:tblLook w:val="04A0" w:firstRow="1" w:lastRow="0" w:firstColumn="1" w:lastColumn="0" w:noHBand="0" w:noVBand="1"/>
      </w:tblPr>
      <w:tblGrid>
        <w:gridCol w:w="4482"/>
        <w:gridCol w:w="1063"/>
        <w:gridCol w:w="1172"/>
        <w:gridCol w:w="1462"/>
        <w:gridCol w:w="1528"/>
        <w:gridCol w:w="760"/>
      </w:tblGrid>
      <w:tr w:rsidR="009444AA" w:rsidRPr="009444AA" w14:paraId="6CEBE2A9" w14:textId="77777777" w:rsidTr="009444AA">
        <w:trPr>
          <w:trHeight w:val="227"/>
        </w:trPr>
        <w:tc>
          <w:tcPr>
            <w:tcW w:w="5000" w:type="pct"/>
            <w:gridSpan w:val="6"/>
            <w:tcBorders>
              <w:top w:val="nil"/>
              <w:left w:val="nil"/>
              <w:bottom w:val="nil"/>
              <w:right w:val="nil"/>
            </w:tcBorders>
            <w:shd w:val="clear" w:color="auto" w:fill="auto"/>
            <w:noWrap/>
            <w:vAlign w:val="bottom"/>
            <w:hideMark/>
          </w:tcPr>
          <w:p w14:paraId="4DB67D25" w14:textId="77777777" w:rsidR="009444AA" w:rsidRPr="009444AA" w:rsidRDefault="009444AA">
            <w:pPr>
              <w:jc w:val="center"/>
              <w:rPr>
                <w:rFonts w:asciiTheme="majorHAnsi" w:hAnsiTheme="majorHAnsi" w:cs="Arial"/>
                <w:b/>
                <w:bCs/>
                <w:sz w:val="16"/>
                <w:szCs w:val="16"/>
              </w:rPr>
            </w:pPr>
            <w:r w:rsidRPr="009444AA">
              <w:rPr>
                <w:rFonts w:asciiTheme="majorHAnsi" w:hAnsiTheme="majorHAnsi" w:cs="Arial"/>
                <w:b/>
                <w:bCs/>
                <w:sz w:val="16"/>
                <w:szCs w:val="16"/>
              </w:rPr>
              <w:t>VALEC ENGENHARIA, CONSTRUÇÕES E FERROVIAS S/A</w:t>
            </w:r>
          </w:p>
        </w:tc>
      </w:tr>
      <w:tr w:rsidR="009444AA" w:rsidRPr="009444AA" w14:paraId="6CCD2DD0" w14:textId="77777777" w:rsidTr="009444AA">
        <w:trPr>
          <w:trHeight w:val="227"/>
        </w:trPr>
        <w:tc>
          <w:tcPr>
            <w:tcW w:w="5000" w:type="pct"/>
            <w:gridSpan w:val="6"/>
            <w:tcBorders>
              <w:top w:val="nil"/>
              <w:left w:val="nil"/>
              <w:bottom w:val="nil"/>
              <w:right w:val="nil"/>
            </w:tcBorders>
            <w:shd w:val="clear" w:color="auto" w:fill="auto"/>
            <w:noWrap/>
            <w:vAlign w:val="bottom"/>
            <w:hideMark/>
          </w:tcPr>
          <w:p w14:paraId="30634EA7" w14:textId="77777777" w:rsidR="009444AA" w:rsidRPr="009444AA" w:rsidRDefault="009444AA">
            <w:pPr>
              <w:jc w:val="center"/>
              <w:rPr>
                <w:rFonts w:asciiTheme="majorHAnsi" w:hAnsiTheme="majorHAnsi" w:cs="Arial"/>
                <w:b/>
                <w:bCs/>
                <w:sz w:val="16"/>
                <w:szCs w:val="16"/>
              </w:rPr>
            </w:pPr>
            <w:r w:rsidRPr="009444AA">
              <w:rPr>
                <w:rFonts w:asciiTheme="majorHAnsi" w:hAnsiTheme="majorHAnsi" w:cs="Arial"/>
                <w:b/>
                <w:bCs/>
                <w:sz w:val="16"/>
                <w:szCs w:val="16"/>
              </w:rPr>
              <w:t xml:space="preserve">DEMONSTRAÇÃO DO RESULTADO </w:t>
            </w:r>
          </w:p>
        </w:tc>
      </w:tr>
      <w:tr w:rsidR="009444AA" w:rsidRPr="009444AA" w14:paraId="014857C8" w14:textId="77777777" w:rsidTr="009444AA">
        <w:trPr>
          <w:trHeight w:val="227"/>
        </w:trPr>
        <w:tc>
          <w:tcPr>
            <w:tcW w:w="5000" w:type="pct"/>
            <w:gridSpan w:val="6"/>
            <w:tcBorders>
              <w:top w:val="nil"/>
              <w:left w:val="nil"/>
              <w:bottom w:val="nil"/>
              <w:right w:val="nil"/>
            </w:tcBorders>
            <w:shd w:val="clear" w:color="auto" w:fill="auto"/>
            <w:noWrap/>
            <w:vAlign w:val="bottom"/>
            <w:hideMark/>
          </w:tcPr>
          <w:p w14:paraId="166379E7" w14:textId="77777777" w:rsidR="009444AA" w:rsidRPr="009444AA" w:rsidRDefault="009444AA">
            <w:pPr>
              <w:jc w:val="center"/>
              <w:rPr>
                <w:rFonts w:asciiTheme="majorHAnsi" w:hAnsiTheme="majorHAnsi" w:cs="Arial"/>
                <w:b/>
                <w:bCs/>
                <w:sz w:val="16"/>
                <w:szCs w:val="16"/>
              </w:rPr>
            </w:pPr>
            <w:r w:rsidRPr="009444AA">
              <w:rPr>
                <w:rFonts w:asciiTheme="majorHAnsi" w:hAnsiTheme="majorHAnsi" w:cs="Arial"/>
                <w:b/>
                <w:bCs/>
                <w:sz w:val="16"/>
                <w:szCs w:val="16"/>
              </w:rPr>
              <w:t>2º TRIMESTRE 2021</w:t>
            </w:r>
          </w:p>
        </w:tc>
      </w:tr>
      <w:tr w:rsidR="009444AA" w:rsidRPr="009444AA" w14:paraId="21B759D0" w14:textId="77777777" w:rsidTr="009444AA">
        <w:trPr>
          <w:trHeight w:val="227"/>
        </w:trPr>
        <w:tc>
          <w:tcPr>
            <w:tcW w:w="5000" w:type="pct"/>
            <w:gridSpan w:val="6"/>
            <w:tcBorders>
              <w:top w:val="nil"/>
              <w:left w:val="nil"/>
              <w:bottom w:val="nil"/>
              <w:right w:val="nil"/>
            </w:tcBorders>
            <w:shd w:val="clear" w:color="auto" w:fill="auto"/>
            <w:noWrap/>
            <w:vAlign w:val="bottom"/>
            <w:hideMark/>
          </w:tcPr>
          <w:p w14:paraId="4F5C445C" w14:textId="77777777" w:rsidR="009444AA" w:rsidRPr="009444AA" w:rsidRDefault="009444AA">
            <w:pPr>
              <w:jc w:val="center"/>
              <w:rPr>
                <w:rFonts w:asciiTheme="majorHAnsi" w:hAnsiTheme="majorHAnsi" w:cs="Arial"/>
                <w:b/>
                <w:bCs/>
                <w:sz w:val="16"/>
                <w:szCs w:val="16"/>
              </w:rPr>
            </w:pPr>
            <w:r w:rsidRPr="009444AA">
              <w:rPr>
                <w:rFonts w:asciiTheme="majorHAnsi" w:hAnsiTheme="majorHAnsi" w:cs="Arial"/>
                <w:b/>
                <w:bCs/>
                <w:sz w:val="16"/>
                <w:szCs w:val="16"/>
              </w:rPr>
              <w:t>Em R$ 1</w:t>
            </w:r>
          </w:p>
        </w:tc>
      </w:tr>
      <w:tr w:rsidR="009444AA" w:rsidRPr="009444AA" w14:paraId="15E3D1EC" w14:textId="77777777" w:rsidTr="009444AA">
        <w:trPr>
          <w:trHeight w:val="227"/>
        </w:trPr>
        <w:tc>
          <w:tcPr>
            <w:tcW w:w="2141" w:type="pct"/>
            <w:tcBorders>
              <w:top w:val="nil"/>
              <w:left w:val="nil"/>
              <w:bottom w:val="nil"/>
              <w:right w:val="nil"/>
            </w:tcBorders>
            <w:shd w:val="clear" w:color="auto" w:fill="auto"/>
            <w:noWrap/>
            <w:vAlign w:val="bottom"/>
            <w:hideMark/>
          </w:tcPr>
          <w:p w14:paraId="11FD3E15" w14:textId="77777777" w:rsidR="009444AA" w:rsidRPr="009444AA" w:rsidRDefault="009444AA">
            <w:pPr>
              <w:jc w:val="center"/>
              <w:rPr>
                <w:rFonts w:asciiTheme="majorHAnsi" w:hAnsiTheme="majorHAnsi" w:cs="Arial"/>
                <w:b/>
                <w:bCs/>
                <w:sz w:val="16"/>
                <w:szCs w:val="16"/>
              </w:rPr>
            </w:pPr>
          </w:p>
        </w:tc>
        <w:tc>
          <w:tcPr>
            <w:tcW w:w="508" w:type="pct"/>
            <w:tcBorders>
              <w:top w:val="nil"/>
              <w:left w:val="nil"/>
              <w:bottom w:val="nil"/>
              <w:right w:val="nil"/>
            </w:tcBorders>
            <w:shd w:val="clear" w:color="auto" w:fill="auto"/>
            <w:noWrap/>
            <w:vAlign w:val="bottom"/>
            <w:hideMark/>
          </w:tcPr>
          <w:p w14:paraId="3B4363FA" w14:textId="77777777" w:rsidR="009444AA" w:rsidRPr="009444AA" w:rsidRDefault="009444AA">
            <w:pPr>
              <w:jc w:val="center"/>
              <w:rPr>
                <w:rFonts w:asciiTheme="majorHAnsi" w:hAnsiTheme="majorHAnsi"/>
                <w:sz w:val="16"/>
                <w:szCs w:val="16"/>
              </w:rPr>
            </w:pPr>
          </w:p>
        </w:tc>
        <w:tc>
          <w:tcPr>
            <w:tcW w:w="560" w:type="pct"/>
            <w:tcBorders>
              <w:top w:val="nil"/>
              <w:left w:val="nil"/>
              <w:bottom w:val="nil"/>
              <w:right w:val="nil"/>
            </w:tcBorders>
            <w:shd w:val="clear" w:color="auto" w:fill="auto"/>
            <w:noWrap/>
            <w:vAlign w:val="bottom"/>
            <w:hideMark/>
          </w:tcPr>
          <w:p w14:paraId="235F3814" w14:textId="77777777" w:rsidR="009444AA" w:rsidRPr="009444AA" w:rsidRDefault="009444AA">
            <w:pPr>
              <w:jc w:val="center"/>
              <w:rPr>
                <w:rFonts w:asciiTheme="majorHAnsi" w:hAnsiTheme="majorHAnsi"/>
                <w:sz w:val="16"/>
                <w:szCs w:val="16"/>
              </w:rPr>
            </w:pPr>
          </w:p>
        </w:tc>
        <w:tc>
          <w:tcPr>
            <w:tcW w:w="698" w:type="pct"/>
            <w:tcBorders>
              <w:top w:val="nil"/>
              <w:left w:val="nil"/>
              <w:bottom w:val="nil"/>
              <w:right w:val="nil"/>
            </w:tcBorders>
            <w:shd w:val="clear" w:color="auto" w:fill="auto"/>
            <w:noWrap/>
            <w:vAlign w:val="bottom"/>
            <w:hideMark/>
          </w:tcPr>
          <w:p w14:paraId="16F70AF8" w14:textId="77777777" w:rsidR="009444AA" w:rsidRPr="009444AA" w:rsidRDefault="009444AA">
            <w:pPr>
              <w:jc w:val="center"/>
              <w:rPr>
                <w:rFonts w:asciiTheme="majorHAnsi" w:hAnsiTheme="majorHAnsi"/>
                <w:sz w:val="16"/>
                <w:szCs w:val="16"/>
              </w:rPr>
            </w:pPr>
          </w:p>
        </w:tc>
        <w:tc>
          <w:tcPr>
            <w:tcW w:w="730" w:type="pct"/>
            <w:tcBorders>
              <w:top w:val="nil"/>
              <w:left w:val="nil"/>
              <w:bottom w:val="nil"/>
              <w:right w:val="nil"/>
            </w:tcBorders>
            <w:shd w:val="clear" w:color="auto" w:fill="auto"/>
            <w:noWrap/>
            <w:vAlign w:val="bottom"/>
            <w:hideMark/>
          </w:tcPr>
          <w:p w14:paraId="1E6C8C4F" w14:textId="77777777" w:rsidR="009444AA" w:rsidRPr="009444AA" w:rsidRDefault="009444AA">
            <w:pPr>
              <w:jc w:val="center"/>
              <w:rPr>
                <w:rFonts w:asciiTheme="majorHAnsi" w:hAnsiTheme="majorHAnsi"/>
                <w:sz w:val="16"/>
                <w:szCs w:val="16"/>
              </w:rPr>
            </w:pPr>
          </w:p>
        </w:tc>
        <w:tc>
          <w:tcPr>
            <w:tcW w:w="363" w:type="pct"/>
            <w:tcBorders>
              <w:top w:val="nil"/>
              <w:left w:val="nil"/>
              <w:bottom w:val="nil"/>
              <w:right w:val="nil"/>
            </w:tcBorders>
            <w:shd w:val="clear" w:color="auto" w:fill="auto"/>
            <w:noWrap/>
            <w:vAlign w:val="bottom"/>
            <w:hideMark/>
          </w:tcPr>
          <w:p w14:paraId="454F7FBA" w14:textId="77777777" w:rsidR="009444AA" w:rsidRPr="009444AA" w:rsidRDefault="009444AA">
            <w:pPr>
              <w:jc w:val="center"/>
              <w:rPr>
                <w:rFonts w:asciiTheme="majorHAnsi" w:hAnsiTheme="majorHAnsi"/>
                <w:sz w:val="16"/>
                <w:szCs w:val="16"/>
              </w:rPr>
            </w:pPr>
          </w:p>
        </w:tc>
      </w:tr>
      <w:tr w:rsidR="009444AA" w:rsidRPr="009444AA" w14:paraId="6F9317C8" w14:textId="77777777" w:rsidTr="009444AA">
        <w:trPr>
          <w:trHeight w:val="227"/>
        </w:trPr>
        <w:tc>
          <w:tcPr>
            <w:tcW w:w="2141" w:type="pct"/>
            <w:tcBorders>
              <w:top w:val="nil"/>
              <w:left w:val="nil"/>
              <w:bottom w:val="nil"/>
              <w:right w:val="nil"/>
            </w:tcBorders>
            <w:shd w:val="clear" w:color="auto" w:fill="auto"/>
            <w:noWrap/>
            <w:vAlign w:val="bottom"/>
            <w:hideMark/>
          </w:tcPr>
          <w:p w14:paraId="5FF90BEC" w14:textId="77777777" w:rsidR="009444AA" w:rsidRPr="009444AA" w:rsidRDefault="009444AA">
            <w:pPr>
              <w:jc w:val="center"/>
              <w:rPr>
                <w:rFonts w:asciiTheme="majorHAnsi" w:hAnsiTheme="majorHAnsi"/>
                <w:sz w:val="16"/>
                <w:szCs w:val="16"/>
              </w:rPr>
            </w:pPr>
          </w:p>
        </w:tc>
        <w:tc>
          <w:tcPr>
            <w:tcW w:w="508" w:type="pct"/>
            <w:tcBorders>
              <w:top w:val="nil"/>
              <w:left w:val="nil"/>
              <w:bottom w:val="nil"/>
              <w:right w:val="nil"/>
            </w:tcBorders>
            <w:shd w:val="clear" w:color="auto" w:fill="auto"/>
            <w:noWrap/>
            <w:vAlign w:val="bottom"/>
            <w:hideMark/>
          </w:tcPr>
          <w:p w14:paraId="704B379F" w14:textId="77777777" w:rsidR="009444AA" w:rsidRPr="009444AA" w:rsidRDefault="009444AA">
            <w:pPr>
              <w:rPr>
                <w:rFonts w:asciiTheme="majorHAnsi" w:hAnsiTheme="majorHAnsi"/>
                <w:sz w:val="16"/>
                <w:szCs w:val="16"/>
              </w:rPr>
            </w:pPr>
          </w:p>
        </w:tc>
        <w:tc>
          <w:tcPr>
            <w:tcW w:w="560" w:type="pct"/>
            <w:tcBorders>
              <w:top w:val="nil"/>
              <w:left w:val="nil"/>
              <w:bottom w:val="nil"/>
              <w:right w:val="nil"/>
            </w:tcBorders>
            <w:shd w:val="clear" w:color="auto" w:fill="auto"/>
            <w:vAlign w:val="bottom"/>
            <w:hideMark/>
          </w:tcPr>
          <w:p w14:paraId="10A1B544" w14:textId="77777777" w:rsidR="009444AA" w:rsidRPr="009444AA" w:rsidRDefault="009444AA">
            <w:pPr>
              <w:rPr>
                <w:rFonts w:asciiTheme="majorHAnsi" w:hAnsiTheme="majorHAnsi"/>
                <w:sz w:val="16"/>
                <w:szCs w:val="16"/>
              </w:rPr>
            </w:pPr>
          </w:p>
        </w:tc>
        <w:tc>
          <w:tcPr>
            <w:tcW w:w="698" w:type="pct"/>
            <w:tcBorders>
              <w:top w:val="nil"/>
              <w:left w:val="nil"/>
              <w:bottom w:val="nil"/>
              <w:right w:val="nil"/>
            </w:tcBorders>
            <w:shd w:val="clear" w:color="auto" w:fill="auto"/>
            <w:vAlign w:val="bottom"/>
            <w:hideMark/>
          </w:tcPr>
          <w:p w14:paraId="26B3B7C3" w14:textId="77777777" w:rsidR="009444AA" w:rsidRPr="009444AA" w:rsidRDefault="009444AA">
            <w:pPr>
              <w:rPr>
                <w:rFonts w:asciiTheme="majorHAnsi" w:hAnsiTheme="majorHAnsi"/>
                <w:sz w:val="16"/>
                <w:szCs w:val="16"/>
              </w:rPr>
            </w:pPr>
          </w:p>
        </w:tc>
        <w:tc>
          <w:tcPr>
            <w:tcW w:w="730" w:type="pct"/>
            <w:tcBorders>
              <w:top w:val="nil"/>
              <w:left w:val="nil"/>
              <w:bottom w:val="nil"/>
              <w:right w:val="nil"/>
            </w:tcBorders>
            <w:shd w:val="clear" w:color="auto" w:fill="auto"/>
            <w:vAlign w:val="bottom"/>
            <w:hideMark/>
          </w:tcPr>
          <w:p w14:paraId="579D874F" w14:textId="77777777" w:rsidR="009444AA" w:rsidRPr="009444AA" w:rsidRDefault="009444AA">
            <w:pPr>
              <w:rPr>
                <w:rFonts w:asciiTheme="majorHAnsi" w:hAnsiTheme="majorHAnsi"/>
                <w:sz w:val="16"/>
                <w:szCs w:val="16"/>
              </w:rPr>
            </w:pPr>
          </w:p>
        </w:tc>
        <w:tc>
          <w:tcPr>
            <w:tcW w:w="363" w:type="pct"/>
            <w:tcBorders>
              <w:top w:val="nil"/>
              <w:left w:val="nil"/>
              <w:bottom w:val="nil"/>
              <w:right w:val="nil"/>
            </w:tcBorders>
            <w:shd w:val="clear" w:color="auto" w:fill="auto"/>
            <w:noWrap/>
            <w:vAlign w:val="bottom"/>
            <w:hideMark/>
          </w:tcPr>
          <w:p w14:paraId="515CC8E0" w14:textId="77777777" w:rsidR="009444AA" w:rsidRPr="009444AA" w:rsidRDefault="009444AA">
            <w:pPr>
              <w:rPr>
                <w:rFonts w:asciiTheme="majorHAnsi" w:hAnsiTheme="majorHAnsi"/>
                <w:sz w:val="16"/>
                <w:szCs w:val="16"/>
              </w:rPr>
            </w:pPr>
          </w:p>
        </w:tc>
      </w:tr>
      <w:tr w:rsidR="009444AA" w:rsidRPr="009444AA" w14:paraId="00320882" w14:textId="77777777" w:rsidTr="009444AA">
        <w:trPr>
          <w:trHeight w:val="227"/>
        </w:trPr>
        <w:tc>
          <w:tcPr>
            <w:tcW w:w="2141" w:type="pct"/>
            <w:tcBorders>
              <w:top w:val="nil"/>
              <w:left w:val="nil"/>
              <w:bottom w:val="nil"/>
              <w:right w:val="nil"/>
            </w:tcBorders>
            <w:shd w:val="clear" w:color="auto" w:fill="auto"/>
            <w:noWrap/>
            <w:vAlign w:val="bottom"/>
            <w:hideMark/>
          </w:tcPr>
          <w:p w14:paraId="79044EC3" w14:textId="77777777" w:rsidR="009444AA" w:rsidRPr="009444AA" w:rsidRDefault="009444AA">
            <w:pPr>
              <w:rPr>
                <w:rFonts w:asciiTheme="majorHAnsi" w:hAnsiTheme="majorHAnsi"/>
                <w:sz w:val="16"/>
                <w:szCs w:val="16"/>
              </w:rPr>
            </w:pPr>
          </w:p>
        </w:tc>
        <w:tc>
          <w:tcPr>
            <w:tcW w:w="508" w:type="pct"/>
            <w:tcBorders>
              <w:top w:val="nil"/>
              <w:left w:val="nil"/>
              <w:bottom w:val="nil"/>
              <w:right w:val="nil"/>
            </w:tcBorders>
            <w:shd w:val="clear" w:color="auto" w:fill="auto"/>
            <w:vAlign w:val="bottom"/>
            <w:hideMark/>
          </w:tcPr>
          <w:p w14:paraId="354E7977"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01/04/2021</w:t>
            </w:r>
          </w:p>
        </w:tc>
        <w:tc>
          <w:tcPr>
            <w:tcW w:w="560" w:type="pct"/>
            <w:tcBorders>
              <w:top w:val="nil"/>
              <w:left w:val="nil"/>
              <w:bottom w:val="nil"/>
              <w:right w:val="nil"/>
            </w:tcBorders>
            <w:shd w:val="clear" w:color="auto" w:fill="auto"/>
            <w:vAlign w:val="bottom"/>
            <w:hideMark/>
          </w:tcPr>
          <w:p w14:paraId="1E968FFE"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01/01/2021</w:t>
            </w:r>
          </w:p>
        </w:tc>
        <w:tc>
          <w:tcPr>
            <w:tcW w:w="698" w:type="pct"/>
            <w:tcBorders>
              <w:top w:val="nil"/>
              <w:left w:val="nil"/>
              <w:bottom w:val="nil"/>
              <w:right w:val="nil"/>
            </w:tcBorders>
            <w:shd w:val="clear" w:color="auto" w:fill="auto"/>
            <w:vAlign w:val="bottom"/>
            <w:hideMark/>
          </w:tcPr>
          <w:p w14:paraId="111EBAE0"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01/04/2020</w:t>
            </w:r>
          </w:p>
        </w:tc>
        <w:tc>
          <w:tcPr>
            <w:tcW w:w="730" w:type="pct"/>
            <w:tcBorders>
              <w:top w:val="nil"/>
              <w:left w:val="nil"/>
              <w:bottom w:val="nil"/>
              <w:right w:val="nil"/>
            </w:tcBorders>
            <w:shd w:val="clear" w:color="auto" w:fill="auto"/>
            <w:vAlign w:val="bottom"/>
            <w:hideMark/>
          </w:tcPr>
          <w:p w14:paraId="62F3CE4F"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01/01/2020</w:t>
            </w:r>
          </w:p>
        </w:tc>
        <w:tc>
          <w:tcPr>
            <w:tcW w:w="363" w:type="pct"/>
            <w:tcBorders>
              <w:top w:val="nil"/>
              <w:left w:val="nil"/>
              <w:bottom w:val="nil"/>
              <w:right w:val="nil"/>
            </w:tcBorders>
            <w:shd w:val="clear" w:color="auto" w:fill="auto"/>
            <w:noWrap/>
            <w:vAlign w:val="bottom"/>
            <w:hideMark/>
          </w:tcPr>
          <w:p w14:paraId="3E3E899C" w14:textId="77777777" w:rsidR="009444AA" w:rsidRPr="009444AA" w:rsidRDefault="009444AA">
            <w:pPr>
              <w:jc w:val="right"/>
              <w:rPr>
                <w:rFonts w:asciiTheme="majorHAnsi" w:hAnsiTheme="majorHAnsi" w:cs="Arial"/>
                <w:b/>
                <w:bCs/>
                <w:sz w:val="16"/>
                <w:szCs w:val="16"/>
              </w:rPr>
            </w:pPr>
          </w:p>
        </w:tc>
      </w:tr>
      <w:tr w:rsidR="009444AA" w:rsidRPr="009444AA" w14:paraId="0F8BE3DB" w14:textId="77777777" w:rsidTr="009444AA">
        <w:trPr>
          <w:trHeight w:val="227"/>
        </w:trPr>
        <w:tc>
          <w:tcPr>
            <w:tcW w:w="2141" w:type="pct"/>
            <w:tcBorders>
              <w:top w:val="nil"/>
              <w:left w:val="nil"/>
              <w:bottom w:val="nil"/>
              <w:right w:val="nil"/>
            </w:tcBorders>
            <w:shd w:val="clear" w:color="auto" w:fill="auto"/>
            <w:noWrap/>
            <w:vAlign w:val="bottom"/>
            <w:hideMark/>
          </w:tcPr>
          <w:p w14:paraId="1A7D06BF" w14:textId="77777777" w:rsidR="009444AA" w:rsidRPr="009444AA" w:rsidRDefault="009444AA">
            <w:pPr>
              <w:rPr>
                <w:rFonts w:asciiTheme="majorHAnsi" w:hAnsiTheme="majorHAnsi"/>
                <w:sz w:val="16"/>
                <w:szCs w:val="16"/>
              </w:rPr>
            </w:pPr>
          </w:p>
        </w:tc>
        <w:tc>
          <w:tcPr>
            <w:tcW w:w="508" w:type="pct"/>
            <w:tcBorders>
              <w:top w:val="nil"/>
              <w:left w:val="nil"/>
              <w:bottom w:val="nil"/>
              <w:right w:val="nil"/>
            </w:tcBorders>
            <w:shd w:val="clear" w:color="auto" w:fill="auto"/>
            <w:vAlign w:val="bottom"/>
            <w:hideMark/>
          </w:tcPr>
          <w:p w14:paraId="4978849C"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a 30/06/2021</w:t>
            </w:r>
          </w:p>
        </w:tc>
        <w:tc>
          <w:tcPr>
            <w:tcW w:w="560" w:type="pct"/>
            <w:tcBorders>
              <w:top w:val="nil"/>
              <w:left w:val="nil"/>
              <w:bottom w:val="nil"/>
              <w:right w:val="nil"/>
            </w:tcBorders>
            <w:shd w:val="clear" w:color="auto" w:fill="auto"/>
            <w:vAlign w:val="bottom"/>
            <w:hideMark/>
          </w:tcPr>
          <w:p w14:paraId="2F8437DC"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a 30/06/2021</w:t>
            </w:r>
          </w:p>
        </w:tc>
        <w:tc>
          <w:tcPr>
            <w:tcW w:w="698" w:type="pct"/>
            <w:tcBorders>
              <w:top w:val="nil"/>
              <w:left w:val="nil"/>
              <w:bottom w:val="nil"/>
              <w:right w:val="nil"/>
            </w:tcBorders>
            <w:shd w:val="clear" w:color="auto" w:fill="auto"/>
            <w:vAlign w:val="bottom"/>
            <w:hideMark/>
          </w:tcPr>
          <w:p w14:paraId="7E5FC125"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a 30/06/2020</w:t>
            </w:r>
          </w:p>
        </w:tc>
        <w:tc>
          <w:tcPr>
            <w:tcW w:w="730" w:type="pct"/>
            <w:tcBorders>
              <w:top w:val="nil"/>
              <w:left w:val="nil"/>
              <w:bottom w:val="nil"/>
              <w:right w:val="nil"/>
            </w:tcBorders>
            <w:shd w:val="clear" w:color="auto" w:fill="auto"/>
            <w:vAlign w:val="bottom"/>
            <w:hideMark/>
          </w:tcPr>
          <w:p w14:paraId="3A819A8F"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a 30/06/2020</w:t>
            </w:r>
          </w:p>
        </w:tc>
        <w:tc>
          <w:tcPr>
            <w:tcW w:w="363" w:type="pct"/>
            <w:tcBorders>
              <w:top w:val="nil"/>
              <w:left w:val="nil"/>
              <w:bottom w:val="nil"/>
              <w:right w:val="nil"/>
            </w:tcBorders>
            <w:shd w:val="clear" w:color="auto" w:fill="auto"/>
            <w:noWrap/>
            <w:vAlign w:val="bottom"/>
            <w:hideMark/>
          </w:tcPr>
          <w:p w14:paraId="19132C01"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Nota</w:t>
            </w:r>
          </w:p>
        </w:tc>
      </w:tr>
      <w:tr w:rsidR="009444AA" w:rsidRPr="009444AA" w14:paraId="36EF84E6" w14:textId="77777777" w:rsidTr="009444AA">
        <w:trPr>
          <w:trHeight w:val="227"/>
        </w:trPr>
        <w:tc>
          <w:tcPr>
            <w:tcW w:w="2141" w:type="pct"/>
            <w:tcBorders>
              <w:top w:val="nil"/>
              <w:left w:val="nil"/>
              <w:bottom w:val="nil"/>
              <w:right w:val="nil"/>
            </w:tcBorders>
            <w:shd w:val="clear" w:color="auto" w:fill="auto"/>
            <w:noWrap/>
            <w:vAlign w:val="bottom"/>
            <w:hideMark/>
          </w:tcPr>
          <w:p w14:paraId="5E0484D5" w14:textId="77777777" w:rsidR="009444AA" w:rsidRPr="009444AA" w:rsidRDefault="009444AA">
            <w:pPr>
              <w:jc w:val="right"/>
              <w:rPr>
                <w:rFonts w:asciiTheme="majorHAnsi" w:hAnsiTheme="majorHAnsi"/>
                <w:sz w:val="16"/>
                <w:szCs w:val="16"/>
              </w:rPr>
            </w:pPr>
          </w:p>
        </w:tc>
        <w:tc>
          <w:tcPr>
            <w:tcW w:w="508" w:type="pct"/>
            <w:tcBorders>
              <w:top w:val="nil"/>
              <w:left w:val="nil"/>
              <w:bottom w:val="nil"/>
              <w:right w:val="nil"/>
            </w:tcBorders>
            <w:shd w:val="clear" w:color="auto" w:fill="auto"/>
            <w:noWrap/>
            <w:vAlign w:val="bottom"/>
            <w:hideMark/>
          </w:tcPr>
          <w:p w14:paraId="6E68C3B5" w14:textId="77777777" w:rsidR="009444AA" w:rsidRPr="009444AA" w:rsidRDefault="009444AA">
            <w:pPr>
              <w:jc w:val="center"/>
              <w:rPr>
                <w:rFonts w:asciiTheme="majorHAnsi" w:hAnsiTheme="majorHAnsi"/>
                <w:sz w:val="16"/>
                <w:szCs w:val="16"/>
              </w:rPr>
            </w:pPr>
          </w:p>
        </w:tc>
        <w:tc>
          <w:tcPr>
            <w:tcW w:w="560" w:type="pct"/>
            <w:tcBorders>
              <w:top w:val="nil"/>
              <w:left w:val="nil"/>
              <w:bottom w:val="nil"/>
              <w:right w:val="nil"/>
            </w:tcBorders>
            <w:shd w:val="clear" w:color="auto" w:fill="auto"/>
            <w:noWrap/>
            <w:vAlign w:val="bottom"/>
            <w:hideMark/>
          </w:tcPr>
          <w:p w14:paraId="4428D8E9" w14:textId="77777777" w:rsidR="009444AA" w:rsidRPr="009444AA" w:rsidRDefault="009444AA">
            <w:pPr>
              <w:jc w:val="center"/>
              <w:rPr>
                <w:rFonts w:asciiTheme="majorHAnsi" w:hAnsiTheme="majorHAnsi"/>
                <w:sz w:val="16"/>
                <w:szCs w:val="16"/>
              </w:rPr>
            </w:pPr>
          </w:p>
        </w:tc>
        <w:tc>
          <w:tcPr>
            <w:tcW w:w="698" w:type="pct"/>
            <w:tcBorders>
              <w:top w:val="nil"/>
              <w:left w:val="nil"/>
              <w:bottom w:val="nil"/>
              <w:right w:val="nil"/>
            </w:tcBorders>
            <w:shd w:val="clear" w:color="auto" w:fill="auto"/>
            <w:noWrap/>
            <w:vAlign w:val="bottom"/>
            <w:hideMark/>
          </w:tcPr>
          <w:p w14:paraId="6E163AAF" w14:textId="77777777" w:rsidR="009444AA" w:rsidRPr="009444AA" w:rsidRDefault="009444AA">
            <w:pPr>
              <w:jc w:val="center"/>
              <w:rPr>
                <w:rFonts w:asciiTheme="majorHAnsi" w:hAnsiTheme="majorHAnsi"/>
                <w:sz w:val="16"/>
                <w:szCs w:val="16"/>
              </w:rPr>
            </w:pPr>
          </w:p>
        </w:tc>
        <w:tc>
          <w:tcPr>
            <w:tcW w:w="730" w:type="pct"/>
            <w:tcBorders>
              <w:top w:val="nil"/>
              <w:left w:val="nil"/>
              <w:bottom w:val="nil"/>
              <w:right w:val="nil"/>
            </w:tcBorders>
            <w:shd w:val="clear" w:color="auto" w:fill="auto"/>
            <w:noWrap/>
            <w:vAlign w:val="bottom"/>
            <w:hideMark/>
          </w:tcPr>
          <w:p w14:paraId="65D635D2" w14:textId="77777777" w:rsidR="009444AA" w:rsidRPr="009444AA" w:rsidRDefault="009444AA">
            <w:pPr>
              <w:jc w:val="center"/>
              <w:rPr>
                <w:rFonts w:asciiTheme="majorHAnsi" w:hAnsiTheme="majorHAnsi"/>
                <w:sz w:val="16"/>
                <w:szCs w:val="16"/>
              </w:rPr>
            </w:pPr>
          </w:p>
        </w:tc>
        <w:tc>
          <w:tcPr>
            <w:tcW w:w="363" w:type="pct"/>
            <w:tcBorders>
              <w:top w:val="nil"/>
              <w:left w:val="nil"/>
              <w:bottom w:val="nil"/>
              <w:right w:val="nil"/>
            </w:tcBorders>
            <w:shd w:val="clear" w:color="auto" w:fill="auto"/>
            <w:noWrap/>
            <w:vAlign w:val="bottom"/>
            <w:hideMark/>
          </w:tcPr>
          <w:p w14:paraId="65DBA901" w14:textId="77777777" w:rsidR="009444AA" w:rsidRPr="009444AA" w:rsidRDefault="009444AA">
            <w:pPr>
              <w:jc w:val="right"/>
              <w:rPr>
                <w:rFonts w:asciiTheme="majorHAnsi" w:hAnsiTheme="majorHAnsi"/>
                <w:sz w:val="16"/>
                <w:szCs w:val="16"/>
              </w:rPr>
            </w:pPr>
          </w:p>
        </w:tc>
      </w:tr>
      <w:tr w:rsidR="009444AA" w:rsidRPr="009444AA" w14:paraId="34019159" w14:textId="77777777" w:rsidTr="009444AA">
        <w:trPr>
          <w:trHeight w:val="227"/>
        </w:trPr>
        <w:tc>
          <w:tcPr>
            <w:tcW w:w="2141" w:type="pct"/>
            <w:tcBorders>
              <w:top w:val="nil"/>
              <w:left w:val="nil"/>
              <w:bottom w:val="nil"/>
              <w:right w:val="nil"/>
            </w:tcBorders>
            <w:shd w:val="clear" w:color="auto" w:fill="auto"/>
            <w:noWrap/>
            <w:vAlign w:val="bottom"/>
            <w:hideMark/>
          </w:tcPr>
          <w:p w14:paraId="1DCA36DC" w14:textId="77777777" w:rsidR="009444AA" w:rsidRPr="009444AA" w:rsidRDefault="009444AA">
            <w:pPr>
              <w:outlineLvl w:val="0"/>
              <w:rPr>
                <w:rFonts w:asciiTheme="majorHAnsi" w:hAnsiTheme="majorHAnsi" w:cs="Arial"/>
                <w:b/>
                <w:bCs/>
                <w:sz w:val="16"/>
                <w:szCs w:val="16"/>
              </w:rPr>
            </w:pPr>
            <w:r w:rsidRPr="009444AA">
              <w:rPr>
                <w:rFonts w:asciiTheme="majorHAnsi" w:hAnsiTheme="majorHAnsi" w:cs="Arial"/>
                <w:b/>
                <w:bCs/>
                <w:sz w:val="16"/>
                <w:szCs w:val="16"/>
              </w:rPr>
              <w:t>RECEITAS</w:t>
            </w:r>
          </w:p>
        </w:tc>
        <w:tc>
          <w:tcPr>
            <w:tcW w:w="508" w:type="pct"/>
            <w:tcBorders>
              <w:top w:val="nil"/>
              <w:left w:val="nil"/>
              <w:bottom w:val="nil"/>
              <w:right w:val="nil"/>
            </w:tcBorders>
            <w:shd w:val="clear" w:color="auto" w:fill="auto"/>
            <w:noWrap/>
            <w:vAlign w:val="bottom"/>
            <w:hideMark/>
          </w:tcPr>
          <w:p w14:paraId="71A75E73" w14:textId="77777777" w:rsidR="009444AA" w:rsidRPr="009444AA" w:rsidRDefault="009444AA">
            <w:pPr>
              <w:outlineLvl w:val="0"/>
              <w:rPr>
                <w:rFonts w:asciiTheme="majorHAnsi" w:hAnsiTheme="majorHAnsi" w:cs="Arial"/>
                <w:b/>
                <w:bCs/>
                <w:sz w:val="16"/>
                <w:szCs w:val="16"/>
              </w:rPr>
            </w:pPr>
          </w:p>
        </w:tc>
        <w:tc>
          <w:tcPr>
            <w:tcW w:w="560" w:type="pct"/>
            <w:tcBorders>
              <w:top w:val="nil"/>
              <w:left w:val="nil"/>
              <w:bottom w:val="nil"/>
              <w:right w:val="nil"/>
            </w:tcBorders>
            <w:shd w:val="clear" w:color="auto" w:fill="auto"/>
            <w:noWrap/>
            <w:vAlign w:val="bottom"/>
            <w:hideMark/>
          </w:tcPr>
          <w:p w14:paraId="3CDF5B63" w14:textId="77777777" w:rsidR="009444AA" w:rsidRPr="009444AA" w:rsidRDefault="009444AA">
            <w:pPr>
              <w:outlineLvl w:val="0"/>
              <w:rPr>
                <w:rFonts w:asciiTheme="majorHAnsi" w:hAnsiTheme="majorHAnsi"/>
                <w:sz w:val="16"/>
                <w:szCs w:val="16"/>
              </w:rPr>
            </w:pPr>
          </w:p>
        </w:tc>
        <w:tc>
          <w:tcPr>
            <w:tcW w:w="698" w:type="pct"/>
            <w:tcBorders>
              <w:top w:val="nil"/>
              <w:left w:val="nil"/>
              <w:bottom w:val="nil"/>
              <w:right w:val="nil"/>
            </w:tcBorders>
            <w:shd w:val="clear" w:color="auto" w:fill="auto"/>
            <w:noWrap/>
            <w:vAlign w:val="bottom"/>
            <w:hideMark/>
          </w:tcPr>
          <w:p w14:paraId="5FC1B74F" w14:textId="77777777" w:rsidR="009444AA" w:rsidRPr="009444AA" w:rsidRDefault="009444AA">
            <w:pPr>
              <w:outlineLvl w:val="0"/>
              <w:rPr>
                <w:rFonts w:asciiTheme="majorHAnsi" w:hAnsiTheme="majorHAnsi"/>
                <w:sz w:val="16"/>
                <w:szCs w:val="16"/>
              </w:rPr>
            </w:pPr>
          </w:p>
        </w:tc>
        <w:tc>
          <w:tcPr>
            <w:tcW w:w="730" w:type="pct"/>
            <w:tcBorders>
              <w:top w:val="nil"/>
              <w:left w:val="nil"/>
              <w:bottom w:val="nil"/>
              <w:right w:val="nil"/>
            </w:tcBorders>
            <w:shd w:val="clear" w:color="auto" w:fill="auto"/>
            <w:noWrap/>
            <w:vAlign w:val="bottom"/>
            <w:hideMark/>
          </w:tcPr>
          <w:p w14:paraId="25A24371" w14:textId="77777777" w:rsidR="009444AA" w:rsidRPr="009444AA" w:rsidRDefault="009444AA">
            <w:pPr>
              <w:outlineLvl w:val="0"/>
              <w:rPr>
                <w:rFonts w:asciiTheme="majorHAnsi" w:hAnsiTheme="majorHAnsi"/>
                <w:sz w:val="16"/>
                <w:szCs w:val="16"/>
              </w:rPr>
            </w:pPr>
          </w:p>
        </w:tc>
        <w:tc>
          <w:tcPr>
            <w:tcW w:w="363" w:type="pct"/>
            <w:tcBorders>
              <w:top w:val="nil"/>
              <w:left w:val="nil"/>
              <w:bottom w:val="nil"/>
              <w:right w:val="nil"/>
            </w:tcBorders>
            <w:shd w:val="clear" w:color="auto" w:fill="auto"/>
            <w:noWrap/>
            <w:vAlign w:val="bottom"/>
            <w:hideMark/>
          </w:tcPr>
          <w:p w14:paraId="5D02158C" w14:textId="77777777" w:rsidR="009444AA" w:rsidRPr="009444AA" w:rsidRDefault="009444AA">
            <w:pPr>
              <w:outlineLvl w:val="0"/>
              <w:rPr>
                <w:rFonts w:asciiTheme="majorHAnsi" w:hAnsiTheme="majorHAnsi"/>
                <w:sz w:val="16"/>
                <w:szCs w:val="16"/>
              </w:rPr>
            </w:pPr>
          </w:p>
        </w:tc>
      </w:tr>
      <w:tr w:rsidR="009444AA" w:rsidRPr="009444AA" w14:paraId="05EA4F27" w14:textId="77777777" w:rsidTr="009444AA">
        <w:trPr>
          <w:trHeight w:val="227"/>
        </w:trPr>
        <w:tc>
          <w:tcPr>
            <w:tcW w:w="2141" w:type="pct"/>
            <w:tcBorders>
              <w:top w:val="nil"/>
              <w:left w:val="nil"/>
              <w:bottom w:val="nil"/>
              <w:right w:val="nil"/>
            </w:tcBorders>
            <w:shd w:val="clear" w:color="auto" w:fill="auto"/>
            <w:noWrap/>
            <w:vAlign w:val="bottom"/>
            <w:hideMark/>
          </w:tcPr>
          <w:p w14:paraId="3B31D5FB" w14:textId="77777777" w:rsidR="009444AA" w:rsidRPr="009444AA" w:rsidRDefault="009444AA">
            <w:pPr>
              <w:outlineLvl w:val="0"/>
              <w:rPr>
                <w:rFonts w:asciiTheme="majorHAnsi" w:hAnsiTheme="majorHAnsi" w:cs="Arial"/>
                <w:sz w:val="16"/>
                <w:szCs w:val="16"/>
              </w:rPr>
            </w:pPr>
            <w:r w:rsidRPr="009444AA">
              <w:rPr>
                <w:rFonts w:asciiTheme="majorHAnsi" w:hAnsiTheme="majorHAnsi" w:cs="Arial"/>
                <w:sz w:val="16"/>
                <w:szCs w:val="16"/>
              </w:rPr>
              <w:t xml:space="preserve">        Receita de Exploração da Ferrovia</w:t>
            </w:r>
          </w:p>
        </w:tc>
        <w:tc>
          <w:tcPr>
            <w:tcW w:w="508" w:type="pct"/>
            <w:tcBorders>
              <w:top w:val="nil"/>
              <w:left w:val="nil"/>
              <w:bottom w:val="nil"/>
              <w:right w:val="nil"/>
            </w:tcBorders>
            <w:shd w:val="clear" w:color="auto" w:fill="auto"/>
            <w:noWrap/>
            <w:vAlign w:val="bottom"/>
            <w:hideMark/>
          </w:tcPr>
          <w:p w14:paraId="01EABF13" w14:textId="77777777" w:rsidR="009444AA" w:rsidRPr="009444AA" w:rsidRDefault="009444AA">
            <w:pPr>
              <w:outlineLvl w:val="0"/>
              <w:rPr>
                <w:rFonts w:asciiTheme="majorHAnsi" w:hAnsiTheme="majorHAnsi" w:cs="Arial"/>
                <w:sz w:val="16"/>
                <w:szCs w:val="16"/>
              </w:rPr>
            </w:pPr>
            <w:r w:rsidRPr="009444AA">
              <w:rPr>
                <w:rFonts w:asciiTheme="majorHAnsi" w:hAnsiTheme="majorHAnsi" w:cs="Arial"/>
                <w:sz w:val="16"/>
                <w:szCs w:val="16"/>
              </w:rPr>
              <w:t xml:space="preserve">          105.062 </w:t>
            </w:r>
          </w:p>
        </w:tc>
        <w:tc>
          <w:tcPr>
            <w:tcW w:w="560" w:type="pct"/>
            <w:tcBorders>
              <w:top w:val="nil"/>
              <w:left w:val="nil"/>
              <w:bottom w:val="nil"/>
              <w:right w:val="nil"/>
            </w:tcBorders>
            <w:shd w:val="clear" w:color="auto" w:fill="auto"/>
            <w:noWrap/>
            <w:vAlign w:val="bottom"/>
            <w:hideMark/>
          </w:tcPr>
          <w:p w14:paraId="25B0FAEB" w14:textId="77777777" w:rsidR="009444AA" w:rsidRPr="009444AA" w:rsidRDefault="009444AA">
            <w:pPr>
              <w:outlineLvl w:val="0"/>
              <w:rPr>
                <w:rFonts w:asciiTheme="majorHAnsi" w:hAnsiTheme="majorHAnsi" w:cs="Arial"/>
                <w:sz w:val="16"/>
                <w:szCs w:val="16"/>
              </w:rPr>
            </w:pPr>
            <w:r w:rsidRPr="009444AA">
              <w:rPr>
                <w:rFonts w:asciiTheme="majorHAnsi" w:hAnsiTheme="majorHAnsi" w:cs="Arial"/>
                <w:sz w:val="16"/>
                <w:szCs w:val="16"/>
              </w:rPr>
              <w:t xml:space="preserve">             110.877 </w:t>
            </w:r>
          </w:p>
        </w:tc>
        <w:tc>
          <w:tcPr>
            <w:tcW w:w="698" w:type="pct"/>
            <w:tcBorders>
              <w:top w:val="nil"/>
              <w:left w:val="nil"/>
              <w:bottom w:val="nil"/>
              <w:right w:val="nil"/>
            </w:tcBorders>
            <w:shd w:val="clear" w:color="auto" w:fill="auto"/>
            <w:noWrap/>
            <w:vAlign w:val="bottom"/>
            <w:hideMark/>
          </w:tcPr>
          <w:p w14:paraId="1196DA00" w14:textId="77777777" w:rsidR="009444AA" w:rsidRPr="009444AA" w:rsidRDefault="009444AA">
            <w:pPr>
              <w:outlineLvl w:val="0"/>
              <w:rPr>
                <w:rFonts w:asciiTheme="majorHAnsi" w:hAnsiTheme="majorHAnsi" w:cs="Arial"/>
                <w:sz w:val="16"/>
                <w:szCs w:val="16"/>
              </w:rPr>
            </w:pPr>
            <w:r w:rsidRPr="009444AA">
              <w:rPr>
                <w:rFonts w:asciiTheme="majorHAnsi" w:hAnsiTheme="majorHAnsi" w:cs="Arial"/>
                <w:sz w:val="16"/>
                <w:szCs w:val="16"/>
              </w:rPr>
              <w:t xml:space="preserve">                          6.251 </w:t>
            </w:r>
          </w:p>
        </w:tc>
        <w:tc>
          <w:tcPr>
            <w:tcW w:w="730" w:type="pct"/>
            <w:tcBorders>
              <w:top w:val="nil"/>
              <w:left w:val="nil"/>
              <w:bottom w:val="nil"/>
              <w:right w:val="nil"/>
            </w:tcBorders>
            <w:shd w:val="clear" w:color="auto" w:fill="auto"/>
            <w:noWrap/>
            <w:vAlign w:val="bottom"/>
            <w:hideMark/>
          </w:tcPr>
          <w:p w14:paraId="6335E733" w14:textId="77777777" w:rsidR="009444AA" w:rsidRPr="009444AA" w:rsidRDefault="009444AA">
            <w:pPr>
              <w:jc w:val="right"/>
              <w:outlineLvl w:val="0"/>
              <w:rPr>
                <w:rFonts w:asciiTheme="majorHAnsi" w:hAnsiTheme="majorHAnsi" w:cs="Arial"/>
                <w:sz w:val="16"/>
                <w:szCs w:val="16"/>
              </w:rPr>
            </w:pPr>
            <w:r w:rsidRPr="009444AA">
              <w:rPr>
                <w:rFonts w:asciiTheme="majorHAnsi" w:hAnsiTheme="majorHAnsi" w:cs="Arial"/>
                <w:sz w:val="16"/>
                <w:szCs w:val="16"/>
              </w:rPr>
              <w:t xml:space="preserve">                            6.251 </w:t>
            </w:r>
          </w:p>
        </w:tc>
        <w:tc>
          <w:tcPr>
            <w:tcW w:w="363" w:type="pct"/>
            <w:tcBorders>
              <w:top w:val="nil"/>
              <w:left w:val="nil"/>
              <w:bottom w:val="nil"/>
              <w:right w:val="nil"/>
            </w:tcBorders>
            <w:shd w:val="clear" w:color="auto" w:fill="auto"/>
            <w:noWrap/>
            <w:vAlign w:val="bottom"/>
            <w:hideMark/>
          </w:tcPr>
          <w:p w14:paraId="25F36805" w14:textId="77777777" w:rsidR="009444AA" w:rsidRPr="009444AA" w:rsidRDefault="009444AA">
            <w:pPr>
              <w:jc w:val="right"/>
              <w:outlineLvl w:val="0"/>
              <w:rPr>
                <w:rFonts w:asciiTheme="majorHAnsi" w:hAnsiTheme="majorHAnsi" w:cs="Arial"/>
                <w:sz w:val="16"/>
                <w:szCs w:val="16"/>
              </w:rPr>
            </w:pPr>
          </w:p>
        </w:tc>
      </w:tr>
      <w:tr w:rsidR="009444AA" w:rsidRPr="009444AA" w14:paraId="7A2D302D" w14:textId="77777777" w:rsidTr="009444AA">
        <w:trPr>
          <w:trHeight w:val="227"/>
        </w:trPr>
        <w:tc>
          <w:tcPr>
            <w:tcW w:w="2141" w:type="pct"/>
            <w:tcBorders>
              <w:top w:val="nil"/>
              <w:left w:val="nil"/>
              <w:bottom w:val="nil"/>
              <w:right w:val="nil"/>
            </w:tcBorders>
            <w:shd w:val="clear" w:color="auto" w:fill="auto"/>
            <w:noWrap/>
            <w:vAlign w:val="bottom"/>
            <w:hideMark/>
          </w:tcPr>
          <w:p w14:paraId="08EB3BA6" w14:textId="77777777" w:rsidR="009444AA" w:rsidRPr="009444AA" w:rsidRDefault="009444AA">
            <w:pPr>
              <w:outlineLvl w:val="0"/>
              <w:rPr>
                <w:rFonts w:asciiTheme="majorHAnsi" w:hAnsiTheme="majorHAnsi" w:cs="Arial"/>
                <w:sz w:val="16"/>
                <w:szCs w:val="16"/>
              </w:rPr>
            </w:pPr>
            <w:r w:rsidRPr="009444AA">
              <w:rPr>
                <w:rFonts w:asciiTheme="majorHAnsi" w:hAnsiTheme="majorHAnsi" w:cs="Arial"/>
                <w:sz w:val="16"/>
                <w:szCs w:val="16"/>
              </w:rPr>
              <w:t xml:space="preserve">        Permissão para uso de pátios</w:t>
            </w:r>
          </w:p>
        </w:tc>
        <w:tc>
          <w:tcPr>
            <w:tcW w:w="508" w:type="pct"/>
            <w:tcBorders>
              <w:top w:val="nil"/>
              <w:left w:val="nil"/>
              <w:bottom w:val="nil"/>
              <w:right w:val="nil"/>
            </w:tcBorders>
            <w:shd w:val="clear" w:color="auto" w:fill="auto"/>
            <w:noWrap/>
            <w:vAlign w:val="bottom"/>
            <w:hideMark/>
          </w:tcPr>
          <w:p w14:paraId="435C16C9" w14:textId="77777777" w:rsidR="009444AA" w:rsidRPr="009444AA" w:rsidRDefault="009444AA">
            <w:pPr>
              <w:outlineLvl w:val="0"/>
              <w:rPr>
                <w:rFonts w:asciiTheme="majorHAnsi" w:hAnsiTheme="majorHAnsi" w:cs="Arial"/>
                <w:sz w:val="16"/>
                <w:szCs w:val="16"/>
              </w:rPr>
            </w:pPr>
            <w:r w:rsidRPr="009444AA">
              <w:rPr>
                <w:rFonts w:asciiTheme="majorHAnsi" w:hAnsiTheme="majorHAnsi" w:cs="Arial"/>
                <w:sz w:val="16"/>
                <w:szCs w:val="16"/>
              </w:rPr>
              <w:t xml:space="preserve">          571.887 </w:t>
            </w:r>
          </w:p>
        </w:tc>
        <w:tc>
          <w:tcPr>
            <w:tcW w:w="560" w:type="pct"/>
            <w:tcBorders>
              <w:top w:val="nil"/>
              <w:left w:val="nil"/>
              <w:bottom w:val="nil"/>
              <w:right w:val="nil"/>
            </w:tcBorders>
            <w:shd w:val="clear" w:color="000000" w:fill="FFFFFF"/>
            <w:noWrap/>
            <w:vAlign w:val="bottom"/>
            <w:hideMark/>
          </w:tcPr>
          <w:p w14:paraId="3EE301CC" w14:textId="77777777" w:rsidR="009444AA" w:rsidRPr="009444AA" w:rsidRDefault="009444AA">
            <w:pPr>
              <w:jc w:val="right"/>
              <w:outlineLvl w:val="0"/>
              <w:rPr>
                <w:rFonts w:asciiTheme="majorHAnsi" w:hAnsiTheme="majorHAnsi" w:cs="Arial"/>
                <w:sz w:val="16"/>
                <w:szCs w:val="16"/>
              </w:rPr>
            </w:pPr>
            <w:r w:rsidRPr="009444AA">
              <w:rPr>
                <w:rFonts w:asciiTheme="majorHAnsi" w:hAnsiTheme="majorHAnsi" w:cs="Arial"/>
                <w:sz w:val="16"/>
                <w:szCs w:val="16"/>
              </w:rPr>
              <w:t xml:space="preserve">         1.196.191 </w:t>
            </w:r>
          </w:p>
        </w:tc>
        <w:tc>
          <w:tcPr>
            <w:tcW w:w="698" w:type="pct"/>
            <w:tcBorders>
              <w:top w:val="nil"/>
              <w:left w:val="nil"/>
              <w:bottom w:val="nil"/>
              <w:right w:val="nil"/>
            </w:tcBorders>
            <w:shd w:val="clear" w:color="000000" w:fill="FFFFFF"/>
            <w:noWrap/>
            <w:vAlign w:val="bottom"/>
            <w:hideMark/>
          </w:tcPr>
          <w:p w14:paraId="25C8D4B7" w14:textId="77777777" w:rsidR="009444AA" w:rsidRPr="009444AA" w:rsidRDefault="009444AA">
            <w:pPr>
              <w:jc w:val="right"/>
              <w:outlineLvl w:val="0"/>
              <w:rPr>
                <w:rFonts w:asciiTheme="majorHAnsi" w:hAnsiTheme="majorHAnsi" w:cs="Arial"/>
                <w:sz w:val="16"/>
                <w:szCs w:val="16"/>
              </w:rPr>
            </w:pPr>
            <w:r w:rsidRPr="009444AA">
              <w:rPr>
                <w:rFonts w:asciiTheme="majorHAnsi" w:hAnsiTheme="majorHAnsi" w:cs="Arial"/>
                <w:sz w:val="16"/>
                <w:szCs w:val="16"/>
              </w:rPr>
              <w:t xml:space="preserve">                     452.262 </w:t>
            </w:r>
          </w:p>
        </w:tc>
        <w:tc>
          <w:tcPr>
            <w:tcW w:w="730" w:type="pct"/>
            <w:tcBorders>
              <w:top w:val="nil"/>
              <w:left w:val="nil"/>
              <w:bottom w:val="nil"/>
              <w:right w:val="nil"/>
            </w:tcBorders>
            <w:shd w:val="clear" w:color="auto" w:fill="auto"/>
            <w:noWrap/>
            <w:vAlign w:val="bottom"/>
            <w:hideMark/>
          </w:tcPr>
          <w:p w14:paraId="24952FA6" w14:textId="77777777" w:rsidR="009444AA" w:rsidRPr="009444AA" w:rsidRDefault="009444AA">
            <w:pPr>
              <w:jc w:val="right"/>
              <w:outlineLvl w:val="0"/>
              <w:rPr>
                <w:rFonts w:asciiTheme="majorHAnsi" w:hAnsiTheme="majorHAnsi" w:cs="Arial"/>
                <w:sz w:val="16"/>
                <w:szCs w:val="16"/>
              </w:rPr>
            </w:pPr>
            <w:r w:rsidRPr="009444AA">
              <w:rPr>
                <w:rFonts w:asciiTheme="majorHAnsi" w:hAnsiTheme="majorHAnsi" w:cs="Arial"/>
                <w:sz w:val="16"/>
                <w:szCs w:val="16"/>
              </w:rPr>
              <w:t xml:space="preserve">                       904.524 </w:t>
            </w:r>
          </w:p>
        </w:tc>
        <w:tc>
          <w:tcPr>
            <w:tcW w:w="363" w:type="pct"/>
            <w:tcBorders>
              <w:top w:val="nil"/>
              <w:left w:val="nil"/>
              <w:bottom w:val="nil"/>
              <w:right w:val="nil"/>
            </w:tcBorders>
            <w:shd w:val="clear" w:color="auto" w:fill="auto"/>
            <w:noWrap/>
            <w:vAlign w:val="bottom"/>
            <w:hideMark/>
          </w:tcPr>
          <w:p w14:paraId="0A51AB81" w14:textId="77777777" w:rsidR="009444AA" w:rsidRPr="009444AA" w:rsidRDefault="009444AA">
            <w:pPr>
              <w:jc w:val="right"/>
              <w:outlineLvl w:val="0"/>
              <w:rPr>
                <w:rFonts w:asciiTheme="majorHAnsi" w:hAnsiTheme="majorHAnsi" w:cs="Arial"/>
                <w:sz w:val="16"/>
                <w:szCs w:val="16"/>
              </w:rPr>
            </w:pPr>
          </w:p>
        </w:tc>
      </w:tr>
      <w:tr w:rsidR="009444AA" w:rsidRPr="009444AA" w14:paraId="091A95E1" w14:textId="77777777" w:rsidTr="009444AA">
        <w:trPr>
          <w:trHeight w:val="227"/>
        </w:trPr>
        <w:tc>
          <w:tcPr>
            <w:tcW w:w="2141" w:type="pct"/>
            <w:tcBorders>
              <w:top w:val="nil"/>
              <w:left w:val="nil"/>
              <w:bottom w:val="nil"/>
              <w:right w:val="nil"/>
            </w:tcBorders>
            <w:shd w:val="clear" w:color="auto" w:fill="auto"/>
            <w:noWrap/>
            <w:vAlign w:val="bottom"/>
            <w:hideMark/>
          </w:tcPr>
          <w:p w14:paraId="329E3705" w14:textId="77777777" w:rsidR="009444AA" w:rsidRPr="009444AA" w:rsidRDefault="009444AA">
            <w:pPr>
              <w:outlineLvl w:val="0"/>
              <w:rPr>
                <w:rFonts w:asciiTheme="majorHAnsi" w:hAnsiTheme="majorHAnsi" w:cs="Arial"/>
                <w:sz w:val="16"/>
                <w:szCs w:val="16"/>
              </w:rPr>
            </w:pPr>
            <w:r w:rsidRPr="009444AA">
              <w:rPr>
                <w:rFonts w:asciiTheme="majorHAnsi" w:hAnsiTheme="majorHAnsi" w:cs="Arial"/>
                <w:sz w:val="16"/>
                <w:szCs w:val="16"/>
              </w:rPr>
              <w:t xml:space="preserve">        (-) Deduções de Receita</w:t>
            </w:r>
          </w:p>
        </w:tc>
        <w:tc>
          <w:tcPr>
            <w:tcW w:w="508" w:type="pct"/>
            <w:tcBorders>
              <w:top w:val="nil"/>
              <w:left w:val="nil"/>
              <w:bottom w:val="nil"/>
              <w:right w:val="nil"/>
            </w:tcBorders>
            <w:shd w:val="clear" w:color="auto" w:fill="auto"/>
            <w:noWrap/>
            <w:vAlign w:val="bottom"/>
            <w:hideMark/>
          </w:tcPr>
          <w:p w14:paraId="7AB17A47" w14:textId="77777777" w:rsidR="009444AA" w:rsidRPr="009444AA" w:rsidRDefault="009444AA">
            <w:pPr>
              <w:outlineLvl w:val="0"/>
              <w:rPr>
                <w:rFonts w:asciiTheme="majorHAnsi" w:hAnsiTheme="majorHAnsi" w:cs="Arial"/>
                <w:sz w:val="16"/>
                <w:szCs w:val="16"/>
              </w:rPr>
            </w:pPr>
            <w:r w:rsidRPr="009444AA">
              <w:rPr>
                <w:rFonts w:asciiTheme="majorHAnsi" w:hAnsiTheme="majorHAnsi" w:cs="Arial"/>
                <w:sz w:val="16"/>
                <w:szCs w:val="16"/>
              </w:rPr>
              <w:t xml:space="preserve">          (54.567)</w:t>
            </w:r>
          </w:p>
        </w:tc>
        <w:tc>
          <w:tcPr>
            <w:tcW w:w="560" w:type="pct"/>
            <w:tcBorders>
              <w:top w:val="nil"/>
              <w:left w:val="nil"/>
              <w:bottom w:val="nil"/>
              <w:right w:val="nil"/>
            </w:tcBorders>
            <w:shd w:val="clear" w:color="auto" w:fill="auto"/>
            <w:noWrap/>
            <w:vAlign w:val="bottom"/>
            <w:hideMark/>
          </w:tcPr>
          <w:p w14:paraId="05ACF03B" w14:textId="77777777" w:rsidR="009444AA" w:rsidRPr="009444AA" w:rsidRDefault="009444AA">
            <w:pPr>
              <w:jc w:val="right"/>
              <w:outlineLvl w:val="0"/>
              <w:rPr>
                <w:rFonts w:asciiTheme="majorHAnsi" w:hAnsiTheme="majorHAnsi" w:cs="Arial"/>
                <w:sz w:val="16"/>
                <w:szCs w:val="16"/>
              </w:rPr>
            </w:pPr>
            <w:r w:rsidRPr="009444AA">
              <w:rPr>
                <w:rFonts w:asciiTheme="majorHAnsi" w:hAnsiTheme="majorHAnsi" w:cs="Arial"/>
                <w:sz w:val="16"/>
                <w:szCs w:val="16"/>
              </w:rPr>
              <w:t xml:space="preserve">           (163.240)</w:t>
            </w:r>
          </w:p>
        </w:tc>
        <w:tc>
          <w:tcPr>
            <w:tcW w:w="698" w:type="pct"/>
            <w:tcBorders>
              <w:top w:val="nil"/>
              <w:left w:val="nil"/>
              <w:bottom w:val="nil"/>
              <w:right w:val="nil"/>
            </w:tcBorders>
            <w:shd w:val="clear" w:color="auto" w:fill="auto"/>
            <w:noWrap/>
            <w:vAlign w:val="bottom"/>
            <w:hideMark/>
          </w:tcPr>
          <w:p w14:paraId="5688B36A" w14:textId="77777777" w:rsidR="009444AA" w:rsidRPr="009444AA" w:rsidRDefault="009444AA">
            <w:pPr>
              <w:jc w:val="right"/>
              <w:outlineLvl w:val="0"/>
              <w:rPr>
                <w:rFonts w:asciiTheme="majorHAnsi" w:hAnsiTheme="majorHAnsi" w:cs="Arial"/>
                <w:sz w:val="16"/>
                <w:szCs w:val="16"/>
              </w:rPr>
            </w:pPr>
            <w:r w:rsidRPr="009444AA">
              <w:rPr>
                <w:rFonts w:asciiTheme="majorHAnsi" w:hAnsiTheme="majorHAnsi" w:cs="Arial"/>
                <w:sz w:val="16"/>
                <w:szCs w:val="16"/>
              </w:rPr>
              <w:t xml:space="preserve">                                 -   </w:t>
            </w:r>
          </w:p>
        </w:tc>
        <w:tc>
          <w:tcPr>
            <w:tcW w:w="730" w:type="pct"/>
            <w:tcBorders>
              <w:top w:val="nil"/>
              <w:left w:val="nil"/>
              <w:bottom w:val="nil"/>
              <w:right w:val="nil"/>
            </w:tcBorders>
            <w:shd w:val="clear" w:color="auto" w:fill="auto"/>
            <w:noWrap/>
            <w:vAlign w:val="bottom"/>
            <w:hideMark/>
          </w:tcPr>
          <w:p w14:paraId="5557DB3F" w14:textId="77777777" w:rsidR="009444AA" w:rsidRPr="009444AA" w:rsidRDefault="009444AA">
            <w:pPr>
              <w:jc w:val="right"/>
              <w:outlineLvl w:val="0"/>
              <w:rPr>
                <w:rFonts w:asciiTheme="majorHAnsi" w:hAnsiTheme="majorHAnsi" w:cs="Arial"/>
                <w:sz w:val="16"/>
                <w:szCs w:val="16"/>
              </w:rPr>
            </w:pPr>
            <w:r w:rsidRPr="009444AA">
              <w:rPr>
                <w:rFonts w:asciiTheme="majorHAnsi" w:hAnsiTheme="majorHAnsi" w:cs="Arial"/>
                <w:sz w:val="16"/>
                <w:szCs w:val="16"/>
              </w:rPr>
              <w:t xml:space="preserve">                     (443.967)</w:t>
            </w:r>
          </w:p>
        </w:tc>
        <w:tc>
          <w:tcPr>
            <w:tcW w:w="363" w:type="pct"/>
            <w:tcBorders>
              <w:top w:val="nil"/>
              <w:left w:val="nil"/>
              <w:bottom w:val="nil"/>
              <w:right w:val="nil"/>
            </w:tcBorders>
            <w:shd w:val="clear" w:color="auto" w:fill="auto"/>
            <w:noWrap/>
            <w:vAlign w:val="bottom"/>
            <w:hideMark/>
          </w:tcPr>
          <w:p w14:paraId="2682F5C0" w14:textId="77777777" w:rsidR="009444AA" w:rsidRPr="009444AA" w:rsidRDefault="009444AA">
            <w:pPr>
              <w:jc w:val="right"/>
              <w:outlineLvl w:val="0"/>
              <w:rPr>
                <w:rFonts w:asciiTheme="majorHAnsi" w:hAnsiTheme="majorHAnsi" w:cs="Arial"/>
                <w:sz w:val="16"/>
                <w:szCs w:val="16"/>
              </w:rPr>
            </w:pPr>
          </w:p>
        </w:tc>
      </w:tr>
      <w:tr w:rsidR="009444AA" w:rsidRPr="009444AA" w14:paraId="5D6C5ACA" w14:textId="77777777" w:rsidTr="009444AA">
        <w:trPr>
          <w:trHeight w:val="227"/>
        </w:trPr>
        <w:tc>
          <w:tcPr>
            <w:tcW w:w="2141" w:type="pct"/>
            <w:tcBorders>
              <w:top w:val="nil"/>
              <w:left w:val="nil"/>
              <w:bottom w:val="nil"/>
              <w:right w:val="nil"/>
            </w:tcBorders>
            <w:shd w:val="clear" w:color="auto" w:fill="auto"/>
            <w:noWrap/>
            <w:vAlign w:val="bottom"/>
            <w:hideMark/>
          </w:tcPr>
          <w:p w14:paraId="5BF48505" w14:textId="77777777" w:rsidR="009444AA" w:rsidRPr="009444AA" w:rsidRDefault="009444AA">
            <w:pPr>
              <w:jc w:val="right"/>
              <w:outlineLvl w:val="0"/>
              <w:rPr>
                <w:rFonts w:asciiTheme="majorHAnsi" w:hAnsiTheme="majorHAnsi"/>
                <w:sz w:val="16"/>
                <w:szCs w:val="16"/>
              </w:rPr>
            </w:pPr>
          </w:p>
        </w:tc>
        <w:tc>
          <w:tcPr>
            <w:tcW w:w="508" w:type="pct"/>
            <w:tcBorders>
              <w:top w:val="nil"/>
              <w:left w:val="nil"/>
              <w:bottom w:val="nil"/>
              <w:right w:val="nil"/>
            </w:tcBorders>
            <w:shd w:val="clear" w:color="auto" w:fill="auto"/>
            <w:noWrap/>
            <w:vAlign w:val="bottom"/>
            <w:hideMark/>
          </w:tcPr>
          <w:p w14:paraId="4E9FF811" w14:textId="77777777" w:rsidR="009444AA" w:rsidRPr="009444AA" w:rsidRDefault="009444AA">
            <w:pPr>
              <w:outlineLvl w:val="0"/>
              <w:rPr>
                <w:rFonts w:asciiTheme="majorHAnsi" w:hAnsiTheme="majorHAnsi"/>
                <w:sz w:val="16"/>
                <w:szCs w:val="16"/>
              </w:rPr>
            </w:pPr>
          </w:p>
        </w:tc>
        <w:tc>
          <w:tcPr>
            <w:tcW w:w="560" w:type="pct"/>
            <w:tcBorders>
              <w:top w:val="nil"/>
              <w:left w:val="nil"/>
              <w:bottom w:val="nil"/>
              <w:right w:val="nil"/>
            </w:tcBorders>
            <w:shd w:val="clear" w:color="auto" w:fill="auto"/>
            <w:noWrap/>
            <w:vAlign w:val="bottom"/>
            <w:hideMark/>
          </w:tcPr>
          <w:p w14:paraId="69FC898D" w14:textId="77777777" w:rsidR="009444AA" w:rsidRPr="009444AA" w:rsidRDefault="009444AA">
            <w:pPr>
              <w:outlineLvl w:val="0"/>
              <w:rPr>
                <w:rFonts w:asciiTheme="majorHAnsi" w:hAnsiTheme="majorHAnsi"/>
                <w:sz w:val="16"/>
                <w:szCs w:val="16"/>
              </w:rPr>
            </w:pPr>
          </w:p>
        </w:tc>
        <w:tc>
          <w:tcPr>
            <w:tcW w:w="698" w:type="pct"/>
            <w:tcBorders>
              <w:top w:val="nil"/>
              <w:left w:val="nil"/>
              <w:bottom w:val="nil"/>
              <w:right w:val="nil"/>
            </w:tcBorders>
            <w:shd w:val="clear" w:color="auto" w:fill="auto"/>
            <w:noWrap/>
            <w:vAlign w:val="bottom"/>
            <w:hideMark/>
          </w:tcPr>
          <w:p w14:paraId="1835DD36" w14:textId="77777777" w:rsidR="009444AA" w:rsidRPr="009444AA" w:rsidRDefault="009444AA">
            <w:pPr>
              <w:jc w:val="right"/>
              <w:outlineLvl w:val="0"/>
              <w:rPr>
                <w:rFonts w:asciiTheme="majorHAnsi" w:hAnsiTheme="majorHAnsi"/>
                <w:sz w:val="16"/>
                <w:szCs w:val="16"/>
              </w:rPr>
            </w:pPr>
          </w:p>
        </w:tc>
        <w:tc>
          <w:tcPr>
            <w:tcW w:w="730" w:type="pct"/>
            <w:tcBorders>
              <w:top w:val="nil"/>
              <w:left w:val="nil"/>
              <w:bottom w:val="nil"/>
              <w:right w:val="nil"/>
            </w:tcBorders>
            <w:shd w:val="clear" w:color="auto" w:fill="auto"/>
            <w:noWrap/>
            <w:vAlign w:val="bottom"/>
            <w:hideMark/>
          </w:tcPr>
          <w:p w14:paraId="6574252D" w14:textId="77777777" w:rsidR="009444AA" w:rsidRPr="009444AA" w:rsidRDefault="009444AA">
            <w:pPr>
              <w:jc w:val="right"/>
              <w:outlineLvl w:val="0"/>
              <w:rPr>
                <w:rFonts w:asciiTheme="majorHAnsi" w:hAnsiTheme="majorHAnsi"/>
                <w:sz w:val="16"/>
                <w:szCs w:val="16"/>
              </w:rPr>
            </w:pPr>
          </w:p>
        </w:tc>
        <w:tc>
          <w:tcPr>
            <w:tcW w:w="363" w:type="pct"/>
            <w:tcBorders>
              <w:top w:val="nil"/>
              <w:left w:val="nil"/>
              <w:bottom w:val="nil"/>
              <w:right w:val="nil"/>
            </w:tcBorders>
            <w:shd w:val="clear" w:color="auto" w:fill="auto"/>
            <w:noWrap/>
            <w:vAlign w:val="bottom"/>
            <w:hideMark/>
          </w:tcPr>
          <w:p w14:paraId="33C310E8" w14:textId="77777777" w:rsidR="009444AA" w:rsidRPr="009444AA" w:rsidRDefault="009444AA">
            <w:pPr>
              <w:outlineLvl w:val="0"/>
              <w:rPr>
                <w:rFonts w:asciiTheme="majorHAnsi" w:hAnsiTheme="majorHAnsi"/>
                <w:sz w:val="16"/>
                <w:szCs w:val="16"/>
              </w:rPr>
            </w:pPr>
          </w:p>
        </w:tc>
      </w:tr>
      <w:tr w:rsidR="009444AA" w:rsidRPr="009444AA" w14:paraId="5A8480C9" w14:textId="77777777" w:rsidTr="009444AA">
        <w:trPr>
          <w:trHeight w:val="227"/>
        </w:trPr>
        <w:tc>
          <w:tcPr>
            <w:tcW w:w="2141" w:type="pct"/>
            <w:tcBorders>
              <w:top w:val="nil"/>
              <w:left w:val="nil"/>
              <w:bottom w:val="nil"/>
              <w:right w:val="nil"/>
            </w:tcBorders>
            <w:shd w:val="clear" w:color="auto" w:fill="auto"/>
            <w:noWrap/>
            <w:vAlign w:val="bottom"/>
            <w:hideMark/>
          </w:tcPr>
          <w:p w14:paraId="20E3CE4D"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RECEITAS LÍQUIDAS</w:t>
            </w:r>
          </w:p>
        </w:tc>
        <w:tc>
          <w:tcPr>
            <w:tcW w:w="508" w:type="pct"/>
            <w:tcBorders>
              <w:top w:val="nil"/>
              <w:left w:val="nil"/>
              <w:bottom w:val="nil"/>
              <w:right w:val="nil"/>
            </w:tcBorders>
            <w:shd w:val="clear" w:color="000000" w:fill="FFFFFF"/>
            <w:noWrap/>
            <w:vAlign w:val="bottom"/>
            <w:hideMark/>
          </w:tcPr>
          <w:p w14:paraId="5E6E2E6C"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622.382 </w:t>
            </w:r>
          </w:p>
        </w:tc>
        <w:tc>
          <w:tcPr>
            <w:tcW w:w="560" w:type="pct"/>
            <w:tcBorders>
              <w:top w:val="nil"/>
              <w:left w:val="nil"/>
              <w:bottom w:val="nil"/>
              <w:right w:val="nil"/>
            </w:tcBorders>
            <w:shd w:val="clear" w:color="000000" w:fill="FFFFFF"/>
            <w:noWrap/>
            <w:vAlign w:val="bottom"/>
            <w:hideMark/>
          </w:tcPr>
          <w:p w14:paraId="43F7C5E4"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1.143.828 </w:t>
            </w:r>
          </w:p>
        </w:tc>
        <w:tc>
          <w:tcPr>
            <w:tcW w:w="698" w:type="pct"/>
            <w:tcBorders>
              <w:top w:val="nil"/>
              <w:left w:val="nil"/>
              <w:bottom w:val="nil"/>
              <w:right w:val="nil"/>
            </w:tcBorders>
            <w:shd w:val="clear" w:color="auto" w:fill="auto"/>
            <w:noWrap/>
            <w:vAlign w:val="bottom"/>
            <w:hideMark/>
          </w:tcPr>
          <w:p w14:paraId="136FA1CF"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458.513 </w:t>
            </w:r>
          </w:p>
        </w:tc>
        <w:tc>
          <w:tcPr>
            <w:tcW w:w="730" w:type="pct"/>
            <w:tcBorders>
              <w:top w:val="nil"/>
              <w:left w:val="nil"/>
              <w:bottom w:val="nil"/>
              <w:right w:val="nil"/>
            </w:tcBorders>
            <w:shd w:val="clear" w:color="auto" w:fill="auto"/>
            <w:noWrap/>
            <w:vAlign w:val="bottom"/>
            <w:hideMark/>
          </w:tcPr>
          <w:p w14:paraId="3C9F3DD8"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466.808 </w:t>
            </w:r>
          </w:p>
        </w:tc>
        <w:tc>
          <w:tcPr>
            <w:tcW w:w="363" w:type="pct"/>
            <w:tcBorders>
              <w:top w:val="nil"/>
              <w:left w:val="nil"/>
              <w:bottom w:val="nil"/>
              <w:right w:val="nil"/>
            </w:tcBorders>
            <w:shd w:val="clear" w:color="auto" w:fill="auto"/>
            <w:noWrap/>
            <w:vAlign w:val="bottom"/>
            <w:hideMark/>
          </w:tcPr>
          <w:p w14:paraId="4414516C"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(16)</w:t>
            </w:r>
          </w:p>
        </w:tc>
      </w:tr>
      <w:tr w:rsidR="009444AA" w:rsidRPr="009444AA" w14:paraId="297F51F8" w14:textId="77777777" w:rsidTr="009444AA">
        <w:trPr>
          <w:trHeight w:val="227"/>
        </w:trPr>
        <w:tc>
          <w:tcPr>
            <w:tcW w:w="2141" w:type="pct"/>
            <w:tcBorders>
              <w:top w:val="nil"/>
              <w:left w:val="nil"/>
              <w:bottom w:val="nil"/>
              <w:right w:val="nil"/>
            </w:tcBorders>
            <w:shd w:val="clear" w:color="auto" w:fill="auto"/>
            <w:noWrap/>
            <w:vAlign w:val="bottom"/>
            <w:hideMark/>
          </w:tcPr>
          <w:p w14:paraId="284D9615" w14:textId="77777777" w:rsidR="009444AA" w:rsidRPr="009444AA" w:rsidRDefault="009444AA">
            <w:pPr>
              <w:jc w:val="right"/>
              <w:rPr>
                <w:rFonts w:asciiTheme="majorHAnsi" w:hAnsiTheme="majorHAnsi" w:cs="Arial"/>
                <w:sz w:val="16"/>
                <w:szCs w:val="16"/>
              </w:rPr>
            </w:pPr>
          </w:p>
        </w:tc>
        <w:tc>
          <w:tcPr>
            <w:tcW w:w="508" w:type="pct"/>
            <w:tcBorders>
              <w:top w:val="nil"/>
              <w:left w:val="nil"/>
              <w:bottom w:val="nil"/>
              <w:right w:val="nil"/>
            </w:tcBorders>
            <w:shd w:val="clear" w:color="auto" w:fill="auto"/>
            <w:noWrap/>
            <w:vAlign w:val="bottom"/>
            <w:hideMark/>
          </w:tcPr>
          <w:p w14:paraId="43836F28" w14:textId="77777777" w:rsidR="009444AA" w:rsidRPr="009444AA" w:rsidRDefault="009444AA">
            <w:pPr>
              <w:rPr>
                <w:rFonts w:asciiTheme="majorHAnsi" w:hAnsiTheme="majorHAnsi"/>
                <w:sz w:val="16"/>
                <w:szCs w:val="16"/>
              </w:rPr>
            </w:pPr>
          </w:p>
        </w:tc>
        <w:tc>
          <w:tcPr>
            <w:tcW w:w="560" w:type="pct"/>
            <w:tcBorders>
              <w:top w:val="nil"/>
              <w:left w:val="nil"/>
              <w:bottom w:val="nil"/>
              <w:right w:val="nil"/>
            </w:tcBorders>
            <w:shd w:val="clear" w:color="auto" w:fill="auto"/>
            <w:noWrap/>
            <w:vAlign w:val="bottom"/>
            <w:hideMark/>
          </w:tcPr>
          <w:p w14:paraId="244C2EF8" w14:textId="77777777" w:rsidR="009444AA" w:rsidRPr="009444AA" w:rsidRDefault="009444AA">
            <w:pPr>
              <w:rPr>
                <w:rFonts w:asciiTheme="majorHAnsi" w:hAnsiTheme="majorHAnsi"/>
                <w:sz w:val="16"/>
                <w:szCs w:val="16"/>
              </w:rPr>
            </w:pPr>
          </w:p>
        </w:tc>
        <w:tc>
          <w:tcPr>
            <w:tcW w:w="698" w:type="pct"/>
            <w:tcBorders>
              <w:top w:val="nil"/>
              <w:left w:val="nil"/>
              <w:bottom w:val="nil"/>
              <w:right w:val="nil"/>
            </w:tcBorders>
            <w:shd w:val="clear" w:color="auto" w:fill="auto"/>
            <w:noWrap/>
            <w:vAlign w:val="bottom"/>
            <w:hideMark/>
          </w:tcPr>
          <w:p w14:paraId="19B2A6FB" w14:textId="77777777" w:rsidR="009444AA" w:rsidRPr="009444AA" w:rsidRDefault="009444AA">
            <w:pPr>
              <w:rPr>
                <w:rFonts w:asciiTheme="majorHAnsi" w:hAnsiTheme="majorHAnsi"/>
                <w:sz w:val="16"/>
                <w:szCs w:val="16"/>
              </w:rPr>
            </w:pPr>
          </w:p>
        </w:tc>
        <w:tc>
          <w:tcPr>
            <w:tcW w:w="730" w:type="pct"/>
            <w:tcBorders>
              <w:top w:val="nil"/>
              <w:left w:val="nil"/>
              <w:bottom w:val="nil"/>
              <w:right w:val="nil"/>
            </w:tcBorders>
            <w:shd w:val="clear" w:color="auto" w:fill="auto"/>
            <w:noWrap/>
            <w:vAlign w:val="bottom"/>
            <w:hideMark/>
          </w:tcPr>
          <w:p w14:paraId="75BC9836" w14:textId="77777777" w:rsidR="009444AA" w:rsidRPr="009444AA" w:rsidRDefault="009444AA">
            <w:pPr>
              <w:rPr>
                <w:rFonts w:asciiTheme="majorHAnsi" w:hAnsiTheme="majorHAnsi"/>
                <w:sz w:val="16"/>
                <w:szCs w:val="16"/>
              </w:rPr>
            </w:pPr>
          </w:p>
        </w:tc>
        <w:tc>
          <w:tcPr>
            <w:tcW w:w="363" w:type="pct"/>
            <w:tcBorders>
              <w:top w:val="nil"/>
              <w:left w:val="nil"/>
              <w:bottom w:val="nil"/>
              <w:right w:val="nil"/>
            </w:tcBorders>
            <w:shd w:val="clear" w:color="auto" w:fill="auto"/>
            <w:noWrap/>
            <w:vAlign w:val="bottom"/>
            <w:hideMark/>
          </w:tcPr>
          <w:p w14:paraId="5F285630" w14:textId="77777777" w:rsidR="009444AA" w:rsidRPr="009444AA" w:rsidRDefault="009444AA">
            <w:pPr>
              <w:jc w:val="right"/>
              <w:rPr>
                <w:rFonts w:asciiTheme="majorHAnsi" w:hAnsiTheme="majorHAnsi"/>
                <w:sz w:val="16"/>
                <w:szCs w:val="16"/>
              </w:rPr>
            </w:pPr>
          </w:p>
        </w:tc>
      </w:tr>
      <w:tr w:rsidR="009444AA" w:rsidRPr="009444AA" w14:paraId="0E987450" w14:textId="77777777" w:rsidTr="009444AA">
        <w:trPr>
          <w:trHeight w:val="227"/>
        </w:trPr>
        <w:tc>
          <w:tcPr>
            <w:tcW w:w="2141" w:type="pct"/>
            <w:tcBorders>
              <w:top w:val="nil"/>
              <w:left w:val="nil"/>
              <w:bottom w:val="nil"/>
              <w:right w:val="nil"/>
            </w:tcBorders>
            <w:shd w:val="clear" w:color="auto" w:fill="auto"/>
            <w:noWrap/>
            <w:vAlign w:val="bottom"/>
            <w:hideMark/>
          </w:tcPr>
          <w:p w14:paraId="14786B77"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DESPESAS OPERACIONAIS</w:t>
            </w:r>
          </w:p>
        </w:tc>
        <w:tc>
          <w:tcPr>
            <w:tcW w:w="508" w:type="pct"/>
            <w:tcBorders>
              <w:top w:val="nil"/>
              <w:left w:val="nil"/>
              <w:bottom w:val="nil"/>
              <w:right w:val="nil"/>
            </w:tcBorders>
            <w:shd w:val="clear" w:color="000000" w:fill="FFFFFF"/>
            <w:noWrap/>
            <w:vAlign w:val="bottom"/>
            <w:hideMark/>
          </w:tcPr>
          <w:p w14:paraId="6ABF7BEF"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(42.019.922)</w:t>
            </w:r>
          </w:p>
        </w:tc>
        <w:tc>
          <w:tcPr>
            <w:tcW w:w="560" w:type="pct"/>
            <w:tcBorders>
              <w:top w:val="nil"/>
              <w:left w:val="nil"/>
              <w:bottom w:val="nil"/>
              <w:right w:val="nil"/>
            </w:tcBorders>
            <w:shd w:val="clear" w:color="000000" w:fill="FFFFFF"/>
            <w:noWrap/>
            <w:vAlign w:val="bottom"/>
            <w:hideMark/>
          </w:tcPr>
          <w:p w14:paraId="4F027982"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(80.709.895)</w:t>
            </w:r>
          </w:p>
        </w:tc>
        <w:tc>
          <w:tcPr>
            <w:tcW w:w="698" w:type="pct"/>
            <w:tcBorders>
              <w:top w:val="nil"/>
              <w:left w:val="nil"/>
              <w:bottom w:val="nil"/>
              <w:right w:val="nil"/>
            </w:tcBorders>
            <w:shd w:val="clear" w:color="auto" w:fill="auto"/>
            <w:noWrap/>
            <w:vAlign w:val="bottom"/>
            <w:hideMark/>
          </w:tcPr>
          <w:p w14:paraId="2CFC4978"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(39.922.035)</w:t>
            </w:r>
          </w:p>
        </w:tc>
        <w:tc>
          <w:tcPr>
            <w:tcW w:w="730" w:type="pct"/>
            <w:tcBorders>
              <w:top w:val="nil"/>
              <w:left w:val="nil"/>
              <w:bottom w:val="nil"/>
              <w:right w:val="nil"/>
            </w:tcBorders>
            <w:shd w:val="clear" w:color="auto" w:fill="auto"/>
            <w:noWrap/>
            <w:vAlign w:val="bottom"/>
            <w:hideMark/>
          </w:tcPr>
          <w:p w14:paraId="659B40E1"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(78.410.603)</w:t>
            </w:r>
          </w:p>
        </w:tc>
        <w:tc>
          <w:tcPr>
            <w:tcW w:w="363" w:type="pct"/>
            <w:tcBorders>
              <w:top w:val="nil"/>
              <w:left w:val="nil"/>
              <w:bottom w:val="nil"/>
              <w:right w:val="nil"/>
            </w:tcBorders>
            <w:shd w:val="clear" w:color="auto" w:fill="auto"/>
            <w:noWrap/>
            <w:vAlign w:val="bottom"/>
            <w:hideMark/>
          </w:tcPr>
          <w:p w14:paraId="1014F219" w14:textId="77777777" w:rsidR="009444AA" w:rsidRPr="009444AA" w:rsidRDefault="009444AA">
            <w:pPr>
              <w:jc w:val="right"/>
              <w:rPr>
                <w:rFonts w:asciiTheme="majorHAnsi" w:hAnsiTheme="majorHAnsi" w:cs="Arial"/>
                <w:b/>
                <w:bCs/>
                <w:sz w:val="16"/>
                <w:szCs w:val="16"/>
              </w:rPr>
            </w:pPr>
          </w:p>
        </w:tc>
      </w:tr>
      <w:tr w:rsidR="009444AA" w:rsidRPr="009444AA" w14:paraId="31E906C3" w14:textId="77777777" w:rsidTr="009444AA">
        <w:trPr>
          <w:trHeight w:val="227"/>
        </w:trPr>
        <w:tc>
          <w:tcPr>
            <w:tcW w:w="2141" w:type="pct"/>
            <w:tcBorders>
              <w:top w:val="nil"/>
              <w:left w:val="nil"/>
              <w:bottom w:val="nil"/>
              <w:right w:val="nil"/>
            </w:tcBorders>
            <w:shd w:val="clear" w:color="auto" w:fill="auto"/>
            <w:noWrap/>
            <w:vAlign w:val="bottom"/>
            <w:hideMark/>
          </w:tcPr>
          <w:p w14:paraId="09B2E2A1"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Pessoal</w:t>
            </w:r>
          </w:p>
        </w:tc>
        <w:tc>
          <w:tcPr>
            <w:tcW w:w="508" w:type="pct"/>
            <w:tcBorders>
              <w:top w:val="nil"/>
              <w:left w:val="nil"/>
              <w:bottom w:val="nil"/>
              <w:right w:val="nil"/>
            </w:tcBorders>
            <w:shd w:val="clear" w:color="auto" w:fill="auto"/>
            <w:noWrap/>
            <w:vAlign w:val="bottom"/>
            <w:hideMark/>
          </w:tcPr>
          <w:p w14:paraId="2EACEB7E"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(29.243.950)</w:t>
            </w:r>
          </w:p>
        </w:tc>
        <w:tc>
          <w:tcPr>
            <w:tcW w:w="560" w:type="pct"/>
            <w:tcBorders>
              <w:top w:val="nil"/>
              <w:left w:val="nil"/>
              <w:bottom w:val="nil"/>
              <w:right w:val="nil"/>
            </w:tcBorders>
            <w:shd w:val="clear" w:color="auto" w:fill="auto"/>
            <w:noWrap/>
            <w:vAlign w:val="bottom"/>
            <w:hideMark/>
          </w:tcPr>
          <w:p w14:paraId="3AD312AC"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(58.062.048)</w:t>
            </w:r>
          </w:p>
        </w:tc>
        <w:tc>
          <w:tcPr>
            <w:tcW w:w="698" w:type="pct"/>
            <w:tcBorders>
              <w:top w:val="nil"/>
              <w:left w:val="nil"/>
              <w:bottom w:val="nil"/>
              <w:right w:val="nil"/>
            </w:tcBorders>
            <w:shd w:val="clear" w:color="auto" w:fill="auto"/>
            <w:noWrap/>
            <w:vAlign w:val="bottom"/>
            <w:hideMark/>
          </w:tcPr>
          <w:p w14:paraId="4E80186A"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(30.188.598)</w:t>
            </w:r>
          </w:p>
        </w:tc>
        <w:tc>
          <w:tcPr>
            <w:tcW w:w="730" w:type="pct"/>
            <w:tcBorders>
              <w:top w:val="nil"/>
              <w:left w:val="nil"/>
              <w:bottom w:val="nil"/>
              <w:right w:val="nil"/>
            </w:tcBorders>
            <w:shd w:val="clear" w:color="auto" w:fill="auto"/>
            <w:noWrap/>
            <w:vAlign w:val="bottom"/>
            <w:hideMark/>
          </w:tcPr>
          <w:p w14:paraId="233582BC"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(59.138.845)</w:t>
            </w:r>
          </w:p>
        </w:tc>
        <w:tc>
          <w:tcPr>
            <w:tcW w:w="363" w:type="pct"/>
            <w:tcBorders>
              <w:top w:val="nil"/>
              <w:left w:val="nil"/>
              <w:bottom w:val="nil"/>
              <w:right w:val="nil"/>
            </w:tcBorders>
            <w:shd w:val="clear" w:color="auto" w:fill="auto"/>
            <w:noWrap/>
            <w:vAlign w:val="bottom"/>
            <w:hideMark/>
          </w:tcPr>
          <w:p w14:paraId="56E5332C"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(17a)</w:t>
            </w:r>
          </w:p>
        </w:tc>
      </w:tr>
      <w:tr w:rsidR="009444AA" w:rsidRPr="009444AA" w14:paraId="14B9577D" w14:textId="77777777" w:rsidTr="009444AA">
        <w:trPr>
          <w:trHeight w:val="227"/>
        </w:trPr>
        <w:tc>
          <w:tcPr>
            <w:tcW w:w="2141" w:type="pct"/>
            <w:tcBorders>
              <w:top w:val="nil"/>
              <w:left w:val="nil"/>
              <w:bottom w:val="nil"/>
              <w:right w:val="nil"/>
            </w:tcBorders>
            <w:shd w:val="clear" w:color="auto" w:fill="auto"/>
            <w:noWrap/>
            <w:vAlign w:val="bottom"/>
            <w:hideMark/>
          </w:tcPr>
          <w:p w14:paraId="53B53045"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Remuneração dos Administradores</w:t>
            </w:r>
          </w:p>
        </w:tc>
        <w:tc>
          <w:tcPr>
            <w:tcW w:w="508" w:type="pct"/>
            <w:tcBorders>
              <w:top w:val="nil"/>
              <w:left w:val="nil"/>
              <w:bottom w:val="nil"/>
              <w:right w:val="nil"/>
            </w:tcBorders>
            <w:shd w:val="clear" w:color="auto" w:fill="auto"/>
            <w:noWrap/>
            <w:vAlign w:val="bottom"/>
            <w:hideMark/>
          </w:tcPr>
          <w:p w14:paraId="6909A134"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(404.038)</w:t>
            </w:r>
          </w:p>
        </w:tc>
        <w:tc>
          <w:tcPr>
            <w:tcW w:w="560" w:type="pct"/>
            <w:tcBorders>
              <w:top w:val="nil"/>
              <w:left w:val="nil"/>
              <w:bottom w:val="nil"/>
              <w:right w:val="nil"/>
            </w:tcBorders>
            <w:shd w:val="clear" w:color="auto" w:fill="auto"/>
            <w:noWrap/>
            <w:vAlign w:val="bottom"/>
            <w:hideMark/>
          </w:tcPr>
          <w:p w14:paraId="317A3570"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(811.318)</w:t>
            </w:r>
          </w:p>
        </w:tc>
        <w:tc>
          <w:tcPr>
            <w:tcW w:w="698" w:type="pct"/>
            <w:tcBorders>
              <w:top w:val="nil"/>
              <w:left w:val="nil"/>
              <w:bottom w:val="nil"/>
              <w:right w:val="nil"/>
            </w:tcBorders>
            <w:shd w:val="clear" w:color="auto" w:fill="auto"/>
            <w:noWrap/>
            <w:vAlign w:val="bottom"/>
            <w:hideMark/>
          </w:tcPr>
          <w:p w14:paraId="3860D298"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(416.269)</w:t>
            </w:r>
          </w:p>
        </w:tc>
        <w:tc>
          <w:tcPr>
            <w:tcW w:w="730" w:type="pct"/>
            <w:tcBorders>
              <w:top w:val="nil"/>
              <w:left w:val="nil"/>
              <w:bottom w:val="nil"/>
              <w:right w:val="nil"/>
            </w:tcBorders>
            <w:shd w:val="clear" w:color="auto" w:fill="auto"/>
            <w:noWrap/>
            <w:vAlign w:val="bottom"/>
            <w:hideMark/>
          </w:tcPr>
          <w:p w14:paraId="757BE0F1"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(647.833)</w:t>
            </w:r>
          </w:p>
        </w:tc>
        <w:tc>
          <w:tcPr>
            <w:tcW w:w="363" w:type="pct"/>
            <w:tcBorders>
              <w:top w:val="nil"/>
              <w:left w:val="nil"/>
              <w:bottom w:val="nil"/>
              <w:right w:val="nil"/>
            </w:tcBorders>
            <w:shd w:val="clear" w:color="auto" w:fill="auto"/>
            <w:noWrap/>
            <w:vAlign w:val="bottom"/>
            <w:hideMark/>
          </w:tcPr>
          <w:p w14:paraId="2C716195" w14:textId="77777777" w:rsidR="009444AA" w:rsidRPr="009444AA" w:rsidRDefault="009444AA">
            <w:pPr>
              <w:jc w:val="right"/>
              <w:rPr>
                <w:rFonts w:asciiTheme="majorHAnsi" w:hAnsiTheme="majorHAnsi" w:cs="Arial"/>
                <w:sz w:val="16"/>
                <w:szCs w:val="16"/>
              </w:rPr>
            </w:pPr>
          </w:p>
        </w:tc>
      </w:tr>
      <w:tr w:rsidR="009444AA" w:rsidRPr="009444AA" w14:paraId="3D3CDBBE" w14:textId="77777777" w:rsidTr="009444AA">
        <w:trPr>
          <w:trHeight w:val="227"/>
        </w:trPr>
        <w:tc>
          <w:tcPr>
            <w:tcW w:w="2141" w:type="pct"/>
            <w:tcBorders>
              <w:top w:val="nil"/>
              <w:left w:val="nil"/>
              <w:bottom w:val="nil"/>
              <w:right w:val="nil"/>
            </w:tcBorders>
            <w:shd w:val="clear" w:color="auto" w:fill="auto"/>
            <w:noWrap/>
            <w:vAlign w:val="bottom"/>
            <w:hideMark/>
          </w:tcPr>
          <w:p w14:paraId="255E1F64"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Depreciação e Amortização</w:t>
            </w:r>
          </w:p>
        </w:tc>
        <w:tc>
          <w:tcPr>
            <w:tcW w:w="508" w:type="pct"/>
            <w:tcBorders>
              <w:top w:val="nil"/>
              <w:left w:val="nil"/>
              <w:bottom w:val="nil"/>
              <w:right w:val="nil"/>
            </w:tcBorders>
            <w:shd w:val="clear" w:color="auto" w:fill="auto"/>
            <w:noWrap/>
            <w:vAlign w:val="bottom"/>
            <w:hideMark/>
          </w:tcPr>
          <w:p w14:paraId="26E71606"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(1.510.566)</w:t>
            </w:r>
          </w:p>
        </w:tc>
        <w:tc>
          <w:tcPr>
            <w:tcW w:w="560" w:type="pct"/>
            <w:tcBorders>
              <w:top w:val="nil"/>
              <w:left w:val="nil"/>
              <w:bottom w:val="nil"/>
              <w:right w:val="nil"/>
            </w:tcBorders>
            <w:shd w:val="clear" w:color="auto" w:fill="auto"/>
            <w:noWrap/>
            <w:vAlign w:val="bottom"/>
            <w:hideMark/>
          </w:tcPr>
          <w:p w14:paraId="0A449DBA"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(3.242.179)</w:t>
            </w:r>
          </w:p>
        </w:tc>
        <w:tc>
          <w:tcPr>
            <w:tcW w:w="698" w:type="pct"/>
            <w:tcBorders>
              <w:top w:val="nil"/>
              <w:left w:val="nil"/>
              <w:bottom w:val="nil"/>
              <w:right w:val="nil"/>
            </w:tcBorders>
            <w:shd w:val="clear" w:color="auto" w:fill="auto"/>
            <w:noWrap/>
            <w:vAlign w:val="bottom"/>
            <w:hideMark/>
          </w:tcPr>
          <w:p w14:paraId="0563AF3B"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(2.060.657)</w:t>
            </w:r>
          </w:p>
        </w:tc>
        <w:tc>
          <w:tcPr>
            <w:tcW w:w="730" w:type="pct"/>
            <w:tcBorders>
              <w:top w:val="nil"/>
              <w:left w:val="nil"/>
              <w:bottom w:val="nil"/>
              <w:right w:val="nil"/>
            </w:tcBorders>
            <w:shd w:val="clear" w:color="auto" w:fill="auto"/>
            <w:noWrap/>
            <w:vAlign w:val="bottom"/>
            <w:hideMark/>
          </w:tcPr>
          <w:p w14:paraId="5C4628EC"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(4.334.504)</w:t>
            </w:r>
          </w:p>
        </w:tc>
        <w:tc>
          <w:tcPr>
            <w:tcW w:w="363" w:type="pct"/>
            <w:tcBorders>
              <w:top w:val="nil"/>
              <w:left w:val="nil"/>
              <w:bottom w:val="nil"/>
              <w:right w:val="nil"/>
            </w:tcBorders>
            <w:shd w:val="clear" w:color="auto" w:fill="auto"/>
            <w:noWrap/>
            <w:vAlign w:val="bottom"/>
            <w:hideMark/>
          </w:tcPr>
          <w:p w14:paraId="0A9CD24F" w14:textId="77777777" w:rsidR="009444AA" w:rsidRPr="009444AA" w:rsidRDefault="009444AA">
            <w:pPr>
              <w:jc w:val="right"/>
              <w:rPr>
                <w:rFonts w:asciiTheme="majorHAnsi" w:hAnsiTheme="majorHAnsi" w:cs="Arial"/>
                <w:sz w:val="16"/>
                <w:szCs w:val="16"/>
              </w:rPr>
            </w:pPr>
          </w:p>
        </w:tc>
      </w:tr>
      <w:tr w:rsidR="009444AA" w:rsidRPr="009444AA" w14:paraId="0E16B17C" w14:textId="77777777" w:rsidTr="009444AA">
        <w:trPr>
          <w:trHeight w:val="227"/>
        </w:trPr>
        <w:tc>
          <w:tcPr>
            <w:tcW w:w="2141" w:type="pct"/>
            <w:tcBorders>
              <w:top w:val="nil"/>
              <w:left w:val="nil"/>
              <w:bottom w:val="nil"/>
              <w:right w:val="nil"/>
            </w:tcBorders>
            <w:shd w:val="clear" w:color="auto" w:fill="auto"/>
            <w:noWrap/>
            <w:vAlign w:val="bottom"/>
            <w:hideMark/>
          </w:tcPr>
          <w:p w14:paraId="62C6E6F5"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Depreciação Direito de Uso</w:t>
            </w:r>
          </w:p>
        </w:tc>
        <w:tc>
          <w:tcPr>
            <w:tcW w:w="508" w:type="pct"/>
            <w:tcBorders>
              <w:top w:val="nil"/>
              <w:left w:val="nil"/>
              <w:bottom w:val="nil"/>
              <w:right w:val="nil"/>
            </w:tcBorders>
            <w:shd w:val="clear" w:color="auto" w:fill="auto"/>
            <w:noWrap/>
            <w:vAlign w:val="bottom"/>
            <w:hideMark/>
          </w:tcPr>
          <w:p w14:paraId="0397242B"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(930.639)</w:t>
            </w:r>
          </w:p>
        </w:tc>
        <w:tc>
          <w:tcPr>
            <w:tcW w:w="560" w:type="pct"/>
            <w:tcBorders>
              <w:top w:val="nil"/>
              <w:left w:val="nil"/>
              <w:bottom w:val="nil"/>
              <w:right w:val="nil"/>
            </w:tcBorders>
            <w:shd w:val="clear" w:color="auto" w:fill="auto"/>
            <w:noWrap/>
            <w:vAlign w:val="bottom"/>
            <w:hideMark/>
          </w:tcPr>
          <w:p w14:paraId="58532CF5"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(2.343.272)</w:t>
            </w:r>
          </w:p>
        </w:tc>
        <w:tc>
          <w:tcPr>
            <w:tcW w:w="698" w:type="pct"/>
            <w:tcBorders>
              <w:top w:val="nil"/>
              <w:left w:val="nil"/>
              <w:bottom w:val="nil"/>
              <w:right w:val="nil"/>
            </w:tcBorders>
            <w:shd w:val="clear" w:color="auto" w:fill="auto"/>
            <w:noWrap/>
            <w:vAlign w:val="bottom"/>
            <w:hideMark/>
          </w:tcPr>
          <w:p w14:paraId="09F09AB5"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(2.000.698)</w:t>
            </w:r>
          </w:p>
        </w:tc>
        <w:tc>
          <w:tcPr>
            <w:tcW w:w="730" w:type="pct"/>
            <w:tcBorders>
              <w:top w:val="nil"/>
              <w:left w:val="nil"/>
              <w:bottom w:val="nil"/>
              <w:right w:val="nil"/>
            </w:tcBorders>
            <w:shd w:val="clear" w:color="auto" w:fill="auto"/>
            <w:noWrap/>
            <w:vAlign w:val="bottom"/>
            <w:hideMark/>
          </w:tcPr>
          <w:p w14:paraId="6E6BD436"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(3.909.348)</w:t>
            </w:r>
          </w:p>
        </w:tc>
        <w:tc>
          <w:tcPr>
            <w:tcW w:w="363" w:type="pct"/>
            <w:tcBorders>
              <w:top w:val="nil"/>
              <w:left w:val="nil"/>
              <w:bottom w:val="nil"/>
              <w:right w:val="nil"/>
            </w:tcBorders>
            <w:shd w:val="clear" w:color="auto" w:fill="auto"/>
            <w:noWrap/>
            <w:vAlign w:val="bottom"/>
            <w:hideMark/>
          </w:tcPr>
          <w:p w14:paraId="39B9203E" w14:textId="77777777" w:rsidR="009444AA" w:rsidRPr="009444AA" w:rsidRDefault="009444AA">
            <w:pPr>
              <w:jc w:val="right"/>
              <w:rPr>
                <w:rFonts w:asciiTheme="majorHAnsi" w:hAnsiTheme="majorHAnsi" w:cs="Arial"/>
                <w:sz w:val="16"/>
                <w:szCs w:val="16"/>
              </w:rPr>
            </w:pPr>
          </w:p>
        </w:tc>
      </w:tr>
      <w:tr w:rsidR="009444AA" w:rsidRPr="009444AA" w14:paraId="3878C37D" w14:textId="77777777" w:rsidTr="009444AA">
        <w:trPr>
          <w:trHeight w:val="227"/>
        </w:trPr>
        <w:tc>
          <w:tcPr>
            <w:tcW w:w="2141" w:type="pct"/>
            <w:tcBorders>
              <w:top w:val="nil"/>
              <w:left w:val="nil"/>
              <w:bottom w:val="nil"/>
              <w:right w:val="nil"/>
            </w:tcBorders>
            <w:shd w:val="clear" w:color="auto" w:fill="auto"/>
            <w:noWrap/>
            <w:vAlign w:val="bottom"/>
            <w:hideMark/>
          </w:tcPr>
          <w:p w14:paraId="17A3960D"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Gerais e Administrativas</w:t>
            </w:r>
          </w:p>
        </w:tc>
        <w:tc>
          <w:tcPr>
            <w:tcW w:w="508" w:type="pct"/>
            <w:tcBorders>
              <w:top w:val="nil"/>
              <w:left w:val="nil"/>
              <w:bottom w:val="nil"/>
              <w:right w:val="nil"/>
            </w:tcBorders>
            <w:shd w:val="clear" w:color="auto" w:fill="auto"/>
            <w:noWrap/>
            <w:vAlign w:val="bottom"/>
            <w:hideMark/>
          </w:tcPr>
          <w:p w14:paraId="79C02671"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(9.498.708)</w:t>
            </w:r>
          </w:p>
        </w:tc>
        <w:tc>
          <w:tcPr>
            <w:tcW w:w="560" w:type="pct"/>
            <w:tcBorders>
              <w:top w:val="nil"/>
              <w:left w:val="nil"/>
              <w:bottom w:val="nil"/>
              <w:right w:val="nil"/>
            </w:tcBorders>
            <w:shd w:val="clear" w:color="auto" w:fill="auto"/>
            <w:noWrap/>
            <w:vAlign w:val="bottom"/>
            <w:hideMark/>
          </w:tcPr>
          <w:p w14:paraId="5B8FC651"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(15.710.406)</w:t>
            </w:r>
          </w:p>
        </w:tc>
        <w:tc>
          <w:tcPr>
            <w:tcW w:w="698" w:type="pct"/>
            <w:tcBorders>
              <w:top w:val="nil"/>
              <w:left w:val="nil"/>
              <w:bottom w:val="nil"/>
              <w:right w:val="nil"/>
            </w:tcBorders>
            <w:shd w:val="clear" w:color="auto" w:fill="auto"/>
            <w:noWrap/>
            <w:vAlign w:val="bottom"/>
            <w:hideMark/>
          </w:tcPr>
          <w:p w14:paraId="35B808A3"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(5.201.450)</w:t>
            </w:r>
          </w:p>
        </w:tc>
        <w:tc>
          <w:tcPr>
            <w:tcW w:w="730" w:type="pct"/>
            <w:tcBorders>
              <w:top w:val="nil"/>
              <w:left w:val="nil"/>
              <w:bottom w:val="nil"/>
              <w:right w:val="nil"/>
            </w:tcBorders>
            <w:shd w:val="clear" w:color="auto" w:fill="auto"/>
            <w:noWrap/>
            <w:vAlign w:val="bottom"/>
            <w:hideMark/>
          </w:tcPr>
          <w:p w14:paraId="70302EAD"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(10.083.132)</w:t>
            </w:r>
          </w:p>
        </w:tc>
        <w:tc>
          <w:tcPr>
            <w:tcW w:w="363" w:type="pct"/>
            <w:tcBorders>
              <w:top w:val="nil"/>
              <w:left w:val="nil"/>
              <w:bottom w:val="nil"/>
              <w:right w:val="nil"/>
            </w:tcBorders>
            <w:shd w:val="clear" w:color="auto" w:fill="auto"/>
            <w:noWrap/>
            <w:vAlign w:val="bottom"/>
            <w:hideMark/>
          </w:tcPr>
          <w:p w14:paraId="037B9E69"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(17b)</w:t>
            </w:r>
          </w:p>
        </w:tc>
      </w:tr>
      <w:tr w:rsidR="009444AA" w:rsidRPr="009444AA" w14:paraId="17745B6F" w14:textId="77777777" w:rsidTr="009444AA">
        <w:trPr>
          <w:trHeight w:val="227"/>
        </w:trPr>
        <w:tc>
          <w:tcPr>
            <w:tcW w:w="2141" w:type="pct"/>
            <w:tcBorders>
              <w:top w:val="nil"/>
              <w:left w:val="nil"/>
              <w:bottom w:val="nil"/>
              <w:right w:val="nil"/>
            </w:tcBorders>
            <w:shd w:val="clear" w:color="auto" w:fill="auto"/>
            <w:noWrap/>
            <w:vAlign w:val="bottom"/>
            <w:hideMark/>
          </w:tcPr>
          <w:p w14:paraId="0BF065BC"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Diárias, Passagens e Despesas de Locomoção</w:t>
            </w:r>
          </w:p>
        </w:tc>
        <w:tc>
          <w:tcPr>
            <w:tcW w:w="508" w:type="pct"/>
            <w:tcBorders>
              <w:top w:val="nil"/>
              <w:left w:val="nil"/>
              <w:bottom w:val="nil"/>
              <w:right w:val="nil"/>
            </w:tcBorders>
            <w:shd w:val="clear" w:color="auto" w:fill="auto"/>
            <w:noWrap/>
            <w:vAlign w:val="bottom"/>
            <w:hideMark/>
          </w:tcPr>
          <w:p w14:paraId="207B902D"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(105.782)</w:t>
            </w:r>
          </w:p>
        </w:tc>
        <w:tc>
          <w:tcPr>
            <w:tcW w:w="560" w:type="pct"/>
            <w:tcBorders>
              <w:top w:val="nil"/>
              <w:left w:val="nil"/>
              <w:bottom w:val="nil"/>
              <w:right w:val="nil"/>
            </w:tcBorders>
            <w:shd w:val="clear" w:color="auto" w:fill="auto"/>
            <w:noWrap/>
            <w:vAlign w:val="bottom"/>
            <w:hideMark/>
          </w:tcPr>
          <w:p w14:paraId="3F56CEA3"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(214.433)</w:t>
            </w:r>
          </w:p>
        </w:tc>
        <w:tc>
          <w:tcPr>
            <w:tcW w:w="698" w:type="pct"/>
            <w:tcBorders>
              <w:top w:val="nil"/>
              <w:left w:val="nil"/>
              <w:bottom w:val="nil"/>
              <w:right w:val="nil"/>
            </w:tcBorders>
            <w:shd w:val="clear" w:color="auto" w:fill="auto"/>
            <w:noWrap/>
            <w:vAlign w:val="bottom"/>
            <w:hideMark/>
          </w:tcPr>
          <w:p w14:paraId="00421737"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(54.363)</w:t>
            </w:r>
          </w:p>
        </w:tc>
        <w:tc>
          <w:tcPr>
            <w:tcW w:w="730" w:type="pct"/>
            <w:tcBorders>
              <w:top w:val="nil"/>
              <w:left w:val="nil"/>
              <w:bottom w:val="nil"/>
              <w:right w:val="nil"/>
            </w:tcBorders>
            <w:shd w:val="clear" w:color="auto" w:fill="auto"/>
            <w:noWrap/>
            <w:vAlign w:val="bottom"/>
            <w:hideMark/>
          </w:tcPr>
          <w:p w14:paraId="02813DD9"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(296.941)</w:t>
            </w:r>
          </w:p>
        </w:tc>
        <w:tc>
          <w:tcPr>
            <w:tcW w:w="363" w:type="pct"/>
            <w:tcBorders>
              <w:top w:val="nil"/>
              <w:left w:val="nil"/>
              <w:bottom w:val="nil"/>
              <w:right w:val="nil"/>
            </w:tcBorders>
            <w:shd w:val="clear" w:color="auto" w:fill="auto"/>
            <w:noWrap/>
            <w:vAlign w:val="bottom"/>
            <w:hideMark/>
          </w:tcPr>
          <w:p w14:paraId="332E6F66" w14:textId="77777777" w:rsidR="009444AA" w:rsidRPr="009444AA" w:rsidRDefault="009444AA">
            <w:pPr>
              <w:jc w:val="right"/>
              <w:rPr>
                <w:rFonts w:asciiTheme="majorHAnsi" w:hAnsiTheme="majorHAnsi" w:cs="Arial"/>
                <w:sz w:val="16"/>
                <w:szCs w:val="16"/>
              </w:rPr>
            </w:pPr>
          </w:p>
        </w:tc>
      </w:tr>
      <w:tr w:rsidR="009444AA" w:rsidRPr="009444AA" w14:paraId="0E8FD9A4" w14:textId="77777777" w:rsidTr="009444AA">
        <w:trPr>
          <w:trHeight w:val="227"/>
        </w:trPr>
        <w:tc>
          <w:tcPr>
            <w:tcW w:w="2141" w:type="pct"/>
            <w:tcBorders>
              <w:top w:val="nil"/>
              <w:left w:val="nil"/>
              <w:bottom w:val="nil"/>
              <w:right w:val="nil"/>
            </w:tcBorders>
            <w:shd w:val="clear" w:color="auto" w:fill="auto"/>
            <w:noWrap/>
            <w:vAlign w:val="bottom"/>
            <w:hideMark/>
          </w:tcPr>
          <w:p w14:paraId="65E47E89"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Transferência Voluntária </w:t>
            </w:r>
          </w:p>
        </w:tc>
        <w:tc>
          <w:tcPr>
            <w:tcW w:w="508" w:type="pct"/>
            <w:tcBorders>
              <w:top w:val="nil"/>
              <w:left w:val="nil"/>
              <w:bottom w:val="nil"/>
              <w:right w:val="nil"/>
            </w:tcBorders>
            <w:shd w:val="clear" w:color="auto" w:fill="auto"/>
            <w:noWrap/>
            <w:vAlign w:val="bottom"/>
            <w:hideMark/>
          </w:tcPr>
          <w:p w14:paraId="09D741BA"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(326.239)</w:t>
            </w:r>
          </w:p>
        </w:tc>
        <w:tc>
          <w:tcPr>
            <w:tcW w:w="560" w:type="pct"/>
            <w:tcBorders>
              <w:top w:val="nil"/>
              <w:left w:val="nil"/>
              <w:bottom w:val="nil"/>
              <w:right w:val="nil"/>
            </w:tcBorders>
            <w:shd w:val="clear" w:color="auto" w:fill="auto"/>
            <w:noWrap/>
            <w:vAlign w:val="bottom"/>
            <w:hideMark/>
          </w:tcPr>
          <w:p w14:paraId="2201203D"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(326.239)</w:t>
            </w:r>
          </w:p>
        </w:tc>
        <w:tc>
          <w:tcPr>
            <w:tcW w:w="698" w:type="pct"/>
            <w:tcBorders>
              <w:top w:val="nil"/>
              <w:left w:val="nil"/>
              <w:bottom w:val="nil"/>
              <w:right w:val="nil"/>
            </w:tcBorders>
            <w:shd w:val="clear" w:color="auto" w:fill="auto"/>
            <w:noWrap/>
            <w:vAlign w:val="bottom"/>
            <w:hideMark/>
          </w:tcPr>
          <w:p w14:paraId="203E8952"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   </w:t>
            </w:r>
          </w:p>
        </w:tc>
        <w:tc>
          <w:tcPr>
            <w:tcW w:w="730" w:type="pct"/>
            <w:tcBorders>
              <w:top w:val="nil"/>
              <w:left w:val="nil"/>
              <w:bottom w:val="nil"/>
              <w:right w:val="nil"/>
            </w:tcBorders>
            <w:shd w:val="clear" w:color="auto" w:fill="auto"/>
            <w:noWrap/>
            <w:vAlign w:val="bottom"/>
            <w:hideMark/>
          </w:tcPr>
          <w:p w14:paraId="1A26DB5E"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   </w:t>
            </w:r>
          </w:p>
        </w:tc>
        <w:tc>
          <w:tcPr>
            <w:tcW w:w="363" w:type="pct"/>
            <w:tcBorders>
              <w:top w:val="nil"/>
              <w:left w:val="nil"/>
              <w:bottom w:val="nil"/>
              <w:right w:val="nil"/>
            </w:tcBorders>
            <w:shd w:val="clear" w:color="auto" w:fill="auto"/>
            <w:noWrap/>
            <w:vAlign w:val="bottom"/>
            <w:hideMark/>
          </w:tcPr>
          <w:p w14:paraId="5FBA710D" w14:textId="77777777" w:rsidR="009444AA" w:rsidRPr="009444AA" w:rsidRDefault="009444AA">
            <w:pPr>
              <w:jc w:val="right"/>
              <w:rPr>
                <w:rFonts w:asciiTheme="majorHAnsi" w:hAnsiTheme="majorHAnsi" w:cs="Arial"/>
                <w:sz w:val="16"/>
                <w:szCs w:val="16"/>
              </w:rPr>
            </w:pPr>
          </w:p>
        </w:tc>
      </w:tr>
      <w:tr w:rsidR="009444AA" w:rsidRPr="009444AA" w14:paraId="12F02325" w14:textId="77777777" w:rsidTr="009444AA">
        <w:trPr>
          <w:trHeight w:val="227"/>
        </w:trPr>
        <w:tc>
          <w:tcPr>
            <w:tcW w:w="2141" w:type="pct"/>
            <w:tcBorders>
              <w:top w:val="nil"/>
              <w:left w:val="nil"/>
              <w:bottom w:val="nil"/>
              <w:right w:val="nil"/>
            </w:tcBorders>
            <w:shd w:val="clear" w:color="auto" w:fill="auto"/>
            <w:noWrap/>
            <w:vAlign w:val="bottom"/>
            <w:hideMark/>
          </w:tcPr>
          <w:p w14:paraId="3F9D1ADB" w14:textId="77777777" w:rsidR="009444AA" w:rsidRPr="009444AA" w:rsidRDefault="009444AA">
            <w:pPr>
              <w:jc w:val="right"/>
              <w:rPr>
                <w:rFonts w:asciiTheme="majorHAnsi" w:hAnsiTheme="majorHAnsi"/>
                <w:sz w:val="16"/>
                <w:szCs w:val="16"/>
              </w:rPr>
            </w:pPr>
          </w:p>
        </w:tc>
        <w:tc>
          <w:tcPr>
            <w:tcW w:w="508" w:type="pct"/>
            <w:tcBorders>
              <w:top w:val="nil"/>
              <w:left w:val="nil"/>
              <w:bottom w:val="nil"/>
              <w:right w:val="nil"/>
            </w:tcBorders>
            <w:shd w:val="clear" w:color="auto" w:fill="auto"/>
            <w:noWrap/>
            <w:vAlign w:val="bottom"/>
            <w:hideMark/>
          </w:tcPr>
          <w:p w14:paraId="091C18D5" w14:textId="77777777" w:rsidR="009444AA" w:rsidRPr="009444AA" w:rsidRDefault="009444AA">
            <w:pPr>
              <w:rPr>
                <w:rFonts w:asciiTheme="majorHAnsi" w:hAnsiTheme="majorHAnsi"/>
                <w:sz w:val="16"/>
                <w:szCs w:val="16"/>
              </w:rPr>
            </w:pPr>
          </w:p>
        </w:tc>
        <w:tc>
          <w:tcPr>
            <w:tcW w:w="560" w:type="pct"/>
            <w:tcBorders>
              <w:top w:val="nil"/>
              <w:left w:val="nil"/>
              <w:bottom w:val="nil"/>
              <w:right w:val="nil"/>
            </w:tcBorders>
            <w:shd w:val="clear" w:color="auto" w:fill="auto"/>
            <w:noWrap/>
            <w:vAlign w:val="bottom"/>
            <w:hideMark/>
          </w:tcPr>
          <w:p w14:paraId="15F14B9E" w14:textId="77777777" w:rsidR="009444AA" w:rsidRPr="009444AA" w:rsidRDefault="009444AA">
            <w:pPr>
              <w:rPr>
                <w:rFonts w:asciiTheme="majorHAnsi" w:hAnsiTheme="majorHAnsi"/>
                <w:sz w:val="16"/>
                <w:szCs w:val="16"/>
              </w:rPr>
            </w:pPr>
          </w:p>
        </w:tc>
        <w:tc>
          <w:tcPr>
            <w:tcW w:w="698" w:type="pct"/>
            <w:tcBorders>
              <w:top w:val="nil"/>
              <w:left w:val="nil"/>
              <w:bottom w:val="nil"/>
              <w:right w:val="nil"/>
            </w:tcBorders>
            <w:shd w:val="clear" w:color="auto" w:fill="auto"/>
            <w:noWrap/>
            <w:vAlign w:val="bottom"/>
            <w:hideMark/>
          </w:tcPr>
          <w:p w14:paraId="64EEB4A1" w14:textId="77777777" w:rsidR="009444AA" w:rsidRPr="009444AA" w:rsidRDefault="009444AA">
            <w:pPr>
              <w:jc w:val="right"/>
              <w:rPr>
                <w:rFonts w:asciiTheme="majorHAnsi" w:hAnsiTheme="majorHAnsi"/>
                <w:sz w:val="16"/>
                <w:szCs w:val="16"/>
              </w:rPr>
            </w:pPr>
          </w:p>
        </w:tc>
        <w:tc>
          <w:tcPr>
            <w:tcW w:w="730" w:type="pct"/>
            <w:tcBorders>
              <w:top w:val="nil"/>
              <w:left w:val="nil"/>
              <w:bottom w:val="nil"/>
              <w:right w:val="nil"/>
            </w:tcBorders>
            <w:shd w:val="clear" w:color="auto" w:fill="auto"/>
            <w:noWrap/>
            <w:vAlign w:val="center"/>
            <w:hideMark/>
          </w:tcPr>
          <w:p w14:paraId="34946239" w14:textId="77777777" w:rsidR="009444AA" w:rsidRPr="009444AA" w:rsidRDefault="009444AA">
            <w:pPr>
              <w:jc w:val="right"/>
              <w:rPr>
                <w:rFonts w:asciiTheme="majorHAnsi" w:hAnsiTheme="majorHAnsi"/>
                <w:sz w:val="16"/>
                <w:szCs w:val="16"/>
              </w:rPr>
            </w:pPr>
          </w:p>
        </w:tc>
        <w:tc>
          <w:tcPr>
            <w:tcW w:w="363" w:type="pct"/>
            <w:tcBorders>
              <w:top w:val="nil"/>
              <w:left w:val="nil"/>
              <w:bottom w:val="nil"/>
              <w:right w:val="nil"/>
            </w:tcBorders>
            <w:shd w:val="clear" w:color="auto" w:fill="auto"/>
            <w:noWrap/>
            <w:vAlign w:val="bottom"/>
            <w:hideMark/>
          </w:tcPr>
          <w:p w14:paraId="3B890777" w14:textId="77777777" w:rsidR="009444AA" w:rsidRPr="009444AA" w:rsidRDefault="009444AA">
            <w:pPr>
              <w:rPr>
                <w:rFonts w:asciiTheme="majorHAnsi" w:hAnsiTheme="majorHAnsi"/>
                <w:sz w:val="16"/>
                <w:szCs w:val="16"/>
              </w:rPr>
            </w:pPr>
          </w:p>
        </w:tc>
      </w:tr>
      <w:tr w:rsidR="009444AA" w:rsidRPr="009444AA" w14:paraId="426C6CD2" w14:textId="77777777" w:rsidTr="009444AA">
        <w:trPr>
          <w:trHeight w:val="227"/>
        </w:trPr>
        <w:tc>
          <w:tcPr>
            <w:tcW w:w="2141" w:type="pct"/>
            <w:tcBorders>
              <w:top w:val="nil"/>
              <w:left w:val="nil"/>
              <w:bottom w:val="nil"/>
              <w:right w:val="nil"/>
            </w:tcBorders>
            <w:shd w:val="clear" w:color="auto" w:fill="auto"/>
            <w:hideMark/>
          </w:tcPr>
          <w:p w14:paraId="2180FDC9"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OUTRAS RECEITAS/DESPESAS OPERACIONAIS</w:t>
            </w:r>
          </w:p>
        </w:tc>
        <w:tc>
          <w:tcPr>
            <w:tcW w:w="508" w:type="pct"/>
            <w:tcBorders>
              <w:top w:val="nil"/>
              <w:left w:val="nil"/>
              <w:bottom w:val="nil"/>
              <w:right w:val="nil"/>
            </w:tcBorders>
            <w:shd w:val="clear" w:color="auto" w:fill="auto"/>
            <w:noWrap/>
            <w:vAlign w:val="bottom"/>
            <w:hideMark/>
          </w:tcPr>
          <w:p w14:paraId="6C94DC76"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 xml:space="preserve">  (31.302.307)</w:t>
            </w:r>
          </w:p>
        </w:tc>
        <w:tc>
          <w:tcPr>
            <w:tcW w:w="560" w:type="pct"/>
            <w:tcBorders>
              <w:top w:val="nil"/>
              <w:left w:val="nil"/>
              <w:bottom w:val="nil"/>
              <w:right w:val="nil"/>
            </w:tcBorders>
            <w:shd w:val="clear" w:color="auto" w:fill="auto"/>
            <w:noWrap/>
            <w:vAlign w:val="bottom"/>
            <w:hideMark/>
          </w:tcPr>
          <w:p w14:paraId="25DA8FE8"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 xml:space="preserve">     (58.833.493)</w:t>
            </w:r>
          </w:p>
        </w:tc>
        <w:tc>
          <w:tcPr>
            <w:tcW w:w="698" w:type="pct"/>
            <w:tcBorders>
              <w:top w:val="nil"/>
              <w:left w:val="nil"/>
              <w:bottom w:val="nil"/>
              <w:right w:val="nil"/>
            </w:tcBorders>
            <w:shd w:val="clear" w:color="auto" w:fill="auto"/>
            <w:noWrap/>
            <w:vAlign w:val="bottom"/>
            <w:hideMark/>
          </w:tcPr>
          <w:p w14:paraId="4CCF86A1"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 xml:space="preserve">             (16.158.439)</w:t>
            </w:r>
          </w:p>
        </w:tc>
        <w:tc>
          <w:tcPr>
            <w:tcW w:w="730" w:type="pct"/>
            <w:tcBorders>
              <w:top w:val="nil"/>
              <w:left w:val="nil"/>
              <w:bottom w:val="nil"/>
              <w:right w:val="nil"/>
            </w:tcBorders>
            <w:shd w:val="clear" w:color="auto" w:fill="auto"/>
            <w:noWrap/>
            <w:vAlign w:val="bottom"/>
            <w:hideMark/>
          </w:tcPr>
          <w:p w14:paraId="506CB60A"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 xml:space="preserve">                 20.969.085 </w:t>
            </w:r>
          </w:p>
        </w:tc>
        <w:tc>
          <w:tcPr>
            <w:tcW w:w="363" w:type="pct"/>
            <w:tcBorders>
              <w:top w:val="nil"/>
              <w:left w:val="nil"/>
              <w:bottom w:val="nil"/>
              <w:right w:val="nil"/>
            </w:tcBorders>
            <w:shd w:val="clear" w:color="auto" w:fill="auto"/>
            <w:noWrap/>
            <w:vAlign w:val="center"/>
            <w:hideMark/>
          </w:tcPr>
          <w:p w14:paraId="75907885"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(18)</w:t>
            </w:r>
          </w:p>
        </w:tc>
      </w:tr>
      <w:tr w:rsidR="009444AA" w:rsidRPr="009444AA" w14:paraId="47D990B1" w14:textId="77777777" w:rsidTr="009444AA">
        <w:trPr>
          <w:trHeight w:val="227"/>
        </w:trPr>
        <w:tc>
          <w:tcPr>
            <w:tcW w:w="2141" w:type="pct"/>
            <w:tcBorders>
              <w:top w:val="nil"/>
              <w:left w:val="nil"/>
              <w:bottom w:val="nil"/>
              <w:right w:val="nil"/>
            </w:tcBorders>
            <w:shd w:val="clear" w:color="auto" w:fill="auto"/>
            <w:noWrap/>
            <w:vAlign w:val="bottom"/>
            <w:hideMark/>
          </w:tcPr>
          <w:p w14:paraId="54977A59"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Provisão para Contingências</w:t>
            </w:r>
          </w:p>
        </w:tc>
        <w:tc>
          <w:tcPr>
            <w:tcW w:w="508" w:type="pct"/>
            <w:tcBorders>
              <w:top w:val="nil"/>
              <w:left w:val="nil"/>
              <w:bottom w:val="nil"/>
              <w:right w:val="nil"/>
            </w:tcBorders>
            <w:shd w:val="clear" w:color="auto" w:fill="auto"/>
            <w:noWrap/>
            <w:vAlign w:val="bottom"/>
            <w:hideMark/>
          </w:tcPr>
          <w:p w14:paraId="523D7BCD"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(21.165.378)</w:t>
            </w:r>
          </w:p>
        </w:tc>
        <w:tc>
          <w:tcPr>
            <w:tcW w:w="560" w:type="pct"/>
            <w:tcBorders>
              <w:top w:val="nil"/>
              <w:left w:val="nil"/>
              <w:bottom w:val="nil"/>
              <w:right w:val="nil"/>
            </w:tcBorders>
            <w:shd w:val="clear" w:color="auto" w:fill="auto"/>
            <w:noWrap/>
            <w:vAlign w:val="bottom"/>
            <w:hideMark/>
          </w:tcPr>
          <w:p w14:paraId="1BC34EA7"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(45.591.521)</w:t>
            </w:r>
          </w:p>
        </w:tc>
        <w:tc>
          <w:tcPr>
            <w:tcW w:w="698" w:type="pct"/>
            <w:tcBorders>
              <w:top w:val="nil"/>
              <w:left w:val="nil"/>
              <w:bottom w:val="nil"/>
              <w:right w:val="nil"/>
            </w:tcBorders>
            <w:shd w:val="clear" w:color="auto" w:fill="auto"/>
            <w:noWrap/>
            <w:vAlign w:val="bottom"/>
            <w:hideMark/>
          </w:tcPr>
          <w:p w14:paraId="2EAD14B7"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(6.188.596)</w:t>
            </w:r>
          </w:p>
        </w:tc>
        <w:tc>
          <w:tcPr>
            <w:tcW w:w="730" w:type="pct"/>
            <w:tcBorders>
              <w:top w:val="nil"/>
              <w:left w:val="nil"/>
              <w:bottom w:val="nil"/>
              <w:right w:val="nil"/>
            </w:tcBorders>
            <w:shd w:val="clear" w:color="auto" w:fill="auto"/>
            <w:noWrap/>
            <w:vAlign w:val="bottom"/>
            <w:hideMark/>
          </w:tcPr>
          <w:p w14:paraId="4100853A"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(870.166.337)</w:t>
            </w:r>
          </w:p>
        </w:tc>
        <w:tc>
          <w:tcPr>
            <w:tcW w:w="363" w:type="pct"/>
            <w:tcBorders>
              <w:top w:val="nil"/>
              <w:left w:val="nil"/>
              <w:bottom w:val="nil"/>
              <w:right w:val="nil"/>
            </w:tcBorders>
            <w:shd w:val="clear" w:color="000000" w:fill="FFFFFF"/>
            <w:noWrap/>
            <w:vAlign w:val="bottom"/>
            <w:hideMark/>
          </w:tcPr>
          <w:p w14:paraId="4C03C641"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w:t>
            </w:r>
          </w:p>
        </w:tc>
      </w:tr>
      <w:tr w:rsidR="009444AA" w:rsidRPr="009444AA" w14:paraId="20C50D48" w14:textId="77777777" w:rsidTr="009444AA">
        <w:trPr>
          <w:trHeight w:val="227"/>
        </w:trPr>
        <w:tc>
          <w:tcPr>
            <w:tcW w:w="2141" w:type="pct"/>
            <w:tcBorders>
              <w:top w:val="nil"/>
              <w:left w:val="nil"/>
              <w:bottom w:val="nil"/>
              <w:right w:val="nil"/>
            </w:tcBorders>
            <w:shd w:val="clear" w:color="auto" w:fill="auto"/>
            <w:noWrap/>
            <w:vAlign w:val="bottom"/>
            <w:hideMark/>
          </w:tcPr>
          <w:p w14:paraId="0090B16B"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Reversão de Provisão para Contingências</w:t>
            </w:r>
          </w:p>
        </w:tc>
        <w:tc>
          <w:tcPr>
            <w:tcW w:w="508" w:type="pct"/>
            <w:tcBorders>
              <w:top w:val="nil"/>
              <w:left w:val="nil"/>
              <w:bottom w:val="nil"/>
              <w:right w:val="nil"/>
            </w:tcBorders>
            <w:shd w:val="clear" w:color="auto" w:fill="auto"/>
            <w:noWrap/>
            <w:vAlign w:val="bottom"/>
            <w:hideMark/>
          </w:tcPr>
          <w:p w14:paraId="49F3048D"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   </w:t>
            </w:r>
          </w:p>
        </w:tc>
        <w:tc>
          <w:tcPr>
            <w:tcW w:w="560" w:type="pct"/>
            <w:tcBorders>
              <w:top w:val="nil"/>
              <w:left w:val="nil"/>
              <w:bottom w:val="nil"/>
              <w:right w:val="nil"/>
            </w:tcBorders>
            <w:shd w:val="clear" w:color="auto" w:fill="auto"/>
            <w:noWrap/>
            <w:vAlign w:val="bottom"/>
            <w:hideMark/>
          </w:tcPr>
          <w:p w14:paraId="0B027549" w14:textId="77777777" w:rsidR="009444AA" w:rsidRPr="009444AA" w:rsidRDefault="009444AA">
            <w:pPr>
              <w:rPr>
                <w:rFonts w:asciiTheme="majorHAnsi" w:hAnsiTheme="majorHAnsi" w:cs="Arial"/>
                <w:sz w:val="16"/>
                <w:szCs w:val="16"/>
              </w:rPr>
            </w:pPr>
          </w:p>
        </w:tc>
        <w:tc>
          <w:tcPr>
            <w:tcW w:w="698" w:type="pct"/>
            <w:tcBorders>
              <w:top w:val="nil"/>
              <w:left w:val="nil"/>
              <w:bottom w:val="nil"/>
              <w:right w:val="nil"/>
            </w:tcBorders>
            <w:shd w:val="clear" w:color="auto" w:fill="auto"/>
            <w:noWrap/>
            <w:vAlign w:val="bottom"/>
            <w:hideMark/>
          </w:tcPr>
          <w:p w14:paraId="785A2B36"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   </w:t>
            </w:r>
          </w:p>
        </w:tc>
        <w:tc>
          <w:tcPr>
            <w:tcW w:w="730" w:type="pct"/>
            <w:tcBorders>
              <w:top w:val="nil"/>
              <w:left w:val="nil"/>
              <w:bottom w:val="nil"/>
              <w:right w:val="nil"/>
            </w:tcBorders>
            <w:shd w:val="clear" w:color="auto" w:fill="auto"/>
            <w:noWrap/>
            <w:vAlign w:val="bottom"/>
            <w:hideMark/>
          </w:tcPr>
          <w:p w14:paraId="3638B193"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881.892.885 </w:t>
            </w:r>
          </w:p>
        </w:tc>
        <w:tc>
          <w:tcPr>
            <w:tcW w:w="363" w:type="pct"/>
            <w:tcBorders>
              <w:top w:val="nil"/>
              <w:left w:val="nil"/>
              <w:bottom w:val="nil"/>
              <w:right w:val="nil"/>
            </w:tcBorders>
            <w:shd w:val="clear" w:color="000000" w:fill="FFFFFF"/>
            <w:noWrap/>
            <w:vAlign w:val="bottom"/>
            <w:hideMark/>
          </w:tcPr>
          <w:p w14:paraId="38013117"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w:t>
            </w:r>
          </w:p>
        </w:tc>
      </w:tr>
      <w:tr w:rsidR="009444AA" w:rsidRPr="009444AA" w14:paraId="5928259A" w14:textId="77777777" w:rsidTr="009444AA">
        <w:trPr>
          <w:trHeight w:val="227"/>
        </w:trPr>
        <w:tc>
          <w:tcPr>
            <w:tcW w:w="2141" w:type="pct"/>
            <w:tcBorders>
              <w:top w:val="nil"/>
              <w:left w:val="nil"/>
              <w:bottom w:val="nil"/>
              <w:right w:val="nil"/>
            </w:tcBorders>
            <w:shd w:val="clear" w:color="auto" w:fill="auto"/>
            <w:noWrap/>
            <w:vAlign w:val="bottom"/>
            <w:hideMark/>
          </w:tcPr>
          <w:p w14:paraId="429B5966"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Outras receitas</w:t>
            </w:r>
          </w:p>
        </w:tc>
        <w:tc>
          <w:tcPr>
            <w:tcW w:w="508" w:type="pct"/>
            <w:tcBorders>
              <w:top w:val="nil"/>
              <w:left w:val="nil"/>
              <w:bottom w:val="nil"/>
              <w:right w:val="nil"/>
            </w:tcBorders>
            <w:shd w:val="clear" w:color="auto" w:fill="auto"/>
            <w:noWrap/>
            <w:vAlign w:val="bottom"/>
            <w:hideMark/>
          </w:tcPr>
          <w:p w14:paraId="5CC17A84"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2.366.469 </w:t>
            </w:r>
          </w:p>
        </w:tc>
        <w:tc>
          <w:tcPr>
            <w:tcW w:w="560" w:type="pct"/>
            <w:tcBorders>
              <w:top w:val="nil"/>
              <w:left w:val="nil"/>
              <w:bottom w:val="nil"/>
              <w:right w:val="nil"/>
            </w:tcBorders>
            <w:shd w:val="clear" w:color="auto" w:fill="auto"/>
            <w:noWrap/>
            <w:vAlign w:val="bottom"/>
            <w:hideMark/>
          </w:tcPr>
          <w:p w14:paraId="0585F957"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3.081.262 </w:t>
            </w:r>
          </w:p>
        </w:tc>
        <w:tc>
          <w:tcPr>
            <w:tcW w:w="698" w:type="pct"/>
            <w:tcBorders>
              <w:top w:val="nil"/>
              <w:left w:val="nil"/>
              <w:bottom w:val="nil"/>
              <w:right w:val="nil"/>
            </w:tcBorders>
            <w:shd w:val="clear" w:color="auto" w:fill="auto"/>
            <w:noWrap/>
            <w:vAlign w:val="bottom"/>
            <w:hideMark/>
          </w:tcPr>
          <w:p w14:paraId="7FBB3AD8"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   </w:t>
            </w:r>
          </w:p>
        </w:tc>
        <w:tc>
          <w:tcPr>
            <w:tcW w:w="730" w:type="pct"/>
            <w:tcBorders>
              <w:top w:val="nil"/>
              <w:left w:val="nil"/>
              <w:bottom w:val="nil"/>
              <w:right w:val="nil"/>
            </w:tcBorders>
            <w:shd w:val="clear" w:color="auto" w:fill="auto"/>
            <w:noWrap/>
            <w:vAlign w:val="bottom"/>
            <w:hideMark/>
          </w:tcPr>
          <w:p w14:paraId="4CCD722B"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24.452.171 </w:t>
            </w:r>
          </w:p>
        </w:tc>
        <w:tc>
          <w:tcPr>
            <w:tcW w:w="363" w:type="pct"/>
            <w:tcBorders>
              <w:top w:val="nil"/>
              <w:left w:val="nil"/>
              <w:bottom w:val="nil"/>
              <w:right w:val="nil"/>
            </w:tcBorders>
            <w:shd w:val="clear" w:color="000000" w:fill="FFFFFF"/>
            <w:noWrap/>
            <w:vAlign w:val="bottom"/>
            <w:hideMark/>
          </w:tcPr>
          <w:p w14:paraId="00A1C5A6"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w:t>
            </w:r>
          </w:p>
        </w:tc>
      </w:tr>
      <w:tr w:rsidR="009444AA" w:rsidRPr="009444AA" w14:paraId="7F030BE3" w14:textId="77777777" w:rsidTr="009444AA">
        <w:trPr>
          <w:trHeight w:val="227"/>
        </w:trPr>
        <w:tc>
          <w:tcPr>
            <w:tcW w:w="2141" w:type="pct"/>
            <w:tcBorders>
              <w:top w:val="nil"/>
              <w:left w:val="nil"/>
              <w:bottom w:val="nil"/>
              <w:right w:val="nil"/>
            </w:tcBorders>
            <w:shd w:val="clear" w:color="auto" w:fill="auto"/>
            <w:noWrap/>
            <w:vAlign w:val="bottom"/>
            <w:hideMark/>
          </w:tcPr>
          <w:p w14:paraId="74377CE7"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Resultado de Equivalência Patrimonial</w:t>
            </w:r>
          </w:p>
        </w:tc>
        <w:tc>
          <w:tcPr>
            <w:tcW w:w="508" w:type="pct"/>
            <w:tcBorders>
              <w:top w:val="nil"/>
              <w:left w:val="nil"/>
              <w:bottom w:val="nil"/>
              <w:right w:val="nil"/>
            </w:tcBorders>
            <w:shd w:val="clear" w:color="auto" w:fill="auto"/>
            <w:noWrap/>
            <w:vAlign w:val="bottom"/>
            <w:hideMark/>
          </w:tcPr>
          <w:p w14:paraId="0FBFAE2B"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(12.503.398)</w:t>
            </w:r>
          </w:p>
        </w:tc>
        <w:tc>
          <w:tcPr>
            <w:tcW w:w="560" w:type="pct"/>
            <w:tcBorders>
              <w:top w:val="nil"/>
              <w:left w:val="nil"/>
              <w:bottom w:val="nil"/>
              <w:right w:val="nil"/>
            </w:tcBorders>
            <w:shd w:val="clear" w:color="auto" w:fill="auto"/>
            <w:noWrap/>
            <w:vAlign w:val="bottom"/>
            <w:hideMark/>
          </w:tcPr>
          <w:p w14:paraId="47897206"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(16.277.330)</w:t>
            </w:r>
          </w:p>
        </w:tc>
        <w:tc>
          <w:tcPr>
            <w:tcW w:w="698" w:type="pct"/>
            <w:tcBorders>
              <w:top w:val="nil"/>
              <w:left w:val="nil"/>
              <w:bottom w:val="nil"/>
              <w:right w:val="nil"/>
            </w:tcBorders>
            <w:shd w:val="clear" w:color="auto" w:fill="auto"/>
            <w:noWrap/>
            <w:vAlign w:val="bottom"/>
            <w:hideMark/>
          </w:tcPr>
          <w:p w14:paraId="7EE8382D"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(9.629.548)</w:t>
            </w:r>
          </w:p>
        </w:tc>
        <w:tc>
          <w:tcPr>
            <w:tcW w:w="730" w:type="pct"/>
            <w:tcBorders>
              <w:top w:val="nil"/>
              <w:left w:val="nil"/>
              <w:bottom w:val="nil"/>
              <w:right w:val="nil"/>
            </w:tcBorders>
            <w:shd w:val="clear" w:color="auto" w:fill="auto"/>
            <w:noWrap/>
            <w:vAlign w:val="bottom"/>
            <w:hideMark/>
          </w:tcPr>
          <w:p w14:paraId="2DC01B0C"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(14.869.339)</w:t>
            </w:r>
          </w:p>
        </w:tc>
        <w:tc>
          <w:tcPr>
            <w:tcW w:w="363" w:type="pct"/>
            <w:tcBorders>
              <w:top w:val="nil"/>
              <w:left w:val="nil"/>
              <w:bottom w:val="nil"/>
              <w:right w:val="nil"/>
            </w:tcBorders>
            <w:shd w:val="clear" w:color="000000" w:fill="FFFFFF"/>
            <w:noWrap/>
            <w:vAlign w:val="bottom"/>
            <w:hideMark/>
          </w:tcPr>
          <w:p w14:paraId="3DDA6936"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w:t>
            </w:r>
          </w:p>
        </w:tc>
      </w:tr>
      <w:tr w:rsidR="009444AA" w:rsidRPr="009444AA" w14:paraId="216324C1" w14:textId="77777777" w:rsidTr="009444AA">
        <w:trPr>
          <w:trHeight w:val="227"/>
        </w:trPr>
        <w:tc>
          <w:tcPr>
            <w:tcW w:w="2141" w:type="pct"/>
            <w:tcBorders>
              <w:top w:val="nil"/>
              <w:left w:val="nil"/>
              <w:bottom w:val="nil"/>
              <w:right w:val="nil"/>
            </w:tcBorders>
            <w:shd w:val="clear" w:color="auto" w:fill="auto"/>
            <w:noWrap/>
            <w:vAlign w:val="bottom"/>
            <w:hideMark/>
          </w:tcPr>
          <w:p w14:paraId="32EC0A69"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Baixa de Ativos - Imobilizado e Intangível</w:t>
            </w:r>
          </w:p>
        </w:tc>
        <w:tc>
          <w:tcPr>
            <w:tcW w:w="508" w:type="pct"/>
            <w:tcBorders>
              <w:top w:val="nil"/>
              <w:left w:val="nil"/>
              <w:bottom w:val="nil"/>
              <w:right w:val="nil"/>
            </w:tcBorders>
            <w:shd w:val="clear" w:color="auto" w:fill="auto"/>
            <w:noWrap/>
            <w:vAlign w:val="bottom"/>
            <w:hideMark/>
          </w:tcPr>
          <w:p w14:paraId="24583D3B"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   </w:t>
            </w:r>
          </w:p>
        </w:tc>
        <w:tc>
          <w:tcPr>
            <w:tcW w:w="560" w:type="pct"/>
            <w:tcBorders>
              <w:top w:val="nil"/>
              <w:left w:val="nil"/>
              <w:bottom w:val="nil"/>
              <w:right w:val="nil"/>
            </w:tcBorders>
            <w:shd w:val="clear" w:color="auto" w:fill="auto"/>
            <w:noWrap/>
            <w:vAlign w:val="bottom"/>
            <w:hideMark/>
          </w:tcPr>
          <w:p w14:paraId="6831C72A"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(45.904)</w:t>
            </w:r>
          </w:p>
        </w:tc>
        <w:tc>
          <w:tcPr>
            <w:tcW w:w="698" w:type="pct"/>
            <w:tcBorders>
              <w:top w:val="nil"/>
              <w:left w:val="nil"/>
              <w:bottom w:val="nil"/>
              <w:right w:val="nil"/>
            </w:tcBorders>
            <w:shd w:val="clear" w:color="auto" w:fill="auto"/>
            <w:noWrap/>
            <w:vAlign w:val="bottom"/>
            <w:hideMark/>
          </w:tcPr>
          <w:p w14:paraId="58B28214"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(340.295)</w:t>
            </w:r>
          </w:p>
        </w:tc>
        <w:tc>
          <w:tcPr>
            <w:tcW w:w="730" w:type="pct"/>
            <w:tcBorders>
              <w:top w:val="nil"/>
              <w:left w:val="nil"/>
              <w:bottom w:val="nil"/>
              <w:right w:val="nil"/>
            </w:tcBorders>
            <w:shd w:val="clear" w:color="auto" w:fill="auto"/>
            <w:noWrap/>
            <w:vAlign w:val="bottom"/>
            <w:hideMark/>
          </w:tcPr>
          <w:p w14:paraId="533521B7"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(340.295)</w:t>
            </w:r>
          </w:p>
        </w:tc>
        <w:tc>
          <w:tcPr>
            <w:tcW w:w="363" w:type="pct"/>
            <w:tcBorders>
              <w:top w:val="nil"/>
              <w:left w:val="nil"/>
              <w:bottom w:val="nil"/>
              <w:right w:val="nil"/>
            </w:tcBorders>
            <w:shd w:val="clear" w:color="000000" w:fill="FFFFFF"/>
            <w:noWrap/>
            <w:vAlign w:val="center"/>
            <w:hideMark/>
          </w:tcPr>
          <w:p w14:paraId="385B4B43"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w:t>
            </w:r>
          </w:p>
        </w:tc>
      </w:tr>
      <w:tr w:rsidR="009444AA" w:rsidRPr="009444AA" w14:paraId="5CC47094" w14:textId="77777777" w:rsidTr="009444AA">
        <w:trPr>
          <w:trHeight w:val="227"/>
        </w:trPr>
        <w:tc>
          <w:tcPr>
            <w:tcW w:w="2141" w:type="pct"/>
            <w:tcBorders>
              <w:top w:val="nil"/>
              <w:left w:val="nil"/>
              <w:bottom w:val="nil"/>
              <w:right w:val="nil"/>
            </w:tcBorders>
            <w:shd w:val="clear" w:color="auto" w:fill="auto"/>
            <w:noWrap/>
            <w:vAlign w:val="bottom"/>
            <w:hideMark/>
          </w:tcPr>
          <w:p w14:paraId="7385CAAA" w14:textId="77777777" w:rsidR="009444AA" w:rsidRPr="009444AA" w:rsidRDefault="009444AA">
            <w:pPr>
              <w:jc w:val="right"/>
              <w:rPr>
                <w:rFonts w:asciiTheme="majorHAnsi" w:hAnsiTheme="majorHAnsi" w:cs="Arial"/>
                <w:sz w:val="16"/>
                <w:szCs w:val="16"/>
              </w:rPr>
            </w:pPr>
          </w:p>
        </w:tc>
        <w:tc>
          <w:tcPr>
            <w:tcW w:w="508" w:type="pct"/>
            <w:tcBorders>
              <w:top w:val="nil"/>
              <w:left w:val="nil"/>
              <w:bottom w:val="nil"/>
              <w:right w:val="nil"/>
            </w:tcBorders>
            <w:shd w:val="clear" w:color="auto" w:fill="auto"/>
            <w:noWrap/>
            <w:vAlign w:val="bottom"/>
            <w:hideMark/>
          </w:tcPr>
          <w:p w14:paraId="6EBCD1B1" w14:textId="77777777" w:rsidR="009444AA" w:rsidRPr="009444AA" w:rsidRDefault="009444AA">
            <w:pPr>
              <w:rPr>
                <w:rFonts w:asciiTheme="majorHAnsi" w:hAnsiTheme="majorHAnsi"/>
                <w:sz w:val="16"/>
                <w:szCs w:val="16"/>
              </w:rPr>
            </w:pPr>
          </w:p>
        </w:tc>
        <w:tc>
          <w:tcPr>
            <w:tcW w:w="560" w:type="pct"/>
            <w:tcBorders>
              <w:top w:val="nil"/>
              <w:left w:val="nil"/>
              <w:bottom w:val="nil"/>
              <w:right w:val="nil"/>
            </w:tcBorders>
            <w:shd w:val="clear" w:color="auto" w:fill="auto"/>
            <w:noWrap/>
            <w:vAlign w:val="bottom"/>
            <w:hideMark/>
          </w:tcPr>
          <w:p w14:paraId="5CC56FE8" w14:textId="77777777" w:rsidR="009444AA" w:rsidRPr="009444AA" w:rsidRDefault="009444AA">
            <w:pPr>
              <w:rPr>
                <w:rFonts w:asciiTheme="majorHAnsi" w:hAnsiTheme="majorHAnsi"/>
                <w:sz w:val="16"/>
                <w:szCs w:val="16"/>
              </w:rPr>
            </w:pPr>
          </w:p>
        </w:tc>
        <w:tc>
          <w:tcPr>
            <w:tcW w:w="698" w:type="pct"/>
            <w:tcBorders>
              <w:top w:val="nil"/>
              <w:left w:val="nil"/>
              <w:bottom w:val="nil"/>
              <w:right w:val="nil"/>
            </w:tcBorders>
            <w:shd w:val="clear" w:color="auto" w:fill="auto"/>
            <w:noWrap/>
            <w:vAlign w:val="bottom"/>
            <w:hideMark/>
          </w:tcPr>
          <w:p w14:paraId="1D62F3D2" w14:textId="77777777" w:rsidR="009444AA" w:rsidRPr="009444AA" w:rsidRDefault="009444AA">
            <w:pPr>
              <w:rPr>
                <w:rFonts w:asciiTheme="majorHAnsi" w:hAnsiTheme="majorHAnsi"/>
                <w:sz w:val="16"/>
                <w:szCs w:val="16"/>
              </w:rPr>
            </w:pPr>
          </w:p>
        </w:tc>
        <w:tc>
          <w:tcPr>
            <w:tcW w:w="730" w:type="pct"/>
            <w:tcBorders>
              <w:top w:val="nil"/>
              <w:left w:val="nil"/>
              <w:bottom w:val="nil"/>
              <w:right w:val="nil"/>
            </w:tcBorders>
            <w:shd w:val="clear" w:color="auto" w:fill="auto"/>
            <w:noWrap/>
            <w:vAlign w:val="bottom"/>
            <w:hideMark/>
          </w:tcPr>
          <w:p w14:paraId="78307F46" w14:textId="77777777" w:rsidR="009444AA" w:rsidRPr="009444AA" w:rsidRDefault="009444AA">
            <w:pPr>
              <w:rPr>
                <w:rFonts w:asciiTheme="majorHAnsi" w:hAnsiTheme="majorHAnsi"/>
                <w:sz w:val="16"/>
                <w:szCs w:val="16"/>
              </w:rPr>
            </w:pPr>
          </w:p>
        </w:tc>
        <w:tc>
          <w:tcPr>
            <w:tcW w:w="363" w:type="pct"/>
            <w:tcBorders>
              <w:top w:val="nil"/>
              <w:left w:val="nil"/>
              <w:bottom w:val="nil"/>
              <w:right w:val="nil"/>
            </w:tcBorders>
            <w:shd w:val="clear" w:color="auto" w:fill="auto"/>
            <w:noWrap/>
            <w:vAlign w:val="bottom"/>
            <w:hideMark/>
          </w:tcPr>
          <w:p w14:paraId="778FA546" w14:textId="77777777" w:rsidR="009444AA" w:rsidRPr="009444AA" w:rsidRDefault="009444AA">
            <w:pPr>
              <w:rPr>
                <w:rFonts w:asciiTheme="majorHAnsi" w:hAnsiTheme="majorHAnsi"/>
                <w:sz w:val="16"/>
                <w:szCs w:val="16"/>
              </w:rPr>
            </w:pPr>
          </w:p>
        </w:tc>
      </w:tr>
      <w:tr w:rsidR="009444AA" w:rsidRPr="009444AA" w14:paraId="2AD00CC9" w14:textId="77777777" w:rsidTr="009444AA">
        <w:trPr>
          <w:trHeight w:val="227"/>
        </w:trPr>
        <w:tc>
          <w:tcPr>
            <w:tcW w:w="2141" w:type="pct"/>
            <w:tcBorders>
              <w:top w:val="nil"/>
              <w:left w:val="nil"/>
              <w:bottom w:val="nil"/>
              <w:right w:val="nil"/>
            </w:tcBorders>
            <w:shd w:val="clear" w:color="auto" w:fill="auto"/>
            <w:hideMark/>
          </w:tcPr>
          <w:p w14:paraId="5BBE0BF9"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RESULTADO ANTES DO RESULTADO FINANCEIRO</w:t>
            </w:r>
          </w:p>
        </w:tc>
        <w:tc>
          <w:tcPr>
            <w:tcW w:w="508" w:type="pct"/>
            <w:tcBorders>
              <w:top w:val="nil"/>
              <w:left w:val="nil"/>
              <w:bottom w:val="nil"/>
              <w:right w:val="nil"/>
            </w:tcBorders>
            <w:shd w:val="clear" w:color="auto" w:fill="auto"/>
            <w:noWrap/>
            <w:vAlign w:val="bottom"/>
            <w:hideMark/>
          </w:tcPr>
          <w:p w14:paraId="24DE3416"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 xml:space="preserve">  (72.699.847)</w:t>
            </w:r>
          </w:p>
        </w:tc>
        <w:tc>
          <w:tcPr>
            <w:tcW w:w="560" w:type="pct"/>
            <w:tcBorders>
              <w:top w:val="nil"/>
              <w:left w:val="nil"/>
              <w:bottom w:val="nil"/>
              <w:right w:val="nil"/>
            </w:tcBorders>
            <w:shd w:val="clear" w:color="auto" w:fill="auto"/>
            <w:noWrap/>
            <w:vAlign w:val="bottom"/>
            <w:hideMark/>
          </w:tcPr>
          <w:p w14:paraId="7B8107A8"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 xml:space="preserve">  (138.399.560)</w:t>
            </w:r>
          </w:p>
        </w:tc>
        <w:tc>
          <w:tcPr>
            <w:tcW w:w="698" w:type="pct"/>
            <w:tcBorders>
              <w:top w:val="nil"/>
              <w:left w:val="nil"/>
              <w:bottom w:val="nil"/>
              <w:right w:val="nil"/>
            </w:tcBorders>
            <w:shd w:val="clear" w:color="auto" w:fill="auto"/>
            <w:noWrap/>
            <w:vAlign w:val="bottom"/>
            <w:hideMark/>
          </w:tcPr>
          <w:p w14:paraId="200FA5CE"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 xml:space="preserve">             (55.621.961)</w:t>
            </w:r>
          </w:p>
        </w:tc>
        <w:tc>
          <w:tcPr>
            <w:tcW w:w="730" w:type="pct"/>
            <w:tcBorders>
              <w:top w:val="nil"/>
              <w:left w:val="nil"/>
              <w:bottom w:val="nil"/>
              <w:right w:val="nil"/>
            </w:tcBorders>
            <w:shd w:val="clear" w:color="auto" w:fill="auto"/>
            <w:noWrap/>
            <w:vAlign w:val="bottom"/>
            <w:hideMark/>
          </w:tcPr>
          <w:p w14:paraId="1358875C"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 xml:space="preserve">               (56.974.710)</w:t>
            </w:r>
          </w:p>
        </w:tc>
        <w:tc>
          <w:tcPr>
            <w:tcW w:w="363" w:type="pct"/>
            <w:tcBorders>
              <w:top w:val="nil"/>
              <w:left w:val="nil"/>
              <w:bottom w:val="nil"/>
              <w:right w:val="nil"/>
            </w:tcBorders>
            <w:shd w:val="clear" w:color="auto" w:fill="auto"/>
            <w:noWrap/>
            <w:vAlign w:val="bottom"/>
            <w:hideMark/>
          </w:tcPr>
          <w:p w14:paraId="464D9EC0" w14:textId="77777777" w:rsidR="009444AA" w:rsidRPr="009444AA" w:rsidRDefault="009444AA">
            <w:pPr>
              <w:rPr>
                <w:rFonts w:asciiTheme="majorHAnsi" w:hAnsiTheme="majorHAnsi" w:cs="Arial"/>
                <w:b/>
                <w:bCs/>
                <w:sz w:val="16"/>
                <w:szCs w:val="16"/>
              </w:rPr>
            </w:pPr>
          </w:p>
        </w:tc>
      </w:tr>
      <w:tr w:rsidR="009444AA" w:rsidRPr="009444AA" w14:paraId="63EA7F6A" w14:textId="77777777" w:rsidTr="009444AA">
        <w:trPr>
          <w:trHeight w:val="227"/>
        </w:trPr>
        <w:tc>
          <w:tcPr>
            <w:tcW w:w="2141" w:type="pct"/>
            <w:tcBorders>
              <w:top w:val="nil"/>
              <w:left w:val="nil"/>
              <w:bottom w:val="nil"/>
              <w:right w:val="nil"/>
            </w:tcBorders>
            <w:shd w:val="clear" w:color="auto" w:fill="auto"/>
            <w:hideMark/>
          </w:tcPr>
          <w:p w14:paraId="0A87371E" w14:textId="77777777" w:rsidR="009444AA" w:rsidRPr="009444AA" w:rsidRDefault="009444AA">
            <w:pPr>
              <w:jc w:val="right"/>
              <w:rPr>
                <w:rFonts w:asciiTheme="majorHAnsi" w:hAnsiTheme="majorHAnsi"/>
                <w:sz w:val="16"/>
                <w:szCs w:val="16"/>
              </w:rPr>
            </w:pPr>
          </w:p>
        </w:tc>
        <w:tc>
          <w:tcPr>
            <w:tcW w:w="508" w:type="pct"/>
            <w:tcBorders>
              <w:top w:val="nil"/>
              <w:left w:val="nil"/>
              <w:bottom w:val="nil"/>
              <w:right w:val="nil"/>
            </w:tcBorders>
            <w:shd w:val="clear" w:color="auto" w:fill="auto"/>
            <w:hideMark/>
          </w:tcPr>
          <w:p w14:paraId="005A20F1" w14:textId="77777777" w:rsidR="009444AA" w:rsidRPr="009444AA" w:rsidRDefault="009444AA">
            <w:pPr>
              <w:rPr>
                <w:rFonts w:asciiTheme="majorHAnsi" w:hAnsiTheme="majorHAnsi"/>
                <w:sz w:val="16"/>
                <w:szCs w:val="16"/>
              </w:rPr>
            </w:pPr>
          </w:p>
        </w:tc>
        <w:tc>
          <w:tcPr>
            <w:tcW w:w="560" w:type="pct"/>
            <w:tcBorders>
              <w:top w:val="nil"/>
              <w:left w:val="nil"/>
              <w:bottom w:val="nil"/>
              <w:right w:val="nil"/>
            </w:tcBorders>
            <w:shd w:val="clear" w:color="auto" w:fill="auto"/>
            <w:noWrap/>
            <w:vAlign w:val="bottom"/>
            <w:hideMark/>
          </w:tcPr>
          <w:p w14:paraId="1CAE6304" w14:textId="77777777" w:rsidR="009444AA" w:rsidRPr="009444AA" w:rsidRDefault="009444AA">
            <w:pPr>
              <w:rPr>
                <w:rFonts w:asciiTheme="majorHAnsi" w:hAnsiTheme="majorHAnsi"/>
                <w:sz w:val="16"/>
                <w:szCs w:val="16"/>
              </w:rPr>
            </w:pPr>
          </w:p>
        </w:tc>
        <w:tc>
          <w:tcPr>
            <w:tcW w:w="698" w:type="pct"/>
            <w:tcBorders>
              <w:top w:val="nil"/>
              <w:left w:val="nil"/>
              <w:bottom w:val="nil"/>
              <w:right w:val="nil"/>
            </w:tcBorders>
            <w:shd w:val="clear" w:color="auto" w:fill="auto"/>
            <w:noWrap/>
            <w:vAlign w:val="bottom"/>
            <w:hideMark/>
          </w:tcPr>
          <w:p w14:paraId="69196366" w14:textId="77777777" w:rsidR="009444AA" w:rsidRPr="009444AA" w:rsidRDefault="009444AA">
            <w:pPr>
              <w:rPr>
                <w:rFonts w:asciiTheme="majorHAnsi" w:hAnsiTheme="majorHAnsi"/>
                <w:sz w:val="16"/>
                <w:szCs w:val="16"/>
              </w:rPr>
            </w:pPr>
          </w:p>
        </w:tc>
        <w:tc>
          <w:tcPr>
            <w:tcW w:w="730" w:type="pct"/>
            <w:tcBorders>
              <w:top w:val="nil"/>
              <w:left w:val="nil"/>
              <w:bottom w:val="nil"/>
              <w:right w:val="nil"/>
            </w:tcBorders>
            <w:shd w:val="clear" w:color="auto" w:fill="auto"/>
            <w:noWrap/>
            <w:vAlign w:val="bottom"/>
            <w:hideMark/>
          </w:tcPr>
          <w:p w14:paraId="0E072B35" w14:textId="77777777" w:rsidR="009444AA" w:rsidRPr="009444AA" w:rsidRDefault="009444AA">
            <w:pPr>
              <w:rPr>
                <w:rFonts w:asciiTheme="majorHAnsi" w:hAnsiTheme="majorHAnsi"/>
                <w:sz w:val="16"/>
                <w:szCs w:val="16"/>
              </w:rPr>
            </w:pPr>
          </w:p>
        </w:tc>
        <w:tc>
          <w:tcPr>
            <w:tcW w:w="363" w:type="pct"/>
            <w:tcBorders>
              <w:top w:val="nil"/>
              <w:left w:val="nil"/>
              <w:bottom w:val="nil"/>
              <w:right w:val="nil"/>
            </w:tcBorders>
            <w:shd w:val="clear" w:color="auto" w:fill="auto"/>
            <w:noWrap/>
            <w:vAlign w:val="bottom"/>
            <w:hideMark/>
          </w:tcPr>
          <w:p w14:paraId="441139FD" w14:textId="77777777" w:rsidR="009444AA" w:rsidRPr="009444AA" w:rsidRDefault="009444AA">
            <w:pPr>
              <w:rPr>
                <w:rFonts w:asciiTheme="majorHAnsi" w:hAnsiTheme="majorHAnsi"/>
                <w:sz w:val="16"/>
                <w:szCs w:val="16"/>
              </w:rPr>
            </w:pPr>
          </w:p>
        </w:tc>
      </w:tr>
      <w:tr w:rsidR="009444AA" w:rsidRPr="009444AA" w14:paraId="1FE27350" w14:textId="77777777" w:rsidTr="009444AA">
        <w:trPr>
          <w:trHeight w:val="227"/>
        </w:trPr>
        <w:tc>
          <w:tcPr>
            <w:tcW w:w="2141" w:type="pct"/>
            <w:tcBorders>
              <w:top w:val="nil"/>
              <w:left w:val="nil"/>
              <w:bottom w:val="nil"/>
              <w:right w:val="nil"/>
            </w:tcBorders>
            <w:shd w:val="clear" w:color="auto" w:fill="auto"/>
            <w:noWrap/>
            <w:vAlign w:val="bottom"/>
            <w:hideMark/>
          </w:tcPr>
          <w:p w14:paraId="362703EA"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RESUTADO FINANCEIRO LÍQUIDO</w:t>
            </w:r>
          </w:p>
        </w:tc>
        <w:tc>
          <w:tcPr>
            <w:tcW w:w="508" w:type="pct"/>
            <w:tcBorders>
              <w:top w:val="nil"/>
              <w:left w:val="nil"/>
              <w:bottom w:val="nil"/>
              <w:right w:val="nil"/>
            </w:tcBorders>
            <w:shd w:val="clear" w:color="auto" w:fill="auto"/>
            <w:noWrap/>
            <w:vAlign w:val="bottom"/>
            <w:hideMark/>
          </w:tcPr>
          <w:p w14:paraId="11CDEBE5"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2.359.195 </w:t>
            </w:r>
          </w:p>
        </w:tc>
        <w:tc>
          <w:tcPr>
            <w:tcW w:w="560" w:type="pct"/>
            <w:tcBorders>
              <w:top w:val="nil"/>
              <w:left w:val="nil"/>
              <w:bottom w:val="nil"/>
              <w:right w:val="nil"/>
            </w:tcBorders>
            <w:shd w:val="clear" w:color="auto" w:fill="auto"/>
            <w:noWrap/>
            <w:vAlign w:val="bottom"/>
            <w:hideMark/>
          </w:tcPr>
          <w:p w14:paraId="23DF7966"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3.461.839 </w:t>
            </w:r>
          </w:p>
        </w:tc>
        <w:tc>
          <w:tcPr>
            <w:tcW w:w="698" w:type="pct"/>
            <w:tcBorders>
              <w:top w:val="nil"/>
              <w:left w:val="nil"/>
              <w:bottom w:val="nil"/>
              <w:right w:val="nil"/>
            </w:tcBorders>
            <w:shd w:val="clear" w:color="auto" w:fill="auto"/>
            <w:noWrap/>
            <w:vAlign w:val="bottom"/>
            <w:hideMark/>
          </w:tcPr>
          <w:p w14:paraId="4F41034A"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627.028 </w:t>
            </w:r>
          </w:p>
        </w:tc>
        <w:tc>
          <w:tcPr>
            <w:tcW w:w="730" w:type="pct"/>
            <w:tcBorders>
              <w:top w:val="nil"/>
              <w:left w:val="nil"/>
              <w:bottom w:val="nil"/>
              <w:right w:val="nil"/>
            </w:tcBorders>
            <w:shd w:val="clear" w:color="auto" w:fill="auto"/>
            <w:noWrap/>
            <w:vAlign w:val="bottom"/>
            <w:hideMark/>
          </w:tcPr>
          <w:p w14:paraId="0C28016E"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994.840 </w:t>
            </w:r>
          </w:p>
        </w:tc>
        <w:tc>
          <w:tcPr>
            <w:tcW w:w="363" w:type="pct"/>
            <w:tcBorders>
              <w:top w:val="nil"/>
              <w:left w:val="nil"/>
              <w:bottom w:val="nil"/>
              <w:right w:val="nil"/>
            </w:tcBorders>
            <w:shd w:val="clear" w:color="auto" w:fill="auto"/>
            <w:noWrap/>
            <w:vAlign w:val="bottom"/>
            <w:hideMark/>
          </w:tcPr>
          <w:p w14:paraId="75CBA0BD" w14:textId="77777777" w:rsidR="009444AA" w:rsidRPr="009444AA" w:rsidRDefault="009444AA">
            <w:pPr>
              <w:jc w:val="right"/>
              <w:rPr>
                <w:rFonts w:asciiTheme="majorHAnsi" w:hAnsiTheme="majorHAnsi" w:cs="Arial"/>
                <w:b/>
                <w:bCs/>
                <w:sz w:val="16"/>
                <w:szCs w:val="16"/>
              </w:rPr>
            </w:pPr>
          </w:p>
        </w:tc>
      </w:tr>
      <w:tr w:rsidR="009444AA" w:rsidRPr="009444AA" w14:paraId="69EB7A19" w14:textId="77777777" w:rsidTr="009444AA">
        <w:trPr>
          <w:trHeight w:val="227"/>
        </w:trPr>
        <w:tc>
          <w:tcPr>
            <w:tcW w:w="2141" w:type="pct"/>
            <w:tcBorders>
              <w:top w:val="nil"/>
              <w:left w:val="nil"/>
              <w:bottom w:val="nil"/>
              <w:right w:val="nil"/>
            </w:tcBorders>
            <w:shd w:val="clear" w:color="auto" w:fill="auto"/>
            <w:noWrap/>
            <w:vAlign w:val="bottom"/>
            <w:hideMark/>
          </w:tcPr>
          <w:p w14:paraId="4D6E9941"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Receita Financeira</w:t>
            </w:r>
          </w:p>
        </w:tc>
        <w:tc>
          <w:tcPr>
            <w:tcW w:w="508" w:type="pct"/>
            <w:tcBorders>
              <w:top w:val="nil"/>
              <w:left w:val="nil"/>
              <w:bottom w:val="nil"/>
              <w:right w:val="nil"/>
            </w:tcBorders>
            <w:shd w:val="clear" w:color="auto" w:fill="auto"/>
            <w:noWrap/>
            <w:vAlign w:val="bottom"/>
            <w:hideMark/>
          </w:tcPr>
          <w:p w14:paraId="26FA409C"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2.359.195 </w:t>
            </w:r>
          </w:p>
        </w:tc>
        <w:tc>
          <w:tcPr>
            <w:tcW w:w="560" w:type="pct"/>
            <w:tcBorders>
              <w:top w:val="nil"/>
              <w:left w:val="nil"/>
              <w:bottom w:val="nil"/>
              <w:right w:val="nil"/>
            </w:tcBorders>
            <w:shd w:val="clear" w:color="auto" w:fill="auto"/>
            <w:noWrap/>
            <w:vAlign w:val="bottom"/>
            <w:hideMark/>
          </w:tcPr>
          <w:p w14:paraId="698D6D06"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3.461.839 </w:t>
            </w:r>
          </w:p>
        </w:tc>
        <w:tc>
          <w:tcPr>
            <w:tcW w:w="698" w:type="pct"/>
            <w:tcBorders>
              <w:top w:val="nil"/>
              <w:left w:val="nil"/>
              <w:bottom w:val="nil"/>
              <w:right w:val="nil"/>
            </w:tcBorders>
            <w:shd w:val="clear" w:color="auto" w:fill="auto"/>
            <w:noWrap/>
            <w:vAlign w:val="bottom"/>
            <w:hideMark/>
          </w:tcPr>
          <w:p w14:paraId="719C5C8A"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627.405 </w:t>
            </w:r>
          </w:p>
        </w:tc>
        <w:tc>
          <w:tcPr>
            <w:tcW w:w="730" w:type="pct"/>
            <w:tcBorders>
              <w:top w:val="nil"/>
              <w:left w:val="nil"/>
              <w:bottom w:val="nil"/>
              <w:right w:val="nil"/>
            </w:tcBorders>
            <w:shd w:val="clear" w:color="auto" w:fill="auto"/>
            <w:noWrap/>
            <w:vAlign w:val="bottom"/>
            <w:hideMark/>
          </w:tcPr>
          <w:p w14:paraId="1697006A"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995.217 </w:t>
            </w:r>
          </w:p>
        </w:tc>
        <w:tc>
          <w:tcPr>
            <w:tcW w:w="363" w:type="pct"/>
            <w:tcBorders>
              <w:top w:val="nil"/>
              <w:left w:val="nil"/>
              <w:bottom w:val="nil"/>
              <w:right w:val="nil"/>
            </w:tcBorders>
            <w:shd w:val="clear" w:color="000000" w:fill="FFFFFF"/>
            <w:noWrap/>
            <w:vAlign w:val="bottom"/>
            <w:hideMark/>
          </w:tcPr>
          <w:p w14:paraId="39F793BD"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(19)</w:t>
            </w:r>
          </w:p>
        </w:tc>
      </w:tr>
      <w:tr w:rsidR="009444AA" w:rsidRPr="009444AA" w14:paraId="1A521A2E" w14:textId="77777777" w:rsidTr="009444AA">
        <w:trPr>
          <w:trHeight w:val="227"/>
        </w:trPr>
        <w:tc>
          <w:tcPr>
            <w:tcW w:w="2141" w:type="pct"/>
            <w:tcBorders>
              <w:top w:val="nil"/>
              <w:left w:val="nil"/>
              <w:bottom w:val="nil"/>
              <w:right w:val="nil"/>
            </w:tcBorders>
            <w:shd w:val="clear" w:color="auto" w:fill="auto"/>
            <w:noWrap/>
            <w:vAlign w:val="bottom"/>
            <w:hideMark/>
          </w:tcPr>
          <w:p w14:paraId="09B7F304"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Despesa Financeira</w:t>
            </w:r>
          </w:p>
        </w:tc>
        <w:tc>
          <w:tcPr>
            <w:tcW w:w="508" w:type="pct"/>
            <w:tcBorders>
              <w:top w:val="nil"/>
              <w:left w:val="nil"/>
              <w:bottom w:val="nil"/>
              <w:right w:val="nil"/>
            </w:tcBorders>
            <w:shd w:val="clear" w:color="auto" w:fill="auto"/>
            <w:noWrap/>
            <w:vAlign w:val="bottom"/>
            <w:hideMark/>
          </w:tcPr>
          <w:p w14:paraId="70F2A370"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   </w:t>
            </w:r>
          </w:p>
        </w:tc>
        <w:tc>
          <w:tcPr>
            <w:tcW w:w="560" w:type="pct"/>
            <w:tcBorders>
              <w:top w:val="nil"/>
              <w:left w:val="nil"/>
              <w:bottom w:val="nil"/>
              <w:right w:val="nil"/>
            </w:tcBorders>
            <w:shd w:val="clear" w:color="auto" w:fill="auto"/>
            <w:noWrap/>
            <w:vAlign w:val="bottom"/>
            <w:hideMark/>
          </w:tcPr>
          <w:p w14:paraId="2774E85D"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   </w:t>
            </w:r>
          </w:p>
        </w:tc>
        <w:tc>
          <w:tcPr>
            <w:tcW w:w="698" w:type="pct"/>
            <w:tcBorders>
              <w:top w:val="nil"/>
              <w:left w:val="nil"/>
              <w:bottom w:val="nil"/>
              <w:right w:val="nil"/>
            </w:tcBorders>
            <w:shd w:val="clear" w:color="auto" w:fill="auto"/>
            <w:noWrap/>
            <w:vAlign w:val="bottom"/>
            <w:hideMark/>
          </w:tcPr>
          <w:p w14:paraId="4B03082F"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(377)</w:t>
            </w:r>
          </w:p>
        </w:tc>
        <w:tc>
          <w:tcPr>
            <w:tcW w:w="730" w:type="pct"/>
            <w:tcBorders>
              <w:top w:val="nil"/>
              <w:left w:val="nil"/>
              <w:bottom w:val="nil"/>
              <w:right w:val="nil"/>
            </w:tcBorders>
            <w:shd w:val="clear" w:color="auto" w:fill="auto"/>
            <w:noWrap/>
            <w:vAlign w:val="bottom"/>
            <w:hideMark/>
          </w:tcPr>
          <w:p w14:paraId="4E5DC917"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(377)</w:t>
            </w:r>
          </w:p>
        </w:tc>
        <w:tc>
          <w:tcPr>
            <w:tcW w:w="363" w:type="pct"/>
            <w:tcBorders>
              <w:top w:val="nil"/>
              <w:left w:val="nil"/>
              <w:bottom w:val="nil"/>
              <w:right w:val="nil"/>
            </w:tcBorders>
            <w:shd w:val="clear" w:color="auto" w:fill="auto"/>
            <w:noWrap/>
            <w:vAlign w:val="bottom"/>
            <w:hideMark/>
          </w:tcPr>
          <w:p w14:paraId="7EF86546"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(20)</w:t>
            </w:r>
          </w:p>
        </w:tc>
      </w:tr>
      <w:tr w:rsidR="009444AA" w:rsidRPr="009444AA" w14:paraId="0C86F6DF" w14:textId="77777777" w:rsidTr="009444AA">
        <w:trPr>
          <w:trHeight w:val="227"/>
        </w:trPr>
        <w:tc>
          <w:tcPr>
            <w:tcW w:w="2141" w:type="pct"/>
            <w:tcBorders>
              <w:top w:val="nil"/>
              <w:left w:val="nil"/>
              <w:bottom w:val="nil"/>
              <w:right w:val="nil"/>
            </w:tcBorders>
            <w:shd w:val="clear" w:color="auto" w:fill="auto"/>
            <w:noWrap/>
            <w:vAlign w:val="bottom"/>
            <w:hideMark/>
          </w:tcPr>
          <w:p w14:paraId="5AC311FA" w14:textId="77777777" w:rsidR="009444AA" w:rsidRPr="009444AA" w:rsidRDefault="009444AA">
            <w:pPr>
              <w:jc w:val="right"/>
              <w:rPr>
                <w:rFonts w:asciiTheme="majorHAnsi" w:hAnsiTheme="majorHAnsi" w:cs="Arial"/>
                <w:sz w:val="16"/>
                <w:szCs w:val="16"/>
              </w:rPr>
            </w:pPr>
          </w:p>
        </w:tc>
        <w:tc>
          <w:tcPr>
            <w:tcW w:w="508" w:type="pct"/>
            <w:tcBorders>
              <w:top w:val="nil"/>
              <w:left w:val="nil"/>
              <w:bottom w:val="nil"/>
              <w:right w:val="nil"/>
            </w:tcBorders>
            <w:shd w:val="clear" w:color="auto" w:fill="auto"/>
            <w:noWrap/>
            <w:vAlign w:val="bottom"/>
            <w:hideMark/>
          </w:tcPr>
          <w:p w14:paraId="089597AA" w14:textId="77777777" w:rsidR="009444AA" w:rsidRPr="009444AA" w:rsidRDefault="009444AA">
            <w:pPr>
              <w:rPr>
                <w:rFonts w:asciiTheme="majorHAnsi" w:hAnsiTheme="majorHAnsi"/>
                <w:sz w:val="16"/>
                <w:szCs w:val="16"/>
              </w:rPr>
            </w:pPr>
          </w:p>
        </w:tc>
        <w:tc>
          <w:tcPr>
            <w:tcW w:w="560" w:type="pct"/>
            <w:tcBorders>
              <w:top w:val="nil"/>
              <w:left w:val="nil"/>
              <w:bottom w:val="nil"/>
              <w:right w:val="nil"/>
            </w:tcBorders>
            <w:shd w:val="clear" w:color="auto" w:fill="auto"/>
            <w:noWrap/>
            <w:vAlign w:val="bottom"/>
            <w:hideMark/>
          </w:tcPr>
          <w:p w14:paraId="6DE80130" w14:textId="77777777" w:rsidR="009444AA" w:rsidRPr="009444AA" w:rsidRDefault="009444AA">
            <w:pPr>
              <w:rPr>
                <w:rFonts w:asciiTheme="majorHAnsi" w:hAnsiTheme="majorHAnsi"/>
                <w:sz w:val="16"/>
                <w:szCs w:val="16"/>
              </w:rPr>
            </w:pPr>
          </w:p>
        </w:tc>
        <w:tc>
          <w:tcPr>
            <w:tcW w:w="698" w:type="pct"/>
            <w:tcBorders>
              <w:top w:val="nil"/>
              <w:left w:val="nil"/>
              <w:bottom w:val="nil"/>
              <w:right w:val="nil"/>
            </w:tcBorders>
            <w:shd w:val="clear" w:color="auto" w:fill="auto"/>
            <w:noWrap/>
            <w:vAlign w:val="bottom"/>
            <w:hideMark/>
          </w:tcPr>
          <w:p w14:paraId="7882839F" w14:textId="77777777" w:rsidR="009444AA" w:rsidRPr="009444AA" w:rsidRDefault="009444AA">
            <w:pPr>
              <w:jc w:val="right"/>
              <w:rPr>
                <w:rFonts w:asciiTheme="majorHAnsi" w:hAnsiTheme="majorHAnsi"/>
                <w:sz w:val="16"/>
                <w:szCs w:val="16"/>
              </w:rPr>
            </w:pPr>
          </w:p>
        </w:tc>
        <w:tc>
          <w:tcPr>
            <w:tcW w:w="730" w:type="pct"/>
            <w:tcBorders>
              <w:top w:val="nil"/>
              <w:left w:val="nil"/>
              <w:bottom w:val="nil"/>
              <w:right w:val="nil"/>
            </w:tcBorders>
            <w:shd w:val="clear" w:color="auto" w:fill="auto"/>
            <w:noWrap/>
            <w:vAlign w:val="bottom"/>
            <w:hideMark/>
          </w:tcPr>
          <w:p w14:paraId="42006E43" w14:textId="77777777" w:rsidR="009444AA" w:rsidRPr="009444AA" w:rsidRDefault="009444AA">
            <w:pPr>
              <w:jc w:val="right"/>
              <w:rPr>
                <w:rFonts w:asciiTheme="majorHAnsi" w:hAnsiTheme="majorHAnsi"/>
                <w:sz w:val="16"/>
                <w:szCs w:val="16"/>
              </w:rPr>
            </w:pPr>
          </w:p>
        </w:tc>
        <w:tc>
          <w:tcPr>
            <w:tcW w:w="363" w:type="pct"/>
            <w:tcBorders>
              <w:top w:val="nil"/>
              <w:left w:val="nil"/>
              <w:bottom w:val="nil"/>
              <w:right w:val="nil"/>
            </w:tcBorders>
            <w:shd w:val="clear" w:color="auto" w:fill="auto"/>
            <w:noWrap/>
            <w:vAlign w:val="bottom"/>
            <w:hideMark/>
          </w:tcPr>
          <w:p w14:paraId="2592D1CA" w14:textId="77777777" w:rsidR="009444AA" w:rsidRPr="009444AA" w:rsidRDefault="009444AA">
            <w:pPr>
              <w:rPr>
                <w:rFonts w:asciiTheme="majorHAnsi" w:hAnsiTheme="majorHAnsi"/>
                <w:sz w:val="16"/>
                <w:szCs w:val="16"/>
              </w:rPr>
            </w:pPr>
          </w:p>
        </w:tc>
      </w:tr>
      <w:tr w:rsidR="009444AA" w:rsidRPr="009444AA" w14:paraId="3AD641FF" w14:textId="77777777" w:rsidTr="009444AA">
        <w:trPr>
          <w:trHeight w:val="227"/>
        </w:trPr>
        <w:tc>
          <w:tcPr>
            <w:tcW w:w="2141" w:type="pct"/>
            <w:tcBorders>
              <w:top w:val="nil"/>
              <w:left w:val="nil"/>
              <w:bottom w:val="nil"/>
              <w:right w:val="nil"/>
            </w:tcBorders>
            <w:shd w:val="clear" w:color="auto" w:fill="auto"/>
            <w:noWrap/>
            <w:vAlign w:val="bottom"/>
            <w:hideMark/>
          </w:tcPr>
          <w:p w14:paraId="30B97D3D"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RESULTADO ANTES DAS SUBVENÇÕES DO TESOURO NACIONAL</w:t>
            </w:r>
          </w:p>
        </w:tc>
        <w:tc>
          <w:tcPr>
            <w:tcW w:w="508" w:type="pct"/>
            <w:tcBorders>
              <w:top w:val="nil"/>
              <w:left w:val="nil"/>
              <w:bottom w:val="nil"/>
              <w:right w:val="nil"/>
            </w:tcBorders>
            <w:shd w:val="clear" w:color="auto" w:fill="auto"/>
            <w:noWrap/>
            <w:vAlign w:val="bottom"/>
            <w:hideMark/>
          </w:tcPr>
          <w:p w14:paraId="570657CA"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(70.340.652)</w:t>
            </w:r>
          </w:p>
        </w:tc>
        <w:tc>
          <w:tcPr>
            <w:tcW w:w="560" w:type="pct"/>
            <w:tcBorders>
              <w:top w:val="nil"/>
              <w:left w:val="nil"/>
              <w:bottom w:val="nil"/>
              <w:right w:val="nil"/>
            </w:tcBorders>
            <w:shd w:val="clear" w:color="auto" w:fill="auto"/>
            <w:noWrap/>
            <w:vAlign w:val="bottom"/>
            <w:hideMark/>
          </w:tcPr>
          <w:p w14:paraId="2962B6ED"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(134.937.721)</w:t>
            </w:r>
          </w:p>
        </w:tc>
        <w:tc>
          <w:tcPr>
            <w:tcW w:w="698" w:type="pct"/>
            <w:tcBorders>
              <w:top w:val="nil"/>
              <w:left w:val="nil"/>
              <w:bottom w:val="nil"/>
              <w:right w:val="nil"/>
            </w:tcBorders>
            <w:shd w:val="clear" w:color="auto" w:fill="auto"/>
            <w:noWrap/>
            <w:vAlign w:val="bottom"/>
            <w:hideMark/>
          </w:tcPr>
          <w:p w14:paraId="4B107412"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(54.994.933)</w:t>
            </w:r>
          </w:p>
        </w:tc>
        <w:tc>
          <w:tcPr>
            <w:tcW w:w="730" w:type="pct"/>
            <w:tcBorders>
              <w:top w:val="nil"/>
              <w:left w:val="nil"/>
              <w:bottom w:val="nil"/>
              <w:right w:val="nil"/>
            </w:tcBorders>
            <w:shd w:val="clear" w:color="auto" w:fill="auto"/>
            <w:noWrap/>
            <w:vAlign w:val="bottom"/>
            <w:hideMark/>
          </w:tcPr>
          <w:p w14:paraId="5141A570"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(55.979.870)</w:t>
            </w:r>
          </w:p>
        </w:tc>
        <w:tc>
          <w:tcPr>
            <w:tcW w:w="363" w:type="pct"/>
            <w:tcBorders>
              <w:top w:val="nil"/>
              <w:left w:val="nil"/>
              <w:bottom w:val="nil"/>
              <w:right w:val="nil"/>
            </w:tcBorders>
            <w:shd w:val="clear" w:color="auto" w:fill="auto"/>
            <w:noWrap/>
            <w:vAlign w:val="bottom"/>
            <w:hideMark/>
          </w:tcPr>
          <w:p w14:paraId="5E749DCA" w14:textId="77777777" w:rsidR="009444AA" w:rsidRPr="009444AA" w:rsidRDefault="009444AA">
            <w:pPr>
              <w:jc w:val="right"/>
              <w:rPr>
                <w:rFonts w:asciiTheme="majorHAnsi" w:hAnsiTheme="majorHAnsi" w:cs="Arial"/>
                <w:b/>
                <w:bCs/>
                <w:sz w:val="16"/>
                <w:szCs w:val="16"/>
              </w:rPr>
            </w:pPr>
          </w:p>
        </w:tc>
      </w:tr>
      <w:tr w:rsidR="009444AA" w:rsidRPr="009444AA" w14:paraId="5E7B6EA1" w14:textId="77777777" w:rsidTr="009444AA">
        <w:trPr>
          <w:trHeight w:val="227"/>
        </w:trPr>
        <w:tc>
          <w:tcPr>
            <w:tcW w:w="2141" w:type="pct"/>
            <w:tcBorders>
              <w:top w:val="nil"/>
              <w:left w:val="nil"/>
              <w:bottom w:val="nil"/>
              <w:right w:val="nil"/>
            </w:tcBorders>
            <w:shd w:val="clear" w:color="auto" w:fill="auto"/>
            <w:noWrap/>
            <w:vAlign w:val="bottom"/>
            <w:hideMark/>
          </w:tcPr>
          <w:p w14:paraId="48AEB7E4" w14:textId="77777777" w:rsidR="009444AA" w:rsidRPr="009444AA" w:rsidRDefault="009444AA">
            <w:pPr>
              <w:jc w:val="right"/>
              <w:rPr>
                <w:rFonts w:asciiTheme="majorHAnsi" w:hAnsiTheme="majorHAnsi"/>
                <w:sz w:val="16"/>
                <w:szCs w:val="16"/>
              </w:rPr>
            </w:pPr>
          </w:p>
        </w:tc>
        <w:tc>
          <w:tcPr>
            <w:tcW w:w="508" w:type="pct"/>
            <w:tcBorders>
              <w:top w:val="nil"/>
              <w:left w:val="nil"/>
              <w:bottom w:val="nil"/>
              <w:right w:val="nil"/>
            </w:tcBorders>
            <w:shd w:val="clear" w:color="auto" w:fill="auto"/>
            <w:noWrap/>
            <w:vAlign w:val="bottom"/>
            <w:hideMark/>
          </w:tcPr>
          <w:p w14:paraId="71D18103" w14:textId="77777777" w:rsidR="009444AA" w:rsidRPr="009444AA" w:rsidRDefault="009444AA">
            <w:pPr>
              <w:rPr>
                <w:rFonts w:asciiTheme="majorHAnsi" w:hAnsiTheme="majorHAnsi"/>
                <w:sz w:val="16"/>
                <w:szCs w:val="16"/>
              </w:rPr>
            </w:pPr>
          </w:p>
        </w:tc>
        <w:tc>
          <w:tcPr>
            <w:tcW w:w="560" w:type="pct"/>
            <w:tcBorders>
              <w:top w:val="nil"/>
              <w:left w:val="nil"/>
              <w:bottom w:val="nil"/>
              <w:right w:val="nil"/>
            </w:tcBorders>
            <w:shd w:val="clear" w:color="auto" w:fill="auto"/>
            <w:noWrap/>
            <w:vAlign w:val="bottom"/>
            <w:hideMark/>
          </w:tcPr>
          <w:p w14:paraId="0D4F5278" w14:textId="77777777" w:rsidR="009444AA" w:rsidRPr="009444AA" w:rsidRDefault="009444AA">
            <w:pPr>
              <w:rPr>
                <w:rFonts w:asciiTheme="majorHAnsi" w:hAnsiTheme="majorHAnsi"/>
                <w:sz w:val="16"/>
                <w:szCs w:val="16"/>
              </w:rPr>
            </w:pPr>
          </w:p>
        </w:tc>
        <w:tc>
          <w:tcPr>
            <w:tcW w:w="698" w:type="pct"/>
            <w:tcBorders>
              <w:top w:val="nil"/>
              <w:left w:val="nil"/>
              <w:bottom w:val="nil"/>
              <w:right w:val="nil"/>
            </w:tcBorders>
            <w:shd w:val="clear" w:color="auto" w:fill="auto"/>
            <w:noWrap/>
            <w:vAlign w:val="bottom"/>
            <w:hideMark/>
          </w:tcPr>
          <w:p w14:paraId="371B7B2B" w14:textId="77777777" w:rsidR="009444AA" w:rsidRPr="009444AA" w:rsidRDefault="009444AA">
            <w:pPr>
              <w:jc w:val="right"/>
              <w:rPr>
                <w:rFonts w:asciiTheme="majorHAnsi" w:hAnsiTheme="majorHAnsi"/>
                <w:sz w:val="16"/>
                <w:szCs w:val="16"/>
              </w:rPr>
            </w:pPr>
          </w:p>
        </w:tc>
        <w:tc>
          <w:tcPr>
            <w:tcW w:w="730" w:type="pct"/>
            <w:tcBorders>
              <w:top w:val="nil"/>
              <w:left w:val="nil"/>
              <w:bottom w:val="nil"/>
              <w:right w:val="nil"/>
            </w:tcBorders>
            <w:shd w:val="clear" w:color="auto" w:fill="auto"/>
            <w:noWrap/>
            <w:vAlign w:val="bottom"/>
            <w:hideMark/>
          </w:tcPr>
          <w:p w14:paraId="3450F597" w14:textId="77777777" w:rsidR="009444AA" w:rsidRPr="009444AA" w:rsidRDefault="009444AA">
            <w:pPr>
              <w:jc w:val="right"/>
              <w:rPr>
                <w:rFonts w:asciiTheme="majorHAnsi" w:hAnsiTheme="majorHAnsi"/>
                <w:sz w:val="16"/>
                <w:szCs w:val="16"/>
              </w:rPr>
            </w:pPr>
          </w:p>
        </w:tc>
        <w:tc>
          <w:tcPr>
            <w:tcW w:w="363" w:type="pct"/>
            <w:tcBorders>
              <w:top w:val="nil"/>
              <w:left w:val="nil"/>
              <w:bottom w:val="nil"/>
              <w:right w:val="nil"/>
            </w:tcBorders>
            <w:shd w:val="clear" w:color="auto" w:fill="auto"/>
            <w:noWrap/>
            <w:vAlign w:val="bottom"/>
            <w:hideMark/>
          </w:tcPr>
          <w:p w14:paraId="20EA7AF3" w14:textId="77777777" w:rsidR="009444AA" w:rsidRPr="009444AA" w:rsidRDefault="009444AA">
            <w:pPr>
              <w:jc w:val="right"/>
              <w:rPr>
                <w:rFonts w:asciiTheme="majorHAnsi" w:hAnsiTheme="majorHAnsi"/>
                <w:sz w:val="16"/>
                <w:szCs w:val="16"/>
              </w:rPr>
            </w:pPr>
          </w:p>
        </w:tc>
      </w:tr>
      <w:tr w:rsidR="009444AA" w:rsidRPr="009444AA" w14:paraId="1524A544" w14:textId="77777777" w:rsidTr="009444AA">
        <w:trPr>
          <w:trHeight w:val="227"/>
        </w:trPr>
        <w:tc>
          <w:tcPr>
            <w:tcW w:w="2141" w:type="pct"/>
            <w:tcBorders>
              <w:top w:val="nil"/>
              <w:left w:val="nil"/>
              <w:bottom w:val="nil"/>
              <w:right w:val="nil"/>
            </w:tcBorders>
            <w:shd w:val="clear" w:color="auto" w:fill="auto"/>
            <w:noWrap/>
            <w:vAlign w:val="center"/>
            <w:hideMark/>
          </w:tcPr>
          <w:p w14:paraId="404FF2BA"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SUBVENÇÕES DO TESOURO NACIONAL</w:t>
            </w:r>
          </w:p>
        </w:tc>
        <w:tc>
          <w:tcPr>
            <w:tcW w:w="508" w:type="pct"/>
            <w:tcBorders>
              <w:top w:val="nil"/>
              <w:left w:val="nil"/>
              <w:bottom w:val="nil"/>
              <w:right w:val="nil"/>
            </w:tcBorders>
            <w:shd w:val="clear" w:color="auto" w:fill="auto"/>
            <w:noWrap/>
            <w:vAlign w:val="bottom"/>
            <w:hideMark/>
          </w:tcPr>
          <w:p w14:paraId="561F940C"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39.758.520 </w:t>
            </w:r>
          </w:p>
        </w:tc>
        <w:tc>
          <w:tcPr>
            <w:tcW w:w="560" w:type="pct"/>
            <w:tcBorders>
              <w:top w:val="nil"/>
              <w:left w:val="nil"/>
              <w:bottom w:val="nil"/>
              <w:right w:val="nil"/>
            </w:tcBorders>
            <w:shd w:val="clear" w:color="auto" w:fill="auto"/>
            <w:noWrap/>
            <w:vAlign w:val="bottom"/>
            <w:hideMark/>
          </w:tcPr>
          <w:p w14:paraId="147F7F55"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75.841.189 </w:t>
            </w:r>
          </w:p>
        </w:tc>
        <w:tc>
          <w:tcPr>
            <w:tcW w:w="698" w:type="pct"/>
            <w:tcBorders>
              <w:top w:val="nil"/>
              <w:left w:val="nil"/>
              <w:bottom w:val="nil"/>
              <w:right w:val="nil"/>
            </w:tcBorders>
            <w:shd w:val="clear" w:color="auto" w:fill="auto"/>
            <w:noWrap/>
            <w:vAlign w:val="bottom"/>
            <w:hideMark/>
          </w:tcPr>
          <w:p w14:paraId="7A4493BA"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33.975.496 </w:t>
            </w:r>
          </w:p>
        </w:tc>
        <w:tc>
          <w:tcPr>
            <w:tcW w:w="730" w:type="pct"/>
            <w:tcBorders>
              <w:top w:val="nil"/>
              <w:left w:val="nil"/>
              <w:bottom w:val="nil"/>
              <w:right w:val="nil"/>
            </w:tcBorders>
            <w:shd w:val="clear" w:color="auto" w:fill="auto"/>
            <w:noWrap/>
            <w:vAlign w:val="bottom"/>
            <w:hideMark/>
          </w:tcPr>
          <w:p w14:paraId="33E43B16"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64.493.395 </w:t>
            </w:r>
          </w:p>
        </w:tc>
        <w:tc>
          <w:tcPr>
            <w:tcW w:w="363" w:type="pct"/>
            <w:tcBorders>
              <w:top w:val="nil"/>
              <w:left w:val="nil"/>
              <w:bottom w:val="nil"/>
              <w:right w:val="nil"/>
            </w:tcBorders>
            <w:shd w:val="clear" w:color="auto" w:fill="auto"/>
            <w:noWrap/>
            <w:vAlign w:val="bottom"/>
            <w:hideMark/>
          </w:tcPr>
          <w:p w14:paraId="55BB7FDA" w14:textId="77777777" w:rsidR="009444AA" w:rsidRPr="009444AA" w:rsidRDefault="009444AA">
            <w:pPr>
              <w:jc w:val="right"/>
              <w:rPr>
                <w:rFonts w:asciiTheme="majorHAnsi" w:hAnsiTheme="majorHAnsi" w:cs="Arial"/>
                <w:b/>
                <w:bCs/>
                <w:sz w:val="16"/>
                <w:szCs w:val="16"/>
              </w:rPr>
            </w:pPr>
          </w:p>
        </w:tc>
      </w:tr>
      <w:tr w:rsidR="009444AA" w:rsidRPr="009444AA" w14:paraId="0208BEFE" w14:textId="77777777" w:rsidTr="009444AA">
        <w:trPr>
          <w:trHeight w:val="227"/>
        </w:trPr>
        <w:tc>
          <w:tcPr>
            <w:tcW w:w="2141" w:type="pct"/>
            <w:tcBorders>
              <w:top w:val="nil"/>
              <w:left w:val="nil"/>
              <w:bottom w:val="nil"/>
              <w:right w:val="nil"/>
            </w:tcBorders>
            <w:shd w:val="clear" w:color="auto" w:fill="auto"/>
            <w:noWrap/>
            <w:vAlign w:val="bottom"/>
            <w:hideMark/>
          </w:tcPr>
          <w:p w14:paraId="39E4D7BA"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Repasse de Custeio/Pessoal</w:t>
            </w:r>
          </w:p>
        </w:tc>
        <w:tc>
          <w:tcPr>
            <w:tcW w:w="508" w:type="pct"/>
            <w:tcBorders>
              <w:top w:val="nil"/>
              <w:left w:val="nil"/>
              <w:bottom w:val="nil"/>
              <w:right w:val="nil"/>
            </w:tcBorders>
            <w:shd w:val="clear" w:color="auto" w:fill="auto"/>
            <w:noWrap/>
            <w:vAlign w:val="bottom"/>
            <w:hideMark/>
          </w:tcPr>
          <w:p w14:paraId="1B34D2FD"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39.758.520 </w:t>
            </w:r>
          </w:p>
        </w:tc>
        <w:tc>
          <w:tcPr>
            <w:tcW w:w="560" w:type="pct"/>
            <w:tcBorders>
              <w:top w:val="nil"/>
              <w:left w:val="nil"/>
              <w:bottom w:val="nil"/>
              <w:right w:val="nil"/>
            </w:tcBorders>
            <w:shd w:val="clear" w:color="auto" w:fill="auto"/>
            <w:vAlign w:val="bottom"/>
            <w:hideMark/>
          </w:tcPr>
          <w:p w14:paraId="548EF446"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75.841.189 </w:t>
            </w:r>
          </w:p>
        </w:tc>
        <w:tc>
          <w:tcPr>
            <w:tcW w:w="698" w:type="pct"/>
            <w:tcBorders>
              <w:top w:val="nil"/>
              <w:left w:val="nil"/>
              <w:bottom w:val="nil"/>
              <w:right w:val="nil"/>
            </w:tcBorders>
            <w:shd w:val="clear" w:color="auto" w:fill="auto"/>
            <w:vAlign w:val="bottom"/>
            <w:hideMark/>
          </w:tcPr>
          <w:p w14:paraId="0B3DFC65"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33.975.496 </w:t>
            </w:r>
          </w:p>
        </w:tc>
        <w:tc>
          <w:tcPr>
            <w:tcW w:w="730" w:type="pct"/>
            <w:tcBorders>
              <w:top w:val="nil"/>
              <w:left w:val="nil"/>
              <w:bottom w:val="nil"/>
              <w:right w:val="nil"/>
            </w:tcBorders>
            <w:shd w:val="clear" w:color="auto" w:fill="auto"/>
            <w:vAlign w:val="bottom"/>
            <w:hideMark/>
          </w:tcPr>
          <w:p w14:paraId="640875CC"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 xml:space="preserve">                 64.493.395 </w:t>
            </w:r>
          </w:p>
        </w:tc>
        <w:tc>
          <w:tcPr>
            <w:tcW w:w="363" w:type="pct"/>
            <w:tcBorders>
              <w:top w:val="nil"/>
              <w:left w:val="nil"/>
              <w:bottom w:val="nil"/>
              <w:right w:val="nil"/>
            </w:tcBorders>
            <w:shd w:val="clear" w:color="auto" w:fill="auto"/>
            <w:noWrap/>
            <w:vAlign w:val="bottom"/>
            <w:hideMark/>
          </w:tcPr>
          <w:p w14:paraId="339BFB69" w14:textId="77777777" w:rsidR="009444AA" w:rsidRPr="009444AA" w:rsidRDefault="009444AA">
            <w:pPr>
              <w:jc w:val="right"/>
              <w:rPr>
                <w:rFonts w:asciiTheme="majorHAnsi" w:hAnsiTheme="majorHAnsi" w:cs="Arial"/>
                <w:sz w:val="16"/>
                <w:szCs w:val="16"/>
              </w:rPr>
            </w:pPr>
            <w:r w:rsidRPr="009444AA">
              <w:rPr>
                <w:rFonts w:asciiTheme="majorHAnsi" w:hAnsiTheme="majorHAnsi" w:cs="Arial"/>
                <w:sz w:val="16"/>
                <w:szCs w:val="16"/>
              </w:rPr>
              <w:t>(21)</w:t>
            </w:r>
          </w:p>
        </w:tc>
      </w:tr>
      <w:tr w:rsidR="009444AA" w:rsidRPr="009444AA" w14:paraId="11713663" w14:textId="77777777" w:rsidTr="009444AA">
        <w:trPr>
          <w:trHeight w:val="227"/>
        </w:trPr>
        <w:tc>
          <w:tcPr>
            <w:tcW w:w="2141" w:type="pct"/>
            <w:tcBorders>
              <w:top w:val="nil"/>
              <w:left w:val="nil"/>
              <w:bottom w:val="nil"/>
              <w:right w:val="nil"/>
            </w:tcBorders>
            <w:shd w:val="clear" w:color="auto" w:fill="auto"/>
            <w:noWrap/>
            <w:vAlign w:val="bottom"/>
            <w:hideMark/>
          </w:tcPr>
          <w:p w14:paraId="2493D391" w14:textId="77777777" w:rsidR="009444AA" w:rsidRPr="009444AA" w:rsidRDefault="009444AA">
            <w:pPr>
              <w:jc w:val="right"/>
              <w:rPr>
                <w:rFonts w:asciiTheme="majorHAnsi" w:hAnsiTheme="majorHAnsi" w:cs="Arial"/>
                <w:sz w:val="16"/>
                <w:szCs w:val="16"/>
              </w:rPr>
            </w:pPr>
          </w:p>
        </w:tc>
        <w:tc>
          <w:tcPr>
            <w:tcW w:w="508" w:type="pct"/>
            <w:tcBorders>
              <w:top w:val="nil"/>
              <w:left w:val="nil"/>
              <w:bottom w:val="nil"/>
              <w:right w:val="nil"/>
            </w:tcBorders>
            <w:shd w:val="clear" w:color="auto" w:fill="auto"/>
            <w:noWrap/>
            <w:vAlign w:val="bottom"/>
            <w:hideMark/>
          </w:tcPr>
          <w:p w14:paraId="56282B7B" w14:textId="77777777" w:rsidR="009444AA" w:rsidRPr="009444AA" w:rsidRDefault="009444AA">
            <w:pPr>
              <w:rPr>
                <w:rFonts w:asciiTheme="majorHAnsi" w:hAnsiTheme="majorHAnsi"/>
                <w:sz w:val="16"/>
                <w:szCs w:val="16"/>
              </w:rPr>
            </w:pPr>
          </w:p>
        </w:tc>
        <w:tc>
          <w:tcPr>
            <w:tcW w:w="560" w:type="pct"/>
            <w:tcBorders>
              <w:top w:val="nil"/>
              <w:left w:val="nil"/>
              <w:bottom w:val="nil"/>
              <w:right w:val="nil"/>
            </w:tcBorders>
            <w:shd w:val="clear" w:color="auto" w:fill="auto"/>
            <w:noWrap/>
            <w:vAlign w:val="bottom"/>
            <w:hideMark/>
          </w:tcPr>
          <w:p w14:paraId="5E18FB4D" w14:textId="77777777" w:rsidR="009444AA" w:rsidRPr="009444AA" w:rsidRDefault="009444AA">
            <w:pPr>
              <w:rPr>
                <w:rFonts w:asciiTheme="majorHAnsi" w:hAnsiTheme="majorHAnsi"/>
                <w:sz w:val="16"/>
                <w:szCs w:val="16"/>
              </w:rPr>
            </w:pPr>
          </w:p>
        </w:tc>
        <w:tc>
          <w:tcPr>
            <w:tcW w:w="698" w:type="pct"/>
            <w:tcBorders>
              <w:top w:val="nil"/>
              <w:left w:val="nil"/>
              <w:bottom w:val="nil"/>
              <w:right w:val="nil"/>
            </w:tcBorders>
            <w:shd w:val="clear" w:color="auto" w:fill="auto"/>
            <w:noWrap/>
            <w:vAlign w:val="bottom"/>
            <w:hideMark/>
          </w:tcPr>
          <w:p w14:paraId="7F6DAF35" w14:textId="77777777" w:rsidR="009444AA" w:rsidRPr="009444AA" w:rsidRDefault="009444AA">
            <w:pPr>
              <w:rPr>
                <w:rFonts w:asciiTheme="majorHAnsi" w:hAnsiTheme="majorHAnsi"/>
                <w:sz w:val="16"/>
                <w:szCs w:val="16"/>
              </w:rPr>
            </w:pPr>
          </w:p>
        </w:tc>
        <w:tc>
          <w:tcPr>
            <w:tcW w:w="730" w:type="pct"/>
            <w:tcBorders>
              <w:top w:val="nil"/>
              <w:left w:val="nil"/>
              <w:bottom w:val="nil"/>
              <w:right w:val="nil"/>
            </w:tcBorders>
            <w:shd w:val="clear" w:color="auto" w:fill="auto"/>
            <w:noWrap/>
            <w:vAlign w:val="bottom"/>
            <w:hideMark/>
          </w:tcPr>
          <w:p w14:paraId="2DE77639" w14:textId="77777777" w:rsidR="009444AA" w:rsidRPr="009444AA" w:rsidRDefault="009444AA">
            <w:pPr>
              <w:rPr>
                <w:rFonts w:asciiTheme="majorHAnsi" w:hAnsiTheme="majorHAnsi"/>
                <w:sz w:val="16"/>
                <w:szCs w:val="16"/>
              </w:rPr>
            </w:pPr>
          </w:p>
        </w:tc>
        <w:tc>
          <w:tcPr>
            <w:tcW w:w="363" w:type="pct"/>
            <w:tcBorders>
              <w:top w:val="nil"/>
              <w:left w:val="nil"/>
              <w:bottom w:val="nil"/>
              <w:right w:val="nil"/>
            </w:tcBorders>
            <w:shd w:val="clear" w:color="auto" w:fill="auto"/>
            <w:noWrap/>
            <w:vAlign w:val="bottom"/>
            <w:hideMark/>
          </w:tcPr>
          <w:p w14:paraId="23AF26D3" w14:textId="77777777" w:rsidR="009444AA" w:rsidRPr="009444AA" w:rsidRDefault="009444AA">
            <w:pPr>
              <w:rPr>
                <w:rFonts w:asciiTheme="majorHAnsi" w:hAnsiTheme="majorHAnsi"/>
                <w:sz w:val="16"/>
                <w:szCs w:val="16"/>
              </w:rPr>
            </w:pPr>
          </w:p>
        </w:tc>
      </w:tr>
      <w:tr w:rsidR="009444AA" w:rsidRPr="009444AA" w14:paraId="1FD19D47" w14:textId="77777777" w:rsidTr="009444AA">
        <w:trPr>
          <w:trHeight w:val="227"/>
        </w:trPr>
        <w:tc>
          <w:tcPr>
            <w:tcW w:w="2141" w:type="pct"/>
            <w:tcBorders>
              <w:top w:val="nil"/>
              <w:left w:val="nil"/>
              <w:bottom w:val="nil"/>
              <w:right w:val="nil"/>
            </w:tcBorders>
            <w:shd w:val="clear" w:color="auto" w:fill="auto"/>
            <w:noWrap/>
            <w:vAlign w:val="bottom"/>
            <w:hideMark/>
          </w:tcPr>
          <w:p w14:paraId="3F401D40"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RESULTADO ANTES DOS TRIBUTOS S/LUCRO (IR/CSLL)</w:t>
            </w:r>
          </w:p>
        </w:tc>
        <w:tc>
          <w:tcPr>
            <w:tcW w:w="508" w:type="pct"/>
            <w:tcBorders>
              <w:top w:val="nil"/>
              <w:left w:val="nil"/>
              <w:bottom w:val="nil"/>
              <w:right w:val="nil"/>
            </w:tcBorders>
            <w:shd w:val="clear" w:color="auto" w:fill="auto"/>
            <w:noWrap/>
            <w:vAlign w:val="bottom"/>
            <w:hideMark/>
          </w:tcPr>
          <w:p w14:paraId="19AEFD50"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(30.582.132)</w:t>
            </w:r>
          </w:p>
        </w:tc>
        <w:tc>
          <w:tcPr>
            <w:tcW w:w="560" w:type="pct"/>
            <w:tcBorders>
              <w:top w:val="nil"/>
              <w:left w:val="nil"/>
              <w:bottom w:val="nil"/>
              <w:right w:val="nil"/>
            </w:tcBorders>
            <w:shd w:val="clear" w:color="auto" w:fill="auto"/>
            <w:noWrap/>
            <w:vAlign w:val="bottom"/>
            <w:hideMark/>
          </w:tcPr>
          <w:p w14:paraId="6938B077"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(59.096.531)</w:t>
            </w:r>
          </w:p>
        </w:tc>
        <w:tc>
          <w:tcPr>
            <w:tcW w:w="698" w:type="pct"/>
            <w:tcBorders>
              <w:top w:val="nil"/>
              <w:left w:val="nil"/>
              <w:bottom w:val="nil"/>
              <w:right w:val="nil"/>
            </w:tcBorders>
            <w:shd w:val="clear" w:color="auto" w:fill="auto"/>
            <w:noWrap/>
            <w:vAlign w:val="bottom"/>
            <w:hideMark/>
          </w:tcPr>
          <w:p w14:paraId="3ED6AD3B"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(21.019.437)</w:t>
            </w:r>
          </w:p>
        </w:tc>
        <w:tc>
          <w:tcPr>
            <w:tcW w:w="730" w:type="pct"/>
            <w:tcBorders>
              <w:top w:val="nil"/>
              <w:left w:val="nil"/>
              <w:bottom w:val="nil"/>
              <w:right w:val="nil"/>
            </w:tcBorders>
            <w:shd w:val="clear" w:color="auto" w:fill="auto"/>
            <w:noWrap/>
            <w:vAlign w:val="bottom"/>
            <w:hideMark/>
          </w:tcPr>
          <w:p w14:paraId="4CC08EC5"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8.513.525 </w:t>
            </w:r>
          </w:p>
        </w:tc>
        <w:tc>
          <w:tcPr>
            <w:tcW w:w="363" w:type="pct"/>
            <w:tcBorders>
              <w:top w:val="nil"/>
              <w:left w:val="nil"/>
              <w:bottom w:val="nil"/>
              <w:right w:val="nil"/>
            </w:tcBorders>
            <w:shd w:val="clear" w:color="auto" w:fill="auto"/>
            <w:noWrap/>
            <w:vAlign w:val="bottom"/>
            <w:hideMark/>
          </w:tcPr>
          <w:p w14:paraId="1231E958" w14:textId="77777777" w:rsidR="009444AA" w:rsidRPr="009444AA" w:rsidRDefault="009444AA">
            <w:pPr>
              <w:jc w:val="right"/>
              <w:rPr>
                <w:rFonts w:asciiTheme="majorHAnsi" w:hAnsiTheme="majorHAnsi" w:cs="Arial"/>
                <w:b/>
                <w:bCs/>
                <w:sz w:val="16"/>
                <w:szCs w:val="16"/>
              </w:rPr>
            </w:pPr>
          </w:p>
        </w:tc>
      </w:tr>
      <w:tr w:rsidR="009444AA" w:rsidRPr="009444AA" w14:paraId="1D415562" w14:textId="77777777" w:rsidTr="009444AA">
        <w:trPr>
          <w:trHeight w:val="227"/>
        </w:trPr>
        <w:tc>
          <w:tcPr>
            <w:tcW w:w="2141" w:type="pct"/>
            <w:tcBorders>
              <w:top w:val="nil"/>
              <w:left w:val="nil"/>
              <w:bottom w:val="nil"/>
              <w:right w:val="nil"/>
            </w:tcBorders>
            <w:shd w:val="clear" w:color="auto" w:fill="auto"/>
            <w:noWrap/>
            <w:vAlign w:val="bottom"/>
            <w:hideMark/>
          </w:tcPr>
          <w:p w14:paraId="478B6B22" w14:textId="77777777" w:rsidR="009444AA" w:rsidRPr="009444AA" w:rsidRDefault="009444AA">
            <w:pPr>
              <w:jc w:val="right"/>
              <w:rPr>
                <w:rFonts w:asciiTheme="majorHAnsi" w:hAnsiTheme="majorHAnsi"/>
                <w:sz w:val="16"/>
                <w:szCs w:val="16"/>
              </w:rPr>
            </w:pPr>
          </w:p>
        </w:tc>
        <w:tc>
          <w:tcPr>
            <w:tcW w:w="508" w:type="pct"/>
            <w:tcBorders>
              <w:top w:val="nil"/>
              <w:left w:val="nil"/>
              <w:bottom w:val="nil"/>
              <w:right w:val="nil"/>
            </w:tcBorders>
            <w:shd w:val="clear" w:color="auto" w:fill="auto"/>
            <w:noWrap/>
            <w:vAlign w:val="bottom"/>
            <w:hideMark/>
          </w:tcPr>
          <w:p w14:paraId="4A99D5FC" w14:textId="77777777" w:rsidR="009444AA" w:rsidRPr="009444AA" w:rsidRDefault="009444AA">
            <w:pPr>
              <w:rPr>
                <w:rFonts w:asciiTheme="majorHAnsi" w:hAnsiTheme="majorHAnsi"/>
                <w:sz w:val="16"/>
                <w:szCs w:val="16"/>
              </w:rPr>
            </w:pPr>
          </w:p>
        </w:tc>
        <w:tc>
          <w:tcPr>
            <w:tcW w:w="560" w:type="pct"/>
            <w:tcBorders>
              <w:top w:val="nil"/>
              <w:left w:val="nil"/>
              <w:bottom w:val="nil"/>
              <w:right w:val="nil"/>
            </w:tcBorders>
            <w:shd w:val="clear" w:color="auto" w:fill="auto"/>
            <w:noWrap/>
            <w:vAlign w:val="bottom"/>
            <w:hideMark/>
          </w:tcPr>
          <w:p w14:paraId="0AB30E33" w14:textId="77777777" w:rsidR="009444AA" w:rsidRPr="009444AA" w:rsidRDefault="009444AA">
            <w:pPr>
              <w:rPr>
                <w:rFonts w:asciiTheme="majorHAnsi" w:hAnsiTheme="majorHAnsi"/>
                <w:sz w:val="16"/>
                <w:szCs w:val="16"/>
              </w:rPr>
            </w:pPr>
          </w:p>
        </w:tc>
        <w:tc>
          <w:tcPr>
            <w:tcW w:w="698" w:type="pct"/>
            <w:tcBorders>
              <w:top w:val="nil"/>
              <w:left w:val="nil"/>
              <w:bottom w:val="nil"/>
              <w:right w:val="nil"/>
            </w:tcBorders>
            <w:shd w:val="clear" w:color="auto" w:fill="auto"/>
            <w:noWrap/>
            <w:vAlign w:val="bottom"/>
            <w:hideMark/>
          </w:tcPr>
          <w:p w14:paraId="1234725A" w14:textId="77777777" w:rsidR="009444AA" w:rsidRPr="009444AA" w:rsidRDefault="009444AA">
            <w:pPr>
              <w:rPr>
                <w:rFonts w:asciiTheme="majorHAnsi" w:hAnsiTheme="majorHAnsi"/>
                <w:sz w:val="16"/>
                <w:szCs w:val="16"/>
              </w:rPr>
            </w:pPr>
          </w:p>
        </w:tc>
        <w:tc>
          <w:tcPr>
            <w:tcW w:w="730" w:type="pct"/>
            <w:tcBorders>
              <w:top w:val="nil"/>
              <w:left w:val="nil"/>
              <w:bottom w:val="nil"/>
              <w:right w:val="nil"/>
            </w:tcBorders>
            <w:shd w:val="clear" w:color="auto" w:fill="auto"/>
            <w:noWrap/>
            <w:vAlign w:val="bottom"/>
            <w:hideMark/>
          </w:tcPr>
          <w:p w14:paraId="0113A68A" w14:textId="77777777" w:rsidR="009444AA" w:rsidRPr="009444AA" w:rsidRDefault="009444AA">
            <w:pPr>
              <w:rPr>
                <w:rFonts w:asciiTheme="majorHAnsi" w:hAnsiTheme="majorHAnsi"/>
                <w:sz w:val="16"/>
                <w:szCs w:val="16"/>
              </w:rPr>
            </w:pPr>
          </w:p>
        </w:tc>
        <w:tc>
          <w:tcPr>
            <w:tcW w:w="363" w:type="pct"/>
            <w:tcBorders>
              <w:top w:val="nil"/>
              <w:left w:val="nil"/>
              <w:bottom w:val="nil"/>
              <w:right w:val="nil"/>
            </w:tcBorders>
            <w:shd w:val="clear" w:color="auto" w:fill="auto"/>
            <w:noWrap/>
            <w:vAlign w:val="bottom"/>
            <w:hideMark/>
          </w:tcPr>
          <w:p w14:paraId="69E8A651" w14:textId="77777777" w:rsidR="009444AA" w:rsidRPr="009444AA" w:rsidRDefault="009444AA">
            <w:pPr>
              <w:rPr>
                <w:rFonts w:asciiTheme="majorHAnsi" w:hAnsiTheme="majorHAnsi"/>
                <w:sz w:val="16"/>
                <w:szCs w:val="16"/>
              </w:rPr>
            </w:pPr>
          </w:p>
        </w:tc>
      </w:tr>
      <w:tr w:rsidR="009444AA" w:rsidRPr="009444AA" w14:paraId="17D1359B" w14:textId="77777777" w:rsidTr="009444AA">
        <w:trPr>
          <w:trHeight w:val="227"/>
        </w:trPr>
        <w:tc>
          <w:tcPr>
            <w:tcW w:w="2141" w:type="pct"/>
            <w:tcBorders>
              <w:top w:val="nil"/>
              <w:left w:val="nil"/>
              <w:bottom w:val="nil"/>
              <w:right w:val="nil"/>
            </w:tcBorders>
            <w:shd w:val="clear" w:color="auto" w:fill="auto"/>
            <w:noWrap/>
            <w:vAlign w:val="bottom"/>
            <w:hideMark/>
          </w:tcPr>
          <w:p w14:paraId="6E755B61"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RESULTADO LÍQUIDO DO EXERCÍCIO</w:t>
            </w:r>
          </w:p>
        </w:tc>
        <w:tc>
          <w:tcPr>
            <w:tcW w:w="508" w:type="pct"/>
            <w:tcBorders>
              <w:top w:val="nil"/>
              <w:left w:val="nil"/>
              <w:bottom w:val="nil"/>
              <w:right w:val="nil"/>
            </w:tcBorders>
            <w:shd w:val="clear" w:color="auto" w:fill="auto"/>
            <w:noWrap/>
            <w:vAlign w:val="bottom"/>
            <w:hideMark/>
          </w:tcPr>
          <w:p w14:paraId="273F7CB8"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(30.582.132)</w:t>
            </w:r>
          </w:p>
        </w:tc>
        <w:tc>
          <w:tcPr>
            <w:tcW w:w="560" w:type="pct"/>
            <w:tcBorders>
              <w:top w:val="nil"/>
              <w:left w:val="nil"/>
              <w:bottom w:val="nil"/>
              <w:right w:val="nil"/>
            </w:tcBorders>
            <w:shd w:val="clear" w:color="auto" w:fill="auto"/>
            <w:noWrap/>
            <w:vAlign w:val="bottom"/>
            <w:hideMark/>
          </w:tcPr>
          <w:p w14:paraId="49A068A6"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(59.096.531)</w:t>
            </w:r>
          </w:p>
        </w:tc>
        <w:tc>
          <w:tcPr>
            <w:tcW w:w="698" w:type="pct"/>
            <w:tcBorders>
              <w:top w:val="nil"/>
              <w:left w:val="nil"/>
              <w:bottom w:val="nil"/>
              <w:right w:val="nil"/>
            </w:tcBorders>
            <w:shd w:val="clear" w:color="auto" w:fill="auto"/>
            <w:noWrap/>
            <w:vAlign w:val="bottom"/>
            <w:hideMark/>
          </w:tcPr>
          <w:p w14:paraId="29DB7EEC"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(21.019.437)</w:t>
            </w:r>
          </w:p>
        </w:tc>
        <w:tc>
          <w:tcPr>
            <w:tcW w:w="730" w:type="pct"/>
            <w:tcBorders>
              <w:top w:val="nil"/>
              <w:left w:val="nil"/>
              <w:bottom w:val="nil"/>
              <w:right w:val="nil"/>
            </w:tcBorders>
            <w:shd w:val="clear" w:color="auto" w:fill="auto"/>
            <w:noWrap/>
            <w:vAlign w:val="bottom"/>
            <w:hideMark/>
          </w:tcPr>
          <w:p w14:paraId="64A0FCAC"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8.513.525 </w:t>
            </w:r>
          </w:p>
        </w:tc>
        <w:tc>
          <w:tcPr>
            <w:tcW w:w="363" w:type="pct"/>
            <w:tcBorders>
              <w:top w:val="nil"/>
              <w:left w:val="nil"/>
              <w:bottom w:val="nil"/>
              <w:right w:val="nil"/>
            </w:tcBorders>
            <w:shd w:val="clear" w:color="auto" w:fill="auto"/>
            <w:noWrap/>
            <w:vAlign w:val="bottom"/>
            <w:hideMark/>
          </w:tcPr>
          <w:p w14:paraId="0F0A43A1" w14:textId="77777777" w:rsidR="009444AA" w:rsidRPr="009444AA" w:rsidRDefault="009444AA">
            <w:pPr>
              <w:jc w:val="right"/>
              <w:rPr>
                <w:rFonts w:asciiTheme="majorHAnsi" w:hAnsiTheme="majorHAnsi" w:cs="Arial"/>
                <w:b/>
                <w:bCs/>
                <w:sz w:val="16"/>
                <w:szCs w:val="16"/>
              </w:rPr>
            </w:pPr>
          </w:p>
        </w:tc>
      </w:tr>
      <w:tr w:rsidR="009444AA" w:rsidRPr="009444AA" w14:paraId="3833F2FF" w14:textId="77777777" w:rsidTr="009444AA">
        <w:trPr>
          <w:trHeight w:val="227"/>
        </w:trPr>
        <w:tc>
          <w:tcPr>
            <w:tcW w:w="2141" w:type="pct"/>
            <w:tcBorders>
              <w:top w:val="nil"/>
              <w:left w:val="nil"/>
              <w:bottom w:val="nil"/>
              <w:right w:val="nil"/>
            </w:tcBorders>
            <w:shd w:val="clear" w:color="auto" w:fill="auto"/>
            <w:noWrap/>
            <w:vAlign w:val="bottom"/>
            <w:hideMark/>
          </w:tcPr>
          <w:p w14:paraId="5002450A"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 xml:space="preserve">         Lucro/Prejuízo por ação (em reais)</w:t>
            </w:r>
          </w:p>
        </w:tc>
        <w:tc>
          <w:tcPr>
            <w:tcW w:w="508" w:type="pct"/>
            <w:tcBorders>
              <w:top w:val="nil"/>
              <w:left w:val="nil"/>
              <w:bottom w:val="nil"/>
              <w:right w:val="nil"/>
            </w:tcBorders>
            <w:shd w:val="clear" w:color="auto" w:fill="auto"/>
            <w:noWrap/>
            <w:vAlign w:val="bottom"/>
            <w:hideMark/>
          </w:tcPr>
          <w:p w14:paraId="021F6049"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(3,78)</w:t>
            </w:r>
          </w:p>
        </w:tc>
        <w:tc>
          <w:tcPr>
            <w:tcW w:w="560" w:type="pct"/>
            <w:tcBorders>
              <w:top w:val="nil"/>
              <w:left w:val="nil"/>
              <w:bottom w:val="nil"/>
              <w:right w:val="nil"/>
            </w:tcBorders>
            <w:shd w:val="clear" w:color="auto" w:fill="auto"/>
            <w:noWrap/>
            <w:vAlign w:val="bottom"/>
            <w:hideMark/>
          </w:tcPr>
          <w:p w14:paraId="08BD8739"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(7,30)</w:t>
            </w:r>
          </w:p>
        </w:tc>
        <w:tc>
          <w:tcPr>
            <w:tcW w:w="698" w:type="pct"/>
            <w:tcBorders>
              <w:top w:val="nil"/>
              <w:left w:val="nil"/>
              <w:bottom w:val="nil"/>
              <w:right w:val="nil"/>
            </w:tcBorders>
            <w:shd w:val="clear" w:color="auto" w:fill="auto"/>
            <w:noWrap/>
            <w:vAlign w:val="bottom"/>
            <w:hideMark/>
          </w:tcPr>
          <w:p w14:paraId="69F939BF"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(2,60)</w:t>
            </w:r>
          </w:p>
        </w:tc>
        <w:tc>
          <w:tcPr>
            <w:tcW w:w="730" w:type="pct"/>
            <w:tcBorders>
              <w:top w:val="nil"/>
              <w:left w:val="nil"/>
              <w:bottom w:val="nil"/>
              <w:right w:val="nil"/>
            </w:tcBorders>
            <w:shd w:val="clear" w:color="auto" w:fill="auto"/>
            <w:noWrap/>
            <w:vAlign w:val="bottom"/>
            <w:hideMark/>
          </w:tcPr>
          <w:p w14:paraId="19295362" w14:textId="77777777" w:rsidR="009444AA" w:rsidRPr="009444AA" w:rsidRDefault="009444AA">
            <w:pPr>
              <w:jc w:val="right"/>
              <w:rPr>
                <w:rFonts w:asciiTheme="majorHAnsi" w:hAnsiTheme="majorHAnsi" w:cs="Arial"/>
                <w:b/>
                <w:bCs/>
                <w:sz w:val="16"/>
                <w:szCs w:val="16"/>
              </w:rPr>
            </w:pPr>
            <w:r w:rsidRPr="009444AA">
              <w:rPr>
                <w:rFonts w:asciiTheme="majorHAnsi" w:hAnsiTheme="majorHAnsi" w:cs="Arial"/>
                <w:b/>
                <w:bCs/>
                <w:sz w:val="16"/>
                <w:szCs w:val="16"/>
              </w:rPr>
              <w:t xml:space="preserve">                              1,05 </w:t>
            </w:r>
          </w:p>
        </w:tc>
        <w:tc>
          <w:tcPr>
            <w:tcW w:w="363" w:type="pct"/>
            <w:tcBorders>
              <w:top w:val="nil"/>
              <w:left w:val="nil"/>
              <w:bottom w:val="nil"/>
              <w:right w:val="nil"/>
            </w:tcBorders>
            <w:shd w:val="clear" w:color="auto" w:fill="auto"/>
            <w:noWrap/>
            <w:vAlign w:val="bottom"/>
            <w:hideMark/>
          </w:tcPr>
          <w:p w14:paraId="61709C95" w14:textId="77777777" w:rsidR="009444AA" w:rsidRPr="009444AA" w:rsidRDefault="009444AA">
            <w:pPr>
              <w:jc w:val="right"/>
              <w:rPr>
                <w:rFonts w:asciiTheme="majorHAnsi" w:hAnsiTheme="majorHAnsi" w:cs="Arial"/>
                <w:b/>
                <w:bCs/>
                <w:sz w:val="16"/>
                <w:szCs w:val="16"/>
              </w:rPr>
            </w:pPr>
          </w:p>
        </w:tc>
      </w:tr>
      <w:tr w:rsidR="009444AA" w:rsidRPr="009444AA" w14:paraId="18E84170" w14:textId="77777777" w:rsidTr="009444AA">
        <w:trPr>
          <w:trHeight w:val="227"/>
        </w:trPr>
        <w:tc>
          <w:tcPr>
            <w:tcW w:w="2141" w:type="pct"/>
            <w:tcBorders>
              <w:top w:val="nil"/>
              <w:left w:val="nil"/>
              <w:bottom w:val="nil"/>
              <w:right w:val="nil"/>
            </w:tcBorders>
            <w:shd w:val="clear" w:color="auto" w:fill="auto"/>
            <w:noWrap/>
            <w:vAlign w:val="bottom"/>
            <w:hideMark/>
          </w:tcPr>
          <w:p w14:paraId="3BFDE592" w14:textId="77777777" w:rsidR="009444AA" w:rsidRPr="009444AA" w:rsidRDefault="009444AA">
            <w:pPr>
              <w:jc w:val="right"/>
              <w:rPr>
                <w:rFonts w:asciiTheme="majorHAnsi" w:hAnsiTheme="majorHAnsi"/>
                <w:sz w:val="16"/>
                <w:szCs w:val="16"/>
              </w:rPr>
            </w:pPr>
          </w:p>
        </w:tc>
        <w:tc>
          <w:tcPr>
            <w:tcW w:w="508" w:type="pct"/>
            <w:tcBorders>
              <w:top w:val="nil"/>
              <w:left w:val="nil"/>
              <w:bottom w:val="nil"/>
              <w:right w:val="nil"/>
            </w:tcBorders>
            <w:shd w:val="clear" w:color="auto" w:fill="auto"/>
            <w:noWrap/>
            <w:vAlign w:val="bottom"/>
            <w:hideMark/>
          </w:tcPr>
          <w:p w14:paraId="165CF014" w14:textId="77777777" w:rsidR="009444AA" w:rsidRPr="009444AA" w:rsidRDefault="009444AA">
            <w:pPr>
              <w:rPr>
                <w:rFonts w:asciiTheme="majorHAnsi" w:hAnsiTheme="majorHAnsi"/>
                <w:sz w:val="16"/>
                <w:szCs w:val="16"/>
              </w:rPr>
            </w:pPr>
          </w:p>
        </w:tc>
        <w:tc>
          <w:tcPr>
            <w:tcW w:w="560" w:type="pct"/>
            <w:tcBorders>
              <w:top w:val="nil"/>
              <w:left w:val="nil"/>
              <w:bottom w:val="nil"/>
              <w:right w:val="nil"/>
            </w:tcBorders>
            <w:shd w:val="clear" w:color="auto" w:fill="auto"/>
            <w:noWrap/>
            <w:vAlign w:val="bottom"/>
            <w:hideMark/>
          </w:tcPr>
          <w:p w14:paraId="0672E12C" w14:textId="77777777" w:rsidR="009444AA" w:rsidRPr="009444AA" w:rsidRDefault="009444AA">
            <w:pPr>
              <w:rPr>
                <w:rFonts w:asciiTheme="majorHAnsi" w:hAnsiTheme="majorHAnsi"/>
                <w:sz w:val="16"/>
                <w:szCs w:val="16"/>
              </w:rPr>
            </w:pPr>
          </w:p>
        </w:tc>
        <w:tc>
          <w:tcPr>
            <w:tcW w:w="698" w:type="pct"/>
            <w:tcBorders>
              <w:top w:val="nil"/>
              <w:left w:val="nil"/>
              <w:bottom w:val="nil"/>
              <w:right w:val="nil"/>
            </w:tcBorders>
            <w:shd w:val="clear" w:color="auto" w:fill="auto"/>
            <w:noWrap/>
            <w:vAlign w:val="bottom"/>
            <w:hideMark/>
          </w:tcPr>
          <w:p w14:paraId="0035076A" w14:textId="77777777" w:rsidR="009444AA" w:rsidRPr="009444AA" w:rsidRDefault="009444AA">
            <w:pPr>
              <w:rPr>
                <w:rFonts w:asciiTheme="majorHAnsi" w:hAnsiTheme="majorHAnsi"/>
                <w:sz w:val="16"/>
                <w:szCs w:val="16"/>
              </w:rPr>
            </w:pPr>
          </w:p>
        </w:tc>
        <w:tc>
          <w:tcPr>
            <w:tcW w:w="730" w:type="pct"/>
            <w:tcBorders>
              <w:top w:val="nil"/>
              <w:left w:val="nil"/>
              <w:bottom w:val="nil"/>
              <w:right w:val="nil"/>
            </w:tcBorders>
            <w:shd w:val="clear" w:color="auto" w:fill="auto"/>
            <w:noWrap/>
            <w:vAlign w:val="bottom"/>
            <w:hideMark/>
          </w:tcPr>
          <w:p w14:paraId="0D6A2A5A" w14:textId="77777777" w:rsidR="009444AA" w:rsidRPr="009444AA" w:rsidRDefault="009444AA">
            <w:pPr>
              <w:rPr>
                <w:rFonts w:asciiTheme="majorHAnsi" w:hAnsiTheme="majorHAnsi"/>
                <w:sz w:val="16"/>
                <w:szCs w:val="16"/>
              </w:rPr>
            </w:pPr>
          </w:p>
        </w:tc>
        <w:tc>
          <w:tcPr>
            <w:tcW w:w="363" w:type="pct"/>
            <w:tcBorders>
              <w:top w:val="nil"/>
              <w:left w:val="nil"/>
              <w:bottom w:val="nil"/>
              <w:right w:val="nil"/>
            </w:tcBorders>
            <w:shd w:val="clear" w:color="auto" w:fill="auto"/>
            <w:noWrap/>
            <w:vAlign w:val="bottom"/>
            <w:hideMark/>
          </w:tcPr>
          <w:p w14:paraId="3CE7850E" w14:textId="77777777" w:rsidR="009444AA" w:rsidRPr="009444AA" w:rsidRDefault="009444AA">
            <w:pPr>
              <w:rPr>
                <w:rFonts w:asciiTheme="majorHAnsi" w:hAnsiTheme="majorHAnsi"/>
                <w:sz w:val="16"/>
                <w:szCs w:val="16"/>
              </w:rPr>
            </w:pPr>
          </w:p>
        </w:tc>
      </w:tr>
      <w:tr w:rsidR="009444AA" w:rsidRPr="009444AA" w14:paraId="6AB6473B" w14:textId="77777777" w:rsidTr="009444AA">
        <w:trPr>
          <w:trHeight w:val="227"/>
        </w:trPr>
        <w:tc>
          <w:tcPr>
            <w:tcW w:w="2141" w:type="pct"/>
            <w:tcBorders>
              <w:top w:val="nil"/>
              <w:left w:val="nil"/>
              <w:bottom w:val="nil"/>
              <w:right w:val="nil"/>
            </w:tcBorders>
            <w:shd w:val="clear" w:color="auto" w:fill="auto"/>
            <w:noWrap/>
            <w:vAlign w:val="bottom"/>
            <w:hideMark/>
          </w:tcPr>
          <w:p w14:paraId="21231917" w14:textId="77777777" w:rsidR="009444AA" w:rsidRPr="009444AA" w:rsidRDefault="009444AA">
            <w:pPr>
              <w:jc w:val="right"/>
              <w:rPr>
                <w:rFonts w:asciiTheme="majorHAnsi" w:hAnsiTheme="majorHAnsi"/>
                <w:sz w:val="16"/>
                <w:szCs w:val="16"/>
              </w:rPr>
            </w:pPr>
          </w:p>
        </w:tc>
        <w:tc>
          <w:tcPr>
            <w:tcW w:w="508" w:type="pct"/>
            <w:tcBorders>
              <w:top w:val="nil"/>
              <w:left w:val="nil"/>
              <w:bottom w:val="nil"/>
              <w:right w:val="nil"/>
            </w:tcBorders>
            <w:shd w:val="clear" w:color="auto" w:fill="auto"/>
            <w:noWrap/>
            <w:vAlign w:val="bottom"/>
            <w:hideMark/>
          </w:tcPr>
          <w:p w14:paraId="5A86520F" w14:textId="77777777" w:rsidR="009444AA" w:rsidRPr="009444AA" w:rsidRDefault="009444AA">
            <w:pPr>
              <w:rPr>
                <w:rFonts w:asciiTheme="majorHAnsi" w:hAnsiTheme="majorHAnsi"/>
                <w:sz w:val="16"/>
                <w:szCs w:val="16"/>
              </w:rPr>
            </w:pPr>
          </w:p>
        </w:tc>
        <w:tc>
          <w:tcPr>
            <w:tcW w:w="560" w:type="pct"/>
            <w:tcBorders>
              <w:top w:val="nil"/>
              <w:left w:val="nil"/>
              <w:bottom w:val="nil"/>
              <w:right w:val="nil"/>
            </w:tcBorders>
            <w:shd w:val="clear" w:color="auto" w:fill="auto"/>
            <w:noWrap/>
            <w:vAlign w:val="bottom"/>
            <w:hideMark/>
          </w:tcPr>
          <w:p w14:paraId="6E06E6F5" w14:textId="77777777" w:rsidR="009444AA" w:rsidRPr="009444AA" w:rsidRDefault="009444AA">
            <w:pPr>
              <w:rPr>
                <w:rFonts w:asciiTheme="majorHAnsi" w:hAnsiTheme="majorHAnsi"/>
                <w:sz w:val="16"/>
                <w:szCs w:val="16"/>
              </w:rPr>
            </w:pPr>
          </w:p>
        </w:tc>
        <w:tc>
          <w:tcPr>
            <w:tcW w:w="698" w:type="pct"/>
            <w:tcBorders>
              <w:top w:val="nil"/>
              <w:left w:val="nil"/>
              <w:bottom w:val="nil"/>
              <w:right w:val="nil"/>
            </w:tcBorders>
            <w:shd w:val="clear" w:color="auto" w:fill="auto"/>
            <w:noWrap/>
            <w:vAlign w:val="bottom"/>
            <w:hideMark/>
          </w:tcPr>
          <w:p w14:paraId="19D73938" w14:textId="77777777" w:rsidR="009444AA" w:rsidRPr="009444AA" w:rsidRDefault="009444AA">
            <w:pPr>
              <w:rPr>
                <w:rFonts w:asciiTheme="majorHAnsi" w:hAnsiTheme="majorHAnsi"/>
                <w:sz w:val="16"/>
                <w:szCs w:val="16"/>
              </w:rPr>
            </w:pPr>
          </w:p>
        </w:tc>
        <w:tc>
          <w:tcPr>
            <w:tcW w:w="730" w:type="pct"/>
            <w:tcBorders>
              <w:top w:val="nil"/>
              <w:left w:val="nil"/>
              <w:bottom w:val="nil"/>
              <w:right w:val="nil"/>
            </w:tcBorders>
            <w:shd w:val="clear" w:color="auto" w:fill="auto"/>
            <w:noWrap/>
            <w:vAlign w:val="bottom"/>
            <w:hideMark/>
          </w:tcPr>
          <w:p w14:paraId="70BAE8B1" w14:textId="77777777" w:rsidR="009444AA" w:rsidRPr="009444AA" w:rsidRDefault="009444AA">
            <w:pPr>
              <w:rPr>
                <w:rFonts w:asciiTheme="majorHAnsi" w:hAnsiTheme="majorHAnsi"/>
                <w:sz w:val="16"/>
                <w:szCs w:val="16"/>
              </w:rPr>
            </w:pPr>
          </w:p>
        </w:tc>
        <w:tc>
          <w:tcPr>
            <w:tcW w:w="363" w:type="pct"/>
            <w:tcBorders>
              <w:top w:val="nil"/>
              <w:left w:val="nil"/>
              <w:bottom w:val="nil"/>
              <w:right w:val="nil"/>
            </w:tcBorders>
            <w:shd w:val="clear" w:color="auto" w:fill="auto"/>
            <w:noWrap/>
            <w:vAlign w:val="bottom"/>
            <w:hideMark/>
          </w:tcPr>
          <w:p w14:paraId="4D7DB5DA" w14:textId="77777777" w:rsidR="009444AA" w:rsidRPr="009444AA" w:rsidRDefault="009444AA">
            <w:pPr>
              <w:rPr>
                <w:rFonts w:asciiTheme="majorHAnsi" w:hAnsiTheme="majorHAnsi"/>
                <w:sz w:val="16"/>
                <w:szCs w:val="16"/>
              </w:rPr>
            </w:pPr>
          </w:p>
        </w:tc>
      </w:tr>
      <w:tr w:rsidR="009444AA" w:rsidRPr="009444AA" w14:paraId="02C3CD32" w14:textId="77777777" w:rsidTr="009444AA">
        <w:trPr>
          <w:trHeight w:val="227"/>
        </w:trPr>
        <w:tc>
          <w:tcPr>
            <w:tcW w:w="5000" w:type="pct"/>
            <w:gridSpan w:val="6"/>
            <w:tcBorders>
              <w:top w:val="nil"/>
              <w:left w:val="nil"/>
              <w:bottom w:val="nil"/>
              <w:right w:val="nil"/>
            </w:tcBorders>
            <w:shd w:val="clear" w:color="auto" w:fill="auto"/>
            <w:noWrap/>
            <w:vAlign w:val="bottom"/>
            <w:hideMark/>
          </w:tcPr>
          <w:p w14:paraId="6DD796DF" w14:textId="77777777" w:rsidR="009444AA" w:rsidRPr="009444AA" w:rsidRDefault="009444AA">
            <w:pPr>
              <w:jc w:val="center"/>
              <w:rPr>
                <w:rFonts w:asciiTheme="majorHAnsi" w:hAnsiTheme="majorHAnsi" w:cs="Arial"/>
                <w:sz w:val="16"/>
                <w:szCs w:val="16"/>
              </w:rPr>
            </w:pPr>
            <w:r w:rsidRPr="009444AA">
              <w:rPr>
                <w:rFonts w:asciiTheme="majorHAnsi" w:hAnsiTheme="majorHAnsi" w:cs="Arial"/>
                <w:sz w:val="16"/>
                <w:szCs w:val="16"/>
              </w:rPr>
              <w:t>(As Notas Explicativas são parte integrante das demonstrações contábeis intermediárias)</w:t>
            </w:r>
          </w:p>
        </w:tc>
      </w:tr>
    </w:tbl>
    <w:p w14:paraId="280FA7B9" w14:textId="434C9CCE" w:rsidR="00331A4D" w:rsidRDefault="00331A4D" w:rsidP="002E2B5B">
      <w:pPr>
        <w:pStyle w:val="Ttulo1"/>
        <w:tabs>
          <w:tab w:val="left" w:pos="1701"/>
        </w:tabs>
        <w:ind w:right="-142"/>
        <w:rPr>
          <w:rFonts w:ascii="Calibri" w:hAnsi="Calibri" w:cs="Calibri"/>
          <w:szCs w:val="22"/>
        </w:rPr>
      </w:pPr>
    </w:p>
    <w:p w14:paraId="6D28748F" w14:textId="440C771A" w:rsidR="009444AA" w:rsidRDefault="009444AA" w:rsidP="009444AA"/>
    <w:p w14:paraId="2D4202AE" w14:textId="586D85B5" w:rsidR="009444AA" w:rsidRDefault="009444AA" w:rsidP="009444AA"/>
    <w:p w14:paraId="7CAF48F1" w14:textId="6B8E3DBC" w:rsidR="009444AA" w:rsidRDefault="009444AA" w:rsidP="009444AA"/>
    <w:p w14:paraId="4AE33C9F" w14:textId="0A998C30" w:rsidR="009444AA" w:rsidRDefault="009444AA" w:rsidP="009444AA"/>
    <w:p w14:paraId="3FA3BA8B" w14:textId="07384DAD" w:rsidR="009444AA" w:rsidRDefault="009444AA" w:rsidP="009444AA"/>
    <w:p w14:paraId="16089DE6" w14:textId="77777777" w:rsidR="009444AA" w:rsidRPr="009444AA" w:rsidRDefault="009444AA" w:rsidP="009444AA"/>
    <w:tbl>
      <w:tblPr>
        <w:tblW w:w="5000" w:type="pct"/>
        <w:tblCellMar>
          <w:left w:w="70" w:type="dxa"/>
          <w:right w:w="70" w:type="dxa"/>
        </w:tblCellMar>
        <w:tblLook w:val="04A0" w:firstRow="1" w:lastRow="0" w:firstColumn="1" w:lastColumn="0" w:noHBand="0" w:noVBand="1"/>
      </w:tblPr>
      <w:tblGrid>
        <w:gridCol w:w="3800"/>
        <w:gridCol w:w="146"/>
        <w:gridCol w:w="1696"/>
        <w:gridCol w:w="1354"/>
        <w:gridCol w:w="1686"/>
        <w:gridCol w:w="1785"/>
      </w:tblGrid>
      <w:tr w:rsidR="009444AA" w:rsidRPr="009444AA" w14:paraId="4011037C" w14:textId="77777777" w:rsidTr="009444AA">
        <w:trPr>
          <w:trHeight w:val="315"/>
        </w:trPr>
        <w:tc>
          <w:tcPr>
            <w:tcW w:w="5000" w:type="pct"/>
            <w:gridSpan w:val="6"/>
            <w:tcBorders>
              <w:top w:val="nil"/>
              <w:left w:val="nil"/>
              <w:bottom w:val="nil"/>
              <w:right w:val="nil"/>
            </w:tcBorders>
            <w:shd w:val="clear" w:color="auto" w:fill="auto"/>
            <w:noWrap/>
            <w:vAlign w:val="bottom"/>
            <w:hideMark/>
          </w:tcPr>
          <w:p w14:paraId="47FC95F0" w14:textId="77777777" w:rsidR="009444AA" w:rsidRPr="009444AA" w:rsidRDefault="009444AA">
            <w:pPr>
              <w:jc w:val="center"/>
              <w:rPr>
                <w:rFonts w:asciiTheme="majorHAnsi" w:hAnsiTheme="majorHAnsi" w:cs="Arial"/>
                <w:b/>
                <w:bCs/>
                <w:sz w:val="16"/>
                <w:szCs w:val="16"/>
              </w:rPr>
            </w:pPr>
            <w:r w:rsidRPr="009444AA">
              <w:rPr>
                <w:rFonts w:asciiTheme="majorHAnsi" w:hAnsiTheme="majorHAnsi" w:cs="Arial"/>
                <w:b/>
                <w:bCs/>
                <w:sz w:val="16"/>
                <w:szCs w:val="16"/>
              </w:rPr>
              <w:t>VALEC ENGENHARIA, CONSTRUÇÕES E FERROVIAS S/A</w:t>
            </w:r>
          </w:p>
        </w:tc>
      </w:tr>
      <w:tr w:rsidR="009444AA" w:rsidRPr="009444AA" w14:paraId="3A211FE5" w14:textId="77777777" w:rsidTr="009444AA">
        <w:trPr>
          <w:trHeight w:val="330"/>
        </w:trPr>
        <w:tc>
          <w:tcPr>
            <w:tcW w:w="5000" w:type="pct"/>
            <w:gridSpan w:val="6"/>
            <w:tcBorders>
              <w:top w:val="nil"/>
              <w:left w:val="nil"/>
              <w:bottom w:val="nil"/>
              <w:right w:val="nil"/>
            </w:tcBorders>
            <w:shd w:val="clear" w:color="auto" w:fill="auto"/>
            <w:noWrap/>
            <w:vAlign w:val="bottom"/>
            <w:hideMark/>
          </w:tcPr>
          <w:p w14:paraId="67BF8A14" w14:textId="77777777" w:rsidR="009444AA" w:rsidRPr="009444AA" w:rsidRDefault="009444AA">
            <w:pPr>
              <w:jc w:val="center"/>
              <w:rPr>
                <w:rFonts w:asciiTheme="majorHAnsi" w:hAnsiTheme="majorHAnsi" w:cs="Arial"/>
                <w:b/>
                <w:bCs/>
                <w:sz w:val="16"/>
                <w:szCs w:val="16"/>
              </w:rPr>
            </w:pPr>
            <w:r w:rsidRPr="009444AA">
              <w:rPr>
                <w:rFonts w:asciiTheme="majorHAnsi" w:hAnsiTheme="majorHAnsi" w:cs="Arial"/>
                <w:b/>
                <w:bCs/>
                <w:sz w:val="16"/>
                <w:szCs w:val="16"/>
              </w:rPr>
              <w:t xml:space="preserve">DEMONSTRAÇÃO DO RESULTADO ABRANGENTE  </w:t>
            </w:r>
          </w:p>
        </w:tc>
      </w:tr>
      <w:tr w:rsidR="009444AA" w:rsidRPr="009444AA" w14:paraId="344EBC64" w14:textId="77777777" w:rsidTr="009444AA">
        <w:trPr>
          <w:trHeight w:val="330"/>
        </w:trPr>
        <w:tc>
          <w:tcPr>
            <w:tcW w:w="5000" w:type="pct"/>
            <w:gridSpan w:val="6"/>
            <w:tcBorders>
              <w:top w:val="nil"/>
              <w:left w:val="nil"/>
              <w:bottom w:val="nil"/>
              <w:right w:val="nil"/>
            </w:tcBorders>
            <w:shd w:val="clear" w:color="auto" w:fill="auto"/>
            <w:noWrap/>
            <w:vAlign w:val="bottom"/>
            <w:hideMark/>
          </w:tcPr>
          <w:p w14:paraId="23D16CFC" w14:textId="77777777" w:rsidR="009444AA" w:rsidRPr="009444AA" w:rsidRDefault="009444AA">
            <w:pPr>
              <w:jc w:val="center"/>
              <w:rPr>
                <w:rFonts w:asciiTheme="majorHAnsi" w:hAnsiTheme="majorHAnsi" w:cs="Arial"/>
                <w:b/>
                <w:bCs/>
                <w:sz w:val="16"/>
                <w:szCs w:val="16"/>
              </w:rPr>
            </w:pPr>
            <w:r w:rsidRPr="009444AA">
              <w:rPr>
                <w:rFonts w:asciiTheme="majorHAnsi" w:hAnsiTheme="majorHAnsi" w:cs="Arial"/>
                <w:b/>
                <w:bCs/>
                <w:sz w:val="16"/>
                <w:szCs w:val="16"/>
              </w:rPr>
              <w:t>2º TRIMESTRE 2021</w:t>
            </w:r>
          </w:p>
        </w:tc>
      </w:tr>
      <w:tr w:rsidR="009444AA" w:rsidRPr="009444AA" w14:paraId="09A63EEC" w14:textId="77777777" w:rsidTr="009444AA">
        <w:trPr>
          <w:trHeight w:val="330"/>
        </w:trPr>
        <w:tc>
          <w:tcPr>
            <w:tcW w:w="5000" w:type="pct"/>
            <w:gridSpan w:val="6"/>
            <w:tcBorders>
              <w:top w:val="nil"/>
              <w:left w:val="nil"/>
              <w:bottom w:val="nil"/>
              <w:right w:val="nil"/>
            </w:tcBorders>
            <w:shd w:val="clear" w:color="auto" w:fill="auto"/>
            <w:noWrap/>
            <w:vAlign w:val="bottom"/>
            <w:hideMark/>
          </w:tcPr>
          <w:p w14:paraId="4B9E0EAF" w14:textId="77777777" w:rsidR="009444AA" w:rsidRPr="009444AA" w:rsidRDefault="009444AA">
            <w:pPr>
              <w:jc w:val="center"/>
              <w:rPr>
                <w:rFonts w:asciiTheme="majorHAnsi" w:hAnsiTheme="majorHAnsi" w:cs="Arial"/>
                <w:b/>
                <w:bCs/>
                <w:sz w:val="16"/>
                <w:szCs w:val="16"/>
              </w:rPr>
            </w:pPr>
            <w:r w:rsidRPr="009444AA">
              <w:rPr>
                <w:rFonts w:asciiTheme="majorHAnsi" w:hAnsiTheme="majorHAnsi" w:cs="Arial"/>
                <w:b/>
                <w:bCs/>
                <w:sz w:val="16"/>
                <w:szCs w:val="16"/>
              </w:rPr>
              <w:t>Em R$ 1</w:t>
            </w:r>
          </w:p>
        </w:tc>
      </w:tr>
      <w:tr w:rsidR="009444AA" w:rsidRPr="009444AA" w14:paraId="40EC2608" w14:textId="77777777" w:rsidTr="009444AA">
        <w:trPr>
          <w:trHeight w:val="330"/>
        </w:trPr>
        <w:tc>
          <w:tcPr>
            <w:tcW w:w="1818" w:type="pct"/>
            <w:tcBorders>
              <w:top w:val="nil"/>
              <w:left w:val="nil"/>
              <w:bottom w:val="nil"/>
              <w:right w:val="nil"/>
            </w:tcBorders>
            <w:shd w:val="clear" w:color="auto" w:fill="auto"/>
            <w:noWrap/>
            <w:vAlign w:val="bottom"/>
            <w:hideMark/>
          </w:tcPr>
          <w:p w14:paraId="49C89410" w14:textId="77777777" w:rsidR="009444AA" w:rsidRPr="009444AA" w:rsidRDefault="009444AA">
            <w:pPr>
              <w:jc w:val="center"/>
              <w:rPr>
                <w:rFonts w:asciiTheme="majorHAnsi" w:hAnsiTheme="majorHAnsi" w:cs="Arial"/>
                <w:b/>
                <w:bCs/>
                <w:sz w:val="16"/>
                <w:szCs w:val="16"/>
              </w:rPr>
            </w:pPr>
          </w:p>
        </w:tc>
        <w:tc>
          <w:tcPr>
            <w:tcW w:w="57" w:type="pct"/>
            <w:tcBorders>
              <w:top w:val="nil"/>
              <w:left w:val="nil"/>
              <w:bottom w:val="nil"/>
              <w:right w:val="nil"/>
            </w:tcBorders>
            <w:shd w:val="clear" w:color="auto" w:fill="auto"/>
            <w:noWrap/>
            <w:vAlign w:val="bottom"/>
            <w:hideMark/>
          </w:tcPr>
          <w:p w14:paraId="2EE509B9" w14:textId="77777777" w:rsidR="009444AA" w:rsidRPr="009444AA" w:rsidRDefault="009444AA">
            <w:pPr>
              <w:jc w:val="center"/>
              <w:rPr>
                <w:rFonts w:asciiTheme="majorHAnsi" w:hAnsiTheme="majorHAnsi"/>
                <w:sz w:val="16"/>
                <w:szCs w:val="16"/>
              </w:rPr>
            </w:pPr>
          </w:p>
        </w:tc>
        <w:tc>
          <w:tcPr>
            <w:tcW w:w="813" w:type="pct"/>
            <w:tcBorders>
              <w:top w:val="nil"/>
              <w:left w:val="nil"/>
              <w:bottom w:val="nil"/>
              <w:right w:val="nil"/>
            </w:tcBorders>
            <w:shd w:val="clear" w:color="auto" w:fill="auto"/>
            <w:noWrap/>
            <w:vAlign w:val="bottom"/>
            <w:hideMark/>
          </w:tcPr>
          <w:p w14:paraId="23B2C4DE" w14:textId="77777777" w:rsidR="009444AA" w:rsidRPr="009444AA" w:rsidRDefault="009444AA">
            <w:pPr>
              <w:jc w:val="center"/>
              <w:rPr>
                <w:rFonts w:asciiTheme="majorHAnsi" w:hAnsiTheme="majorHAnsi"/>
                <w:sz w:val="16"/>
                <w:szCs w:val="16"/>
              </w:rPr>
            </w:pPr>
          </w:p>
        </w:tc>
        <w:tc>
          <w:tcPr>
            <w:tcW w:w="649" w:type="pct"/>
            <w:tcBorders>
              <w:top w:val="nil"/>
              <w:left w:val="nil"/>
              <w:bottom w:val="nil"/>
              <w:right w:val="nil"/>
            </w:tcBorders>
            <w:shd w:val="clear" w:color="auto" w:fill="auto"/>
            <w:noWrap/>
            <w:vAlign w:val="bottom"/>
            <w:hideMark/>
          </w:tcPr>
          <w:p w14:paraId="1C373724" w14:textId="77777777" w:rsidR="009444AA" w:rsidRPr="009444AA" w:rsidRDefault="009444AA">
            <w:pPr>
              <w:jc w:val="center"/>
              <w:rPr>
                <w:rFonts w:asciiTheme="majorHAnsi" w:hAnsiTheme="majorHAnsi"/>
                <w:sz w:val="16"/>
                <w:szCs w:val="16"/>
              </w:rPr>
            </w:pPr>
          </w:p>
        </w:tc>
        <w:tc>
          <w:tcPr>
            <w:tcW w:w="808" w:type="pct"/>
            <w:tcBorders>
              <w:top w:val="nil"/>
              <w:left w:val="nil"/>
              <w:bottom w:val="nil"/>
              <w:right w:val="nil"/>
            </w:tcBorders>
            <w:shd w:val="clear" w:color="auto" w:fill="auto"/>
            <w:noWrap/>
            <w:vAlign w:val="bottom"/>
            <w:hideMark/>
          </w:tcPr>
          <w:p w14:paraId="0D4B264A" w14:textId="77777777" w:rsidR="009444AA" w:rsidRPr="009444AA" w:rsidRDefault="009444AA">
            <w:pPr>
              <w:jc w:val="center"/>
              <w:rPr>
                <w:rFonts w:asciiTheme="majorHAnsi" w:hAnsiTheme="majorHAnsi"/>
                <w:sz w:val="16"/>
                <w:szCs w:val="16"/>
              </w:rPr>
            </w:pPr>
          </w:p>
        </w:tc>
        <w:tc>
          <w:tcPr>
            <w:tcW w:w="855" w:type="pct"/>
            <w:tcBorders>
              <w:top w:val="nil"/>
              <w:left w:val="nil"/>
              <w:bottom w:val="nil"/>
              <w:right w:val="nil"/>
            </w:tcBorders>
            <w:shd w:val="clear" w:color="auto" w:fill="auto"/>
            <w:noWrap/>
            <w:vAlign w:val="bottom"/>
            <w:hideMark/>
          </w:tcPr>
          <w:p w14:paraId="17089FEE" w14:textId="77777777" w:rsidR="009444AA" w:rsidRPr="009444AA" w:rsidRDefault="009444AA">
            <w:pPr>
              <w:jc w:val="center"/>
              <w:rPr>
                <w:rFonts w:asciiTheme="majorHAnsi" w:hAnsiTheme="majorHAnsi"/>
                <w:sz w:val="16"/>
                <w:szCs w:val="16"/>
              </w:rPr>
            </w:pPr>
          </w:p>
        </w:tc>
      </w:tr>
      <w:tr w:rsidR="009444AA" w:rsidRPr="009444AA" w14:paraId="63A89FAE" w14:textId="77777777" w:rsidTr="009444AA">
        <w:trPr>
          <w:trHeight w:val="300"/>
        </w:trPr>
        <w:tc>
          <w:tcPr>
            <w:tcW w:w="1818" w:type="pct"/>
            <w:tcBorders>
              <w:top w:val="nil"/>
              <w:left w:val="nil"/>
              <w:bottom w:val="nil"/>
              <w:right w:val="nil"/>
            </w:tcBorders>
            <w:shd w:val="clear" w:color="auto" w:fill="auto"/>
            <w:noWrap/>
            <w:vAlign w:val="bottom"/>
            <w:hideMark/>
          </w:tcPr>
          <w:p w14:paraId="3E7BE011" w14:textId="77777777" w:rsidR="009444AA" w:rsidRPr="009444AA" w:rsidRDefault="009444AA">
            <w:pPr>
              <w:jc w:val="right"/>
              <w:rPr>
                <w:rFonts w:asciiTheme="majorHAnsi" w:hAnsiTheme="majorHAnsi"/>
                <w:sz w:val="16"/>
                <w:szCs w:val="16"/>
              </w:rPr>
            </w:pPr>
          </w:p>
        </w:tc>
        <w:tc>
          <w:tcPr>
            <w:tcW w:w="57" w:type="pct"/>
            <w:tcBorders>
              <w:top w:val="nil"/>
              <w:left w:val="nil"/>
              <w:bottom w:val="nil"/>
              <w:right w:val="nil"/>
            </w:tcBorders>
            <w:shd w:val="clear" w:color="auto" w:fill="auto"/>
            <w:noWrap/>
            <w:vAlign w:val="bottom"/>
            <w:hideMark/>
          </w:tcPr>
          <w:p w14:paraId="314FB9E1" w14:textId="77777777" w:rsidR="009444AA" w:rsidRPr="009444AA" w:rsidRDefault="009444AA">
            <w:pPr>
              <w:jc w:val="center"/>
              <w:rPr>
                <w:rFonts w:asciiTheme="majorHAnsi" w:hAnsiTheme="majorHAnsi"/>
                <w:sz w:val="16"/>
                <w:szCs w:val="16"/>
              </w:rPr>
            </w:pPr>
          </w:p>
        </w:tc>
        <w:tc>
          <w:tcPr>
            <w:tcW w:w="813" w:type="pct"/>
            <w:tcBorders>
              <w:top w:val="nil"/>
              <w:left w:val="nil"/>
              <w:bottom w:val="nil"/>
              <w:right w:val="nil"/>
            </w:tcBorders>
            <w:shd w:val="clear" w:color="auto" w:fill="auto"/>
            <w:noWrap/>
            <w:vAlign w:val="bottom"/>
            <w:hideMark/>
          </w:tcPr>
          <w:p w14:paraId="5A9AAE13" w14:textId="77777777" w:rsidR="009444AA" w:rsidRPr="009444AA" w:rsidRDefault="009444AA">
            <w:pPr>
              <w:jc w:val="center"/>
              <w:rPr>
                <w:rFonts w:asciiTheme="majorHAnsi" w:hAnsiTheme="majorHAnsi"/>
                <w:sz w:val="16"/>
                <w:szCs w:val="16"/>
              </w:rPr>
            </w:pPr>
          </w:p>
        </w:tc>
        <w:tc>
          <w:tcPr>
            <w:tcW w:w="649" w:type="pct"/>
            <w:tcBorders>
              <w:top w:val="nil"/>
              <w:left w:val="nil"/>
              <w:bottom w:val="nil"/>
              <w:right w:val="nil"/>
            </w:tcBorders>
            <w:shd w:val="clear" w:color="000000" w:fill="FFFFFF"/>
            <w:noWrap/>
            <w:vAlign w:val="bottom"/>
            <w:hideMark/>
          </w:tcPr>
          <w:p w14:paraId="7B14F7B9"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 </w:t>
            </w:r>
          </w:p>
        </w:tc>
        <w:tc>
          <w:tcPr>
            <w:tcW w:w="808" w:type="pct"/>
            <w:tcBorders>
              <w:top w:val="nil"/>
              <w:left w:val="nil"/>
              <w:bottom w:val="nil"/>
              <w:right w:val="nil"/>
            </w:tcBorders>
            <w:shd w:val="clear" w:color="000000" w:fill="FFFFFF"/>
            <w:noWrap/>
            <w:vAlign w:val="bottom"/>
            <w:hideMark/>
          </w:tcPr>
          <w:p w14:paraId="6E7078D4" w14:textId="77777777"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 </w:t>
            </w:r>
          </w:p>
        </w:tc>
        <w:tc>
          <w:tcPr>
            <w:tcW w:w="855" w:type="pct"/>
            <w:tcBorders>
              <w:top w:val="nil"/>
              <w:left w:val="nil"/>
              <w:bottom w:val="nil"/>
              <w:right w:val="nil"/>
            </w:tcBorders>
            <w:shd w:val="clear" w:color="auto" w:fill="auto"/>
            <w:vAlign w:val="bottom"/>
            <w:hideMark/>
          </w:tcPr>
          <w:p w14:paraId="6BD84A55" w14:textId="77777777" w:rsidR="009444AA" w:rsidRPr="009444AA" w:rsidRDefault="009444AA">
            <w:pPr>
              <w:rPr>
                <w:rFonts w:asciiTheme="majorHAnsi" w:hAnsiTheme="majorHAnsi" w:cs="Arial"/>
                <w:b/>
                <w:bCs/>
                <w:sz w:val="16"/>
                <w:szCs w:val="16"/>
              </w:rPr>
            </w:pPr>
          </w:p>
        </w:tc>
      </w:tr>
      <w:tr w:rsidR="009444AA" w:rsidRPr="009444AA" w14:paraId="4AF1BC8A" w14:textId="77777777" w:rsidTr="009444AA">
        <w:trPr>
          <w:trHeight w:val="480"/>
        </w:trPr>
        <w:tc>
          <w:tcPr>
            <w:tcW w:w="1818" w:type="pct"/>
            <w:tcBorders>
              <w:top w:val="nil"/>
              <w:left w:val="nil"/>
              <w:bottom w:val="nil"/>
              <w:right w:val="nil"/>
            </w:tcBorders>
            <w:shd w:val="clear" w:color="auto" w:fill="auto"/>
            <w:noWrap/>
            <w:vAlign w:val="bottom"/>
            <w:hideMark/>
          </w:tcPr>
          <w:p w14:paraId="5702B957" w14:textId="77777777" w:rsidR="009444AA" w:rsidRPr="009444AA" w:rsidRDefault="009444AA">
            <w:pPr>
              <w:jc w:val="right"/>
              <w:rPr>
                <w:rFonts w:asciiTheme="majorHAnsi" w:hAnsiTheme="majorHAnsi"/>
                <w:sz w:val="16"/>
                <w:szCs w:val="16"/>
              </w:rPr>
            </w:pPr>
          </w:p>
        </w:tc>
        <w:tc>
          <w:tcPr>
            <w:tcW w:w="57" w:type="pct"/>
            <w:tcBorders>
              <w:top w:val="nil"/>
              <w:left w:val="nil"/>
              <w:bottom w:val="nil"/>
              <w:right w:val="nil"/>
            </w:tcBorders>
            <w:shd w:val="clear" w:color="auto" w:fill="auto"/>
            <w:noWrap/>
            <w:vAlign w:val="bottom"/>
            <w:hideMark/>
          </w:tcPr>
          <w:p w14:paraId="1E8D245C" w14:textId="77777777" w:rsidR="009444AA" w:rsidRPr="009444AA" w:rsidRDefault="009444AA">
            <w:pPr>
              <w:rPr>
                <w:rFonts w:asciiTheme="majorHAnsi" w:hAnsiTheme="majorHAnsi"/>
                <w:sz w:val="16"/>
                <w:szCs w:val="16"/>
              </w:rPr>
            </w:pPr>
          </w:p>
        </w:tc>
        <w:tc>
          <w:tcPr>
            <w:tcW w:w="813" w:type="pct"/>
            <w:tcBorders>
              <w:top w:val="nil"/>
              <w:left w:val="nil"/>
              <w:bottom w:val="nil"/>
              <w:right w:val="nil"/>
            </w:tcBorders>
            <w:shd w:val="clear" w:color="auto" w:fill="auto"/>
            <w:vAlign w:val="bottom"/>
            <w:hideMark/>
          </w:tcPr>
          <w:p w14:paraId="27B8AA86" w14:textId="77777777" w:rsidR="009444AA" w:rsidRPr="009444AA" w:rsidRDefault="009444AA" w:rsidP="009444AA">
            <w:pPr>
              <w:jc w:val="right"/>
              <w:rPr>
                <w:rFonts w:asciiTheme="majorHAnsi" w:hAnsiTheme="majorHAnsi" w:cs="Arial"/>
                <w:b/>
                <w:bCs/>
                <w:sz w:val="16"/>
                <w:szCs w:val="16"/>
              </w:rPr>
            </w:pPr>
            <w:r w:rsidRPr="009444AA">
              <w:rPr>
                <w:rFonts w:asciiTheme="majorHAnsi" w:hAnsiTheme="majorHAnsi" w:cs="Arial"/>
                <w:b/>
                <w:bCs/>
                <w:sz w:val="16"/>
                <w:szCs w:val="16"/>
              </w:rPr>
              <w:t>01/04/2021</w:t>
            </w:r>
          </w:p>
        </w:tc>
        <w:tc>
          <w:tcPr>
            <w:tcW w:w="649" w:type="pct"/>
            <w:tcBorders>
              <w:top w:val="nil"/>
              <w:left w:val="nil"/>
              <w:bottom w:val="nil"/>
              <w:right w:val="nil"/>
            </w:tcBorders>
            <w:shd w:val="clear" w:color="auto" w:fill="auto"/>
            <w:vAlign w:val="bottom"/>
            <w:hideMark/>
          </w:tcPr>
          <w:p w14:paraId="7272ACFF" w14:textId="77777777" w:rsidR="009444AA" w:rsidRPr="009444AA" w:rsidRDefault="009444AA" w:rsidP="009444AA">
            <w:pPr>
              <w:jc w:val="right"/>
              <w:rPr>
                <w:rFonts w:asciiTheme="majorHAnsi" w:hAnsiTheme="majorHAnsi" w:cs="Arial"/>
                <w:b/>
                <w:bCs/>
                <w:sz w:val="16"/>
                <w:szCs w:val="16"/>
              </w:rPr>
            </w:pPr>
            <w:r w:rsidRPr="009444AA">
              <w:rPr>
                <w:rFonts w:asciiTheme="majorHAnsi" w:hAnsiTheme="majorHAnsi" w:cs="Arial"/>
                <w:b/>
                <w:bCs/>
                <w:sz w:val="16"/>
                <w:szCs w:val="16"/>
              </w:rPr>
              <w:t>01/01/2021</w:t>
            </w:r>
          </w:p>
        </w:tc>
        <w:tc>
          <w:tcPr>
            <w:tcW w:w="808" w:type="pct"/>
            <w:tcBorders>
              <w:top w:val="nil"/>
              <w:left w:val="nil"/>
              <w:bottom w:val="nil"/>
              <w:right w:val="nil"/>
            </w:tcBorders>
            <w:shd w:val="clear" w:color="auto" w:fill="auto"/>
            <w:vAlign w:val="bottom"/>
            <w:hideMark/>
          </w:tcPr>
          <w:p w14:paraId="34639611" w14:textId="77777777" w:rsidR="009444AA" w:rsidRPr="009444AA" w:rsidRDefault="009444AA" w:rsidP="009444AA">
            <w:pPr>
              <w:jc w:val="right"/>
              <w:rPr>
                <w:rFonts w:asciiTheme="majorHAnsi" w:hAnsiTheme="majorHAnsi" w:cs="Arial"/>
                <w:b/>
                <w:bCs/>
                <w:sz w:val="16"/>
                <w:szCs w:val="16"/>
              </w:rPr>
            </w:pPr>
            <w:r w:rsidRPr="009444AA">
              <w:rPr>
                <w:rFonts w:asciiTheme="majorHAnsi" w:hAnsiTheme="majorHAnsi" w:cs="Arial"/>
                <w:b/>
                <w:bCs/>
                <w:sz w:val="16"/>
                <w:szCs w:val="16"/>
              </w:rPr>
              <w:t>01/04/2020</w:t>
            </w:r>
          </w:p>
        </w:tc>
        <w:tc>
          <w:tcPr>
            <w:tcW w:w="855" w:type="pct"/>
            <w:tcBorders>
              <w:top w:val="nil"/>
              <w:left w:val="nil"/>
              <w:bottom w:val="nil"/>
              <w:right w:val="nil"/>
            </w:tcBorders>
            <w:shd w:val="clear" w:color="auto" w:fill="auto"/>
            <w:vAlign w:val="bottom"/>
            <w:hideMark/>
          </w:tcPr>
          <w:p w14:paraId="6B80E583" w14:textId="77777777" w:rsidR="009444AA" w:rsidRPr="009444AA" w:rsidRDefault="009444AA" w:rsidP="009444AA">
            <w:pPr>
              <w:jc w:val="right"/>
              <w:rPr>
                <w:rFonts w:asciiTheme="majorHAnsi" w:hAnsiTheme="majorHAnsi" w:cs="Arial"/>
                <w:b/>
                <w:bCs/>
                <w:sz w:val="16"/>
                <w:szCs w:val="16"/>
              </w:rPr>
            </w:pPr>
            <w:r w:rsidRPr="009444AA">
              <w:rPr>
                <w:rFonts w:asciiTheme="majorHAnsi" w:hAnsiTheme="majorHAnsi" w:cs="Arial"/>
                <w:b/>
                <w:bCs/>
                <w:sz w:val="16"/>
                <w:szCs w:val="16"/>
              </w:rPr>
              <w:t>01/01/2020</w:t>
            </w:r>
          </w:p>
        </w:tc>
      </w:tr>
      <w:tr w:rsidR="009444AA" w:rsidRPr="009444AA" w14:paraId="19F41A74" w14:textId="77777777" w:rsidTr="009444AA">
        <w:trPr>
          <w:trHeight w:val="300"/>
        </w:trPr>
        <w:tc>
          <w:tcPr>
            <w:tcW w:w="1818" w:type="pct"/>
            <w:tcBorders>
              <w:top w:val="nil"/>
              <w:left w:val="nil"/>
              <w:bottom w:val="nil"/>
              <w:right w:val="nil"/>
            </w:tcBorders>
            <w:shd w:val="clear" w:color="auto" w:fill="auto"/>
            <w:noWrap/>
            <w:vAlign w:val="bottom"/>
            <w:hideMark/>
          </w:tcPr>
          <w:p w14:paraId="36DACDFA" w14:textId="77777777" w:rsidR="009444AA" w:rsidRPr="009444AA" w:rsidRDefault="009444AA">
            <w:pPr>
              <w:jc w:val="right"/>
              <w:rPr>
                <w:rFonts w:asciiTheme="majorHAnsi" w:hAnsiTheme="majorHAnsi" w:cs="Arial"/>
                <w:b/>
                <w:bCs/>
                <w:sz w:val="16"/>
                <w:szCs w:val="16"/>
              </w:rPr>
            </w:pPr>
          </w:p>
        </w:tc>
        <w:tc>
          <w:tcPr>
            <w:tcW w:w="57" w:type="pct"/>
            <w:tcBorders>
              <w:top w:val="nil"/>
              <w:left w:val="nil"/>
              <w:bottom w:val="nil"/>
              <w:right w:val="nil"/>
            </w:tcBorders>
            <w:shd w:val="clear" w:color="auto" w:fill="auto"/>
            <w:noWrap/>
            <w:vAlign w:val="bottom"/>
            <w:hideMark/>
          </w:tcPr>
          <w:p w14:paraId="031CD37B" w14:textId="77777777" w:rsidR="009444AA" w:rsidRPr="009444AA" w:rsidRDefault="009444AA">
            <w:pPr>
              <w:rPr>
                <w:rFonts w:asciiTheme="majorHAnsi" w:hAnsiTheme="majorHAnsi"/>
                <w:sz w:val="16"/>
                <w:szCs w:val="16"/>
              </w:rPr>
            </w:pPr>
          </w:p>
        </w:tc>
        <w:tc>
          <w:tcPr>
            <w:tcW w:w="813" w:type="pct"/>
            <w:tcBorders>
              <w:top w:val="nil"/>
              <w:left w:val="nil"/>
              <w:bottom w:val="nil"/>
              <w:right w:val="nil"/>
            </w:tcBorders>
            <w:shd w:val="clear" w:color="auto" w:fill="auto"/>
            <w:vAlign w:val="bottom"/>
            <w:hideMark/>
          </w:tcPr>
          <w:p w14:paraId="03E9B921" w14:textId="77777777" w:rsidR="009444AA" w:rsidRPr="009444AA" w:rsidRDefault="009444AA" w:rsidP="009444AA">
            <w:pPr>
              <w:jc w:val="right"/>
              <w:rPr>
                <w:rFonts w:asciiTheme="majorHAnsi" w:hAnsiTheme="majorHAnsi" w:cs="Arial"/>
                <w:b/>
                <w:bCs/>
                <w:sz w:val="16"/>
                <w:szCs w:val="16"/>
              </w:rPr>
            </w:pPr>
            <w:r w:rsidRPr="009444AA">
              <w:rPr>
                <w:rFonts w:asciiTheme="majorHAnsi" w:hAnsiTheme="majorHAnsi" w:cs="Arial"/>
                <w:b/>
                <w:bCs/>
                <w:sz w:val="16"/>
                <w:szCs w:val="16"/>
              </w:rPr>
              <w:t>a 30/06/2021</w:t>
            </w:r>
          </w:p>
        </w:tc>
        <w:tc>
          <w:tcPr>
            <w:tcW w:w="649" w:type="pct"/>
            <w:tcBorders>
              <w:top w:val="nil"/>
              <w:left w:val="nil"/>
              <w:bottom w:val="nil"/>
              <w:right w:val="nil"/>
            </w:tcBorders>
            <w:shd w:val="clear" w:color="auto" w:fill="auto"/>
            <w:vAlign w:val="bottom"/>
            <w:hideMark/>
          </w:tcPr>
          <w:p w14:paraId="386FD73F" w14:textId="77777777" w:rsidR="009444AA" w:rsidRPr="009444AA" w:rsidRDefault="009444AA" w:rsidP="009444AA">
            <w:pPr>
              <w:jc w:val="right"/>
              <w:rPr>
                <w:rFonts w:asciiTheme="majorHAnsi" w:hAnsiTheme="majorHAnsi" w:cs="Arial"/>
                <w:b/>
                <w:bCs/>
                <w:sz w:val="16"/>
                <w:szCs w:val="16"/>
              </w:rPr>
            </w:pPr>
            <w:r w:rsidRPr="009444AA">
              <w:rPr>
                <w:rFonts w:asciiTheme="majorHAnsi" w:hAnsiTheme="majorHAnsi" w:cs="Arial"/>
                <w:b/>
                <w:bCs/>
                <w:sz w:val="16"/>
                <w:szCs w:val="16"/>
              </w:rPr>
              <w:t>a 30/06/2021</w:t>
            </w:r>
          </w:p>
        </w:tc>
        <w:tc>
          <w:tcPr>
            <w:tcW w:w="808" w:type="pct"/>
            <w:tcBorders>
              <w:top w:val="nil"/>
              <w:left w:val="nil"/>
              <w:bottom w:val="nil"/>
              <w:right w:val="nil"/>
            </w:tcBorders>
            <w:shd w:val="clear" w:color="auto" w:fill="auto"/>
            <w:vAlign w:val="bottom"/>
            <w:hideMark/>
          </w:tcPr>
          <w:p w14:paraId="35A15575" w14:textId="77777777" w:rsidR="009444AA" w:rsidRPr="009444AA" w:rsidRDefault="009444AA" w:rsidP="009444AA">
            <w:pPr>
              <w:jc w:val="right"/>
              <w:rPr>
                <w:rFonts w:asciiTheme="majorHAnsi" w:hAnsiTheme="majorHAnsi" w:cs="Arial"/>
                <w:b/>
                <w:bCs/>
                <w:sz w:val="16"/>
                <w:szCs w:val="16"/>
              </w:rPr>
            </w:pPr>
            <w:r w:rsidRPr="009444AA">
              <w:rPr>
                <w:rFonts w:asciiTheme="majorHAnsi" w:hAnsiTheme="majorHAnsi" w:cs="Arial"/>
                <w:b/>
                <w:bCs/>
                <w:sz w:val="16"/>
                <w:szCs w:val="16"/>
              </w:rPr>
              <w:t>a 30/06/2020</w:t>
            </w:r>
          </w:p>
        </w:tc>
        <w:tc>
          <w:tcPr>
            <w:tcW w:w="855" w:type="pct"/>
            <w:tcBorders>
              <w:top w:val="nil"/>
              <w:left w:val="nil"/>
              <w:bottom w:val="nil"/>
              <w:right w:val="nil"/>
            </w:tcBorders>
            <w:shd w:val="clear" w:color="auto" w:fill="auto"/>
            <w:vAlign w:val="bottom"/>
            <w:hideMark/>
          </w:tcPr>
          <w:p w14:paraId="0958424C" w14:textId="77777777" w:rsidR="009444AA" w:rsidRPr="009444AA" w:rsidRDefault="009444AA" w:rsidP="009444AA">
            <w:pPr>
              <w:jc w:val="right"/>
              <w:rPr>
                <w:rFonts w:asciiTheme="majorHAnsi" w:hAnsiTheme="majorHAnsi" w:cs="Arial"/>
                <w:b/>
                <w:bCs/>
                <w:sz w:val="16"/>
                <w:szCs w:val="16"/>
              </w:rPr>
            </w:pPr>
            <w:r w:rsidRPr="009444AA">
              <w:rPr>
                <w:rFonts w:asciiTheme="majorHAnsi" w:hAnsiTheme="majorHAnsi" w:cs="Arial"/>
                <w:b/>
                <w:bCs/>
                <w:sz w:val="16"/>
                <w:szCs w:val="16"/>
              </w:rPr>
              <w:t>a 30/06/2020</w:t>
            </w:r>
          </w:p>
        </w:tc>
      </w:tr>
      <w:tr w:rsidR="009444AA" w:rsidRPr="009444AA" w14:paraId="072F1DCE" w14:textId="77777777" w:rsidTr="009444AA">
        <w:trPr>
          <w:trHeight w:val="255"/>
        </w:trPr>
        <w:tc>
          <w:tcPr>
            <w:tcW w:w="1818" w:type="pct"/>
            <w:tcBorders>
              <w:top w:val="nil"/>
              <w:left w:val="nil"/>
              <w:bottom w:val="nil"/>
              <w:right w:val="nil"/>
            </w:tcBorders>
            <w:shd w:val="clear" w:color="auto" w:fill="auto"/>
            <w:noWrap/>
            <w:vAlign w:val="bottom"/>
            <w:hideMark/>
          </w:tcPr>
          <w:p w14:paraId="44A79A80" w14:textId="77777777" w:rsidR="009444AA" w:rsidRPr="009444AA" w:rsidRDefault="009444AA">
            <w:pPr>
              <w:jc w:val="right"/>
              <w:rPr>
                <w:rFonts w:asciiTheme="majorHAnsi" w:hAnsiTheme="majorHAnsi" w:cs="Arial"/>
                <w:b/>
                <w:bCs/>
                <w:sz w:val="16"/>
                <w:szCs w:val="16"/>
              </w:rPr>
            </w:pPr>
          </w:p>
        </w:tc>
        <w:tc>
          <w:tcPr>
            <w:tcW w:w="57" w:type="pct"/>
            <w:tcBorders>
              <w:top w:val="nil"/>
              <w:left w:val="nil"/>
              <w:bottom w:val="nil"/>
              <w:right w:val="nil"/>
            </w:tcBorders>
            <w:shd w:val="clear" w:color="auto" w:fill="auto"/>
            <w:noWrap/>
            <w:vAlign w:val="bottom"/>
            <w:hideMark/>
          </w:tcPr>
          <w:p w14:paraId="6CDEE97A" w14:textId="77777777" w:rsidR="009444AA" w:rsidRPr="009444AA" w:rsidRDefault="009444AA">
            <w:pPr>
              <w:rPr>
                <w:rFonts w:asciiTheme="majorHAnsi" w:hAnsiTheme="majorHAnsi"/>
                <w:sz w:val="16"/>
                <w:szCs w:val="16"/>
              </w:rPr>
            </w:pPr>
          </w:p>
        </w:tc>
        <w:tc>
          <w:tcPr>
            <w:tcW w:w="813" w:type="pct"/>
            <w:tcBorders>
              <w:top w:val="nil"/>
              <w:left w:val="nil"/>
              <w:bottom w:val="nil"/>
              <w:right w:val="nil"/>
            </w:tcBorders>
            <w:shd w:val="clear" w:color="auto" w:fill="auto"/>
            <w:noWrap/>
            <w:vAlign w:val="bottom"/>
            <w:hideMark/>
          </w:tcPr>
          <w:p w14:paraId="3EAFEA60" w14:textId="77777777" w:rsidR="009444AA" w:rsidRPr="009444AA" w:rsidRDefault="009444AA" w:rsidP="009444AA">
            <w:pPr>
              <w:jc w:val="right"/>
              <w:rPr>
                <w:rFonts w:asciiTheme="majorHAnsi" w:hAnsiTheme="majorHAnsi"/>
                <w:sz w:val="16"/>
                <w:szCs w:val="16"/>
              </w:rPr>
            </w:pPr>
          </w:p>
        </w:tc>
        <w:tc>
          <w:tcPr>
            <w:tcW w:w="649" w:type="pct"/>
            <w:tcBorders>
              <w:top w:val="nil"/>
              <w:left w:val="nil"/>
              <w:bottom w:val="nil"/>
              <w:right w:val="nil"/>
            </w:tcBorders>
            <w:shd w:val="clear" w:color="auto" w:fill="auto"/>
            <w:noWrap/>
            <w:vAlign w:val="bottom"/>
            <w:hideMark/>
          </w:tcPr>
          <w:p w14:paraId="7DBF44DB" w14:textId="77777777" w:rsidR="009444AA" w:rsidRPr="009444AA" w:rsidRDefault="009444AA" w:rsidP="009444AA">
            <w:pPr>
              <w:jc w:val="right"/>
              <w:rPr>
                <w:rFonts w:asciiTheme="majorHAnsi" w:hAnsiTheme="majorHAnsi"/>
                <w:sz w:val="16"/>
                <w:szCs w:val="16"/>
              </w:rPr>
            </w:pPr>
          </w:p>
        </w:tc>
        <w:tc>
          <w:tcPr>
            <w:tcW w:w="808" w:type="pct"/>
            <w:tcBorders>
              <w:top w:val="nil"/>
              <w:left w:val="nil"/>
              <w:bottom w:val="nil"/>
              <w:right w:val="nil"/>
            </w:tcBorders>
            <w:shd w:val="clear" w:color="auto" w:fill="auto"/>
            <w:noWrap/>
            <w:vAlign w:val="bottom"/>
            <w:hideMark/>
          </w:tcPr>
          <w:p w14:paraId="2DC1798D" w14:textId="77777777" w:rsidR="009444AA" w:rsidRPr="009444AA" w:rsidRDefault="009444AA" w:rsidP="009444AA">
            <w:pPr>
              <w:jc w:val="right"/>
              <w:rPr>
                <w:rFonts w:asciiTheme="majorHAnsi" w:hAnsiTheme="majorHAnsi"/>
                <w:sz w:val="16"/>
                <w:szCs w:val="16"/>
              </w:rPr>
            </w:pPr>
          </w:p>
        </w:tc>
        <w:tc>
          <w:tcPr>
            <w:tcW w:w="855" w:type="pct"/>
            <w:tcBorders>
              <w:top w:val="nil"/>
              <w:left w:val="nil"/>
              <w:bottom w:val="nil"/>
              <w:right w:val="nil"/>
            </w:tcBorders>
            <w:shd w:val="clear" w:color="000000" w:fill="FFFFFF"/>
            <w:noWrap/>
            <w:vAlign w:val="bottom"/>
            <w:hideMark/>
          </w:tcPr>
          <w:p w14:paraId="7260D097" w14:textId="77777777" w:rsidR="009444AA" w:rsidRPr="009444AA" w:rsidRDefault="009444AA" w:rsidP="009444AA">
            <w:pPr>
              <w:jc w:val="right"/>
              <w:rPr>
                <w:rFonts w:asciiTheme="majorHAnsi" w:hAnsiTheme="majorHAnsi" w:cs="Arial"/>
                <w:sz w:val="16"/>
                <w:szCs w:val="16"/>
              </w:rPr>
            </w:pPr>
            <w:r w:rsidRPr="009444AA">
              <w:rPr>
                <w:rFonts w:asciiTheme="majorHAnsi" w:hAnsiTheme="majorHAnsi" w:cs="Arial"/>
                <w:sz w:val="16"/>
                <w:szCs w:val="16"/>
              </w:rPr>
              <w:t> </w:t>
            </w:r>
          </w:p>
        </w:tc>
      </w:tr>
      <w:tr w:rsidR="009444AA" w:rsidRPr="009444AA" w14:paraId="2A1C89BB" w14:textId="77777777" w:rsidTr="009444AA">
        <w:trPr>
          <w:trHeight w:val="319"/>
        </w:trPr>
        <w:tc>
          <w:tcPr>
            <w:tcW w:w="1818" w:type="pct"/>
            <w:tcBorders>
              <w:top w:val="nil"/>
              <w:left w:val="nil"/>
              <w:bottom w:val="nil"/>
              <w:right w:val="nil"/>
            </w:tcBorders>
            <w:shd w:val="clear" w:color="auto" w:fill="auto"/>
            <w:noWrap/>
            <w:vAlign w:val="bottom"/>
            <w:hideMark/>
          </w:tcPr>
          <w:p w14:paraId="35971F82" w14:textId="77777777" w:rsidR="009444AA" w:rsidRPr="009444AA" w:rsidRDefault="009444AA">
            <w:pPr>
              <w:rPr>
                <w:rFonts w:asciiTheme="majorHAnsi" w:hAnsiTheme="majorHAnsi" w:cs="Arial"/>
                <w:sz w:val="16"/>
                <w:szCs w:val="16"/>
              </w:rPr>
            </w:pPr>
            <w:r w:rsidRPr="009444AA">
              <w:rPr>
                <w:rFonts w:asciiTheme="majorHAnsi" w:hAnsiTheme="majorHAnsi" w:cs="Arial"/>
                <w:sz w:val="16"/>
                <w:szCs w:val="16"/>
              </w:rPr>
              <w:t>Prejuízo Líquido do Período</w:t>
            </w:r>
          </w:p>
        </w:tc>
        <w:tc>
          <w:tcPr>
            <w:tcW w:w="57" w:type="pct"/>
            <w:tcBorders>
              <w:top w:val="nil"/>
              <w:left w:val="nil"/>
              <w:bottom w:val="nil"/>
              <w:right w:val="nil"/>
            </w:tcBorders>
            <w:shd w:val="clear" w:color="auto" w:fill="auto"/>
            <w:noWrap/>
            <w:vAlign w:val="bottom"/>
            <w:hideMark/>
          </w:tcPr>
          <w:p w14:paraId="01A0967F" w14:textId="77777777" w:rsidR="009444AA" w:rsidRPr="009444AA" w:rsidRDefault="009444AA">
            <w:pPr>
              <w:rPr>
                <w:rFonts w:asciiTheme="majorHAnsi" w:hAnsiTheme="majorHAnsi" w:cs="Arial"/>
                <w:sz w:val="16"/>
                <w:szCs w:val="16"/>
              </w:rPr>
            </w:pPr>
          </w:p>
        </w:tc>
        <w:tc>
          <w:tcPr>
            <w:tcW w:w="813" w:type="pct"/>
            <w:tcBorders>
              <w:top w:val="nil"/>
              <w:left w:val="nil"/>
              <w:bottom w:val="nil"/>
              <w:right w:val="nil"/>
            </w:tcBorders>
            <w:shd w:val="clear" w:color="auto" w:fill="auto"/>
            <w:noWrap/>
            <w:vAlign w:val="bottom"/>
            <w:hideMark/>
          </w:tcPr>
          <w:p w14:paraId="08BA3891" w14:textId="77777777" w:rsidR="009444AA" w:rsidRPr="009444AA" w:rsidRDefault="009444AA" w:rsidP="009444AA">
            <w:pPr>
              <w:jc w:val="right"/>
              <w:rPr>
                <w:rFonts w:asciiTheme="majorHAnsi" w:hAnsiTheme="majorHAnsi" w:cs="Arial"/>
                <w:sz w:val="16"/>
                <w:szCs w:val="16"/>
              </w:rPr>
            </w:pPr>
            <w:r w:rsidRPr="009444AA">
              <w:rPr>
                <w:rFonts w:asciiTheme="majorHAnsi" w:hAnsiTheme="majorHAnsi" w:cs="Arial"/>
                <w:sz w:val="16"/>
                <w:szCs w:val="16"/>
              </w:rPr>
              <w:t xml:space="preserve">           (30.582.132)</w:t>
            </w:r>
          </w:p>
        </w:tc>
        <w:tc>
          <w:tcPr>
            <w:tcW w:w="649" w:type="pct"/>
            <w:tcBorders>
              <w:top w:val="nil"/>
              <w:left w:val="nil"/>
              <w:bottom w:val="nil"/>
              <w:right w:val="nil"/>
            </w:tcBorders>
            <w:shd w:val="clear" w:color="auto" w:fill="auto"/>
            <w:noWrap/>
            <w:vAlign w:val="bottom"/>
            <w:hideMark/>
          </w:tcPr>
          <w:p w14:paraId="6B18CF84" w14:textId="77777777" w:rsidR="009444AA" w:rsidRPr="009444AA" w:rsidRDefault="009444AA" w:rsidP="009444AA">
            <w:pPr>
              <w:jc w:val="right"/>
              <w:rPr>
                <w:rFonts w:asciiTheme="majorHAnsi" w:hAnsiTheme="majorHAnsi" w:cs="Arial"/>
                <w:sz w:val="16"/>
                <w:szCs w:val="16"/>
              </w:rPr>
            </w:pPr>
            <w:r w:rsidRPr="009444AA">
              <w:rPr>
                <w:rFonts w:asciiTheme="majorHAnsi" w:hAnsiTheme="majorHAnsi" w:cs="Arial"/>
                <w:sz w:val="16"/>
                <w:szCs w:val="16"/>
              </w:rPr>
              <w:t xml:space="preserve">    (59.096.531)</w:t>
            </w:r>
          </w:p>
        </w:tc>
        <w:tc>
          <w:tcPr>
            <w:tcW w:w="808" w:type="pct"/>
            <w:tcBorders>
              <w:top w:val="nil"/>
              <w:left w:val="nil"/>
              <w:bottom w:val="nil"/>
              <w:right w:val="nil"/>
            </w:tcBorders>
            <w:shd w:val="clear" w:color="auto" w:fill="auto"/>
            <w:noWrap/>
            <w:vAlign w:val="bottom"/>
            <w:hideMark/>
          </w:tcPr>
          <w:p w14:paraId="31DDF32D" w14:textId="77777777" w:rsidR="009444AA" w:rsidRPr="009444AA" w:rsidRDefault="009444AA" w:rsidP="009444AA">
            <w:pPr>
              <w:jc w:val="right"/>
              <w:rPr>
                <w:rFonts w:asciiTheme="majorHAnsi" w:hAnsiTheme="majorHAnsi" w:cs="Arial"/>
                <w:sz w:val="16"/>
                <w:szCs w:val="16"/>
              </w:rPr>
            </w:pPr>
            <w:r w:rsidRPr="009444AA">
              <w:rPr>
                <w:rFonts w:asciiTheme="majorHAnsi" w:hAnsiTheme="majorHAnsi" w:cs="Arial"/>
                <w:sz w:val="16"/>
                <w:szCs w:val="16"/>
              </w:rPr>
              <w:t xml:space="preserve">           (21.019.437)</w:t>
            </w:r>
          </w:p>
        </w:tc>
        <w:tc>
          <w:tcPr>
            <w:tcW w:w="855" w:type="pct"/>
            <w:tcBorders>
              <w:top w:val="nil"/>
              <w:left w:val="nil"/>
              <w:bottom w:val="nil"/>
              <w:right w:val="nil"/>
            </w:tcBorders>
            <w:shd w:val="clear" w:color="auto" w:fill="auto"/>
            <w:noWrap/>
            <w:vAlign w:val="bottom"/>
            <w:hideMark/>
          </w:tcPr>
          <w:p w14:paraId="2AC6DD17" w14:textId="77777777" w:rsidR="009444AA" w:rsidRPr="009444AA" w:rsidRDefault="009444AA" w:rsidP="009444AA">
            <w:pPr>
              <w:jc w:val="right"/>
              <w:rPr>
                <w:rFonts w:asciiTheme="majorHAnsi" w:hAnsiTheme="majorHAnsi" w:cs="Arial"/>
                <w:sz w:val="16"/>
                <w:szCs w:val="16"/>
              </w:rPr>
            </w:pPr>
            <w:r w:rsidRPr="009444AA">
              <w:rPr>
                <w:rFonts w:asciiTheme="majorHAnsi" w:hAnsiTheme="majorHAnsi" w:cs="Arial"/>
                <w:sz w:val="16"/>
                <w:szCs w:val="16"/>
              </w:rPr>
              <w:t xml:space="preserve">                  8.513.525 </w:t>
            </w:r>
          </w:p>
        </w:tc>
      </w:tr>
      <w:tr w:rsidR="009444AA" w:rsidRPr="009444AA" w14:paraId="5EF75F24" w14:textId="77777777" w:rsidTr="009444AA">
        <w:trPr>
          <w:trHeight w:val="319"/>
        </w:trPr>
        <w:tc>
          <w:tcPr>
            <w:tcW w:w="1818" w:type="pct"/>
            <w:tcBorders>
              <w:top w:val="nil"/>
              <w:left w:val="nil"/>
              <w:bottom w:val="nil"/>
              <w:right w:val="nil"/>
            </w:tcBorders>
            <w:shd w:val="clear" w:color="auto" w:fill="auto"/>
            <w:noWrap/>
            <w:vAlign w:val="bottom"/>
            <w:hideMark/>
          </w:tcPr>
          <w:p w14:paraId="23DCA4A0" w14:textId="77777777" w:rsidR="009444AA" w:rsidRPr="009444AA" w:rsidRDefault="009444AA">
            <w:pPr>
              <w:rPr>
                <w:rFonts w:asciiTheme="majorHAnsi" w:hAnsiTheme="majorHAnsi" w:cs="Arial"/>
                <w:sz w:val="16"/>
                <w:szCs w:val="16"/>
              </w:rPr>
            </w:pPr>
          </w:p>
        </w:tc>
        <w:tc>
          <w:tcPr>
            <w:tcW w:w="57" w:type="pct"/>
            <w:tcBorders>
              <w:top w:val="nil"/>
              <w:left w:val="nil"/>
              <w:bottom w:val="nil"/>
              <w:right w:val="nil"/>
            </w:tcBorders>
            <w:shd w:val="clear" w:color="auto" w:fill="auto"/>
            <w:noWrap/>
            <w:vAlign w:val="bottom"/>
            <w:hideMark/>
          </w:tcPr>
          <w:p w14:paraId="62A451DC" w14:textId="77777777" w:rsidR="009444AA" w:rsidRPr="009444AA" w:rsidRDefault="009444AA">
            <w:pPr>
              <w:rPr>
                <w:rFonts w:asciiTheme="majorHAnsi" w:hAnsiTheme="majorHAnsi"/>
                <w:sz w:val="16"/>
                <w:szCs w:val="16"/>
              </w:rPr>
            </w:pPr>
          </w:p>
        </w:tc>
        <w:tc>
          <w:tcPr>
            <w:tcW w:w="813" w:type="pct"/>
            <w:tcBorders>
              <w:top w:val="nil"/>
              <w:left w:val="nil"/>
              <w:bottom w:val="nil"/>
              <w:right w:val="nil"/>
            </w:tcBorders>
            <w:shd w:val="clear" w:color="auto" w:fill="auto"/>
            <w:noWrap/>
            <w:vAlign w:val="bottom"/>
            <w:hideMark/>
          </w:tcPr>
          <w:p w14:paraId="54E5468D" w14:textId="77777777" w:rsidR="009444AA" w:rsidRPr="009444AA" w:rsidRDefault="009444AA" w:rsidP="009444AA">
            <w:pPr>
              <w:jc w:val="right"/>
              <w:rPr>
                <w:rFonts w:asciiTheme="majorHAnsi" w:hAnsiTheme="majorHAnsi"/>
                <w:sz w:val="16"/>
                <w:szCs w:val="16"/>
              </w:rPr>
            </w:pPr>
          </w:p>
        </w:tc>
        <w:tc>
          <w:tcPr>
            <w:tcW w:w="649" w:type="pct"/>
            <w:tcBorders>
              <w:top w:val="nil"/>
              <w:left w:val="nil"/>
              <w:bottom w:val="nil"/>
              <w:right w:val="nil"/>
            </w:tcBorders>
            <w:shd w:val="clear" w:color="000000" w:fill="FFFFFF"/>
            <w:noWrap/>
            <w:vAlign w:val="bottom"/>
            <w:hideMark/>
          </w:tcPr>
          <w:p w14:paraId="7AD0830F" w14:textId="77777777" w:rsidR="009444AA" w:rsidRPr="009444AA" w:rsidRDefault="009444AA" w:rsidP="009444AA">
            <w:pPr>
              <w:jc w:val="right"/>
              <w:rPr>
                <w:rFonts w:asciiTheme="majorHAnsi" w:hAnsiTheme="majorHAnsi" w:cs="Arial"/>
                <w:sz w:val="16"/>
                <w:szCs w:val="16"/>
              </w:rPr>
            </w:pPr>
            <w:r w:rsidRPr="009444AA">
              <w:rPr>
                <w:rFonts w:asciiTheme="majorHAnsi" w:hAnsiTheme="majorHAnsi" w:cs="Arial"/>
                <w:sz w:val="16"/>
                <w:szCs w:val="16"/>
              </w:rPr>
              <w:t> </w:t>
            </w:r>
          </w:p>
        </w:tc>
        <w:tc>
          <w:tcPr>
            <w:tcW w:w="808" w:type="pct"/>
            <w:tcBorders>
              <w:top w:val="nil"/>
              <w:left w:val="nil"/>
              <w:bottom w:val="nil"/>
              <w:right w:val="nil"/>
            </w:tcBorders>
            <w:shd w:val="clear" w:color="000000" w:fill="FFFFFF"/>
            <w:noWrap/>
            <w:vAlign w:val="bottom"/>
            <w:hideMark/>
          </w:tcPr>
          <w:p w14:paraId="2C40CF9C" w14:textId="77777777" w:rsidR="009444AA" w:rsidRPr="009444AA" w:rsidRDefault="009444AA" w:rsidP="009444AA">
            <w:pPr>
              <w:jc w:val="right"/>
              <w:rPr>
                <w:rFonts w:asciiTheme="majorHAnsi" w:hAnsiTheme="majorHAnsi" w:cs="Arial"/>
                <w:sz w:val="16"/>
                <w:szCs w:val="16"/>
              </w:rPr>
            </w:pPr>
            <w:r w:rsidRPr="009444AA">
              <w:rPr>
                <w:rFonts w:asciiTheme="majorHAnsi" w:hAnsiTheme="majorHAnsi" w:cs="Arial"/>
                <w:sz w:val="16"/>
                <w:szCs w:val="16"/>
              </w:rPr>
              <w:t> </w:t>
            </w:r>
          </w:p>
        </w:tc>
        <w:tc>
          <w:tcPr>
            <w:tcW w:w="855" w:type="pct"/>
            <w:tcBorders>
              <w:top w:val="nil"/>
              <w:left w:val="nil"/>
              <w:bottom w:val="nil"/>
              <w:right w:val="nil"/>
            </w:tcBorders>
            <w:shd w:val="clear" w:color="000000" w:fill="FFFFFF"/>
            <w:noWrap/>
            <w:vAlign w:val="bottom"/>
            <w:hideMark/>
          </w:tcPr>
          <w:p w14:paraId="4D696292" w14:textId="77777777" w:rsidR="009444AA" w:rsidRPr="009444AA" w:rsidRDefault="009444AA" w:rsidP="009444AA">
            <w:pPr>
              <w:jc w:val="right"/>
              <w:rPr>
                <w:rFonts w:asciiTheme="majorHAnsi" w:hAnsiTheme="majorHAnsi" w:cs="Arial"/>
                <w:sz w:val="16"/>
                <w:szCs w:val="16"/>
              </w:rPr>
            </w:pPr>
            <w:r w:rsidRPr="009444AA">
              <w:rPr>
                <w:rFonts w:asciiTheme="majorHAnsi" w:hAnsiTheme="majorHAnsi" w:cs="Arial"/>
                <w:sz w:val="16"/>
                <w:szCs w:val="16"/>
              </w:rPr>
              <w:t> </w:t>
            </w:r>
          </w:p>
        </w:tc>
      </w:tr>
      <w:tr w:rsidR="009444AA" w:rsidRPr="009444AA" w14:paraId="1C4F1D7B" w14:textId="77777777" w:rsidTr="009444AA">
        <w:trPr>
          <w:trHeight w:val="319"/>
        </w:trPr>
        <w:tc>
          <w:tcPr>
            <w:tcW w:w="1818" w:type="pct"/>
            <w:tcBorders>
              <w:top w:val="nil"/>
              <w:left w:val="nil"/>
              <w:bottom w:val="nil"/>
              <w:right w:val="nil"/>
            </w:tcBorders>
            <w:shd w:val="clear" w:color="auto" w:fill="auto"/>
            <w:noWrap/>
            <w:vAlign w:val="bottom"/>
            <w:hideMark/>
          </w:tcPr>
          <w:p w14:paraId="5309DBB1" w14:textId="467B715F" w:rsidR="009444AA" w:rsidRPr="009444AA" w:rsidRDefault="009444AA">
            <w:pPr>
              <w:rPr>
                <w:rFonts w:asciiTheme="majorHAnsi" w:hAnsiTheme="majorHAnsi" w:cs="Arial"/>
                <w:b/>
                <w:bCs/>
                <w:sz w:val="16"/>
                <w:szCs w:val="16"/>
              </w:rPr>
            </w:pPr>
            <w:r w:rsidRPr="009444AA">
              <w:rPr>
                <w:rFonts w:asciiTheme="majorHAnsi" w:hAnsiTheme="majorHAnsi" w:cs="Arial"/>
                <w:b/>
                <w:bCs/>
                <w:sz w:val="16"/>
                <w:szCs w:val="16"/>
              </w:rPr>
              <w:t>Resultado Líquido Abrangente do Per</w:t>
            </w:r>
            <w:r>
              <w:rPr>
                <w:rFonts w:asciiTheme="majorHAnsi" w:hAnsiTheme="majorHAnsi" w:cs="Arial"/>
                <w:b/>
                <w:bCs/>
                <w:sz w:val="16"/>
                <w:szCs w:val="16"/>
              </w:rPr>
              <w:t>í</w:t>
            </w:r>
            <w:r w:rsidRPr="009444AA">
              <w:rPr>
                <w:rFonts w:asciiTheme="majorHAnsi" w:hAnsiTheme="majorHAnsi" w:cs="Arial"/>
                <w:b/>
                <w:bCs/>
                <w:sz w:val="16"/>
                <w:szCs w:val="16"/>
              </w:rPr>
              <w:t>odo</w:t>
            </w:r>
          </w:p>
        </w:tc>
        <w:tc>
          <w:tcPr>
            <w:tcW w:w="57" w:type="pct"/>
            <w:tcBorders>
              <w:top w:val="nil"/>
              <w:left w:val="nil"/>
              <w:bottom w:val="nil"/>
              <w:right w:val="nil"/>
            </w:tcBorders>
            <w:shd w:val="clear" w:color="auto" w:fill="auto"/>
            <w:noWrap/>
            <w:vAlign w:val="bottom"/>
            <w:hideMark/>
          </w:tcPr>
          <w:p w14:paraId="3C3DF98E" w14:textId="77777777" w:rsidR="009444AA" w:rsidRPr="009444AA" w:rsidRDefault="009444AA">
            <w:pPr>
              <w:rPr>
                <w:rFonts w:asciiTheme="majorHAnsi" w:hAnsiTheme="majorHAnsi" w:cs="Arial"/>
                <w:b/>
                <w:bCs/>
                <w:sz w:val="16"/>
                <w:szCs w:val="16"/>
              </w:rPr>
            </w:pPr>
          </w:p>
        </w:tc>
        <w:tc>
          <w:tcPr>
            <w:tcW w:w="813" w:type="pct"/>
            <w:tcBorders>
              <w:top w:val="nil"/>
              <w:left w:val="nil"/>
              <w:bottom w:val="nil"/>
              <w:right w:val="nil"/>
            </w:tcBorders>
            <w:shd w:val="clear" w:color="auto" w:fill="auto"/>
            <w:noWrap/>
            <w:vAlign w:val="bottom"/>
            <w:hideMark/>
          </w:tcPr>
          <w:p w14:paraId="309B97C6" w14:textId="77777777" w:rsidR="009444AA" w:rsidRPr="009444AA" w:rsidRDefault="009444AA" w:rsidP="009444AA">
            <w:pPr>
              <w:jc w:val="right"/>
              <w:rPr>
                <w:rFonts w:asciiTheme="majorHAnsi" w:hAnsiTheme="majorHAnsi" w:cs="Arial"/>
                <w:b/>
                <w:bCs/>
                <w:sz w:val="16"/>
                <w:szCs w:val="16"/>
              </w:rPr>
            </w:pPr>
            <w:r w:rsidRPr="009444AA">
              <w:rPr>
                <w:rFonts w:asciiTheme="majorHAnsi" w:hAnsiTheme="majorHAnsi" w:cs="Arial"/>
                <w:b/>
                <w:bCs/>
                <w:sz w:val="16"/>
                <w:szCs w:val="16"/>
              </w:rPr>
              <w:t xml:space="preserve">           (30.582.132)</w:t>
            </w:r>
          </w:p>
        </w:tc>
        <w:tc>
          <w:tcPr>
            <w:tcW w:w="649" w:type="pct"/>
            <w:tcBorders>
              <w:top w:val="nil"/>
              <w:left w:val="nil"/>
              <w:bottom w:val="nil"/>
              <w:right w:val="nil"/>
            </w:tcBorders>
            <w:shd w:val="clear" w:color="000000" w:fill="FFFFFF"/>
            <w:noWrap/>
            <w:vAlign w:val="bottom"/>
            <w:hideMark/>
          </w:tcPr>
          <w:p w14:paraId="5C1A62F1" w14:textId="77777777" w:rsidR="009444AA" w:rsidRPr="009444AA" w:rsidRDefault="009444AA" w:rsidP="009444AA">
            <w:pPr>
              <w:jc w:val="right"/>
              <w:rPr>
                <w:rFonts w:asciiTheme="majorHAnsi" w:hAnsiTheme="majorHAnsi" w:cs="Arial"/>
                <w:b/>
                <w:bCs/>
                <w:sz w:val="16"/>
                <w:szCs w:val="16"/>
              </w:rPr>
            </w:pPr>
            <w:r w:rsidRPr="009444AA">
              <w:rPr>
                <w:rFonts w:asciiTheme="majorHAnsi" w:hAnsiTheme="majorHAnsi" w:cs="Arial"/>
                <w:b/>
                <w:bCs/>
                <w:sz w:val="16"/>
                <w:szCs w:val="16"/>
              </w:rPr>
              <w:t xml:space="preserve">    (59.050.627)</w:t>
            </w:r>
          </w:p>
        </w:tc>
        <w:tc>
          <w:tcPr>
            <w:tcW w:w="808" w:type="pct"/>
            <w:tcBorders>
              <w:top w:val="nil"/>
              <w:left w:val="nil"/>
              <w:bottom w:val="nil"/>
              <w:right w:val="nil"/>
            </w:tcBorders>
            <w:shd w:val="clear" w:color="000000" w:fill="FFFFFF"/>
            <w:noWrap/>
            <w:vAlign w:val="bottom"/>
            <w:hideMark/>
          </w:tcPr>
          <w:p w14:paraId="7B52937C" w14:textId="77777777" w:rsidR="009444AA" w:rsidRPr="009444AA" w:rsidRDefault="009444AA" w:rsidP="009444AA">
            <w:pPr>
              <w:jc w:val="right"/>
              <w:rPr>
                <w:rFonts w:asciiTheme="majorHAnsi" w:hAnsiTheme="majorHAnsi" w:cs="Arial"/>
                <w:b/>
                <w:bCs/>
                <w:sz w:val="16"/>
                <w:szCs w:val="16"/>
              </w:rPr>
            </w:pPr>
            <w:r w:rsidRPr="009444AA">
              <w:rPr>
                <w:rFonts w:asciiTheme="majorHAnsi" w:hAnsiTheme="majorHAnsi" w:cs="Arial"/>
                <w:b/>
                <w:bCs/>
                <w:sz w:val="16"/>
                <w:szCs w:val="16"/>
              </w:rPr>
              <w:t xml:space="preserve">           (21.019.437)</w:t>
            </w:r>
          </w:p>
        </w:tc>
        <w:tc>
          <w:tcPr>
            <w:tcW w:w="855" w:type="pct"/>
            <w:tcBorders>
              <w:top w:val="nil"/>
              <w:left w:val="nil"/>
              <w:bottom w:val="nil"/>
              <w:right w:val="nil"/>
            </w:tcBorders>
            <w:shd w:val="clear" w:color="000000" w:fill="FFFFFF"/>
            <w:noWrap/>
            <w:vAlign w:val="bottom"/>
            <w:hideMark/>
          </w:tcPr>
          <w:p w14:paraId="29F0F761" w14:textId="77777777" w:rsidR="009444AA" w:rsidRPr="009444AA" w:rsidRDefault="009444AA" w:rsidP="009444AA">
            <w:pPr>
              <w:jc w:val="right"/>
              <w:rPr>
                <w:rFonts w:asciiTheme="majorHAnsi" w:hAnsiTheme="majorHAnsi" w:cs="Arial"/>
                <w:b/>
                <w:bCs/>
                <w:sz w:val="16"/>
                <w:szCs w:val="16"/>
              </w:rPr>
            </w:pPr>
            <w:r w:rsidRPr="009444AA">
              <w:rPr>
                <w:rFonts w:asciiTheme="majorHAnsi" w:hAnsiTheme="majorHAnsi" w:cs="Arial"/>
                <w:b/>
                <w:bCs/>
                <w:sz w:val="16"/>
                <w:szCs w:val="16"/>
              </w:rPr>
              <w:t xml:space="preserve">                  8.513.525 </w:t>
            </w:r>
          </w:p>
        </w:tc>
      </w:tr>
      <w:tr w:rsidR="009444AA" w:rsidRPr="009444AA" w14:paraId="7C3869BC" w14:textId="77777777" w:rsidTr="009444AA">
        <w:trPr>
          <w:trHeight w:val="319"/>
        </w:trPr>
        <w:tc>
          <w:tcPr>
            <w:tcW w:w="1818" w:type="pct"/>
            <w:tcBorders>
              <w:top w:val="nil"/>
              <w:left w:val="nil"/>
              <w:bottom w:val="nil"/>
              <w:right w:val="nil"/>
            </w:tcBorders>
            <w:shd w:val="clear" w:color="auto" w:fill="auto"/>
            <w:noWrap/>
            <w:vAlign w:val="bottom"/>
            <w:hideMark/>
          </w:tcPr>
          <w:p w14:paraId="222AB7F9" w14:textId="77777777" w:rsidR="009444AA" w:rsidRPr="009444AA" w:rsidRDefault="009444AA">
            <w:pPr>
              <w:rPr>
                <w:rFonts w:asciiTheme="majorHAnsi" w:hAnsiTheme="majorHAnsi" w:cs="Arial"/>
                <w:b/>
                <w:bCs/>
                <w:sz w:val="16"/>
                <w:szCs w:val="16"/>
              </w:rPr>
            </w:pPr>
          </w:p>
        </w:tc>
        <w:tc>
          <w:tcPr>
            <w:tcW w:w="57" w:type="pct"/>
            <w:tcBorders>
              <w:top w:val="nil"/>
              <w:left w:val="nil"/>
              <w:bottom w:val="nil"/>
              <w:right w:val="nil"/>
            </w:tcBorders>
            <w:shd w:val="clear" w:color="auto" w:fill="auto"/>
            <w:noWrap/>
            <w:vAlign w:val="bottom"/>
            <w:hideMark/>
          </w:tcPr>
          <w:p w14:paraId="5BE09F73" w14:textId="77777777" w:rsidR="009444AA" w:rsidRPr="009444AA" w:rsidRDefault="009444AA">
            <w:pPr>
              <w:rPr>
                <w:rFonts w:asciiTheme="majorHAnsi" w:hAnsiTheme="majorHAnsi"/>
                <w:sz w:val="16"/>
                <w:szCs w:val="16"/>
              </w:rPr>
            </w:pPr>
          </w:p>
        </w:tc>
        <w:tc>
          <w:tcPr>
            <w:tcW w:w="813" w:type="pct"/>
            <w:tcBorders>
              <w:top w:val="nil"/>
              <w:left w:val="nil"/>
              <w:bottom w:val="nil"/>
              <w:right w:val="nil"/>
            </w:tcBorders>
            <w:shd w:val="clear" w:color="auto" w:fill="auto"/>
            <w:noWrap/>
            <w:vAlign w:val="bottom"/>
            <w:hideMark/>
          </w:tcPr>
          <w:p w14:paraId="5351F05E" w14:textId="77777777" w:rsidR="009444AA" w:rsidRPr="009444AA" w:rsidRDefault="009444AA">
            <w:pPr>
              <w:rPr>
                <w:rFonts w:asciiTheme="majorHAnsi" w:hAnsiTheme="majorHAnsi"/>
                <w:sz w:val="16"/>
                <w:szCs w:val="16"/>
              </w:rPr>
            </w:pPr>
          </w:p>
        </w:tc>
        <w:tc>
          <w:tcPr>
            <w:tcW w:w="649" w:type="pct"/>
            <w:tcBorders>
              <w:top w:val="nil"/>
              <w:left w:val="nil"/>
              <w:bottom w:val="nil"/>
              <w:right w:val="nil"/>
            </w:tcBorders>
            <w:shd w:val="clear" w:color="auto" w:fill="auto"/>
            <w:noWrap/>
            <w:vAlign w:val="bottom"/>
            <w:hideMark/>
          </w:tcPr>
          <w:p w14:paraId="097F2E14" w14:textId="77777777" w:rsidR="009444AA" w:rsidRPr="009444AA" w:rsidRDefault="009444AA">
            <w:pPr>
              <w:rPr>
                <w:rFonts w:asciiTheme="majorHAnsi" w:hAnsiTheme="majorHAnsi"/>
                <w:sz w:val="16"/>
                <w:szCs w:val="16"/>
              </w:rPr>
            </w:pPr>
          </w:p>
        </w:tc>
        <w:tc>
          <w:tcPr>
            <w:tcW w:w="808" w:type="pct"/>
            <w:tcBorders>
              <w:top w:val="nil"/>
              <w:left w:val="nil"/>
              <w:bottom w:val="nil"/>
              <w:right w:val="nil"/>
            </w:tcBorders>
            <w:shd w:val="clear" w:color="auto" w:fill="auto"/>
            <w:noWrap/>
            <w:vAlign w:val="bottom"/>
            <w:hideMark/>
          </w:tcPr>
          <w:p w14:paraId="6F176644" w14:textId="77777777" w:rsidR="009444AA" w:rsidRPr="009444AA" w:rsidRDefault="009444AA" w:rsidP="009444AA">
            <w:pPr>
              <w:jc w:val="right"/>
              <w:rPr>
                <w:rFonts w:asciiTheme="majorHAnsi" w:hAnsiTheme="majorHAnsi"/>
                <w:sz w:val="16"/>
                <w:szCs w:val="16"/>
              </w:rPr>
            </w:pPr>
          </w:p>
        </w:tc>
        <w:tc>
          <w:tcPr>
            <w:tcW w:w="855" w:type="pct"/>
            <w:tcBorders>
              <w:top w:val="nil"/>
              <w:left w:val="nil"/>
              <w:bottom w:val="nil"/>
              <w:right w:val="nil"/>
            </w:tcBorders>
            <w:shd w:val="clear" w:color="auto" w:fill="auto"/>
            <w:noWrap/>
            <w:vAlign w:val="bottom"/>
            <w:hideMark/>
          </w:tcPr>
          <w:p w14:paraId="6FBB36F6" w14:textId="77777777" w:rsidR="009444AA" w:rsidRPr="009444AA" w:rsidRDefault="009444AA">
            <w:pPr>
              <w:jc w:val="right"/>
              <w:rPr>
                <w:rFonts w:asciiTheme="majorHAnsi" w:hAnsiTheme="majorHAnsi"/>
                <w:sz w:val="16"/>
                <w:szCs w:val="16"/>
              </w:rPr>
            </w:pPr>
          </w:p>
        </w:tc>
      </w:tr>
      <w:tr w:rsidR="009444AA" w:rsidRPr="009444AA" w14:paraId="17E2CA7A" w14:textId="77777777" w:rsidTr="009444AA">
        <w:trPr>
          <w:trHeight w:val="300"/>
        </w:trPr>
        <w:tc>
          <w:tcPr>
            <w:tcW w:w="5000" w:type="pct"/>
            <w:gridSpan w:val="6"/>
            <w:tcBorders>
              <w:top w:val="nil"/>
              <w:left w:val="nil"/>
              <w:bottom w:val="nil"/>
              <w:right w:val="nil"/>
            </w:tcBorders>
            <w:shd w:val="clear" w:color="auto" w:fill="auto"/>
            <w:noWrap/>
            <w:vAlign w:val="bottom"/>
            <w:hideMark/>
          </w:tcPr>
          <w:p w14:paraId="1B3D4091" w14:textId="77777777" w:rsidR="009444AA" w:rsidRPr="009444AA" w:rsidRDefault="009444AA">
            <w:pPr>
              <w:jc w:val="center"/>
              <w:rPr>
                <w:rFonts w:asciiTheme="majorHAnsi" w:hAnsiTheme="majorHAnsi" w:cs="Arial"/>
                <w:sz w:val="16"/>
                <w:szCs w:val="16"/>
              </w:rPr>
            </w:pPr>
            <w:r w:rsidRPr="009444AA">
              <w:rPr>
                <w:rFonts w:asciiTheme="majorHAnsi" w:hAnsiTheme="majorHAnsi" w:cs="Arial"/>
                <w:sz w:val="16"/>
                <w:szCs w:val="16"/>
              </w:rPr>
              <w:t>(As Notas Explicativas são parte integrante das demonstrações contábeis intermediárias)</w:t>
            </w:r>
          </w:p>
        </w:tc>
      </w:tr>
    </w:tbl>
    <w:p w14:paraId="17FCF484" w14:textId="24C41936" w:rsidR="00331A4D" w:rsidRDefault="00331A4D" w:rsidP="002E2B5B">
      <w:pPr>
        <w:pStyle w:val="Ttulo1"/>
        <w:tabs>
          <w:tab w:val="left" w:pos="1701"/>
        </w:tabs>
        <w:ind w:right="-142"/>
        <w:rPr>
          <w:rFonts w:ascii="Calibri" w:hAnsi="Calibri" w:cs="Calibri"/>
          <w:szCs w:val="22"/>
        </w:rPr>
      </w:pPr>
    </w:p>
    <w:p w14:paraId="1207EABC" w14:textId="54C4F806" w:rsidR="00222C6E" w:rsidRDefault="00222C6E" w:rsidP="00222C6E"/>
    <w:p w14:paraId="236BF432" w14:textId="7F83D8DC" w:rsidR="00222C6E" w:rsidRDefault="00222C6E" w:rsidP="00222C6E"/>
    <w:p w14:paraId="002360B1" w14:textId="68412803" w:rsidR="00222C6E" w:rsidRDefault="00222C6E" w:rsidP="00222C6E"/>
    <w:p w14:paraId="26A8E065" w14:textId="37B55ABC" w:rsidR="00222C6E" w:rsidRDefault="00222C6E" w:rsidP="00222C6E"/>
    <w:p w14:paraId="4366A22F" w14:textId="5368AE47" w:rsidR="00222C6E" w:rsidRDefault="00222C6E" w:rsidP="00222C6E"/>
    <w:p w14:paraId="71F2C563" w14:textId="098B60E0" w:rsidR="00222C6E" w:rsidRDefault="00222C6E" w:rsidP="00222C6E"/>
    <w:p w14:paraId="4310393B" w14:textId="60706DB0" w:rsidR="00222C6E" w:rsidRDefault="00222C6E" w:rsidP="00222C6E"/>
    <w:p w14:paraId="542CF04C" w14:textId="5B0B7B02" w:rsidR="00222C6E" w:rsidRDefault="00222C6E" w:rsidP="00222C6E"/>
    <w:p w14:paraId="627AEF0A" w14:textId="21314161" w:rsidR="00222C6E" w:rsidRDefault="00222C6E" w:rsidP="00222C6E"/>
    <w:p w14:paraId="79A5EB8B" w14:textId="6D4A345F" w:rsidR="00222C6E" w:rsidRDefault="00222C6E" w:rsidP="00222C6E"/>
    <w:p w14:paraId="52C80A89" w14:textId="5F490482" w:rsidR="00222C6E" w:rsidRDefault="00222C6E" w:rsidP="00222C6E"/>
    <w:p w14:paraId="0F3EC7CC" w14:textId="7683850B" w:rsidR="00222C6E" w:rsidRDefault="00222C6E" w:rsidP="00222C6E"/>
    <w:p w14:paraId="2E93F015" w14:textId="7C6E1D7B" w:rsidR="00222C6E" w:rsidRDefault="00222C6E" w:rsidP="00222C6E"/>
    <w:p w14:paraId="276DFF4E" w14:textId="41E8247C" w:rsidR="00222C6E" w:rsidRDefault="00222C6E" w:rsidP="00222C6E"/>
    <w:p w14:paraId="01CC7807" w14:textId="1C2542E4" w:rsidR="00222C6E" w:rsidRDefault="00222C6E" w:rsidP="00222C6E"/>
    <w:p w14:paraId="5C83EDF6" w14:textId="4C4CCBA3" w:rsidR="00222C6E" w:rsidRDefault="00222C6E" w:rsidP="00222C6E"/>
    <w:p w14:paraId="392CFAD1" w14:textId="0D9EEC29" w:rsidR="00222C6E" w:rsidRDefault="00222C6E" w:rsidP="00222C6E"/>
    <w:p w14:paraId="24D69845" w14:textId="579C4B75" w:rsidR="00222C6E" w:rsidRDefault="00222C6E" w:rsidP="00222C6E"/>
    <w:p w14:paraId="2207B0C8" w14:textId="1C15A401" w:rsidR="00222C6E" w:rsidRDefault="00222C6E" w:rsidP="00222C6E"/>
    <w:p w14:paraId="05416873" w14:textId="3950AC17" w:rsidR="00222C6E" w:rsidRDefault="00222C6E" w:rsidP="00222C6E"/>
    <w:p w14:paraId="66E6BD8D" w14:textId="3D02CA33" w:rsidR="00222C6E" w:rsidRDefault="00222C6E" w:rsidP="00222C6E"/>
    <w:p w14:paraId="2F13E9A9" w14:textId="29F7B7C9" w:rsidR="00222C6E" w:rsidRDefault="00222C6E" w:rsidP="00222C6E"/>
    <w:p w14:paraId="1F526720" w14:textId="374AE694" w:rsidR="00222C6E" w:rsidRDefault="00222C6E" w:rsidP="00222C6E"/>
    <w:p w14:paraId="4F7C9F32" w14:textId="7AF41C6C" w:rsidR="00222C6E" w:rsidRDefault="00222C6E" w:rsidP="00222C6E"/>
    <w:p w14:paraId="01F36495" w14:textId="716659A7" w:rsidR="00222C6E" w:rsidRDefault="00222C6E" w:rsidP="00222C6E"/>
    <w:p w14:paraId="7E8A5E57" w14:textId="1D523E7F" w:rsidR="00222C6E" w:rsidRDefault="00222C6E" w:rsidP="00222C6E"/>
    <w:p w14:paraId="77345098" w14:textId="2D04DBD8" w:rsidR="00222C6E" w:rsidRDefault="00222C6E" w:rsidP="00222C6E"/>
    <w:p w14:paraId="2E72B46D" w14:textId="018093F7" w:rsidR="00222C6E" w:rsidRDefault="00222C6E" w:rsidP="00222C6E"/>
    <w:p w14:paraId="3CB92074" w14:textId="251EE50D" w:rsidR="00222C6E" w:rsidRDefault="00222C6E" w:rsidP="00222C6E"/>
    <w:p w14:paraId="2D45D9AC" w14:textId="6BBC6CEE" w:rsidR="00222C6E" w:rsidRDefault="00222C6E" w:rsidP="00222C6E"/>
    <w:p w14:paraId="36ABD14F" w14:textId="78899E6F" w:rsidR="00222C6E" w:rsidRDefault="00222C6E" w:rsidP="00222C6E"/>
    <w:p w14:paraId="52900740" w14:textId="7A73170F" w:rsidR="00222C6E" w:rsidRDefault="00222C6E" w:rsidP="00222C6E"/>
    <w:p w14:paraId="2C48A179" w14:textId="79675EB8" w:rsidR="00222C6E" w:rsidRDefault="00222C6E" w:rsidP="00222C6E"/>
    <w:p w14:paraId="0DA9A8CA" w14:textId="77777777" w:rsidR="00222C6E" w:rsidRPr="00222C6E" w:rsidRDefault="00222C6E" w:rsidP="00222C6E"/>
    <w:tbl>
      <w:tblPr>
        <w:tblW w:w="5000" w:type="pct"/>
        <w:tblCellMar>
          <w:left w:w="70" w:type="dxa"/>
          <w:right w:w="70" w:type="dxa"/>
        </w:tblCellMar>
        <w:tblLook w:val="04A0" w:firstRow="1" w:lastRow="0" w:firstColumn="1" w:lastColumn="0" w:noHBand="0" w:noVBand="1"/>
      </w:tblPr>
      <w:tblGrid>
        <w:gridCol w:w="3525"/>
        <w:gridCol w:w="1311"/>
        <w:gridCol w:w="1926"/>
        <w:gridCol w:w="1392"/>
        <w:gridCol w:w="2313"/>
      </w:tblGrid>
      <w:tr w:rsidR="00222C6E" w:rsidRPr="00222C6E" w14:paraId="03FBFDCC" w14:textId="77777777" w:rsidTr="00222C6E">
        <w:trPr>
          <w:trHeight w:val="300"/>
        </w:trPr>
        <w:tc>
          <w:tcPr>
            <w:tcW w:w="5000" w:type="pct"/>
            <w:gridSpan w:val="5"/>
            <w:tcBorders>
              <w:top w:val="nil"/>
              <w:left w:val="nil"/>
              <w:bottom w:val="nil"/>
              <w:right w:val="nil"/>
            </w:tcBorders>
            <w:shd w:val="clear" w:color="auto" w:fill="auto"/>
            <w:noWrap/>
            <w:vAlign w:val="center"/>
            <w:hideMark/>
          </w:tcPr>
          <w:p w14:paraId="6471FCCC" w14:textId="77777777" w:rsidR="00222C6E" w:rsidRPr="00222C6E" w:rsidRDefault="00222C6E">
            <w:pPr>
              <w:jc w:val="center"/>
              <w:rPr>
                <w:rFonts w:asciiTheme="majorHAnsi" w:hAnsiTheme="majorHAnsi" w:cs="Arial"/>
                <w:b/>
                <w:bCs/>
                <w:sz w:val="16"/>
                <w:szCs w:val="16"/>
              </w:rPr>
            </w:pPr>
            <w:r w:rsidRPr="00222C6E">
              <w:rPr>
                <w:rFonts w:asciiTheme="majorHAnsi" w:hAnsiTheme="majorHAnsi" w:cs="Arial"/>
                <w:b/>
                <w:bCs/>
                <w:sz w:val="16"/>
                <w:szCs w:val="16"/>
              </w:rPr>
              <w:t>VALEC ENGENHARIA, CONSTRUÇÕES E FERROVIAS S/A</w:t>
            </w:r>
          </w:p>
        </w:tc>
      </w:tr>
      <w:tr w:rsidR="00222C6E" w:rsidRPr="00222C6E" w14:paraId="5379E523" w14:textId="77777777" w:rsidTr="00222C6E">
        <w:trPr>
          <w:trHeight w:val="300"/>
        </w:trPr>
        <w:tc>
          <w:tcPr>
            <w:tcW w:w="5000" w:type="pct"/>
            <w:gridSpan w:val="5"/>
            <w:tcBorders>
              <w:top w:val="nil"/>
              <w:left w:val="nil"/>
              <w:bottom w:val="nil"/>
              <w:right w:val="nil"/>
            </w:tcBorders>
            <w:shd w:val="clear" w:color="auto" w:fill="auto"/>
            <w:noWrap/>
            <w:vAlign w:val="center"/>
            <w:hideMark/>
          </w:tcPr>
          <w:p w14:paraId="75442CDC" w14:textId="77777777" w:rsidR="00222C6E" w:rsidRPr="00222C6E" w:rsidRDefault="00222C6E">
            <w:pPr>
              <w:jc w:val="center"/>
              <w:rPr>
                <w:rFonts w:asciiTheme="majorHAnsi" w:hAnsiTheme="majorHAnsi" w:cs="Arial"/>
                <w:b/>
                <w:bCs/>
                <w:sz w:val="16"/>
                <w:szCs w:val="16"/>
              </w:rPr>
            </w:pPr>
            <w:r w:rsidRPr="00222C6E">
              <w:rPr>
                <w:rFonts w:asciiTheme="majorHAnsi" w:hAnsiTheme="majorHAnsi" w:cs="Arial"/>
                <w:b/>
                <w:bCs/>
                <w:sz w:val="16"/>
                <w:szCs w:val="16"/>
              </w:rPr>
              <w:t xml:space="preserve">DEMONSTRAÇÕES DAS MUTAÇÕES DO PATRIMÔNIO LÍQUIDO </w:t>
            </w:r>
          </w:p>
        </w:tc>
      </w:tr>
      <w:tr w:rsidR="00222C6E" w:rsidRPr="00222C6E" w14:paraId="06B0FFBE" w14:textId="77777777" w:rsidTr="00222C6E">
        <w:trPr>
          <w:trHeight w:val="300"/>
        </w:trPr>
        <w:tc>
          <w:tcPr>
            <w:tcW w:w="5000" w:type="pct"/>
            <w:gridSpan w:val="5"/>
            <w:tcBorders>
              <w:top w:val="nil"/>
              <w:left w:val="nil"/>
              <w:bottom w:val="nil"/>
              <w:right w:val="nil"/>
            </w:tcBorders>
            <w:shd w:val="clear" w:color="auto" w:fill="auto"/>
            <w:noWrap/>
            <w:vAlign w:val="center"/>
            <w:hideMark/>
          </w:tcPr>
          <w:p w14:paraId="06585B3E" w14:textId="77777777" w:rsidR="00222C6E" w:rsidRPr="00222C6E" w:rsidRDefault="00222C6E">
            <w:pPr>
              <w:jc w:val="center"/>
              <w:rPr>
                <w:rFonts w:asciiTheme="majorHAnsi" w:hAnsiTheme="majorHAnsi" w:cs="Arial"/>
                <w:b/>
                <w:bCs/>
                <w:sz w:val="16"/>
                <w:szCs w:val="16"/>
              </w:rPr>
            </w:pPr>
            <w:r w:rsidRPr="00222C6E">
              <w:rPr>
                <w:rFonts w:asciiTheme="majorHAnsi" w:hAnsiTheme="majorHAnsi" w:cs="Arial"/>
                <w:b/>
                <w:bCs/>
                <w:sz w:val="16"/>
                <w:szCs w:val="16"/>
              </w:rPr>
              <w:t>2º TRIMESTRE 2021</w:t>
            </w:r>
          </w:p>
        </w:tc>
      </w:tr>
      <w:tr w:rsidR="00222C6E" w:rsidRPr="00222C6E" w14:paraId="41C18B3A" w14:textId="77777777" w:rsidTr="00222C6E">
        <w:trPr>
          <w:trHeight w:val="300"/>
        </w:trPr>
        <w:tc>
          <w:tcPr>
            <w:tcW w:w="5000" w:type="pct"/>
            <w:gridSpan w:val="5"/>
            <w:tcBorders>
              <w:top w:val="nil"/>
              <w:left w:val="nil"/>
              <w:bottom w:val="nil"/>
              <w:right w:val="nil"/>
            </w:tcBorders>
            <w:shd w:val="clear" w:color="auto" w:fill="auto"/>
            <w:noWrap/>
            <w:vAlign w:val="center"/>
            <w:hideMark/>
          </w:tcPr>
          <w:p w14:paraId="4F4FC190" w14:textId="77777777" w:rsidR="00222C6E" w:rsidRPr="00222C6E" w:rsidRDefault="00222C6E">
            <w:pPr>
              <w:jc w:val="center"/>
              <w:rPr>
                <w:rFonts w:asciiTheme="majorHAnsi" w:hAnsiTheme="majorHAnsi" w:cs="Arial"/>
                <w:b/>
                <w:bCs/>
                <w:sz w:val="16"/>
                <w:szCs w:val="16"/>
              </w:rPr>
            </w:pPr>
            <w:r w:rsidRPr="00222C6E">
              <w:rPr>
                <w:rFonts w:asciiTheme="majorHAnsi" w:hAnsiTheme="majorHAnsi" w:cs="Arial"/>
                <w:b/>
                <w:bCs/>
                <w:sz w:val="16"/>
                <w:szCs w:val="16"/>
              </w:rPr>
              <w:t>Em R$ 1</w:t>
            </w:r>
          </w:p>
        </w:tc>
      </w:tr>
      <w:tr w:rsidR="00222C6E" w:rsidRPr="00222C6E" w14:paraId="33210F36" w14:textId="77777777" w:rsidTr="00222C6E">
        <w:trPr>
          <w:trHeight w:val="315"/>
        </w:trPr>
        <w:tc>
          <w:tcPr>
            <w:tcW w:w="1684" w:type="pct"/>
            <w:tcBorders>
              <w:top w:val="nil"/>
              <w:left w:val="nil"/>
              <w:bottom w:val="nil"/>
              <w:right w:val="nil"/>
            </w:tcBorders>
            <w:shd w:val="clear" w:color="auto" w:fill="auto"/>
            <w:noWrap/>
            <w:vAlign w:val="center"/>
            <w:hideMark/>
          </w:tcPr>
          <w:p w14:paraId="390708B6" w14:textId="77777777" w:rsidR="00222C6E" w:rsidRPr="00222C6E" w:rsidRDefault="00222C6E">
            <w:pPr>
              <w:jc w:val="center"/>
              <w:rPr>
                <w:rFonts w:asciiTheme="majorHAnsi" w:hAnsiTheme="majorHAnsi" w:cs="Arial"/>
                <w:b/>
                <w:bCs/>
                <w:sz w:val="16"/>
                <w:szCs w:val="16"/>
              </w:rPr>
            </w:pPr>
          </w:p>
        </w:tc>
        <w:tc>
          <w:tcPr>
            <w:tcW w:w="626" w:type="pct"/>
            <w:tcBorders>
              <w:top w:val="nil"/>
              <w:left w:val="nil"/>
              <w:bottom w:val="nil"/>
              <w:right w:val="nil"/>
            </w:tcBorders>
            <w:shd w:val="clear" w:color="auto" w:fill="auto"/>
            <w:noWrap/>
            <w:vAlign w:val="center"/>
            <w:hideMark/>
          </w:tcPr>
          <w:p w14:paraId="5DE60362" w14:textId="77777777" w:rsidR="00222C6E" w:rsidRPr="00222C6E" w:rsidRDefault="00222C6E">
            <w:pPr>
              <w:rPr>
                <w:rFonts w:asciiTheme="majorHAnsi" w:hAnsiTheme="majorHAnsi"/>
                <w:sz w:val="16"/>
                <w:szCs w:val="16"/>
              </w:rPr>
            </w:pPr>
          </w:p>
        </w:tc>
        <w:tc>
          <w:tcPr>
            <w:tcW w:w="920" w:type="pct"/>
            <w:tcBorders>
              <w:top w:val="nil"/>
              <w:left w:val="nil"/>
              <w:bottom w:val="nil"/>
              <w:right w:val="nil"/>
            </w:tcBorders>
            <w:shd w:val="clear" w:color="auto" w:fill="auto"/>
            <w:noWrap/>
            <w:vAlign w:val="center"/>
            <w:hideMark/>
          </w:tcPr>
          <w:p w14:paraId="5C1CBB90" w14:textId="77777777" w:rsidR="00222C6E" w:rsidRPr="00222C6E" w:rsidRDefault="00222C6E">
            <w:pPr>
              <w:rPr>
                <w:rFonts w:asciiTheme="majorHAnsi" w:hAnsiTheme="majorHAnsi"/>
                <w:sz w:val="16"/>
                <w:szCs w:val="16"/>
              </w:rPr>
            </w:pPr>
          </w:p>
        </w:tc>
        <w:tc>
          <w:tcPr>
            <w:tcW w:w="665" w:type="pct"/>
            <w:tcBorders>
              <w:top w:val="nil"/>
              <w:left w:val="nil"/>
              <w:bottom w:val="nil"/>
              <w:right w:val="nil"/>
            </w:tcBorders>
            <w:shd w:val="clear" w:color="auto" w:fill="auto"/>
            <w:noWrap/>
            <w:vAlign w:val="center"/>
            <w:hideMark/>
          </w:tcPr>
          <w:p w14:paraId="555471E8" w14:textId="77777777" w:rsidR="00222C6E" w:rsidRPr="00222C6E" w:rsidRDefault="00222C6E">
            <w:pPr>
              <w:rPr>
                <w:rFonts w:asciiTheme="majorHAnsi" w:hAnsiTheme="majorHAnsi"/>
                <w:sz w:val="16"/>
                <w:szCs w:val="16"/>
              </w:rPr>
            </w:pPr>
          </w:p>
        </w:tc>
        <w:tc>
          <w:tcPr>
            <w:tcW w:w="1105" w:type="pct"/>
            <w:tcBorders>
              <w:top w:val="nil"/>
              <w:left w:val="nil"/>
              <w:bottom w:val="nil"/>
              <w:right w:val="nil"/>
            </w:tcBorders>
            <w:shd w:val="clear" w:color="auto" w:fill="auto"/>
            <w:noWrap/>
            <w:vAlign w:val="center"/>
            <w:hideMark/>
          </w:tcPr>
          <w:p w14:paraId="23A2AF05" w14:textId="77777777" w:rsidR="00222C6E" w:rsidRPr="00222C6E" w:rsidRDefault="00222C6E">
            <w:pPr>
              <w:rPr>
                <w:rFonts w:asciiTheme="majorHAnsi" w:hAnsiTheme="majorHAnsi"/>
                <w:sz w:val="16"/>
                <w:szCs w:val="16"/>
              </w:rPr>
            </w:pPr>
          </w:p>
        </w:tc>
      </w:tr>
      <w:tr w:rsidR="00222C6E" w:rsidRPr="00222C6E" w14:paraId="3EC5E7F3" w14:textId="77777777" w:rsidTr="00222C6E">
        <w:trPr>
          <w:trHeight w:val="300"/>
        </w:trPr>
        <w:tc>
          <w:tcPr>
            <w:tcW w:w="1684" w:type="pct"/>
            <w:tcBorders>
              <w:top w:val="single" w:sz="8" w:space="0" w:color="auto"/>
              <w:left w:val="single" w:sz="8" w:space="0" w:color="auto"/>
              <w:bottom w:val="nil"/>
              <w:right w:val="single" w:sz="8" w:space="0" w:color="auto"/>
            </w:tcBorders>
            <w:shd w:val="clear" w:color="auto" w:fill="auto"/>
            <w:noWrap/>
            <w:vAlign w:val="center"/>
            <w:hideMark/>
          </w:tcPr>
          <w:p w14:paraId="16514D88" w14:textId="3CDDFDD3" w:rsidR="00222C6E" w:rsidRPr="00222C6E" w:rsidRDefault="00222C6E" w:rsidP="00222C6E">
            <w:pPr>
              <w:jc w:val="center"/>
              <w:rPr>
                <w:rFonts w:asciiTheme="majorHAnsi" w:hAnsiTheme="majorHAnsi" w:cs="Arial"/>
                <w:b/>
                <w:bCs/>
                <w:sz w:val="16"/>
                <w:szCs w:val="16"/>
              </w:rPr>
            </w:pPr>
            <w:r>
              <w:rPr>
                <w:rFonts w:asciiTheme="majorHAnsi" w:hAnsiTheme="majorHAnsi" w:cs="Arial"/>
                <w:b/>
                <w:bCs/>
                <w:sz w:val="16"/>
                <w:szCs w:val="16"/>
              </w:rPr>
              <w:t>Histórico</w:t>
            </w:r>
          </w:p>
        </w:tc>
        <w:tc>
          <w:tcPr>
            <w:tcW w:w="626" w:type="pct"/>
            <w:tcBorders>
              <w:top w:val="single" w:sz="8" w:space="0" w:color="auto"/>
              <w:left w:val="nil"/>
              <w:bottom w:val="nil"/>
              <w:right w:val="single" w:sz="8" w:space="0" w:color="auto"/>
            </w:tcBorders>
            <w:shd w:val="clear" w:color="auto" w:fill="auto"/>
            <w:noWrap/>
            <w:vAlign w:val="center"/>
            <w:hideMark/>
          </w:tcPr>
          <w:p w14:paraId="481815C0" w14:textId="77777777" w:rsidR="00222C6E" w:rsidRPr="00222C6E" w:rsidRDefault="00222C6E">
            <w:pPr>
              <w:jc w:val="center"/>
              <w:rPr>
                <w:rFonts w:asciiTheme="majorHAnsi" w:hAnsiTheme="majorHAnsi" w:cs="Arial"/>
                <w:b/>
                <w:bCs/>
                <w:sz w:val="16"/>
                <w:szCs w:val="16"/>
              </w:rPr>
            </w:pPr>
            <w:r w:rsidRPr="00222C6E">
              <w:rPr>
                <w:rFonts w:asciiTheme="majorHAnsi" w:hAnsiTheme="majorHAnsi" w:cs="Arial"/>
                <w:b/>
                <w:bCs/>
                <w:sz w:val="16"/>
                <w:szCs w:val="16"/>
              </w:rPr>
              <w:t>Capital</w:t>
            </w:r>
          </w:p>
        </w:tc>
        <w:tc>
          <w:tcPr>
            <w:tcW w:w="920" w:type="pct"/>
            <w:tcBorders>
              <w:top w:val="single" w:sz="8" w:space="0" w:color="auto"/>
              <w:left w:val="nil"/>
              <w:bottom w:val="nil"/>
              <w:right w:val="single" w:sz="8" w:space="0" w:color="auto"/>
            </w:tcBorders>
            <w:shd w:val="clear" w:color="auto" w:fill="auto"/>
            <w:noWrap/>
            <w:vAlign w:val="center"/>
            <w:hideMark/>
          </w:tcPr>
          <w:p w14:paraId="5F073B31" w14:textId="7276D4B0" w:rsidR="00222C6E" w:rsidRPr="00222C6E" w:rsidRDefault="00222C6E">
            <w:pPr>
              <w:jc w:val="center"/>
              <w:rPr>
                <w:rFonts w:asciiTheme="majorHAnsi" w:hAnsiTheme="majorHAnsi" w:cs="Arial"/>
                <w:b/>
                <w:bCs/>
                <w:sz w:val="16"/>
                <w:szCs w:val="16"/>
              </w:rPr>
            </w:pPr>
            <w:r w:rsidRPr="00222C6E">
              <w:rPr>
                <w:rFonts w:asciiTheme="majorHAnsi" w:hAnsiTheme="majorHAnsi" w:cs="Arial"/>
                <w:b/>
                <w:bCs/>
                <w:sz w:val="16"/>
                <w:szCs w:val="16"/>
              </w:rPr>
              <w:t xml:space="preserve">Adiantamento para </w:t>
            </w:r>
          </w:p>
        </w:tc>
        <w:tc>
          <w:tcPr>
            <w:tcW w:w="665" w:type="pct"/>
            <w:tcBorders>
              <w:top w:val="single" w:sz="8" w:space="0" w:color="auto"/>
              <w:left w:val="nil"/>
              <w:bottom w:val="nil"/>
              <w:right w:val="single" w:sz="8" w:space="0" w:color="auto"/>
            </w:tcBorders>
            <w:shd w:val="clear" w:color="auto" w:fill="auto"/>
            <w:noWrap/>
            <w:vAlign w:val="center"/>
            <w:hideMark/>
          </w:tcPr>
          <w:p w14:paraId="3376BBD7" w14:textId="0C6F3C70" w:rsidR="00222C6E" w:rsidRPr="00222C6E" w:rsidRDefault="00222C6E">
            <w:pPr>
              <w:jc w:val="center"/>
              <w:rPr>
                <w:rFonts w:asciiTheme="majorHAnsi" w:hAnsiTheme="majorHAnsi" w:cs="Arial"/>
                <w:b/>
                <w:bCs/>
                <w:sz w:val="16"/>
                <w:szCs w:val="16"/>
              </w:rPr>
            </w:pPr>
            <w:r w:rsidRPr="00222C6E">
              <w:rPr>
                <w:rFonts w:asciiTheme="majorHAnsi" w:hAnsiTheme="majorHAnsi" w:cs="Arial"/>
                <w:b/>
                <w:bCs/>
                <w:sz w:val="16"/>
                <w:szCs w:val="16"/>
              </w:rPr>
              <w:t>Lucros ou Prejuízos</w:t>
            </w:r>
          </w:p>
        </w:tc>
        <w:tc>
          <w:tcPr>
            <w:tcW w:w="1105" w:type="pct"/>
            <w:vMerge w:val="restart"/>
            <w:tcBorders>
              <w:top w:val="single" w:sz="8" w:space="0" w:color="auto"/>
              <w:left w:val="nil"/>
              <w:right w:val="single" w:sz="8" w:space="0" w:color="auto"/>
            </w:tcBorders>
            <w:shd w:val="clear" w:color="auto" w:fill="auto"/>
            <w:noWrap/>
            <w:vAlign w:val="center"/>
            <w:hideMark/>
          </w:tcPr>
          <w:p w14:paraId="6D10F64D" w14:textId="59856367" w:rsidR="00222C6E" w:rsidRPr="00222C6E" w:rsidRDefault="00222C6E" w:rsidP="00810F1C">
            <w:pPr>
              <w:jc w:val="center"/>
              <w:rPr>
                <w:rFonts w:asciiTheme="majorHAnsi" w:hAnsiTheme="majorHAnsi" w:cs="Arial"/>
                <w:b/>
                <w:bCs/>
                <w:sz w:val="16"/>
                <w:szCs w:val="16"/>
              </w:rPr>
            </w:pPr>
            <w:r w:rsidRPr="00222C6E">
              <w:rPr>
                <w:rFonts w:asciiTheme="majorHAnsi" w:hAnsiTheme="majorHAnsi" w:cs="Arial"/>
                <w:b/>
                <w:bCs/>
                <w:sz w:val="16"/>
                <w:szCs w:val="16"/>
              </w:rPr>
              <w:t>Total</w:t>
            </w:r>
          </w:p>
        </w:tc>
      </w:tr>
      <w:tr w:rsidR="00222C6E" w:rsidRPr="00222C6E" w14:paraId="23EE042E" w14:textId="77777777" w:rsidTr="00222C6E">
        <w:trPr>
          <w:trHeight w:val="300"/>
        </w:trPr>
        <w:tc>
          <w:tcPr>
            <w:tcW w:w="1684" w:type="pct"/>
            <w:tcBorders>
              <w:top w:val="nil"/>
              <w:left w:val="single" w:sz="8" w:space="0" w:color="auto"/>
              <w:bottom w:val="nil"/>
              <w:right w:val="single" w:sz="8" w:space="0" w:color="auto"/>
            </w:tcBorders>
            <w:shd w:val="clear" w:color="auto" w:fill="auto"/>
            <w:noWrap/>
            <w:vAlign w:val="center"/>
            <w:hideMark/>
          </w:tcPr>
          <w:p w14:paraId="49603868" w14:textId="40BD0F3F" w:rsidR="00222C6E" w:rsidRPr="00222C6E" w:rsidRDefault="00222C6E" w:rsidP="00222C6E">
            <w:pPr>
              <w:jc w:val="center"/>
              <w:rPr>
                <w:rFonts w:asciiTheme="majorHAnsi" w:hAnsiTheme="majorHAnsi" w:cs="Arial"/>
                <w:sz w:val="16"/>
                <w:szCs w:val="16"/>
              </w:rPr>
            </w:pPr>
            <w:r w:rsidRPr="00222C6E">
              <w:rPr>
                <w:rFonts w:asciiTheme="majorHAnsi" w:hAnsiTheme="majorHAnsi" w:cs="Arial"/>
                <w:b/>
                <w:bCs/>
                <w:sz w:val="16"/>
                <w:szCs w:val="16"/>
              </w:rPr>
              <w:t>Classificação</w:t>
            </w:r>
          </w:p>
        </w:tc>
        <w:tc>
          <w:tcPr>
            <w:tcW w:w="626" w:type="pct"/>
            <w:tcBorders>
              <w:top w:val="nil"/>
              <w:left w:val="nil"/>
              <w:bottom w:val="nil"/>
              <w:right w:val="single" w:sz="8" w:space="0" w:color="auto"/>
            </w:tcBorders>
            <w:shd w:val="clear" w:color="auto" w:fill="auto"/>
            <w:noWrap/>
            <w:vAlign w:val="center"/>
            <w:hideMark/>
          </w:tcPr>
          <w:p w14:paraId="0B60D38A" w14:textId="77777777" w:rsidR="00222C6E" w:rsidRPr="00222C6E" w:rsidRDefault="00222C6E">
            <w:pPr>
              <w:jc w:val="center"/>
              <w:rPr>
                <w:rFonts w:asciiTheme="majorHAnsi" w:hAnsiTheme="majorHAnsi" w:cs="Arial"/>
                <w:b/>
                <w:bCs/>
                <w:sz w:val="16"/>
                <w:szCs w:val="16"/>
              </w:rPr>
            </w:pPr>
            <w:r w:rsidRPr="00222C6E">
              <w:rPr>
                <w:rFonts w:asciiTheme="majorHAnsi" w:hAnsiTheme="majorHAnsi" w:cs="Arial"/>
                <w:b/>
                <w:bCs/>
                <w:sz w:val="16"/>
                <w:szCs w:val="16"/>
              </w:rPr>
              <w:t>Social</w:t>
            </w:r>
          </w:p>
        </w:tc>
        <w:tc>
          <w:tcPr>
            <w:tcW w:w="920" w:type="pct"/>
            <w:tcBorders>
              <w:top w:val="nil"/>
              <w:left w:val="nil"/>
              <w:bottom w:val="nil"/>
              <w:right w:val="single" w:sz="8" w:space="0" w:color="auto"/>
            </w:tcBorders>
            <w:shd w:val="clear" w:color="auto" w:fill="auto"/>
            <w:noWrap/>
            <w:vAlign w:val="center"/>
            <w:hideMark/>
          </w:tcPr>
          <w:p w14:paraId="1C9FFBE0" w14:textId="625B239B" w:rsidR="00222C6E" w:rsidRPr="00222C6E" w:rsidRDefault="00222C6E">
            <w:pPr>
              <w:jc w:val="center"/>
              <w:rPr>
                <w:rFonts w:asciiTheme="majorHAnsi" w:hAnsiTheme="majorHAnsi" w:cs="Arial"/>
                <w:b/>
                <w:bCs/>
                <w:sz w:val="16"/>
                <w:szCs w:val="16"/>
              </w:rPr>
            </w:pPr>
            <w:r w:rsidRPr="00222C6E">
              <w:rPr>
                <w:rFonts w:asciiTheme="majorHAnsi" w:hAnsiTheme="majorHAnsi" w:cs="Arial"/>
                <w:b/>
                <w:bCs/>
                <w:sz w:val="16"/>
                <w:szCs w:val="16"/>
              </w:rPr>
              <w:t>Futuro Aumento de Capital</w:t>
            </w:r>
          </w:p>
        </w:tc>
        <w:tc>
          <w:tcPr>
            <w:tcW w:w="665" w:type="pct"/>
            <w:tcBorders>
              <w:top w:val="nil"/>
              <w:left w:val="nil"/>
              <w:bottom w:val="nil"/>
              <w:right w:val="single" w:sz="8" w:space="0" w:color="auto"/>
            </w:tcBorders>
            <w:shd w:val="clear" w:color="auto" w:fill="auto"/>
            <w:noWrap/>
            <w:vAlign w:val="center"/>
            <w:hideMark/>
          </w:tcPr>
          <w:p w14:paraId="408E7054" w14:textId="0E8793C7" w:rsidR="00222C6E" w:rsidRPr="00222C6E" w:rsidRDefault="00222C6E">
            <w:pPr>
              <w:jc w:val="center"/>
              <w:rPr>
                <w:rFonts w:asciiTheme="majorHAnsi" w:hAnsiTheme="majorHAnsi" w:cs="Arial"/>
                <w:b/>
                <w:bCs/>
                <w:sz w:val="16"/>
                <w:szCs w:val="16"/>
              </w:rPr>
            </w:pPr>
            <w:r w:rsidRPr="00222C6E">
              <w:rPr>
                <w:rFonts w:asciiTheme="majorHAnsi" w:hAnsiTheme="majorHAnsi" w:cs="Arial"/>
                <w:b/>
                <w:bCs/>
                <w:sz w:val="16"/>
                <w:szCs w:val="16"/>
              </w:rPr>
              <w:t>Acumulados</w:t>
            </w:r>
          </w:p>
        </w:tc>
        <w:tc>
          <w:tcPr>
            <w:tcW w:w="1105" w:type="pct"/>
            <w:vMerge/>
            <w:tcBorders>
              <w:left w:val="nil"/>
              <w:bottom w:val="nil"/>
              <w:right w:val="single" w:sz="8" w:space="0" w:color="auto"/>
            </w:tcBorders>
            <w:shd w:val="clear" w:color="auto" w:fill="auto"/>
            <w:noWrap/>
            <w:vAlign w:val="center"/>
            <w:hideMark/>
          </w:tcPr>
          <w:p w14:paraId="337829F2" w14:textId="0ED59E92" w:rsidR="00222C6E" w:rsidRPr="00222C6E" w:rsidRDefault="00222C6E">
            <w:pPr>
              <w:jc w:val="center"/>
              <w:rPr>
                <w:rFonts w:asciiTheme="majorHAnsi" w:hAnsiTheme="majorHAnsi" w:cs="Arial"/>
                <w:b/>
                <w:bCs/>
                <w:sz w:val="16"/>
                <w:szCs w:val="16"/>
              </w:rPr>
            </w:pPr>
          </w:p>
        </w:tc>
      </w:tr>
      <w:tr w:rsidR="00222C6E" w:rsidRPr="00222C6E" w14:paraId="3CD5124C" w14:textId="77777777" w:rsidTr="00222C6E">
        <w:trPr>
          <w:trHeight w:val="315"/>
        </w:trPr>
        <w:tc>
          <w:tcPr>
            <w:tcW w:w="168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CBC8" w14:textId="77777777" w:rsidR="00222C6E" w:rsidRPr="00222C6E" w:rsidRDefault="00222C6E">
            <w:pPr>
              <w:rPr>
                <w:rFonts w:asciiTheme="majorHAnsi" w:hAnsiTheme="majorHAnsi" w:cs="Arial"/>
                <w:b/>
                <w:bCs/>
                <w:sz w:val="16"/>
                <w:szCs w:val="16"/>
              </w:rPr>
            </w:pPr>
            <w:r w:rsidRPr="00222C6E">
              <w:rPr>
                <w:rFonts w:asciiTheme="majorHAnsi" w:hAnsiTheme="majorHAnsi" w:cs="Arial"/>
                <w:b/>
                <w:bCs/>
                <w:sz w:val="16"/>
                <w:szCs w:val="16"/>
              </w:rPr>
              <w:t>Saldo em 01 de janeiro de 2020 (Reapresentado)</w:t>
            </w:r>
          </w:p>
        </w:tc>
        <w:tc>
          <w:tcPr>
            <w:tcW w:w="626" w:type="pct"/>
            <w:tcBorders>
              <w:top w:val="single" w:sz="8" w:space="0" w:color="auto"/>
              <w:left w:val="nil"/>
              <w:bottom w:val="single" w:sz="8" w:space="0" w:color="auto"/>
              <w:right w:val="single" w:sz="8" w:space="0" w:color="auto"/>
            </w:tcBorders>
            <w:shd w:val="clear" w:color="auto" w:fill="auto"/>
            <w:noWrap/>
            <w:vAlign w:val="center"/>
            <w:hideMark/>
          </w:tcPr>
          <w:p w14:paraId="7C0B6609" w14:textId="77777777" w:rsidR="00222C6E" w:rsidRPr="00222C6E" w:rsidRDefault="00222C6E" w:rsidP="00222C6E">
            <w:pPr>
              <w:jc w:val="right"/>
              <w:rPr>
                <w:rFonts w:asciiTheme="majorHAnsi" w:hAnsiTheme="majorHAnsi" w:cs="Arial"/>
                <w:b/>
                <w:bCs/>
                <w:sz w:val="16"/>
                <w:szCs w:val="16"/>
              </w:rPr>
            </w:pPr>
            <w:r w:rsidRPr="00222C6E">
              <w:rPr>
                <w:rFonts w:asciiTheme="majorHAnsi" w:hAnsiTheme="majorHAnsi" w:cs="Arial"/>
                <w:b/>
                <w:bCs/>
                <w:sz w:val="16"/>
                <w:szCs w:val="16"/>
              </w:rPr>
              <w:t>22.233.502.272</w:t>
            </w:r>
          </w:p>
        </w:tc>
        <w:tc>
          <w:tcPr>
            <w:tcW w:w="920" w:type="pct"/>
            <w:tcBorders>
              <w:top w:val="single" w:sz="8" w:space="0" w:color="auto"/>
              <w:left w:val="nil"/>
              <w:bottom w:val="nil"/>
              <w:right w:val="single" w:sz="8" w:space="0" w:color="auto"/>
            </w:tcBorders>
            <w:shd w:val="clear" w:color="auto" w:fill="auto"/>
            <w:noWrap/>
            <w:vAlign w:val="center"/>
            <w:hideMark/>
          </w:tcPr>
          <w:p w14:paraId="5C5651D1" w14:textId="77777777" w:rsidR="00222C6E" w:rsidRPr="00222C6E" w:rsidRDefault="00222C6E" w:rsidP="00222C6E">
            <w:pPr>
              <w:jc w:val="right"/>
              <w:rPr>
                <w:rFonts w:asciiTheme="majorHAnsi" w:hAnsiTheme="majorHAnsi" w:cs="Arial"/>
                <w:b/>
                <w:bCs/>
                <w:sz w:val="16"/>
                <w:szCs w:val="16"/>
              </w:rPr>
            </w:pPr>
            <w:r w:rsidRPr="00222C6E">
              <w:rPr>
                <w:rFonts w:asciiTheme="majorHAnsi" w:hAnsiTheme="majorHAnsi" w:cs="Arial"/>
                <w:b/>
                <w:bCs/>
                <w:sz w:val="16"/>
                <w:szCs w:val="16"/>
              </w:rPr>
              <w:t xml:space="preserve">                     568.674.563 </w:t>
            </w:r>
          </w:p>
        </w:tc>
        <w:tc>
          <w:tcPr>
            <w:tcW w:w="665" w:type="pct"/>
            <w:tcBorders>
              <w:top w:val="single" w:sz="8" w:space="0" w:color="auto"/>
              <w:left w:val="nil"/>
              <w:bottom w:val="single" w:sz="8" w:space="0" w:color="auto"/>
              <w:right w:val="nil"/>
            </w:tcBorders>
            <w:shd w:val="clear" w:color="auto" w:fill="auto"/>
            <w:noWrap/>
            <w:vAlign w:val="center"/>
            <w:hideMark/>
          </w:tcPr>
          <w:p w14:paraId="768DA427" w14:textId="77777777" w:rsidR="00222C6E" w:rsidRPr="00222C6E" w:rsidRDefault="00222C6E" w:rsidP="00222C6E">
            <w:pPr>
              <w:jc w:val="right"/>
              <w:rPr>
                <w:rFonts w:asciiTheme="majorHAnsi" w:hAnsiTheme="majorHAnsi" w:cs="Arial"/>
                <w:b/>
                <w:bCs/>
                <w:sz w:val="16"/>
                <w:szCs w:val="16"/>
              </w:rPr>
            </w:pPr>
            <w:r w:rsidRPr="00222C6E">
              <w:rPr>
                <w:rFonts w:asciiTheme="majorHAnsi" w:hAnsiTheme="majorHAnsi" w:cs="Arial"/>
                <w:b/>
                <w:bCs/>
                <w:sz w:val="16"/>
                <w:szCs w:val="16"/>
              </w:rPr>
              <w:t xml:space="preserve">    (20.346.734.401)</w:t>
            </w:r>
          </w:p>
        </w:tc>
        <w:tc>
          <w:tcPr>
            <w:tcW w:w="110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DF5538" w14:textId="77777777" w:rsidR="00222C6E" w:rsidRPr="00222C6E" w:rsidRDefault="00222C6E" w:rsidP="00222C6E">
            <w:pPr>
              <w:jc w:val="right"/>
              <w:rPr>
                <w:rFonts w:asciiTheme="majorHAnsi" w:hAnsiTheme="majorHAnsi" w:cs="Arial"/>
                <w:b/>
                <w:bCs/>
                <w:sz w:val="16"/>
                <w:szCs w:val="16"/>
              </w:rPr>
            </w:pPr>
            <w:r w:rsidRPr="00222C6E">
              <w:rPr>
                <w:rFonts w:asciiTheme="majorHAnsi" w:hAnsiTheme="majorHAnsi" w:cs="Arial"/>
                <w:b/>
                <w:bCs/>
                <w:sz w:val="16"/>
                <w:szCs w:val="16"/>
              </w:rPr>
              <w:t xml:space="preserve">                               2.455.442.434 </w:t>
            </w:r>
          </w:p>
        </w:tc>
      </w:tr>
      <w:tr w:rsidR="00222C6E" w:rsidRPr="00222C6E" w14:paraId="3B73296B" w14:textId="77777777" w:rsidTr="00222C6E">
        <w:trPr>
          <w:trHeight w:val="300"/>
        </w:trPr>
        <w:tc>
          <w:tcPr>
            <w:tcW w:w="1684" w:type="pct"/>
            <w:tcBorders>
              <w:top w:val="nil"/>
              <w:left w:val="single" w:sz="8" w:space="0" w:color="auto"/>
              <w:bottom w:val="nil"/>
              <w:right w:val="single" w:sz="8" w:space="0" w:color="auto"/>
            </w:tcBorders>
            <w:shd w:val="clear" w:color="auto" w:fill="auto"/>
            <w:noWrap/>
            <w:vAlign w:val="center"/>
            <w:hideMark/>
          </w:tcPr>
          <w:p w14:paraId="552BB5FD" w14:textId="77777777" w:rsidR="00222C6E" w:rsidRPr="00222C6E" w:rsidRDefault="00222C6E">
            <w:pPr>
              <w:rPr>
                <w:rFonts w:asciiTheme="majorHAnsi" w:hAnsiTheme="majorHAnsi" w:cs="Arial"/>
                <w:sz w:val="16"/>
                <w:szCs w:val="16"/>
              </w:rPr>
            </w:pPr>
            <w:r w:rsidRPr="00222C6E">
              <w:rPr>
                <w:rFonts w:asciiTheme="majorHAnsi" w:hAnsiTheme="majorHAnsi" w:cs="Arial"/>
                <w:sz w:val="16"/>
                <w:szCs w:val="16"/>
              </w:rPr>
              <w:t>Resultado Líquido do Período</w:t>
            </w:r>
          </w:p>
        </w:tc>
        <w:tc>
          <w:tcPr>
            <w:tcW w:w="626" w:type="pct"/>
            <w:tcBorders>
              <w:top w:val="nil"/>
              <w:left w:val="nil"/>
              <w:bottom w:val="nil"/>
              <w:right w:val="nil"/>
            </w:tcBorders>
            <w:shd w:val="clear" w:color="auto" w:fill="auto"/>
            <w:noWrap/>
            <w:vAlign w:val="center"/>
            <w:hideMark/>
          </w:tcPr>
          <w:p w14:paraId="08F19696" w14:textId="77777777" w:rsidR="00222C6E" w:rsidRPr="00222C6E" w:rsidRDefault="00222C6E" w:rsidP="00222C6E">
            <w:pPr>
              <w:jc w:val="right"/>
              <w:rPr>
                <w:rFonts w:asciiTheme="majorHAnsi" w:hAnsiTheme="majorHAnsi" w:cs="Arial"/>
                <w:sz w:val="16"/>
                <w:szCs w:val="16"/>
              </w:rPr>
            </w:pPr>
            <w:r w:rsidRPr="00222C6E">
              <w:rPr>
                <w:rFonts w:asciiTheme="majorHAnsi" w:hAnsiTheme="majorHAnsi" w:cs="Arial"/>
                <w:sz w:val="16"/>
                <w:szCs w:val="16"/>
              </w:rPr>
              <w:t xml:space="preserve">                               -   </w:t>
            </w:r>
          </w:p>
        </w:tc>
        <w:tc>
          <w:tcPr>
            <w:tcW w:w="920" w:type="pct"/>
            <w:tcBorders>
              <w:top w:val="single" w:sz="8" w:space="0" w:color="auto"/>
              <w:left w:val="single" w:sz="8" w:space="0" w:color="auto"/>
              <w:bottom w:val="nil"/>
              <w:right w:val="single" w:sz="8" w:space="0" w:color="auto"/>
            </w:tcBorders>
            <w:shd w:val="clear" w:color="auto" w:fill="auto"/>
            <w:noWrap/>
            <w:vAlign w:val="center"/>
            <w:hideMark/>
          </w:tcPr>
          <w:p w14:paraId="372AACA5" w14:textId="77777777" w:rsidR="00222C6E" w:rsidRPr="00222C6E" w:rsidRDefault="00222C6E" w:rsidP="00222C6E">
            <w:pPr>
              <w:jc w:val="right"/>
              <w:rPr>
                <w:rFonts w:asciiTheme="majorHAnsi" w:hAnsiTheme="majorHAnsi" w:cs="Arial"/>
                <w:sz w:val="16"/>
                <w:szCs w:val="16"/>
              </w:rPr>
            </w:pPr>
            <w:r w:rsidRPr="00222C6E">
              <w:rPr>
                <w:rFonts w:asciiTheme="majorHAnsi" w:hAnsiTheme="majorHAnsi" w:cs="Arial"/>
                <w:sz w:val="16"/>
                <w:szCs w:val="16"/>
              </w:rPr>
              <w:t xml:space="preserve">                                                -   </w:t>
            </w:r>
          </w:p>
        </w:tc>
        <w:tc>
          <w:tcPr>
            <w:tcW w:w="665" w:type="pct"/>
            <w:tcBorders>
              <w:top w:val="nil"/>
              <w:left w:val="nil"/>
              <w:bottom w:val="nil"/>
              <w:right w:val="single" w:sz="8" w:space="0" w:color="auto"/>
            </w:tcBorders>
            <w:shd w:val="clear" w:color="auto" w:fill="auto"/>
            <w:noWrap/>
            <w:vAlign w:val="center"/>
            <w:hideMark/>
          </w:tcPr>
          <w:p w14:paraId="7B2DF999" w14:textId="77777777" w:rsidR="00222C6E" w:rsidRPr="00222C6E" w:rsidRDefault="00222C6E" w:rsidP="00222C6E">
            <w:pPr>
              <w:jc w:val="right"/>
              <w:rPr>
                <w:rFonts w:asciiTheme="majorHAnsi" w:hAnsiTheme="majorHAnsi" w:cs="Arial"/>
                <w:sz w:val="16"/>
                <w:szCs w:val="16"/>
              </w:rPr>
            </w:pPr>
            <w:r w:rsidRPr="00222C6E">
              <w:rPr>
                <w:rFonts w:asciiTheme="majorHAnsi" w:hAnsiTheme="majorHAnsi" w:cs="Arial"/>
                <w:sz w:val="16"/>
                <w:szCs w:val="16"/>
              </w:rPr>
              <w:t xml:space="preserve">             8.513.525 </w:t>
            </w:r>
          </w:p>
        </w:tc>
        <w:tc>
          <w:tcPr>
            <w:tcW w:w="1105" w:type="pct"/>
            <w:tcBorders>
              <w:top w:val="nil"/>
              <w:left w:val="nil"/>
              <w:bottom w:val="nil"/>
              <w:right w:val="single" w:sz="8" w:space="0" w:color="auto"/>
            </w:tcBorders>
            <w:shd w:val="clear" w:color="auto" w:fill="auto"/>
            <w:noWrap/>
            <w:vAlign w:val="center"/>
            <w:hideMark/>
          </w:tcPr>
          <w:p w14:paraId="2DCD639C" w14:textId="77777777" w:rsidR="00222C6E" w:rsidRPr="00222C6E" w:rsidRDefault="00222C6E" w:rsidP="00222C6E">
            <w:pPr>
              <w:jc w:val="right"/>
              <w:rPr>
                <w:rFonts w:asciiTheme="majorHAnsi" w:hAnsiTheme="majorHAnsi" w:cs="Arial"/>
                <w:sz w:val="16"/>
                <w:szCs w:val="16"/>
              </w:rPr>
            </w:pPr>
            <w:r w:rsidRPr="00222C6E">
              <w:rPr>
                <w:rFonts w:asciiTheme="majorHAnsi" w:hAnsiTheme="majorHAnsi" w:cs="Arial"/>
                <w:sz w:val="16"/>
                <w:szCs w:val="16"/>
              </w:rPr>
              <w:t xml:space="preserve">                                     8.513.525 </w:t>
            </w:r>
          </w:p>
        </w:tc>
      </w:tr>
      <w:tr w:rsidR="00222C6E" w:rsidRPr="00222C6E" w14:paraId="429B3D82" w14:textId="77777777" w:rsidTr="00222C6E">
        <w:trPr>
          <w:trHeight w:val="315"/>
        </w:trPr>
        <w:tc>
          <w:tcPr>
            <w:tcW w:w="1684" w:type="pct"/>
            <w:tcBorders>
              <w:top w:val="nil"/>
              <w:left w:val="single" w:sz="8" w:space="0" w:color="auto"/>
              <w:bottom w:val="nil"/>
              <w:right w:val="single" w:sz="8" w:space="0" w:color="auto"/>
            </w:tcBorders>
            <w:shd w:val="clear" w:color="auto" w:fill="auto"/>
            <w:noWrap/>
            <w:vAlign w:val="center"/>
            <w:hideMark/>
          </w:tcPr>
          <w:p w14:paraId="4C08CE3A" w14:textId="77777777" w:rsidR="00222C6E" w:rsidRPr="00222C6E" w:rsidRDefault="00222C6E">
            <w:pPr>
              <w:rPr>
                <w:rFonts w:asciiTheme="majorHAnsi" w:hAnsiTheme="majorHAnsi" w:cs="Arial"/>
                <w:sz w:val="16"/>
                <w:szCs w:val="16"/>
              </w:rPr>
            </w:pPr>
            <w:r w:rsidRPr="00222C6E">
              <w:rPr>
                <w:rFonts w:asciiTheme="majorHAnsi" w:hAnsiTheme="majorHAnsi" w:cs="Arial"/>
                <w:sz w:val="16"/>
                <w:szCs w:val="16"/>
              </w:rPr>
              <w:t>Adiantamento para Futuro Aumento de Capital</w:t>
            </w:r>
          </w:p>
        </w:tc>
        <w:tc>
          <w:tcPr>
            <w:tcW w:w="626" w:type="pct"/>
            <w:tcBorders>
              <w:top w:val="nil"/>
              <w:left w:val="nil"/>
              <w:bottom w:val="single" w:sz="8" w:space="0" w:color="auto"/>
              <w:right w:val="nil"/>
            </w:tcBorders>
            <w:shd w:val="clear" w:color="auto" w:fill="auto"/>
            <w:noWrap/>
            <w:vAlign w:val="center"/>
            <w:hideMark/>
          </w:tcPr>
          <w:p w14:paraId="08DC778B" w14:textId="77777777" w:rsidR="00222C6E" w:rsidRPr="00222C6E" w:rsidRDefault="00222C6E" w:rsidP="00222C6E">
            <w:pPr>
              <w:jc w:val="right"/>
              <w:rPr>
                <w:rFonts w:asciiTheme="majorHAnsi" w:hAnsiTheme="majorHAnsi" w:cs="Arial"/>
                <w:sz w:val="16"/>
                <w:szCs w:val="16"/>
              </w:rPr>
            </w:pPr>
            <w:r w:rsidRPr="00222C6E">
              <w:rPr>
                <w:rFonts w:asciiTheme="majorHAnsi" w:hAnsiTheme="majorHAnsi" w:cs="Arial"/>
                <w:sz w:val="16"/>
                <w:szCs w:val="16"/>
              </w:rPr>
              <w:t xml:space="preserve">                               -   </w:t>
            </w:r>
          </w:p>
        </w:tc>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CE2B543" w14:textId="77777777" w:rsidR="00222C6E" w:rsidRPr="00222C6E" w:rsidRDefault="00222C6E" w:rsidP="00222C6E">
            <w:pPr>
              <w:jc w:val="right"/>
              <w:rPr>
                <w:rFonts w:asciiTheme="majorHAnsi" w:hAnsiTheme="majorHAnsi" w:cs="Arial"/>
                <w:sz w:val="16"/>
                <w:szCs w:val="16"/>
              </w:rPr>
            </w:pPr>
            <w:r w:rsidRPr="00222C6E">
              <w:rPr>
                <w:rFonts w:asciiTheme="majorHAnsi" w:hAnsiTheme="majorHAnsi" w:cs="Arial"/>
                <w:sz w:val="16"/>
                <w:szCs w:val="16"/>
              </w:rPr>
              <w:t xml:space="preserve">                     103.497.195 </w:t>
            </w:r>
          </w:p>
        </w:tc>
        <w:tc>
          <w:tcPr>
            <w:tcW w:w="665" w:type="pct"/>
            <w:tcBorders>
              <w:top w:val="nil"/>
              <w:left w:val="nil"/>
              <w:bottom w:val="single" w:sz="8" w:space="0" w:color="auto"/>
              <w:right w:val="single" w:sz="8" w:space="0" w:color="auto"/>
            </w:tcBorders>
            <w:shd w:val="clear" w:color="auto" w:fill="auto"/>
            <w:noWrap/>
            <w:vAlign w:val="center"/>
            <w:hideMark/>
          </w:tcPr>
          <w:p w14:paraId="705093CB" w14:textId="77777777" w:rsidR="00222C6E" w:rsidRPr="00222C6E" w:rsidRDefault="00222C6E" w:rsidP="00222C6E">
            <w:pPr>
              <w:jc w:val="right"/>
              <w:rPr>
                <w:rFonts w:asciiTheme="majorHAnsi" w:hAnsiTheme="majorHAnsi" w:cs="Arial"/>
                <w:sz w:val="16"/>
                <w:szCs w:val="16"/>
              </w:rPr>
            </w:pPr>
            <w:r w:rsidRPr="00222C6E">
              <w:rPr>
                <w:rFonts w:asciiTheme="majorHAnsi" w:hAnsiTheme="majorHAnsi" w:cs="Arial"/>
                <w:sz w:val="16"/>
                <w:szCs w:val="16"/>
              </w:rPr>
              <w:t xml:space="preserve">                                 -   </w:t>
            </w:r>
          </w:p>
        </w:tc>
        <w:tc>
          <w:tcPr>
            <w:tcW w:w="1105" w:type="pct"/>
            <w:tcBorders>
              <w:top w:val="nil"/>
              <w:left w:val="nil"/>
              <w:bottom w:val="single" w:sz="8" w:space="0" w:color="auto"/>
              <w:right w:val="single" w:sz="8" w:space="0" w:color="auto"/>
            </w:tcBorders>
            <w:shd w:val="clear" w:color="auto" w:fill="auto"/>
            <w:noWrap/>
            <w:vAlign w:val="center"/>
            <w:hideMark/>
          </w:tcPr>
          <w:p w14:paraId="5E42C563" w14:textId="77777777" w:rsidR="00222C6E" w:rsidRPr="00222C6E" w:rsidRDefault="00222C6E" w:rsidP="00222C6E">
            <w:pPr>
              <w:jc w:val="right"/>
              <w:rPr>
                <w:rFonts w:asciiTheme="majorHAnsi" w:hAnsiTheme="majorHAnsi" w:cs="Arial"/>
                <w:sz w:val="16"/>
                <w:szCs w:val="16"/>
              </w:rPr>
            </w:pPr>
            <w:r w:rsidRPr="00222C6E">
              <w:rPr>
                <w:rFonts w:asciiTheme="majorHAnsi" w:hAnsiTheme="majorHAnsi" w:cs="Arial"/>
                <w:sz w:val="16"/>
                <w:szCs w:val="16"/>
              </w:rPr>
              <w:t xml:space="preserve">                                 103.497.195 </w:t>
            </w:r>
          </w:p>
        </w:tc>
      </w:tr>
      <w:tr w:rsidR="00222C6E" w:rsidRPr="00222C6E" w14:paraId="7D1B956F" w14:textId="77777777" w:rsidTr="00222C6E">
        <w:trPr>
          <w:trHeight w:val="315"/>
        </w:trPr>
        <w:tc>
          <w:tcPr>
            <w:tcW w:w="168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937632" w14:textId="77777777" w:rsidR="00222C6E" w:rsidRPr="00222C6E" w:rsidRDefault="00222C6E">
            <w:pPr>
              <w:rPr>
                <w:rFonts w:asciiTheme="majorHAnsi" w:hAnsiTheme="majorHAnsi" w:cs="Arial"/>
                <w:b/>
                <w:bCs/>
                <w:sz w:val="16"/>
                <w:szCs w:val="16"/>
              </w:rPr>
            </w:pPr>
            <w:r w:rsidRPr="00222C6E">
              <w:rPr>
                <w:rFonts w:asciiTheme="majorHAnsi" w:hAnsiTheme="majorHAnsi" w:cs="Arial"/>
                <w:b/>
                <w:bCs/>
                <w:sz w:val="16"/>
                <w:szCs w:val="16"/>
              </w:rPr>
              <w:t>Saldo em 30 de junho de 2020</w:t>
            </w:r>
          </w:p>
        </w:tc>
        <w:tc>
          <w:tcPr>
            <w:tcW w:w="626" w:type="pct"/>
            <w:tcBorders>
              <w:top w:val="nil"/>
              <w:left w:val="nil"/>
              <w:bottom w:val="single" w:sz="8" w:space="0" w:color="auto"/>
              <w:right w:val="single" w:sz="8" w:space="0" w:color="auto"/>
            </w:tcBorders>
            <w:shd w:val="clear" w:color="auto" w:fill="auto"/>
            <w:noWrap/>
            <w:vAlign w:val="center"/>
            <w:hideMark/>
          </w:tcPr>
          <w:p w14:paraId="2C2A516E" w14:textId="77777777" w:rsidR="00222C6E" w:rsidRPr="00222C6E" w:rsidRDefault="00222C6E" w:rsidP="00222C6E">
            <w:pPr>
              <w:jc w:val="right"/>
              <w:rPr>
                <w:rFonts w:asciiTheme="majorHAnsi" w:hAnsiTheme="majorHAnsi" w:cs="Arial"/>
                <w:b/>
                <w:bCs/>
                <w:sz w:val="16"/>
                <w:szCs w:val="16"/>
              </w:rPr>
            </w:pPr>
            <w:r w:rsidRPr="00222C6E">
              <w:rPr>
                <w:rFonts w:asciiTheme="majorHAnsi" w:hAnsiTheme="majorHAnsi" w:cs="Arial"/>
                <w:b/>
                <w:bCs/>
                <w:sz w:val="16"/>
                <w:szCs w:val="16"/>
              </w:rPr>
              <w:t>22.233.502.272</w:t>
            </w:r>
          </w:p>
        </w:tc>
        <w:tc>
          <w:tcPr>
            <w:tcW w:w="920" w:type="pct"/>
            <w:tcBorders>
              <w:top w:val="nil"/>
              <w:left w:val="nil"/>
              <w:bottom w:val="single" w:sz="8" w:space="0" w:color="auto"/>
              <w:right w:val="single" w:sz="8" w:space="0" w:color="auto"/>
            </w:tcBorders>
            <w:shd w:val="clear" w:color="auto" w:fill="auto"/>
            <w:noWrap/>
            <w:vAlign w:val="center"/>
            <w:hideMark/>
          </w:tcPr>
          <w:p w14:paraId="6E82A6B3" w14:textId="77777777" w:rsidR="00222C6E" w:rsidRPr="00222C6E" w:rsidRDefault="00222C6E" w:rsidP="00222C6E">
            <w:pPr>
              <w:jc w:val="right"/>
              <w:rPr>
                <w:rFonts w:asciiTheme="majorHAnsi" w:hAnsiTheme="majorHAnsi" w:cs="Arial"/>
                <w:b/>
                <w:bCs/>
                <w:sz w:val="16"/>
                <w:szCs w:val="16"/>
              </w:rPr>
            </w:pPr>
            <w:r w:rsidRPr="00222C6E">
              <w:rPr>
                <w:rFonts w:asciiTheme="majorHAnsi" w:hAnsiTheme="majorHAnsi" w:cs="Arial"/>
                <w:b/>
                <w:bCs/>
                <w:sz w:val="16"/>
                <w:szCs w:val="16"/>
              </w:rPr>
              <w:t>672.171.758</w:t>
            </w:r>
          </w:p>
        </w:tc>
        <w:tc>
          <w:tcPr>
            <w:tcW w:w="665" w:type="pct"/>
            <w:tcBorders>
              <w:top w:val="nil"/>
              <w:left w:val="nil"/>
              <w:bottom w:val="single" w:sz="8" w:space="0" w:color="auto"/>
              <w:right w:val="nil"/>
            </w:tcBorders>
            <w:shd w:val="clear" w:color="auto" w:fill="auto"/>
            <w:noWrap/>
            <w:vAlign w:val="center"/>
            <w:hideMark/>
          </w:tcPr>
          <w:p w14:paraId="254214A5" w14:textId="77777777" w:rsidR="00222C6E" w:rsidRPr="00222C6E" w:rsidRDefault="00222C6E" w:rsidP="00222C6E">
            <w:pPr>
              <w:jc w:val="right"/>
              <w:rPr>
                <w:rFonts w:asciiTheme="majorHAnsi" w:hAnsiTheme="majorHAnsi" w:cs="Arial"/>
                <w:b/>
                <w:bCs/>
                <w:sz w:val="16"/>
                <w:szCs w:val="16"/>
              </w:rPr>
            </w:pPr>
            <w:r w:rsidRPr="00222C6E">
              <w:rPr>
                <w:rFonts w:asciiTheme="majorHAnsi" w:hAnsiTheme="majorHAnsi" w:cs="Arial"/>
                <w:b/>
                <w:bCs/>
                <w:sz w:val="16"/>
                <w:szCs w:val="16"/>
              </w:rPr>
              <w:t xml:space="preserve">    (20.338.220.876)</w:t>
            </w:r>
          </w:p>
        </w:tc>
        <w:tc>
          <w:tcPr>
            <w:tcW w:w="1105" w:type="pct"/>
            <w:tcBorders>
              <w:top w:val="nil"/>
              <w:left w:val="single" w:sz="8" w:space="0" w:color="auto"/>
              <w:bottom w:val="single" w:sz="8" w:space="0" w:color="auto"/>
              <w:right w:val="single" w:sz="8" w:space="0" w:color="auto"/>
            </w:tcBorders>
            <w:shd w:val="clear" w:color="auto" w:fill="auto"/>
            <w:noWrap/>
            <w:vAlign w:val="center"/>
            <w:hideMark/>
          </w:tcPr>
          <w:p w14:paraId="731EBBE8" w14:textId="77777777" w:rsidR="00222C6E" w:rsidRPr="00222C6E" w:rsidRDefault="00222C6E" w:rsidP="00222C6E">
            <w:pPr>
              <w:jc w:val="right"/>
              <w:rPr>
                <w:rFonts w:asciiTheme="majorHAnsi" w:hAnsiTheme="majorHAnsi" w:cs="Arial"/>
                <w:b/>
                <w:bCs/>
                <w:sz w:val="16"/>
                <w:szCs w:val="16"/>
              </w:rPr>
            </w:pPr>
            <w:r w:rsidRPr="00222C6E">
              <w:rPr>
                <w:rFonts w:asciiTheme="majorHAnsi" w:hAnsiTheme="majorHAnsi" w:cs="Arial"/>
                <w:b/>
                <w:bCs/>
                <w:sz w:val="16"/>
                <w:szCs w:val="16"/>
              </w:rPr>
              <w:t>2.567.453.154</w:t>
            </w:r>
          </w:p>
        </w:tc>
      </w:tr>
      <w:tr w:rsidR="00222C6E" w:rsidRPr="00222C6E" w14:paraId="40B4AE9A" w14:textId="77777777" w:rsidTr="00222C6E">
        <w:trPr>
          <w:trHeight w:val="300"/>
        </w:trPr>
        <w:tc>
          <w:tcPr>
            <w:tcW w:w="1684" w:type="pct"/>
            <w:tcBorders>
              <w:top w:val="nil"/>
              <w:left w:val="nil"/>
              <w:bottom w:val="nil"/>
              <w:right w:val="nil"/>
            </w:tcBorders>
            <w:shd w:val="clear" w:color="auto" w:fill="auto"/>
            <w:noWrap/>
            <w:vAlign w:val="center"/>
            <w:hideMark/>
          </w:tcPr>
          <w:p w14:paraId="2640C1BB" w14:textId="77777777" w:rsidR="00222C6E" w:rsidRPr="00222C6E" w:rsidRDefault="00222C6E">
            <w:pPr>
              <w:jc w:val="right"/>
              <w:rPr>
                <w:rFonts w:asciiTheme="majorHAnsi" w:hAnsiTheme="majorHAnsi" w:cs="Arial"/>
                <w:b/>
                <w:bCs/>
                <w:sz w:val="16"/>
                <w:szCs w:val="16"/>
              </w:rPr>
            </w:pPr>
          </w:p>
        </w:tc>
        <w:tc>
          <w:tcPr>
            <w:tcW w:w="626" w:type="pct"/>
            <w:tcBorders>
              <w:top w:val="nil"/>
              <w:left w:val="nil"/>
              <w:bottom w:val="nil"/>
              <w:right w:val="nil"/>
            </w:tcBorders>
            <w:shd w:val="clear" w:color="auto" w:fill="auto"/>
            <w:noWrap/>
            <w:vAlign w:val="center"/>
            <w:hideMark/>
          </w:tcPr>
          <w:p w14:paraId="1D54E6E5" w14:textId="77777777" w:rsidR="00222C6E" w:rsidRPr="00222C6E" w:rsidRDefault="00222C6E">
            <w:pPr>
              <w:rPr>
                <w:rFonts w:asciiTheme="majorHAnsi" w:hAnsiTheme="majorHAnsi"/>
                <w:sz w:val="16"/>
                <w:szCs w:val="16"/>
              </w:rPr>
            </w:pPr>
          </w:p>
        </w:tc>
        <w:tc>
          <w:tcPr>
            <w:tcW w:w="920" w:type="pct"/>
            <w:tcBorders>
              <w:top w:val="nil"/>
              <w:left w:val="nil"/>
              <w:bottom w:val="nil"/>
              <w:right w:val="nil"/>
            </w:tcBorders>
            <w:shd w:val="clear" w:color="auto" w:fill="auto"/>
            <w:noWrap/>
            <w:vAlign w:val="center"/>
            <w:hideMark/>
          </w:tcPr>
          <w:p w14:paraId="5D2AAF5D" w14:textId="77777777" w:rsidR="00222C6E" w:rsidRPr="00222C6E" w:rsidRDefault="00222C6E">
            <w:pPr>
              <w:jc w:val="right"/>
              <w:rPr>
                <w:rFonts w:asciiTheme="majorHAnsi" w:hAnsiTheme="majorHAnsi"/>
                <w:sz w:val="16"/>
                <w:szCs w:val="16"/>
              </w:rPr>
            </w:pPr>
          </w:p>
        </w:tc>
        <w:tc>
          <w:tcPr>
            <w:tcW w:w="665" w:type="pct"/>
            <w:tcBorders>
              <w:top w:val="nil"/>
              <w:left w:val="nil"/>
              <w:bottom w:val="nil"/>
              <w:right w:val="nil"/>
            </w:tcBorders>
            <w:shd w:val="clear" w:color="auto" w:fill="auto"/>
            <w:noWrap/>
            <w:vAlign w:val="center"/>
            <w:hideMark/>
          </w:tcPr>
          <w:p w14:paraId="49966A43" w14:textId="77777777" w:rsidR="00222C6E" w:rsidRPr="00222C6E" w:rsidRDefault="00222C6E">
            <w:pPr>
              <w:jc w:val="right"/>
              <w:rPr>
                <w:rFonts w:asciiTheme="majorHAnsi" w:hAnsiTheme="majorHAnsi"/>
                <w:sz w:val="16"/>
                <w:szCs w:val="16"/>
              </w:rPr>
            </w:pPr>
          </w:p>
        </w:tc>
        <w:tc>
          <w:tcPr>
            <w:tcW w:w="1105" w:type="pct"/>
            <w:tcBorders>
              <w:top w:val="nil"/>
              <w:left w:val="nil"/>
              <w:bottom w:val="nil"/>
              <w:right w:val="nil"/>
            </w:tcBorders>
            <w:shd w:val="clear" w:color="auto" w:fill="auto"/>
            <w:noWrap/>
            <w:vAlign w:val="center"/>
            <w:hideMark/>
          </w:tcPr>
          <w:p w14:paraId="2A776043" w14:textId="77777777" w:rsidR="00222C6E" w:rsidRPr="00222C6E" w:rsidRDefault="00222C6E">
            <w:pPr>
              <w:jc w:val="right"/>
              <w:rPr>
                <w:rFonts w:asciiTheme="majorHAnsi" w:hAnsiTheme="majorHAnsi"/>
                <w:sz w:val="16"/>
                <w:szCs w:val="16"/>
              </w:rPr>
            </w:pPr>
          </w:p>
        </w:tc>
      </w:tr>
      <w:tr w:rsidR="00222C6E" w:rsidRPr="00222C6E" w14:paraId="7CB9B474" w14:textId="77777777" w:rsidTr="00222C6E">
        <w:trPr>
          <w:trHeight w:val="315"/>
        </w:trPr>
        <w:tc>
          <w:tcPr>
            <w:tcW w:w="1684" w:type="pct"/>
            <w:tcBorders>
              <w:top w:val="nil"/>
              <w:left w:val="nil"/>
              <w:bottom w:val="nil"/>
              <w:right w:val="nil"/>
            </w:tcBorders>
            <w:shd w:val="clear" w:color="auto" w:fill="auto"/>
            <w:noWrap/>
            <w:vAlign w:val="center"/>
            <w:hideMark/>
          </w:tcPr>
          <w:p w14:paraId="6E9B0FA0" w14:textId="77777777" w:rsidR="00222C6E" w:rsidRPr="00222C6E" w:rsidRDefault="00222C6E">
            <w:pPr>
              <w:jc w:val="right"/>
              <w:rPr>
                <w:rFonts w:asciiTheme="majorHAnsi" w:hAnsiTheme="majorHAnsi"/>
                <w:sz w:val="16"/>
                <w:szCs w:val="16"/>
              </w:rPr>
            </w:pPr>
          </w:p>
        </w:tc>
        <w:tc>
          <w:tcPr>
            <w:tcW w:w="626" w:type="pct"/>
            <w:tcBorders>
              <w:top w:val="nil"/>
              <w:left w:val="nil"/>
              <w:bottom w:val="nil"/>
              <w:right w:val="nil"/>
            </w:tcBorders>
            <w:shd w:val="clear" w:color="auto" w:fill="auto"/>
            <w:noWrap/>
            <w:vAlign w:val="center"/>
            <w:hideMark/>
          </w:tcPr>
          <w:p w14:paraId="4DB36A7B" w14:textId="77777777" w:rsidR="00222C6E" w:rsidRPr="00222C6E" w:rsidRDefault="00222C6E">
            <w:pPr>
              <w:rPr>
                <w:rFonts w:asciiTheme="majorHAnsi" w:hAnsiTheme="majorHAnsi"/>
                <w:sz w:val="16"/>
                <w:szCs w:val="16"/>
              </w:rPr>
            </w:pPr>
          </w:p>
        </w:tc>
        <w:tc>
          <w:tcPr>
            <w:tcW w:w="920" w:type="pct"/>
            <w:tcBorders>
              <w:top w:val="nil"/>
              <w:left w:val="nil"/>
              <w:bottom w:val="nil"/>
              <w:right w:val="nil"/>
            </w:tcBorders>
            <w:shd w:val="clear" w:color="auto" w:fill="auto"/>
            <w:noWrap/>
            <w:vAlign w:val="center"/>
            <w:hideMark/>
          </w:tcPr>
          <w:p w14:paraId="7708C62C" w14:textId="77777777" w:rsidR="00222C6E" w:rsidRPr="00222C6E" w:rsidRDefault="00222C6E">
            <w:pPr>
              <w:jc w:val="right"/>
              <w:rPr>
                <w:rFonts w:asciiTheme="majorHAnsi" w:hAnsiTheme="majorHAnsi"/>
                <w:sz w:val="16"/>
                <w:szCs w:val="16"/>
              </w:rPr>
            </w:pPr>
          </w:p>
        </w:tc>
        <w:tc>
          <w:tcPr>
            <w:tcW w:w="665" w:type="pct"/>
            <w:tcBorders>
              <w:top w:val="nil"/>
              <w:left w:val="nil"/>
              <w:bottom w:val="nil"/>
              <w:right w:val="nil"/>
            </w:tcBorders>
            <w:shd w:val="clear" w:color="auto" w:fill="auto"/>
            <w:noWrap/>
            <w:vAlign w:val="center"/>
            <w:hideMark/>
          </w:tcPr>
          <w:p w14:paraId="26A78FDB" w14:textId="77777777" w:rsidR="00222C6E" w:rsidRPr="00222C6E" w:rsidRDefault="00222C6E">
            <w:pPr>
              <w:jc w:val="right"/>
              <w:rPr>
                <w:rFonts w:asciiTheme="majorHAnsi" w:hAnsiTheme="majorHAnsi"/>
                <w:sz w:val="16"/>
                <w:szCs w:val="16"/>
              </w:rPr>
            </w:pPr>
          </w:p>
        </w:tc>
        <w:tc>
          <w:tcPr>
            <w:tcW w:w="1105" w:type="pct"/>
            <w:tcBorders>
              <w:top w:val="nil"/>
              <w:left w:val="nil"/>
              <w:bottom w:val="nil"/>
              <w:right w:val="nil"/>
            </w:tcBorders>
            <w:shd w:val="clear" w:color="auto" w:fill="auto"/>
            <w:noWrap/>
            <w:vAlign w:val="center"/>
            <w:hideMark/>
          </w:tcPr>
          <w:p w14:paraId="0546806E" w14:textId="77777777" w:rsidR="00222C6E" w:rsidRPr="00222C6E" w:rsidRDefault="00222C6E">
            <w:pPr>
              <w:jc w:val="right"/>
              <w:rPr>
                <w:rFonts w:asciiTheme="majorHAnsi" w:hAnsiTheme="majorHAnsi"/>
                <w:sz w:val="16"/>
                <w:szCs w:val="16"/>
              </w:rPr>
            </w:pPr>
          </w:p>
        </w:tc>
      </w:tr>
      <w:tr w:rsidR="00222C6E" w:rsidRPr="00222C6E" w14:paraId="5E0B9C2D" w14:textId="77777777" w:rsidTr="00810F1C">
        <w:trPr>
          <w:trHeight w:val="300"/>
        </w:trPr>
        <w:tc>
          <w:tcPr>
            <w:tcW w:w="1684" w:type="pct"/>
            <w:tcBorders>
              <w:top w:val="single" w:sz="8" w:space="0" w:color="auto"/>
              <w:left w:val="single" w:sz="8" w:space="0" w:color="auto"/>
              <w:bottom w:val="nil"/>
              <w:right w:val="single" w:sz="8" w:space="0" w:color="auto"/>
            </w:tcBorders>
            <w:shd w:val="clear" w:color="auto" w:fill="auto"/>
            <w:noWrap/>
            <w:vAlign w:val="center"/>
            <w:hideMark/>
          </w:tcPr>
          <w:p w14:paraId="7B4CC4B1" w14:textId="3877DBB4" w:rsidR="00222C6E" w:rsidRPr="00222C6E" w:rsidRDefault="00222C6E" w:rsidP="00222C6E">
            <w:pPr>
              <w:jc w:val="center"/>
              <w:rPr>
                <w:rFonts w:asciiTheme="majorHAnsi" w:hAnsiTheme="majorHAnsi" w:cs="Arial"/>
                <w:b/>
                <w:bCs/>
                <w:sz w:val="16"/>
                <w:szCs w:val="16"/>
              </w:rPr>
            </w:pPr>
            <w:r>
              <w:rPr>
                <w:rFonts w:asciiTheme="majorHAnsi" w:hAnsiTheme="majorHAnsi" w:cs="Arial"/>
                <w:b/>
                <w:bCs/>
                <w:sz w:val="16"/>
                <w:szCs w:val="16"/>
              </w:rPr>
              <w:t>Histórico</w:t>
            </w:r>
          </w:p>
        </w:tc>
        <w:tc>
          <w:tcPr>
            <w:tcW w:w="626" w:type="pct"/>
            <w:tcBorders>
              <w:top w:val="single" w:sz="8" w:space="0" w:color="auto"/>
              <w:left w:val="nil"/>
              <w:bottom w:val="nil"/>
              <w:right w:val="single" w:sz="8" w:space="0" w:color="auto"/>
            </w:tcBorders>
            <w:shd w:val="clear" w:color="auto" w:fill="auto"/>
            <w:noWrap/>
            <w:vAlign w:val="center"/>
            <w:hideMark/>
          </w:tcPr>
          <w:p w14:paraId="4B22B28F" w14:textId="77777777" w:rsidR="00222C6E" w:rsidRPr="00222C6E" w:rsidRDefault="00222C6E" w:rsidP="00222C6E">
            <w:pPr>
              <w:jc w:val="center"/>
              <w:rPr>
                <w:rFonts w:asciiTheme="majorHAnsi" w:hAnsiTheme="majorHAnsi" w:cs="Arial"/>
                <w:b/>
                <w:bCs/>
                <w:sz w:val="16"/>
                <w:szCs w:val="16"/>
              </w:rPr>
            </w:pPr>
            <w:r w:rsidRPr="00222C6E">
              <w:rPr>
                <w:rFonts w:asciiTheme="majorHAnsi" w:hAnsiTheme="majorHAnsi" w:cs="Arial"/>
                <w:b/>
                <w:bCs/>
                <w:sz w:val="16"/>
                <w:szCs w:val="16"/>
              </w:rPr>
              <w:t>Capital</w:t>
            </w:r>
          </w:p>
        </w:tc>
        <w:tc>
          <w:tcPr>
            <w:tcW w:w="920" w:type="pct"/>
            <w:tcBorders>
              <w:top w:val="single" w:sz="8" w:space="0" w:color="auto"/>
              <w:left w:val="nil"/>
              <w:bottom w:val="nil"/>
              <w:right w:val="single" w:sz="8" w:space="0" w:color="auto"/>
            </w:tcBorders>
            <w:shd w:val="clear" w:color="auto" w:fill="auto"/>
            <w:noWrap/>
            <w:vAlign w:val="center"/>
            <w:hideMark/>
          </w:tcPr>
          <w:p w14:paraId="0D290652" w14:textId="3BE50D30" w:rsidR="00222C6E" w:rsidRPr="00222C6E" w:rsidRDefault="00222C6E" w:rsidP="00222C6E">
            <w:pPr>
              <w:jc w:val="center"/>
              <w:rPr>
                <w:rFonts w:asciiTheme="majorHAnsi" w:hAnsiTheme="majorHAnsi" w:cs="Arial"/>
                <w:b/>
                <w:bCs/>
                <w:sz w:val="16"/>
                <w:szCs w:val="16"/>
              </w:rPr>
            </w:pPr>
            <w:r w:rsidRPr="00222C6E">
              <w:rPr>
                <w:rFonts w:asciiTheme="majorHAnsi" w:hAnsiTheme="majorHAnsi" w:cs="Arial"/>
                <w:b/>
                <w:bCs/>
                <w:sz w:val="16"/>
                <w:szCs w:val="16"/>
              </w:rPr>
              <w:t>Adiantamento</w:t>
            </w:r>
            <w:r>
              <w:rPr>
                <w:rFonts w:asciiTheme="majorHAnsi" w:hAnsiTheme="majorHAnsi" w:cs="Arial"/>
                <w:b/>
                <w:bCs/>
                <w:sz w:val="16"/>
                <w:szCs w:val="16"/>
              </w:rPr>
              <w:t xml:space="preserve"> para </w:t>
            </w:r>
          </w:p>
        </w:tc>
        <w:tc>
          <w:tcPr>
            <w:tcW w:w="665" w:type="pct"/>
            <w:vMerge w:val="restart"/>
            <w:tcBorders>
              <w:top w:val="single" w:sz="8" w:space="0" w:color="auto"/>
              <w:left w:val="nil"/>
              <w:right w:val="single" w:sz="8" w:space="0" w:color="auto"/>
            </w:tcBorders>
            <w:shd w:val="clear" w:color="auto" w:fill="auto"/>
            <w:noWrap/>
            <w:vAlign w:val="center"/>
            <w:hideMark/>
          </w:tcPr>
          <w:p w14:paraId="79E4409E" w14:textId="4FA7C609" w:rsidR="00222C6E" w:rsidRPr="00222C6E" w:rsidRDefault="00222C6E" w:rsidP="00222C6E">
            <w:pPr>
              <w:jc w:val="center"/>
              <w:rPr>
                <w:rFonts w:asciiTheme="majorHAnsi" w:hAnsiTheme="majorHAnsi" w:cs="Arial"/>
                <w:b/>
                <w:bCs/>
                <w:color w:val="FFFFFF"/>
                <w:sz w:val="16"/>
                <w:szCs w:val="16"/>
              </w:rPr>
            </w:pPr>
            <w:r w:rsidRPr="00222C6E">
              <w:rPr>
                <w:rFonts w:asciiTheme="majorHAnsi" w:hAnsiTheme="majorHAnsi" w:cs="Arial"/>
                <w:b/>
                <w:bCs/>
                <w:sz w:val="16"/>
                <w:szCs w:val="16"/>
              </w:rPr>
              <w:t>Prejuízos</w:t>
            </w:r>
          </w:p>
        </w:tc>
        <w:tc>
          <w:tcPr>
            <w:tcW w:w="1105" w:type="pct"/>
            <w:vMerge w:val="restart"/>
            <w:tcBorders>
              <w:top w:val="single" w:sz="8" w:space="0" w:color="auto"/>
              <w:left w:val="nil"/>
              <w:right w:val="single" w:sz="8" w:space="0" w:color="auto"/>
            </w:tcBorders>
            <w:shd w:val="clear" w:color="auto" w:fill="auto"/>
            <w:noWrap/>
            <w:vAlign w:val="center"/>
            <w:hideMark/>
          </w:tcPr>
          <w:p w14:paraId="448FDC84" w14:textId="1D120357" w:rsidR="00222C6E" w:rsidRPr="00222C6E" w:rsidRDefault="00222C6E" w:rsidP="00222C6E">
            <w:pPr>
              <w:jc w:val="center"/>
              <w:rPr>
                <w:rFonts w:asciiTheme="majorHAnsi" w:hAnsiTheme="majorHAnsi" w:cs="Arial"/>
                <w:b/>
                <w:bCs/>
                <w:sz w:val="16"/>
                <w:szCs w:val="16"/>
              </w:rPr>
            </w:pPr>
            <w:r w:rsidRPr="00222C6E">
              <w:rPr>
                <w:rFonts w:asciiTheme="majorHAnsi" w:hAnsiTheme="majorHAnsi" w:cs="Arial"/>
                <w:b/>
                <w:bCs/>
                <w:sz w:val="16"/>
                <w:szCs w:val="16"/>
              </w:rPr>
              <w:t> Total</w:t>
            </w:r>
          </w:p>
        </w:tc>
      </w:tr>
      <w:tr w:rsidR="00222C6E" w:rsidRPr="00222C6E" w14:paraId="7F7C3EED" w14:textId="77777777" w:rsidTr="00810F1C">
        <w:trPr>
          <w:trHeight w:val="300"/>
        </w:trPr>
        <w:tc>
          <w:tcPr>
            <w:tcW w:w="1684" w:type="pct"/>
            <w:tcBorders>
              <w:top w:val="nil"/>
              <w:left w:val="single" w:sz="8" w:space="0" w:color="auto"/>
              <w:bottom w:val="nil"/>
              <w:right w:val="single" w:sz="8" w:space="0" w:color="auto"/>
            </w:tcBorders>
            <w:shd w:val="clear" w:color="auto" w:fill="auto"/>
            <w:noWrap/>
            <w:vAlign w:val="center"/>
            <w:hideMark/>
          </w:tcPr>
          <w:p w14:paraId="7E735D95" w14:textId="189DEF23" w:rsidR="00222C6E" w:rsidRPr="00222C6E" w:rsidRDefault="00222C6E" w:rsidP="00222C6E">
            <w:pPr>
              <w:jc w:val="center"/>
              <w:rPr>
                <w:rFonts w:asciiTheme="majorHAnsi" w:hAnsiTheme="majorHAnsi" w:cs="Arial"/>
                <w:sz w:val="16"/>
                <w:szCs w:val="16"/>
              </w:rPr>
            </w:pPr>
            <w:r w:rsidRPr="00222C6E">
              <w:rPr>
                <w:rFonts w:asciiTheme="majorHAnsi" w:hAnsiTheme="majorHAnsi" w:cs="Arial"/>
                <w:b/>
                <w:bCs/>
                <w:sz w:val="16"/>
                <w:szCs w:val="16"/>
              </w:rPr>
              <w:t>Classificação</w:t>
            </w:r>
          </w:p>
        </w:tc>
        <w:tc>
          <w:tcPr>
            <w:tcW w:w="626" w:type="pct"/>
            <w:tcBorders>
              <w:top w:val="nil"/>
              <w:left w:val="nil"/>
              <w:bottom w:val="nil"/>
              <w:right w:val="single" w:sz="8" w:space="0" w:color="auto"/>
            </w:tcBorders>
            <w:shd w:val="clear" w:color="auto" w:fill="auto"/>
            <w:noWrap/>
            <w:vAlign w:val="center"/>
            <w:hideMark/>
          </w:tcPr>
          <w:p w14:paraId="2ADA2B45" w14:textId="77777777" w:rsidR="00222C6E" w:rsidRPr="00222C6E" w:rsidRDefault="00222C6E" w:rsidP="00222C6E">
            <w:pPr>
              <w:jc w:val="center"/>
              <w:rPr>
                <w:rFonts w:asciiTheme="majorHAnsi" w:hAnsiTheme="majorHAnsi" w:cs="Arial"/>
                <w:b/>
                <w:bCs/>
                <w:sz w:val="16"/>
                <w:szCs w:val="16"/>
              </w:rPr>
            </w:pPr>
            <w:r w:rsidRPr="00222C6E">
              <w:rPr>
                <w:rFonts w:asciiTheme="majorHAnsi" w:hAnsiTheme="majorHAnsi" w:cs="Arial"/>
                <w:b/>
                <w:bCs/>
                <w:sz w:val="16"/>
                <w:szCs w:val="16"/>
              </w:rPr>
              <w:t>Social</w:t>
            </w:r>
          </w:p>
        </w:tc>
        <w:tc>
          <w:tcPr>
            <w:tcW w:w="920" w:type="pct"/>
            <w:tcBorders>
              <w:top w:val="nil"/>
              <w:left w:val="nil"/>
              <w:bottom w:val="nil"/>
              <w:right w:val="single" w:sz="8" w:space="0" w:color="auto"/>
            </w:tcBorders>
            <w:shd w:val="clear" w:color="auto" w:fill="auto"/>
            <w:noWrap/>
            <w:vAlign w:val="center"/>
            <w:hideMark/>
          </w:tcPr>
          <w:p w14:paraId="0EBABF93" w14:textId="6E79F9A7" w:rsidR="00222C6E" w:rsidRPr="00222C6E" w:rsidRDefault="00222C6E" w:rsidP="00222C6E">
            <w:pPr>
              <w:jc w:val="center"/>
              <w:rPr>
                <w:rFonts w:asciiTheme="majorHAnsi" w:hAnsiTheme="majorHAnsi" w:cs="Arial"/>
                <w:b/>
                <w:bCs/>
                <w:sz w:val="16"/>
                <w:szCs w:val="16"/>
              </w:rPr>
            </w:pPr>
            <w:r w:rsidRPr="00222C6E">
              <w:rPr>
                <w:rFonts w:asciiTheme="majorHAnsi" w:hAnsiTheme="majorHAnsi" w:cs="Arial"/>
                <w:b/>
                <w:bCs/>
                <w:sz w:val="16"/>
                <w:szCs w:val="16"/>
              </w:rPr>
              <w:t>Futuro Aumento</w:t>
            </w:r>
            <w:r>
              <w:rPr>
                <w:rFonts w:asciiTheme="majorHAnsi" w:hAnsiTheme="majorHAnsi" w:cs="Arial"/>
                <w:b/>
                <w:bCs/>
                <w:sz w:val="16"/>
                <w:szCs w:val="16"/>
              </w:rPr>
              <w:t xml:space="preserve"> de Capital</w:t>
            </w:r>
          </w:p>
        </w:tc>
        <w:tc>
          <w:tcPr>
            <w:tcW w:w="665" w:type="pct"/>
            <w:vMerge/>
            <w:tcBorders>
              <w:left w:val="nil"/>
              <w:bottom w:val="nil"/>
              <w:right w:val="single" w:sz="8" w:space="0" w:color="auto"/>
            </w:tcBorders>
            <w:shd w:val="clear" w:color="auto" w:fill="auto"/>
            <w:noWrap/>
            <w:vAlign w:val="center"/>
            <w:hideMark/>
          </w:tcPr>
          <w:p w14:paraId="2D542526" w14:textId="41AFC95B" w:rsidR="00222C6E" w:rsidRPr="00222C6E" w:rsidRDefault="00222C6E" w:rsidP="00222C6E">
            <w:pPr>
              <w:jc w:val="center"/>
              <w:rPr>
                <w:rFonts w:asciiTheme="majorHAnsi" w:hAnsiTheme="majorHAnsi" w:cs="Arial"/>
                <w:b/>
                <w:bCs/>
                <w:sz w:val="16"/>
                <w:szCs w:val="16"/>
              </w:rPr>
            </w:pPr>
          </w:p>
        </w:tc>
        <w:tc>
          <w:tcPr>
            <w:tcW w:w="1105" w:type="pct"/>
            <w:vMerge/>
            <w:tcBorders>
              <w:left w:val="nil"/>
              <w:bottom w:val="nil"/>
              <w:right w:val="single" w:sz="8" w:space="0" w:color="auto"/>
            </w:tcBorders>
            <w:shd w:val="clear" w:color="auto" w:fill="auto"/>
            <w:noWrap/>
            <w:vAlign w:val="center"/>
            <w:hideMark/>
          </w:tcPr>
          <w:p w14:paraId="1021E5DE" w14:textId="74A6EF99" w:rsidR="00222C6E" w:rsidRPr="00222C6E" w:rsidRDefault="00222C6E" w:rsidP="00222C6E">
            <w:pPr>
              <w:jc w:val="center"/>
              <w:rPr>
                <w:rFonts w:asciiTheme="majorHAnsi" w:hAnsiTheme="majorHAnsi" w:cs="Arial"/>
                <w:b/>
                <w:bCs/>
                <w:sz w:val="16"/>
                <w:szCs w:val="16"/>
              </w:rPr>
            </w:pPr>
          </w:p>
        </w:tc>
      </w:tr>
      <w:tr w:rsidR="00222C6E" w:rsidRPr="00222C6E" w14:paraId="4932737B" w14:textId="77777777" w:rsidTr="00222C6E">
        <w:trPr>
          <w:trHeight w:val="315"/>
        </w:trPr>
        <w:tc>
          <w:tcPr>
            <w:tcW w:w="168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4EAA9A" w14:textId="77777777" w:rsidR="00222C6E" w:rsidRPr="00222C6E" w:rsidRDefault="00222C6E">
            <w:pPr>
              <w:rPr>
                <w:rFonts w:asciiTheme="majorHAnsi" w:hAnsiTheme="majorHAnsi" w:cs="Arial"/>
                <w:b/>
                <w:bCs/>
                <w:sz w:val="16"/>
                <w:szCs w:val="16"/>
              </w:rPr>
            </w:pPr>
            <w:r w:rsidRPr="00222C6E">
              <w:rPr>
                <w:rFonts w:asciiTheme="majorHAnsi" w:hAnsiTheme="majorHAnsi" w:cs="Arial"/>
                <w:b/>
                <w:bCs/>
                <w:sz w:val="16"/>
                <w:szCs w:val="16"/>
              </w:rPr>
              <w:t>Saldo em 01 de janeiro de 2021</w:t>
            </w:r>
          </w:p>
        </w:tc>
        <w:tc>
          <w:tcPr>
            <w:tcW w:w="626" w:type="pct"/>
            <w:tcBorders>
              <w:top w:val="single" w:sz="8" w:space="0" w:color="auto"/>
              <w:left w:val="nil"/>
              <w:bottom w:val="single" w:sz="8" w:space="0" w:color="auto"/>
              <w:right w:val="single" w:sz="8" w:space="0" w:color="auto"/>
            </w:tcBorders>
            <w:shd w:val="clear" w:color="auto" w:fill="auto"/>
            <w:noWrap/>
            <w:vAlign w:val="center"/>
            <w:hideMark/>
          </w:tcPr>
          <w:p w14:paraId="39F3A8D1" w14:textId="77777777" w:rsidR="00222C6E" w:rsidRPr="00222C6E" w:rsidRDefault="00222C6E" w:rsidP="00222C6E">
            <w:pPr>
              <w:jc w:val="right"/>
              <w:rPr>
                <w:rFonts w:asciiTheme="majorHAnsi" w:hAnsiTheme="majorHAnsi" w:cs="Arial"/>
                <w:b/>
                <w:bCs/>
                <w:sz w:val="16"/>
                <w:szCs w:val="16"/>
              </w:rPr>
            </w:pPr>
            <w:r w:rsidRPr="00222C6E">
              <w:rPr>
                <w:rFonts w:asciiTheme="majorHAnsi" w:hAnsiTheme="majorHAnsi" w:cs="Arial"/>
                <w:b/>
                <w:bCs/>
                <w:sz w:val="16"/>
                <w:szCs w:val="16"/>
              </w:rPr>
              <w:t>22.233.502.272</w:t>
            </w:r>
          </w:p>
        </w:tc>
        <w:tc>
          <w:tcPr>
            <w:tcW w:w="920" w:type="pct"/>
            <w:tcBorders>
              <w:top w:val="single" w:sz="8" w:space="0" w:color="auto"/>
              <w:left w:val="nil"/>
              <w:bottom w:val="single" w:sz="8" w:space="0" w:color="auto"/>
              <w:right w:val="single" w:sz="8" w:space="0" w:color="auto"/>
            </w:tcBorders>
            <w:shd w:val="clear" w:color="auto" w:fill="auto"/>
            <w:noWrap/>
            <w:vAlign w:val="center"/>
            <w:hideMark/>
          </w:tcPr>
          <w:p w14:paraId="53A02FB8" w14:textId="77777777" w:rsidR="00222C6E" w:rsidRPr="00222C6E" w:rsidRDefault="00222C6E" w:rsidP="00222C6E">
            <w:pPr>
              <w:jc w:val="right"/>
              <w:rPr>
                <w:rFonts w:asciiTheme="majorHAnsi" w:hAnsiTheme="majorHAnsi" w:cs="Arial"/>
                <w:b/>
                <w:bCs/>
                <w:sz w:val="16"/>
                <w:szCs w:val="16"/>
              </w:rPr>
            </w:pPr>
            <w:r w:rsidRPr="00222C6E">
              <w:rPr>
                <w:rFonts w:asciiTheme="majorHAnsi" w:hAnsiTheme="majorHAnsi" w:cs="Arial"/>
                <w:b/>
                <w:bCs/>
                <w:sz w:val="16"/>
                <w:szCs w:val="16"/>
              </w:rPr>
              <w:t xml:space="preserve">                     903.489.907 </w:t>
            </w:r>
          </w:p>
        </w:tc>
        <w:tc>
          <w:tcPr>
            <w:tcW w:w="665" w:type="pct"/>
            <w:tcBorders>
              <w:top w:val="single" w:sz="8" w:space="0" w:color="auto"/>
              <w:left w:val="nil"/>
              <w:bottom w:val="nil"/>
              <w:right w:val="single" w:sz="8" w:space="0" w:color="auto"/>
            </w:tcBorders>
            <w:shd w:val="clear" w:color="auto" w:fill="auto"/>
            <w:noWrap/>
            <w:vAlign w:val="center"/>
            <w:hideMark/>
          </w:tcPr>
          <w:p w14:paraId="43537EDC" w14:textId="77777777" w:rsidR="00222C6E" w:rsidRPr="00222C6E" w:rsidRDefault="00222C6E" w:rsidP="00222C6E">
            <w:pPr>
              <w:jc w:val="right"/>
              <w:rPr>
                <w:rFonts w:asciiTheme="majorHAnsi" w:hAnsiTheme="majorHAnsi" w:cs="Arial"/>
                <w:b/>
                <w:bCs/>
                <w:sz w:val="16"/>
                <w:szCs w:val="16"/>
              </w:rPr>
            </w:pPr>
            <w:r w:rsidRPr="00222C6E">
              <w:rPr>
                <w:rFonts w:asciiTheme="majorHAnsi" w:hAnsiTheme="majorHAnsi" w:cs="Arial"/>
                <w:b/>
                <w:bCs/>
                <w:sz w:val="16"/>
                <w:szCs w:val="16"/>
              </w:rPr>
              <w:t xml:space="preserve">    (20.254.287.649)</w:t>
            </w:r>
          </w:p>
        </w:tc>
        <w:tc>
          <w:tcPr>
            <w:tcW w:w="1105" w:type="pct"/>
            <w:tcBorders>
              <w:top w:val="single" w:sz="8" w:space="0" w:color="auto"/>
              <w:left w:val="nil"/>
              <w:bottom w:val="single" w:sz="8" w:space="0" w:color="auto"/>
              <w:right w:val="single" w:sz="8" w:space="0" w:color="auto"/>
            </w:tcBorders>
            <w:shd w:val="clear" w:color="auto" w:fill="auto"/>
            <w:noWrap/>
            <w:vAlign w:val="center"/>
            <w:hideMark/>
          </w:tcPr>
          <w:p w14:paraId="75368FAA" w14:textId="77777777" w:rsidR="00222C6E" w:rsidRPr="00222C6E" w:rsidRDefault="00222C6E" w:rsidP="00222C6E">
            <w:pPr>
              <w:jc w:val="right"/>
              <w:rPr>
                <w:rFonts w:asciiTheme="majorHAnsi" w:hAnsiTheme="majorHAnsi" w:cs="Arial"/>
                <w:b/>
                <w:bCs/>
                <w:sz w:val="16"/>
                <w:szCs w:val="16"/>
              </w:rPr>
            </w:pPr>
            <w:r w:rsidRPr="00222C6E">
              <w:rPr>
                <w:rFonts w:asciiTheme="majorHAnsi" w:hAnsiTheme="majorHAnsi" w:cs="Arial"/>
                <w:b/>
                <w:bCs/>
                <w:sz w:val="16"/>
                <w:szCs w:val="16"/>
              </w:rPr>
              <w:t xml:space="preserve">                               2.882.704.530 </w:t>
            </w:r>
          </w:p>
        </w:tc>
      </w:tr>
      <w:tr w:rsidR="00222C6E" w:rsidRPr="00222C6E" w14:paraId="52EF5F85" w14:textId="77777777" w:rsidTr="00222C6E">
        <w:trPr>
          <w:trHeight w:val="300"/>
        </w:trPr>
        <w:tc>
          <w:tcPr>
            <w:tcW w:w="1684" w:type="pct"/>
            <w:tcBorders>
              <w:top w:val="nil"/>
              <w:left w:val="single" w:sz="8" w:space="0" w:color="auto"/>
              <w:bottom w:val="nil"/>
              <w:right w:val="nil"/>
            </w:tcBorders>
            <w:shd w:val="clear" w:color="000000" w:fill="FFFFFF"/>
            <w:noWrap/>
            <w:vAlign w:val="center"/>
            <w:hideMark/>
          </w:tcPr>
          <w:p w14:paraId="2F84FFF0" w14:textId="5BF3B20D" w:rsidR="00222C6E" w:rsidRPr="00222C6E" w:rsidRDefault="00222C6E">
            <w:pPr>
              <w:rPr>
                <w:rFonts w:asciiTheme="majorHAnsi" w:hAnsiTheme="majorHAnsi" w:cs="Arial"/>
                <w:sz w:val="16"/>
                <w:szCs w:val="16"/>
              </w:rPr>
            </w:pPr>
            <w:r w:rsidRPr="00222C6E">
              <w:rPr>
                <w:rFonts w:asciiTheme="majorHAnsi" w:hAnsiTheme="majorHAnsi" w:cs="Arial"/>
                <w:sz w:val="16"/>
                <w:szCs w:val="16"/>
              </w:rPr>
              <w:t>Resultado Líquido do Per</w:t>
            </w:r>
            <w:r w:rsidR="000D035D">
              <w:rPr>
                <w:rFonts w:asciiTheme="majorHAnsi" w:hAnsiTheme="majorHAnsi" w:cs="Arial"/>
                <w:sz w:val="16"/>
                <w:szCs w:val="16"/>
              </w:rPr>
              <w:t>í</w:t>
            </w:r>
            <w:r w:rsidRPr="00222C6E">
              <w:rPr>
                <w:rFonts w:asciiTheme="majorHAnsi" w:hAnsiTheme="majorHAnsi" w:cs="Arial"/>
                <w:sz w:val="16"/>
                <w:szCs w:val="16"/>
              </w:rPr>
              <w:t xml:space="preserve">odo </w:t>
            </w:r>
          </w:p>
        </w:tc>
        <w:tc>
          <w:tcPr>
            <w:tcW w:w="626" w:type="pct"/>
            <w:tcBorders>
              <w:top w:val="nil"/>
              <w:left w:val="single" w:sz="8" w:space="0" w:color="auto"/>
              <w:bottom w:val="nil"/>
              <w:right w:val="single" w:sz="8" w:space="0" w:color="auto"/>
            </w:tcBorders>
            <w:shd w:val="clear" w:color="auto" w:fill="auto"/>
            <w:noWrap/>
            <w:vAlign w:val="center"/>
            <w:hideMark/>
          </w:tcPr>
          <w:p w14:paraId="1C5B7441" w14:textId="77777777" w:rsidR="00222C6E" w:rsidRPr="00222C6E" w:rsidRDefault="00222C6E" w:rsidP="00222C6E">
            <w:pPr>
              <w:jc w:val="right"/>
              <w:rPr>
                <w:rFonts w:asciiTheme="majorHAnsi" w:hAnsiTheme="majorHAnsi" w:cs="Arial"/>
                <w:sz w:val="16"/>
                <w:szCs w:val="16"/>
              </w:rPr>
            </w:pPr>
            <w:r w:rsidRPr="00222C6E">
              <w:rPr>
                <w:rFonts w:asciiTheme="majorHAnsi" w:hAnsiTheme="majorHAnsi" w:cs="Arial"/>
                <w:sz w:val="16"/>
                <w:szCs w:val="16"/>
              </w:rPr>
              <w:t xml:space="preserve">                               -   </w:t>
            </w:r>
          </w:p>
        </w:tc>
        <w:tc>
          <w:tcPr>
            <w:tcW w:w="920" w:type="pct"/>
            <w:tcBorders>
              <w:top w:val="nil"/>
              <w:left w:val="nil"/>
              <w:bottom w:val="nil"/>
              <w:right w:val="nil"/>
            </w:tcBorders>
            <w:shd w:val="clear" w:color="auto" w:fill="auto"/>
            <w:noWrap/>
            <w:vAlign w:val="center"/>
            <w:hideMark/>
          </w:tcPr>
          <w:p w14:paraId="7B87A1D3" w14:textId="77777777" w:rsidR="00222C6E" w:rsidRPr="00222C6E" w:rsidRDefault="00222C6E" w:rsidP="00222C6E">
            <w:pPr>
              <w:jc w:val="right"/>
              <w:rPr>
                <w:rFonts w:asciiTheme="majorHAnsi" w:hAnsiTheme="majorHAnsi" w:cs="Arial"/>
                <w:sz w:val="16"/>
                <w:szCs w:val="16"/>
              </w:rPr>
            </w:pPr>
            <w:r w:rsidRPr="00222C6E">
              <w:rPr>
                <w:rFonts w:asciiTheme="majorHAnsi" w:hAnsiTheme="majorHAnsi" w:cs="Arial"/>
                <w:sz w:val="16"/>
                <w:szCs w:val="16"/>
              </w:rPr>
              <w:t xml:space="preserve">                                                -   </w:t>
            </w:r>
          </w:p>
        </w:tc>
        <w:tc>
          <w:tcPr>
            <w:tcW w:w="665" w:type="pct"/>
            <w:tcBorders>
              <w:top w:val="single" w:sz="8" w:space="0" w:color="auto"/>
              <w:left w:val="single" w:sz="8" w:space="0" w:color="auto"/>
              <w:bottom w:val="nil"/>
              <w:right w:val="single" w:sz="8" w:space="0" w:color="auto"/>
            </w:tcBorders>
            <w:shd w:val="clear" w:color="auto" w:fill="auto"/>
            <w:noWrap/>
            <w:vAlign w:val="center"/>
            <w:hideMark/>
          </w:tcPr>
          <w:p w14:paraId="1D580F0B" w14:textId="77777777" w:rsidR="00222C6E" w:rsidRPr="00222C6E" w:rsidRDefault="00222C6E" w:rsidP="00222C6E">
            <w:pPr>
              <w:jc w:val="right"/>
              <w:rPr>
                <w:rFonts w:asciiTheme="majorHAnsi" w:hAnsiTheme="majorHAnsi" w:cs="Arial"/>
                <w:sz w:val="16"/>
                <w:szCs w:val="16"/>
              </w:rPr>
            </w:pPr>
            <w:r w:rsidRPr="00222C6E">
              <w:rPr>
                <w:rFonts w:asciiTheme="majorHAnsi" w:hAnsiTheme="majorHAnsi" w:cs="Arial"/>
                <w:sz w:val="16"/>
                <w:szCs w:val="16"/>
              </w:rPr>
              <w:t xml:space="preserve">          (59.096.532)</w:t>
            </w:r>
          </w:p>
        </w:tc>
        <w:tc>
          <w:tcPr>
            <w:tcW w:w="1105" w:type="pct"/>
            <w:tcBorders>
              <w:top w:val="nil"/>
              <w:left w:val="nil"/>
              <w:bottom w:val="nil"/>
              <w:right w:val="single" w:sz="8" w:space="0" w:color="auto"/>
            </w:tcBorders>
            <w:shd w:val="clear" w:color="auto" w:fill="auto"/>
            <w:noWrap/>
            <w:vAlign w:val="center"/>
            <w:hideMark/>
          </w:tcPr>
          <w:p w14:paraId="5645E858" w14:textId="77777777" w:rsidR="00222C6E" w:rsidRPr="00222C6E" w:rsidRDefault="00222C6E" w:rsidP="00222C6E">
            <w:pPr>
              <w:jc w:val="right"/>
              <w:rPr>
                <w:rFonts w:asciiTheme="majorHAnsi" w:hAnsiTheme="majorHAnsi" w:cs="Arial"/>
                <w:sz w:val="16"/>
                <w:szCs w:val="16"/>
              </w:rPr>
            </w:pPr>
            <w:r w:rsidRPr="00222C6E">
              <w:rPr>
                <w:rFonts w:asciiTheme="majorHAnsi" w:hAnsiTheme="majorHAnsi" w:cs="Arial"/>
                <w:sz w:val="16"/>
                <w:szCs w:val="16"/>
              </w:rPr>
              <w:t xml:space="preserve">                                  (59.096.532)</w:t>
            </w:r>
          </w:p>
        </w:tc>
      </w:tr>
      <w:tr w:rsidR="00222C6E" w:rsidRPr="00222C6E" w14:paraId="280A91BA" w14:textId="77777777" w:rsidTr="00222C6E">
        <w:trPr>
          <w:trHeight w:val="315"/>
        </w:trPr>
        <w:tc>
          <w:tcPr>
            <w:tcW w:w="1684" w:type="pct"/>
            <w:tcBorders>
              <w:top w:val="nil"/>
              <w:left w:val="single" w:sz="8" w:space="0" w:color="auto"/>
              <w:bottom w:val="nil"/>
              <w:right w:val="nil"/>
            </w:tcBorders>
            <w:shd w:val="clear" w:color="auto" w:fill="auto"/>
            <w:noWrap/>
            <w:vAlign w:val="center"/>
            <w:hideMark/>
          </w:tcPr>
          <w:p w14:paraId="44304C34" w14:textId="77777777" w:rsidR="00222C6E" w:rsidRPr="00222C6E" w:rsidRDefault="00222C6E">
            <w:pPr>
              <w:rPr>
                <w:rFonts w:asciiTheme="majorHAnsi" w:hAnsiTheme="majorHAnsi" w:cs="Arial"/>
                <w:sz w:val="16"/>
                <w:szCs w:val="16"/>
              </w:rPr>
            </w:pPr>
            <w:r w:rsidRPr="00222C6E">
              <w:rPr>
                <w:rFonts w:asciiTheme="majorHAnsi" w:hAnsiTheme="majorHAnsi" w:cs="Arial"/>
                <w:sz w:val="16"/>
                <w:szCs w:val="16"/>
              </w:rPr>
              <w:t>Adiantamento para Futuro Aumento de Capital</w:t>
            </w:r>
          </w:p>
        </w:tc>
        <w:tc>
          <w:tcPr>
            <w:tcW w:w="626" w:type="pct"/>
            <w:tcBorders>
              <w:top w:val="nil"/>
              <w:left w:val="single" w:sz="8" w:space="0" w:color="auto"/>
              <w:bottom w:val="single" w:sz="8" w:space="0" w:color="auto"/>
              <w:right w:val="single" w:sz="8" w:space="0" w:color="auto"/>
            </w:tcBorders>
            <w:shd w:val="clear" w:color="auto" w:fill="auto"/>
            <w:noWrap/>
            <w:vAlign w:val="center"/>
            <w:hideMark/>
          </w:tcPr>
          <w:p w14:paraId="0BE84D65" w14:textId="77777777" w:rsidR="00222C6E" w:rsidRPr="00222C6E" w:rsidRDefault="00222C6E" w:rsidP="00222C6E">
            <w:pPr>
              <w:jc w:val="right"/>
              <w:rPr>
                <w:rFonts w:asciiTheme="majorHAnsi" w:hAnsiTheme="majorHAnsi" w:cs="Arial"/>
                <w:sz w:val="16"/>
                <w:szCs w:val="16"/>
              </w:rPr>
            </w:pPr>
            <w:r w:rsidRPr="00222C6E">
              <w:rPr>
                <w:rFonts w:asciiTheme="majorHAnsi" w:hAnsiTheme="majorHAnsi" w:cs="Arial"/>
                <w:sz w:val="16"/>
                <w:szCs w:val="16"/>
              </w:rPr>
              <w:t xml:space="preserve">                               -   </w:t>
            </w:r>
          </w:p>
        </w:tc>
        <w:tc>
          <w:tcPr>
            <w:tcW w:w="920" w:type="pct"/>
            <w:tcBorders>
              <w:top w:val="nil"/>
              <w:left w:val="nil"/>
              <w:bottom w:val="nil"/>
              <w:right w:val="nil"/>
            </w:tcBorders>
            <w:shd w:val="clear" w:color="auto" w:fill="auto"/>
            <w:noWrap/>
            <w:vAlign w:val="center"/>
            <w:hideMark/>
          </w:tcPr>
          <w:p w14:paraId="69EDE1BF" w14:textId="77777777" w:rsidR="00222C6E" w:rsidRPr="00222C6E" w:rsidRDefault="00222C6E" w:rsidP="00222C6E">
            <w:pPr>
              <w:jc w:val="right"/>
              <w:rPr>
                <w:rFonts w:asciiTheme="majorHAnsi" w:hAnsiTheme="majorHAnsi" w:cs="Arial"/>
                <w:sz w:val="16"/>
                <w:szCs w:val="16"/>
              </w:rPr>
            </w:pPr>
            <w:r w:rsidRPr="00222C6E">
              <w:rPr>
                <w:rFonts w:asciiTheme="majorHAnsi" w:hAnsiTheme="majorHAnsi" w:cs="Arial"/>
                <w:sz w:val="16"/>
                <w:szCs w:val="16"/>
              </w:rPr>
              <w:t>167.934.090</w:t>
            </w:r>
          </w:p>
        </w:tc>
        <w:tc>
          <w:tcPr>
            <w:tcW w:w="665" w:type="pct"/>
            <w:tcBorders>
              <w:top w:val="nil"/>
              <w:left w:val="single" w:sz="8" w:space="0" w:color="auto"/>
              <w:bottom w:val="single" w:sz="8" w:space="0" w:color="auto"/>
              <w:right w:val="single" w:sz="8" w:space="0" w:color="auto"/>
            </w:tcBorders>
            <w:shd w:val="clear" w:color="auto" w:fill="auto"/>
            <w:noWrap/>
            <w:vAlign w:val="center"/>
            <w:hideMark/>
          </w:tcPr>
          <w:p w14:paraId="65FA5638" w14:textId="77777777" w:rsidR="00222C6E" w:rsidRPr="00222C6E" w:rsidRDefault="00222C6E" w:rsidP="00222C6E">
            <w:pPr>
              <w:jc w:val="right"/>
              <w:rPr>
                <w:rFonts w:asciiTheme="majorHAnsi" w:hAnsiTheme="majorHAnsi" w:cs="Arial"/>
                <w:sz w:val="16"/>
                <w:szCs w:val="16"/>
              </w:rPr>
            </w:pPr>
            <w:r w:rsidRPr="00222C6E">
              <w:rPr>
                <w:rFonts w:asciiTheme="majorHAnsi" w:hAnsiTheme="majorHAnsi" w:cs="Arial"/>
                <w:sz w:val="16"/>
                <w:szCs w:val="16"/>
              </w:rPr>
              <w:t xml:space="preserve">                                 -   </w:t>
            </w:r>
          </w:p>
        </w:tc>
        <w:tc>
          <w:tcPr>
            <w:tcW w:w="1105" w:type="pct"/>
            <w:tcBorders>
              <w:top w:val="nil"/>
              <w:left w:val="nil"/>
              <w:bottom w:val="nil"/>
              <w:right w:val="single" w:sz="8" w:space="0" w:color="auto"/>
            </w:tcBorders>
            <w:shd w:val="clear" w:color="auto" w:fill="auto"/>
            <w:noWrap/>
            <w:vAlign w:val="center"/>
            <w:hideMark/>
          </w:tcPr>
          <w:p w14:paraId="4FCA8985" w14:textId="77777777" w:rsidR="00222C6E" w:rsidRPr="00222C6E" w:rsidRDefault="00222C6E" w:rsidP="00222C6E">
            <w:pPr>
              <w:jc w:val="right"/>
              <w:rPr>
                <w:rFonts w:asciiTheme="majorHAnsi" w:hAnsiTheme="majorHAnsi" w:cs="Arial"/>
                <w:sz w:val="16"/>
                <w:szCs w:val="16"/>
              </w:rPr>
            </w:pPr>
            <w:r w:rsidRPr="00222C6E">
              <w:rPr>
                <w:rFonts w:asciiTheme="majorHAnsi" w:hAnsiTheme="majorHAnsi" w:cs="Arial"/>
                <w:sz w:val="16"/>
                <w:szCs w:val="16"/>
              </w:rPr>
              <w:t>167.934.090</w:t>
            </w:r>
          </w:p>
        </w:tc>
      </w:tr>
      <w:tr w:rsidR="00222C6E" w:rsidRPr="00222C6E" w14:paraId="1F8B8477" w14:textId="77777777" w:rsidTr="00222C6E">
        <w:trPr>
          <w:trHeight w:val="315"/>
        </w:trPr>
        <w:tc>
          <w:tcPr>
            <w:tcW w:w="168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856151" w14:textId="77777777" w:rsidR="00222C6E" w:rsidRPr="00222C6E" w:rsidRDefault="00222C6E">
            <w:pPr>
              <w:rPr>
                <w:rFonts w:asciiTheme="majorHAnsi" w:hAnsiTheme="majorHAnsi" w:cs="Arial"/>
                <w:b/>
                <w:bCs/>
                <w:sz w:val="16"/>
                <w:szCs w:val="16"/>
              </w:rPr>
            </w:pPr>
            <w:r w:rsidRPr="00222C6E">
              <w:rPr>
                <w:rFonts w:asciiTheme="majorHAnsi" w:hAnsiTheme="majorHAnsi" w:cs="Arial"/>
                <w:b/>
                <w:bCs/>
                <w:sz w:val="16"/>
                <w:szCs w:val="16"/>
              </w:rPr>
              <w:t>Saldo em 30 de junho de 2021</w:t>
            </w:r>
          </w:p>
        </w:tc>
        <w:tc>
          <w:tcPr>
            <w:tcW w:w="626" w:type="pct"/>
            <w:tcBorders>
              <w:top w:val="nil"/>
              <w:left w:val="nil"/>
              <w:bottom w:val="single" w:sz="8" w:space="0" w:color="auto"/>
              <w:right w:val="single" w:sz="8" w:space="0" w:color="auto"/>
            </w:tcBorders>
            <w:shd w:val="clear" w:color="auto" w:fill="auto"/>
            <w:noWrap/>
            <w:vAlign w:val="center"/>
            <w:hideMark/>
          </w:tcPr>
          <w:p w14:paraId="6FF3249C" w14:textId="77777777" w:rsidR="00222C6E" w:rsidRPr="00222C6E" w:rsidRDefault="00222C6E" w:rsidP="00222C6E">
            <w:pPr>
              <w:jc w:val="right"/>
              <w:rPr>
                <w:rFonts w:asciiTheme="majorHAnsi" w:hAnsiTheme="majorHAnsi" w:cs="Arial"/>
                <w:b/>
                <w:bCs/>
                <w:sz w:val="16"/>
                <w:szCs w:val="16"/>
              </w:rPr>
            </w:pPr>
            <w:r w:rsidRPr="00222C6E">
              <w:rPr>
                <w:rFonts w:asciiTheme="majorHAnsi" w:hAnsiTheme="majorHAnsi" w:cs="Arial"/>
                <w:b/>
                <w:bCs/>
                <w:sz w:val="16"/>
                <w:szCs w:val="16"/>
              </w:rPr>
              <w:t xml:space="preserve">    22.233.502.272 </w:t>
            </w:r>
          </w:p>
        </w:tc>
        <w:tc>
          <w:tcPr>
            <w:tcW w:w="920" w:type="pct"/>
            <w:tcBorders>
              <w:top w:val="single" w:sz="8" w:space="0" w:color="auto"/>
              <w:left w:val="nil"/>
              <w:bottom w:val="single" w:sz="8" w:space="0" w:color="auto"/>
              <w:right w:val="nil"/>
            </w:tcBorders>
            <w:shd w:val="clear" w:color="auto" w:fill="auto"/>
            <w:noWrap/>
            <w:vAlign w:val="center"/>
            <w:hideMark/>
          </w:tcPr>
          <w:p w14:paraId="5DD059C0" w14:textId="77777777" w:rsidR="00222C6E" w:rsidRPr="00222C6E" w:rsidRDefault="00222C6E" w:rsidP="00222C6E">
            <w:pPr>
              <w:jc w:val="right"/>
              <w:rPr>
                <w:rFonts w:asciiTheme="majorHAnsi" w:hAnsiTheme="majorHAnsi" w:cs="Arial"/>
                <w:b/>
                <w:bCs/>
                <w:sz w:val="16"/>
                <w:szCs w:val="16"/>
              </w:rPr>
            </w:pPr>
            <w:r w:rsidRPr="00222C6E">
              <w:rPr>
                <w:rFonts w:asciiTheme="majorHAnsi" w:hAnsiTheme="majorHAnsi" w:cs="Arial"/>
                <w:b/>
                <w:bCs/>
                <w:sz w:val="16"/>
                <w:szCs w:val="16"/>
              </w:rPr>
              <w:t xml:space="preserve">                  1.071.423.997 </w:t>
            </w:r>
          </w:p>
        </w:tc>
        <w:tc>
          <w:tcPr>
            <w:tcW w:w="665" w:type="pct"/>
            <w:tcBorders>
              <w:top w:val="nil"/>
              <w:left w:val="single" w:sz="8" w:space="0" w:color="auto"/>
              <w:bottom w:val="single" w:sz="8" w:space="0" w:color="auto"/>
              <w:right w:val="nil"/>
            </w:tcBorders>
            <w:shd w:val="clear" w:color="auto" w:fill="auto"/>
            <w:noWrap/>
            <w:vAlign w:val="center"/>
            <w:hideMark/>
          </w:tcPr>
          <w:p w14:paraId="1D0FF5F1" w14:textId="77777777" w:rsidR="00222C6E" w:rsidRPr="00222C6E" w:rsidRDefault="00222C6E" w:rsidP="00222C6E">
            <w:pPr>
              <w:jc w:val="right"/>
              <w:rPr>
                <w:rFonts w:asciiTheme="majorHAnsi" w:hAnsiTheme="majorHAnsi" w:cs="Arial"/>
                <w:b/>
                <w:bCs/>
                <w:sz w:val="16"/>
                <w:szCs w:val="16"/>
              </w:rPr>
            </w:pPr>
            <w:r w:rsidRPr="00222C6E">
              <w:rPr>
                <w:rFonts w:asciiTheme="majorHAnsi" w:hAnsiTheme="majorHAnsi" w:cs="Arial"/>
                <w:b/>
                <w:bCs/>
                <w:sz w:val="16"/>
                <w:szCs w:val="16"/>
              </w:rPr>
              <w:t xml:space="preserve">    (20.313.384.181)</w:t>
            </w:r>
          </w:p>
        </w:tc>
        <w:tc>
          <w:tcPr>
            <w:tcW w:w="110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5AD434" w14:textId="77777777" w:rsidR="00222C6E" w:rsidRPr="00222C6E" w:rsidRDefault="00222C6E" w:rsidP="00222C6E">
            <w:pPr>
              <w:jc w:val="right"/>
              <w:rPr>
                <w:rFonts w:asciiTheme="majorHAnsi" w:hAnsiTheme="majorHAnsi" w:cs="Arial"/>
                <w:b/>
                <w:bCs/>
                <w:sz w:val="16"/>
                <w:szCs w:val="16"/>
              </w:rPr>
            </w:pPr>
            <w:r w:rsidRPr="00222C6E">
              <w:rPr>
                <w:rFonts w:asciiTheme="majorHAnsi" w:hAnsiTheme="majorHAnsi" w:cs="Arial"/>
                <w:b/>
                <w:bCs/>
                <w:sz w:val="16"/>
                <w:szCs w:val="16"/>
              </w:rPr>
              <w:t>2.991.542.089</w:t>
            </w:r>
          </w:p>
        </w:tc>
      </w:tr>
      <w:tr w:rsidR="00222C6E" w:rsidRPr="00222C6E" w14:paraId="337A27C0" w14:textId="77777777" w:rsidTr="00222C6E">
        <w:trPr>
          <w:trHeight w:val="300"/>
        </w:trPr>
        <w:tc>
          <w:tcPr>
            <w:tcW w:w="1684" w:type="pct"/>
            <w:tcBorders>
              <w:top w:val="nil"/>
              <w:left w:val="nil"/>
              <w:bottom w:val="nil"/>
              <w:right w:val="nil"/>
            </w:tcBorders>
            <w:shd w:val="clear" w:color="auto" w:fill="auto"/>
            <w:noWrap/>
            <w:vAlign w:val="center"/>
            <w:hideMark/>
          </w:tcPr>
          <w:p w14:paraId="46659E33" w14:textId="77777777" w:rsidR="00222C6E" w:rsidRPr="00222C6E" w:rsidRDefault="00222C6E">
            <w:pPr>
              <w:jc w:val="right"/>
              <w:rPr>
                <w:rFonts w:asciiTheme="majorHAnsi" w:hAnsiTheme="majorHAnsi" w:cs="Arial"/>
                <w:b/>
                <w:bCs/>
                <w:sz w:val="16"/>
                <w:szCs w:val="16"/>
              </w:rPr>
            </w:pPr>
          </w:p>
        </w:tc>
        <w:tc>
          <w:tcPr>
            <w:tcW w:w="626" w:type="pct"/>
            <w:tcBorders>
              <w:top w:val="nil"/>
              <w:left w:val="nil"/>
              <w:bottom w:val="nil"/>
              <w:right w:val="nil"/>
            </w:tcBorders>
            <w:shd w:val="clear" w:color="auto" w:fill="auto"/>
            <w:noWrap/>
            <w:vAlign w:val="center"/>
            <w:hideMark/>
          </w:tcPr>
          <w:p w14:paraId="4372E39E" w14:textId="77777777" w:rsidR="00222C6E" w:rsidRPr="00222C6E" w:rsidRDefault="00222C6E">
            <w:pPr>
              <w:rPr>
                <w:rFonts w:asciiTheme="majorHAnsi" w:hAnsiTheme="majorHAnsi"/>
                <w:sz w:val="16"/>
                <w:szCs w:val="16"/>
              </w:rPr>
            </w:pPr>
          </w:p>
        </w:tc>
        <w:tc>
          <w:tcPr>
            <w:tcW w:w="920" w:type="pct"/>
            <w:tcBorders>
              <w:top w:val="nil"/>
              <w:left w:val="nil"/>
              <w:bottom w:val="nil"/>
              <w:right w:val="nil"/>
            </w:tcBorders>
            <w:shd w:val="clear" w:color="auto" w:fill="auto"/>
            <w:noWrap/>
            <w:vAlign w:val="center"/>
            <w:hideMark/>
          </w:tcPr>
          <w:p w14:paraId="2992FD1D" w14:textId="77777777" w:rsidR="00222C6E" w:rsidRPr="00222C6E" w:rsidRDefault="00222C6E">
            <w:pPr>
              <w:jc w:val="right"/>
              <w:rPr>
                <w:rFonts w:asciiTheme="majorHAnsi" w:hAnsiTheme="majorHAnsi"/>
                <w:sz w:val="16"/>
                <w:szCs w:val="16"/>
              </w:rPr>
            </w:pPr>
          </w:p>
        </w:tc>
        <w:tc>
          <w:tcPr>
            <w:tcW w:w="665" w:type="pct"/>
            <w:tcBorders>
              <w:top w:val="nil"/>
              <w:left w:val="nil"/>
              <w:bottom w:val="nil"/>
              <w:right w:val="nil"/>
            </w:tcBorders>
            <w:shd w:val="clear" w:color="auto" w:fill="auto"/>
            <w:noWrap/>
            <w:vAlign w:val="center"/>
            <w:hideMark/>
          </w:tcPr>
          <w:p w14:paraId="07051DC7" w14:textId="77777777" w:rsidR="00222C6E" w:rsidRPr="00222C6E" w:rsidRDefault="00222C6E">
            <w:pPr>
              <w:jc w:val="right"/>
              <w:rPr>
                <w:rFonts w:asciiTheme="majorHAnsi" w:hAnsiTheme="majorHAnsi"/>
                <w:sz w:val="16"/>
                <w:szCs w:val="16"/>
              </w:rPr>
            </w:pPr>
          </w:p>
        </w:tc>
        <w:tc>
          <w:tcPr>
            <w:tcW w:w="1105" w:type="pct"/>
            <w:tcBorders>
              <w:top w:val="nil"/>
              <w:left w:val="nil"/>
              <w:bottom w:val="nil"/>
              <w:right w:val="nil"/>
            </w:tcBorders>
            <w:shd w:val="clear" w:color="auto" w:fill="auto"/>
            <w:noWrap/>
            <w:vAlign w:val="center"/>
            <w:hideMark/>
          </w:tcPr>
          <w:p w14:paraId="6A53FF68" w14:textId="77777777" w:rsidR="00222C6E" w:rsidRPr="00222C6E" w:rsidRDefault="00222C6E">
            <w:pPr>
              <w:jc w:val="right"/>
              <w:rPr>
                <w:rFonts w:asciiTheme="majorHAnsi" w:hAnsiTheme="majorHAnsi"/>
                <w:sz w:val="16"/>
                <w:szCs w:val="16"/>
              </w:rPr>
            </w:pPr>
          </w:p>
        </w:tc>
      </w:tr>
      <w:tr w:rsidR="00222C6E" w:rsidRPr="00222C6E" w14:paraId="5AA30588" w14:textId="77777777" w:rsidTr="00222C6E">
        <w:trPr>
          <w:trHeight w:val="300"/>
        </w:trPr>
        <w:tc>
          <w:tcPr>
            <w:tcW w:w="1684" w:type="pct"/>
            <w:tcBorders>
              <w:top w:val="nil"/>
              <w:left w:val="nil"/>
              <w:bottom w:val="nil"/>
              <w:right w:val="nil"/>
            </w:tcBorders>
            <w:shd w:val="clear" w:color="auto" w:fill="auto"/>
            <w:noWrap/>
            <w:vAlign w:val="center"/>
            <w:hideMark/>
          </w:tcPr>
          <w:p w14:paraId="7053CAF6" w14:textId="77777777" w:rsidR="00222C6E" w:rsidRPr="00222C6E" w:rsidRDefault="00222C6E">
            <w:pPr>
              <w:jc w:val="right"/>
              <w:rPr>
                <w:rFonts w:asciiTheme="majorHAnsi" w:hAnsiTheme="majorHAnsi"/>
                <w:sz w:val="16"/>
                <w:szCs w:val="16"/>
              </w:rPr>
            </w:pPr>
          </w:p>
        </w:tc>
        <w:tc>
          <w:tcPr>
            <w:tcW w:w="626" w:type="pct"/>
            <w:tcBorders>
              <w:top w:val="nil"/>
              <w:left w:val="nil"/>
              <w:bottom w:val="nil"/>
              <w:right w:val="nil"/>
            </w:tcBorders>
            <w:shd w:val="clear" w:color="auto" w:fill="auto"/>
            <w:noWrap/>
            <w:vAlign w:val="center"/>
            <w:hideMark/>
          </w:tcPr>
          <w:p w14:paraId="599E33E1" w14:textId="77777777" w:rsidR="00222C6E" w:rsidRPr="00222C6E" w:rsidRDefault="00222C6E">
            <w:pPr>
              <w:rPr>
                <w:rFonts w:asciiTheme="majorHAnsi" w:hAnsiTheme="majorHAnsi"/>
                <w:sz w:val="16"/>
                <w:szCs w:val="16"/>
              </w:rPr>
            </w:pPr>
          </w:p>
        </w:tc>
        <w:tc>
          <w:tcPr>
            <w:tcW w:w="920" w:type="pct"/>
            <w:tcBorders>
              <w:top w:val="nil"/>
              <w:left w:val="nil"/>
              <w:bottom w:val="nil"/>
              <w:right w:val="nil"/>
            </w:tcBorders>
            <w:shd w:val="clear" w:color="auto" w:fill="auto"/>
            <w:noWrap/>
            <w:vAlign w:val="center"/>
            <w:hideMark/>
          </w:tcPr>
          <w:p w14:paraId="253929F6" w14:textId="77777777" w:rsidR="00222C6E" w:rsidRPr="00222C6E" w:rsidRDefault="00222C6E">
            <w:pPr>
              <w:jc w:val="right"/>
              <w:rPr>
                <w:rFonts w:asciiTheme="majorHAnsi" w:hAnsiTheme="majorHAnsi"/>
                <w:sz w:val="16"/>
                <w:szCs w:val="16"/>
              </w:rPr>
            </w:pPr>
          </w:p>
        </w:tc>
        <w:tc>
          <w:tcPr>
            <w:tcW w:w="665" w:type="pct"/>
            <w:tcBorders>
              <w:top w:val="nil"/>
              <w:left w:val="nil"/>
              <w:bottom w:val="nil"/>
              <w:right w:val="nil"/>
            </w:tcBorders>
            <w:shd w:val="clear" w:color="auto" w:fill="auto"/>
            <w:noWrap/>
            <w:vAlign w:val="center"/>
            <w:hideMark/>
          </w:tcPr>
          <w:p w14:paraId="1D0B9970" w14:textId="77777777" w:rsidR="00222C6E" w:rsidRPr="00222C6E" w:rsidRDefault="00222C6E">
            <w:pPr>
              <w:jc w:val="right"/>
              <w:rPr>
                <w:rFonts w:asciiTheme="majorHAnsi" w:hAnsiTheme="majorHAnsi"/>
                <w:sz w:val="16"/>
                <w:szCs w:val="16"/>
              </w:rPr>
            </w:pPr>
          </w:p>
        </w:tc>
        <w:tc>
          <w:tcPr>
            <w:tcW w:w="1105" w:type="pct"/>
            <w:tcBorders>
              <w:top w:val="nil"/>
              <w:left w:val="nil"/>
              <w:bottom w:val="nil"/>
              <w:right w:val="nil"/>
            </w:tcBorders>
            <w:shd w:val="clear" w:color="auto" w:fill="auto"/>
            <w:noWrap/>
            <w:vAlign w:val="center"/>
            <w:hideMark/>
          </w:tcPr>
          <w:p w14:paraId="610A13B6" w14:textId="77777777" w:rsidR="00222C6E" w:rsidRPr="00222C6E" w:rsidRDefault="00222C6E">
            <w:pPr>
              <w:jc w:val="right"/>
              <w:rPr>
                <w:rFonts w:asciiTheme="majorHAnsi" w:hAnsiTheme="majorHAnsi"/>
                <w:sz w:val="16"/>
                <w:szCs w:val="16"/>
              </w:rPr>
            </w:pPr>
          </w:p>
        </w:tc>
      </w:tr>
      <w:tr w:rsidR="00222C6E" w:rsidRPr="00222C6E" w14:paraId="26890851" w14:textId="77777777" w:rsidTr="00222C6E">
        <w:trPr>
          <w:trHeight w:val="300"/>
        </w:trPr>
        <w:tc>
          <w:tcPr>
            <w:tcW w:w="5000" w:type="pct"/>
            <w:gridSpan w:val="5"/>
            <w:tcBorders>
              <w:top w:val="nil"/>
              <w:left w:val="nil"/>
              <w:bottom w:val="nil"/>
              <w:right w:val="nil"/>
            </w:tcBorders>
            <w:shd w:val="clear" w:color="auto" w:fill="auto"/>
            <w:noWrap/>
            <w:vAlign w:val="center"/>
            <w:hideMark/>
          </w:tcPr>
          <w:p w14:paraId="1F1FE6C7" w14:textId="77777777" w:rsidR="00222C6E" w:rsidRDefault="00222C6E">
            <w:pPr>
              <w:jc w:val="center"/>
              <w:rPr>
                <w:rFonts w:asciiTheme="majorHAnsi" w:hAnsiTheme="majorHAnsi" w:cs="Arial"/>
                <w:sz w:val="16"/>
                <w:szCs w:val="16"/>
              </w:rPr>
            </w:pPr>
            <w:r w:rsidRPr="00222C6E">
              <w:rPr>
                <w:rFonts w:asciiTheme="majorHAnsi" w:hAnsiTheme="majorHAnsi" w:cs="Arial"/>
                <w:sz w:val="16"/>
                <w:szCs w:val="16"/>
              </w:rPr>
              <w:t>(As Notas Explicativas são parte integrante das demonstrações contábeis intermediárias)</w:t>
            </w:r>
          </w:p>
          <w:p w14:paraId="63089DA5" w14:textId="77777777" w:rsidR="00414F2D" w:rsidRDefault="00414F2D">
            <w:pPr>
              <w:jc w:val="center"/>
              <w:rPr>
                <w:rFonts w:asciiTheme="majorHAnsi" w:hAnsiTheme="majorHAnsi" w:cs="Arial"/>
                <w:sz w:val="16"/>
                <w:szCs w:val="16"/>
              </w:rPr>
            </w:pPr>
          </w:p>
          <w:p w14:paraId="5196798B" w14:textId="77777777" w:rsidR="00414F2D" w:rsidRDefault="00414F2D">
            <w:pPr>
              <w:jc w:val="center"/>
              <w:rPr>
                <w:rFonts w:asciiTheme="majorHAnsi" w:hAnsiTheme="majorHAnsi" w:cs="Arial"/>
                <w:sz w:val="16"/>
                <w:szCs w:val="16"/>
              </w:rPr>
            </w:pPr>
          </w:p>
          <w:p w14:paraId="6683CACE" w14:textId="77777777" w:rsidR="00414F2D" w:rsidRDefault="00414F2D">
            <w:pPr>
              <w:jc w:val="center"/>
              <w:rPr>
                <w:rFonts w:asciiTheme="majorHAnsi" w:hAnsiTheme="majorHAnsi" w:cs="Arial"/>
                <w:sz w:val="16"/>
                <w:szCs w:val="16"/>
              </w:rPr>
            </w:pPr>
          </w:p>
          <w:p w14:paraId="79C2D02F" w14:textId="77777777" w:rsidR="00414F2D" w:rsidRDefault="00414F2D">
            <w:pPr>
              <w:jc w:val="center"/>
              <w:rPr>
                <w:rFonts w:asciiTheme="majorHAnsi" w:hAnsiTheme="majorHAnsi" w:cs="Arial"/>
                <w:sz w:val="16"/>
                <w:szCs w:val="16"/>
              </w:rPr>
            </w:pPr>
          </w:p>
          <w:p w14:paraId="094A3BC0" w14:textId="77777777" w:rsidR="00414F2D" w:rsidRDefault="00414F2D">
            <w:pPr>
              <w:jc w:val="center"/>
              <w:rPr>
                <w:rFonts w:asciiTheme="majorHAnsi" w:hAnsiTheme="majorHAnsi" w:cs="Arial"/>
                <w:sz w:val="16"/>
                <w:szCs w:val="16"/>
              </w:rPr>
            </w:pPr>
          </w:p>
          <w:p w14:paraId="3E2D73AB" w14:textId="77777777" w:rsidR="00414F2D" w:rsidRDefault="00414F2D">
            <w:pPr>
              <w:jc w:val="center"/>
              <w:rPr>
                <w:rFonts w:asciiTheme="majorHAnsi" w:hAnsiTheme="majorHAnsi" w:cs="Arial"/>
                <w:sz w:val="16"/>
                <w:szCs w:val="16"/>
              </w:rPr>
            </w:pPr>
          </w:p>
          <w:p w14:paraId="5748569D" w14:textId="77777777" w:rsidR="00414F2D" w:rsidRDefault="00414F2D">
            <w:pPr>
              <w:jc w:val="center"/>
              <w:rPr>
                <w:rFonts w:asciiTheme="majorHAnsi" w:hAnsiTheme="majorHAnsi" w:cs="Arial"/>
                <w:sz w:val="16"/>
                <w:szCs w:val="16"/>
              </w:rPr>
            </w:pPr>
          </w:p>
          <w:p w14:paraId="761FD25B" w14:textId="77777777" w:rsidR="00414F2D" w:rsidRDefault="00414F2D">
            <w:pPr>
              <w:jc w:val="center"/>
              <w:rPr>
                <w:rFonts w:asciiTheme="majorHAnsi" w:hAnsiTheme="majorHAnsi" w:cs="Arial"/>
                <w:sz w:val="16"/>
                <w:szCs w:val="16"/>
              </w:rPr>
            </w:pPr>
          </w:p>
          <w:p w14:paraId="5163C773" w14:textId="77777777" w:rsidR="00414F2D" w:rsidRDefault="00414F2D">
            <w:pPr>
              <w:jc w:val="center"/>
              <w:rPr>
                <w:rFonts w:asciiTheme="majorHAnsi" w:hAnsiTheme="majorHAnsi" w:cs="Arial"/>
                <w:sz w:val="16"/>
                <w:szCs w:val="16"/>
              </w:rPr>
            </w:pPr>
          </w:p>
          <w:p w14:paraId="78E22301" w14:textId="77777777" w:rsidR="00414F2D" w:rsidRDefault="00414F2D">
            <w:pPr>
              <w:jc w:val="center"/>
              <w:rPr>
                <w:rFonts w:asciiTheme="majorHAnsi" w:hAnsiTheme="majorHAnsi" w:cs="Arial"/>
                <w:sz w:val="16"/>
                <w:szCs w:val="16"/>
              </w:rPr>
            </w:pPr>
          </w:p>
          <w:p w14:paraId="5B1A6AA1" w14:textId="77777777" w:rsidR="00414F2D" w:rsidRDefault="00414F2D">
            <w:pPr>
              <w:jc w:val="center"/>
              <w:rPr>
                <w:rFonts w:asciiTheme="majorHAnsi" w:hAnsiTheme="majorHAnsi" w:cs="Arial"/>
                <w:sz w:val="16"/>
                <w:szCs w:val="16"/>
              </w:rPr>
            </w:pPr>
          </w:p>
          <w:p w14:paraId="1729E012" w14:textId="77777777" w:rsidR="00414F2D" w:rsidRDefault="00414F2D">
            <w:pPr>
              <w:jc w:val="center"/>
              <w:rPr>
                <w:rFonts w:asciiTheme="majorHAnsi" w:hAnsiTheme="majorHAnsi" w:cs="Arial"/>
                <w:sz w:val="16"/>
                <w:szCs w:val="16"/>
              </w:rPr>
            </w:pPr>
          </w:p>
          <w:p w14:paraId="770C8AF4" w14:textId="77777777" w:rsidR="00414F2D" w:rsidRDefault="00414F2D">
            <w:pPr>
              <w:jc w:val="center"/>
              <w:rPr>
                <w:rFonts w:asciiTheme="majorHAnsi" w:hAnsiTheme="majorHAnsi" w:cs="Arial"/>
                <w:sz w:val="16"/>
                <w:szCs w:val="16"/>
              </w:rPr>
            </w:pPr>
          </w:p>
          <w:p w14:paraId="06351238" w14:textId="77777777" w:rsidR="00414F2D" w:rsidRDefault="00414F2D">
            <w:pPr>
              <w:jc w:val="center"/>
              <w:rPr>
                <w:rFonts w:asciiTheme="majorHAnsi" w:hAnsiTheme="majorHAnsi" w:cs="Arial"/>
                <w:sz w:val="16"/>
                <w:szCs w:val="16"/>
              </w:rPr>
            </w:pPr>
          </w:p>
          <w:p w14:paraId="107F5817" w14:textId="77777777" w:rsidR="00414F2D" w:rsidRDefault="00414F2D">
            <w:pPr>
              <w:jc w:val="center"/>
              <w:rPr>
                <w:rFonts w:asciiTheme="majorHAnsi" w:hAnsiTheme="majorHAnsi" w:cs="Arial"/>
                <w:sz w:val="16"/>
                <w:szCs w:val="16"/>
              </w:rPr>
            </w:pPr>
          </w:p>
          <w:p w14:paraId="79227C04" w14:textId="77777777" w:rsidR="00414F2D" w:rsidRDefault="00414F2D">
            <w:pPr>
              <w:jc w:val="center"/>
              <w:rPr>
                <w:rFonts w:asciiTheme="majorHAnsi" w:hAnsiTheme="majorHAnsi" w:cs="Arial"/>
                <w:sz w:val="16"/>
                <w:szCs w:val="16"/>
              </w:rPr>
            </w:pPr>
          </w:p>
          <w:p w14:paraId="09DC190D" w14:textId="77777777" w:rsidR="00414F2D" w:rsidRDefault="00414F2D">
            <w:pPr>
              <w:jc w:val="center"/>
              <w:rPr>
                <w:rFonts w:asciiTheme="majorHAnsi" w:hAnsiTheme="majorHAnsi" w:cs="Arial"/>
                <w:sz w:val="16"/>
                <w:szCs w:val="16"/>
              </w:rPr>
            </w:pPr>
          </w:p>
          <w:p w14:paraId="7D6F5ACB" w14:textId="77777777" w:rsidR="00414F2D" w:rsidRDefault="00414F2D">
            <w:pPr>
              <w:jc w:val="center"/>
              <w:rPr>
                <w:rFonts w:asciiTheme="majorHAnsi" w:hAnsiTheme="majorHAnsi" w:cs="Arial"/>
                <w:sz w:val="16"/>
                <w:szCs w:val="16"/>
              </w:rPr>
            </w:pPr>
          </w:p>
          <w:p w14:paraId="434E69E2" w14:textId="77777777" w:rsidR="00414F2D" w:rsidRDefault="00414F2D">
            <w:pPr>
              <w:jc w:val="center"/>
              <w:rPr>
                <w:rFonts w:asciiTheme="majorHAnsi" w:hAnsiTheme="majorHAnsi" w:cs="Arial"/>
                <w:sz w:val="16"/>
                <w:szCs w:val="16"/>
              </w:rPr>
            </w:pPr>
          </w:p>
          <w:p w14:paraId="7F48E59F" w14:textId="77777777" w:rsidR="00414F2D" w:rsidRDefault="00414F2D">
            <w:pPr>
              <w:jc w:val="center"/>
              <w:rPr>
                <w:rFonts w:asciiTheme="majorHAnsi" w:hAnsiTheme="majorHAnsi" w:cs="Arial"/>
                <w:sz w:val="16"/>
                <w:szCs w:val="16"/>
              </w:rPr>
            </w:pPr>
          </w:p>
          <w:p w14:paraId="0B79262C" w14:textId="77777777" w:rsidR="00414F2D" w:rsidRDefault="00414F2D">
            <w:pPr>
              <w:jc w:val="center"/>
              <w:rPr>
                <w:rFonts w:asciiTheme="majorHAnsi" w:hAnsiTheme="majorHAnsi" w:cs="Arial"/>
                <w:sz w:val="16"/>
                <w:szCs w:val="16"/>
              </w:rPr>
            </w:pPr>
          </w:p>
          <w:p w14:paraId="1D2D217F" w14:textId="77777777" w:rsidR="00414F2D" w:rsidRDefault="00414F2D">
            <w:pPr>
              <w:jc w:val="center"/>
              <w:rPr>
                <w:rFonts w:asciiTheme="majorHAnsi" w:hAnsiTheme="majorHAnsi" w:cs="Arial"/>
                <w:sz w:val="16"/>
                <w:szCs w:val="16"/>
              </w:rPr>
            </w:pPr>
          </w:p>
          <w:p w14:paraId="062A7A56" w14:textId="77777777" w:rsidR="00414F2D" w:rsidRDefault="00414F2D">
            <w:pPr>
              <w:jc w:val="center"/>
              <w:rPr>
                <w:rFonts w:asciiTheme="majorHAnsi" w:hAnsiTheme="majorHAnsi" w:cs="Arial"/>
                <w:sz w:val="16"/>
                <w:szCs w:val="16"/>
              </w:rPr>
            </w:pPr>
          </w:p>
          <w:p w14:paraId="7B76B1BE" w14:textId="77777777" w:rsidR="00414F2D" w:rsidRDefault="00414F2D">
            <w:pPr>
              <w:jc w:val="center"/>
              <w:rPr>
                <w:rFonts w:asciiTheme="majorHAnsi" w:hAnsiTheme="majorHAnsi" w:cs="Arial"/>
                <w:sz w:val="16"/>
                <w:szCs w:val="16"/>
              </w:rPr>
            </w:pPr>
          </w:p>
          <w:p w14:paraId="3F8D612B" w14:textId="77777777" w:rsidR="00414F2D" w:rsidRDefault="00414F2D">
            <w:pPr>
              <w:jc w:val="center"/>
              <w:rPr>
                <w:rFonts w:asciiTheme="majorHAnsi" w:hAnsiTheme="majorHAnsi" w:cs="Arial"/>
                <w:sz w:val="16"/>
                <w:szCs w:val="16"/>
              </w:rPr>
            </w:pPr>
          </w:p>
          <w:p w14:paraId="71C1A0FB" w14:textId="77777777" w:rsidR="00414F2D" w:rsidRDefault="00414F2D">
            <w:pPr>
              <w:jc w:val="center"/>
              <w:rPr>
                <w:rFonts w:asciiTheme="majorHAnsi" w:hAnsiTheme="majorHAnsi" w:cs="Arial"/>
                <w:sz w:val="16"/>
                <w:szCs w:val="16"/>
              </w:rPr>
            </w:pPr>
          </w:p>
          <w:p w14:paraId="1FDFDF96" w14:textId="77777777" w:rsidR="00414F2D" w:rsidRDefault="00414F2D">
            <w:pPr>
              <w:jc w:val="center"/>
              <w:rPr>
                <w:rFonts w:asciiTheme="majorHAnsi" w:hAnsiTheme="majorHAnsi" w:cs="Arial"/>
                <w:sz w:val="16"/>
                <w:szCs w:val="16"/>
              </w:rPr>
            </w:pPr>
          </w:p>
          <w:p w14:paraId="5EF68CEE" w14:textId="77777777" w:rsidR="00414F2D" w:rsidRDefault="00414F2D">
            <w:pPr>
              <w:jc w:val="center"/>
              <w:rPr>
                <w:rFonts w:asciiTheme="majorHAnsi" w:hAnsiTheme="majorHAnsi" w:cs="Arial"/>
                <w:sz w:val="16"/>
                <w:szCs w:val="16"/>
              </w:rPr>
            </w:pPr>
          </w:p>
          <w:p w14:paraId="37FE1E9F" w14:textId="77777777" w:rsidR="00414F2D" w:rsidRDefault="00414F2D">
            <w:pPr>
              <w:jc w:val="center"/>
              <w:rPr>
                <w:rFonts w:asciiTheme="majorHAnsi" w:hAnsiTheme="majorHAnsi" w:cs="Arial"/>
                <w:sz w:val="16"/>
                <w:szCs w:val="16"/>
              </w:rPr>
            </w:pPr>
          </w:p>
          <w:p w14:paraId="3B181922" w14:textId="33895E94" w:rsidR="00414F2D" w:rsidRPr="00222C6E" w:rsidRDefault="00414F2D">
            <w:pPr>
              <w:jc w:val="center"/>
              <w:rPr>
                <w:rFonts w:asciiTheme="majorHAnsi" w:hAnsiTheme="majorHAnsi" w:cs="Arial"/>
                <w:sz w:val="16"/>
                <w:szCs w:val="16"/>
              </w:rPr>
            </w:pPr>
          </w:p>
        </w:tc>
      </w:tr>
    </w:tbl>
    <w:p w14:paraId="696D1652" w14:textId="77777777" w:rsidR="00331A4D" w:rsidRDefault="00331A4D" w:rsidP="002E2B5B">
      <w:pPr>
        <w:pStyle w:val="Ttulo1"/>
        <w:tabs>
          <w:tab w:val="left" w:pos="1701"/>
        </w:tabs>
        <w:ind w:right="-142"/>
        <w:rPr>
          <w:rFonts w:ascii="Calibri" w:hAnsi="Calibri" w:cs="Calibri"/>
          <w:szCs w:val="22"/>
        </w:rPr>
      </w:pPr>
    </w:p>
    <w:tbl>
      <w:tblPr>
        <w:tblW w:w="4808" w:type="pct"/>
        <w:tblCellMar>
          <w:left w:w="70" w:type="dxa"/>
          <w:right w:w="70" w:type="dxa"/>
        </w:tblCellMar>
        <w:tblLook w:val="04A0" w:firstRow="1" w:lastRow="0" w:firstColumn="1" w:lastColumn="0" w:noHBand="0" w:noVBand="1"/>
      </w:tblPr>
      <w:tblGrid>
        <w:gridCol w:w="6749"/>
        <w:gridCol w:w="1685"/>
        <w:gridCol w:w="1631"/>
      </w:tblGrid>
      <w:tr w:rsidR="00414F2D" w:rsidRPr="00810F1C" w14:paraId="3002A189" w14:textId="77777777" w:rsidTr="00810F1C">
        <w:trPr>
          <w:trHeight w:val="227"/>
        </w:trPr>
        <w:tc>
          <w:tcPr>
            <w:tcW w:w="5000" w:type="pct"/>
            <w:gridSpan w:val="3"/>
            <w:tcBorders>
              <w:top w:val="nil"/>
              <w:left w:val="nil"/>
              <w:bottom w:val="nil"/>
              <w:right w:val="nil"/>
            </w:tcBorders>
            <w:shd w:val="clear" w:color="000000" w:fill="FFFFFF"/>
            <w:noWrap/>
            <w:vAlign w:val="bottom"/>
            <w:hideMark/>
          </w:tcPr>
          <w:p w14:paraId="4EA5217D"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VALEC ENGENHARIA, CONSTRUÇÕES E FERROVIAS S/A</w:t>
            </w:r>
          </w:p>
        </w:tc>
      </w:tr>
      <w:tr w:rsidR="00414F2D" w:rsidRPr="00810F1C" w14:paraId="2BAF02D2" w14:textId="77777777" w:rsidTr="00810F1C">
        <w:trPr>
          <w:trHeight w:val="227"/>
        </w:trPr>
        <w:tc>
          <w:tcPr>
            <w:tcW w:w="5000" w:type="pct"/>
            <w:gridSpan w:val="3"/>
            <w:tcBorders>
              <w:top w:val="nil"/>
              <w:left w:val="nil"/>
              <w:bottom w:val="nil"/>
              <w:right w:val="nil"/>
            </w:tcBorders>
            <w:shd w:val="clear" w:color="000000" w:fill="FFFFFF"/>
            <w:noWrap/>
            <w:vAlign w:val="bottom"/>
            <w:hideMark/>
          </w:tcPr>
          <w:p w14:paraId="6FFBD889"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DEMONSTRAÇÕES DO FLUXO DE CAIXA</w:t>
            </w:r>
          </w:p>
        </w:tc>
      </w:tr>
      <w:tr w:rsidR="00414F2D" w:rsidRPr="00810F1C" w14:paraId="0B73F419" w14:textId="77777777" w:rsidTr="00810F1C">
        <w:trPr>
          <w:trHeight w:val="227"/>
        </w:trPr>
        <w:tc>
          <w:tcPr>
            <w:tcW w:w="5000" w:type="pct"/>
            <w:gridSpan w:val="3"/>
            <w:tcBorders>
              <w:top w:val="nil"/>
              <w:left w:val="nil"/>
              <w:bottom w:val="nil"/>
              <w:right w:val="nil"/>
            </w:tcBorders>
            <w:shd w:val="clear" w:color="auto" w:fill="auto"/>
            <w:noWrap/>
            <w:vAlign w:val="bottom"/>
            <w:hideMark/>
          </w:tcPr>
          <w:p w14:paraId="740C0049"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2º TRIMESTRE 2021</w:t>
            </w:r>
          </w:p>
        </w:tc>
      </w:tr>
      <w:tr w:rsidR="00414F2D" w:rsidRPr="00810F1C" w14:paraId="05FCC036" w14:textId="77777777" w:rsidTr="00810F1C">
        <w:trPr>
          <w:trHeight w:val="227"/>
        </w:trPr>
        <w:tc>
          <w:tcPr>
            <w:tcW w:w="5000" w:type="pct"/>
            <w:gridSpan w:val="3"/>
            <w:tcBorders>
              <w:top w:val="nil"/>
              <w:left w:val="nil"/>
              <w:bottom w:val="nil"/>
              <w:right w:val="nil"/>
            </w:tcBorders>
            <w:shd w:val="clear" w:color="000000" w:fill="FFFFFF"/>
            <w:noWrap/>
            <w:vAlign w:val="bottom"/>
            <w:hideMark/>
          </w:tcPr>
          <w:p w14:paraId="7A68150E"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 xml:space="preserve"> Em R$ 1 </w:t>
            </w:r>
          </w:p>
        </w:tc>
      </w:tr>
      <w:tr w:rsidR="00414F2D" w:rsidRPr="00810F1C" w14:paraId="231741AC" w14:textId="77777777" w:rsidTr="00810F1C">
        <w:trPr>
          <w:trHeight w:val="227"/>
        </w:trPr>
        <w:tc>
          <w:tcPr>
            <w:tcW w:w="3353" w:type="pct"/>
            <w:tcBorders>
              <w:top w:val="nil"/>
              <w:left w:val="nil"/>
              <w:bottom w:val="nil"/>
              <w:right w:val="nil"/>
            </w:tcBorders>
            <w:shd w:val="clear" w:color="000000" w:fill="FFFFFF"/>
            <w:noWrap/>
            <w:vAlign w:val="bottom"/>
            <w:hideMark/>
          </w:tcPr>
          <w:p w14:paraId="4C66907D"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 </w:t>
            </w:r>
          </w:p>
        </w:tc>
        <w:tc>
          <w:tcPr>
            <w:tcW w:w="837" w:type="pct"/>
            <w:tcBorders>
              <w:top w:val="nil"/>
              <w:left w:val="nil"/>
              <w:bottom w:val="nil"/>
              <w:right w:val="nil"/>
            </w:tcBorders>
            <w:shd w:val="clear" w:color="000000" w:fill="FFFFFF"/>
            <w:noWrap/>
            <w:vAlign w:val="bottom"/>
            <w:hideMark/>
          </w:tcPr>
          <w:p w14:paraId="15C1E015"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 </w:t>
            </w:r>
          </w:p>
        </w:tc>
        <w:tc>
          <w:tcPr>
            <w:tcW w:w="810" w:type="pct"/>
            <w:tcBorders>
              <w:top w:val="nil"/>
              <w:left w:val="nil"/>
              <w:bottom w:val="nil"/>
              <w:right w:val="nil"/>
            </w:tcBorders>
            <w:shd w:val="clear" w:color="000000" w:fill="FFFFFF"/>
            <w:noWrap/>
            <w:vAlign w:val="bottom"/>
            <w:hideMark/>
          </w:tcPr>
          <w:p w14:paraId="49BE42D8"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 </w:t>
            </w:r>
          </w:p>
        </w:tc>
      </w:tr>
      <w:tr w:rsidR="00414F2D" w:rsidRPr="00810F1C" w14:paraId="43AEA0D7" w14:textId="77777777" w:rsidTr="00810F1C">
        <w:trPr>
          <w:trHeight w:val="227"/>
        </w:trPr>
        <w:tc>
          <w:tcPr>
            <w:tcW w:w="3353" w:type="pct"/>
            <w:tcBorders>
              <w:top w:val="nil"/>
              <w:left w:val="nil"/>
              <w:bottom w:val="nil"/>
              <w:right w:val="nil"/>
            </w:tcBorders>
            <w:shd w:val="clear" w:color="000000" w:fill="FFFFFF"/>
            <w:noWrap/>
            <w:vAlign w:val="bottom"/>
            <w:hideMark/>
          </w:tcPr>
          <w:p w14:paraId="4E3F17DC"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c>
          <w:tcPr>
            <w:tcW w:w="837" w:type="pct"/>
            <w:tcBorders>
              <w:top w:val="nil"/>
              <w:left w:val="nil"/>
              <w:bottom w:val="nil"/>
              <w:right w:val="nil"/>
            </w:tcBorders>
            <w:shd w:val="clear" w:color="000000" w:fill="FFFFFF"/>
            <w:noWrap/>
            <w:vAlign w:val="bottom"/>
            <w:hideMark/>
          </w:tcPr>
          <w:p w14:paraId="65832B7C"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c>
          <w:tcPr>
            <w:tcW w:w="810" w:type="pct"/>
            <w:tcBorders>
              <w:top w:val="nil"/>
              <w:left w:val="nil"/>
              <w:bottom w:val="nil"/>
              <w:right w:val="nil"/>
            </w:tcBorders>
            <w:shd w:val="clear" w:color="000000" w:fill="FFFFFF"/>
            <w:vAlign w:val="bottom"/>
            <w:hideMark/>
          </w:tcPr>
          <w:p w14:paraId="742828B5" w14:textId="77777777" w:rsidR="00414F2D" w:rsidRPr="00810F1C" w:rsidRDefault="00414F2D">
            <w:pPr>
              <w:rPr>
                <w:rFonts w:asciiTheme="majorHAnsi" w:hAnsiTheme="majorHAnsi" w:cs="Arial"/>
                <w:b/>
                <w:bCs/>
                <w:sz w:val="16"/>
                <w:szCs w:val="16"/>
              </w:rPr>
            </w:pPr>
            <w:r w:rsidRPr="00810F1C">
              <w:rPr>
                <w:rFonts w:asciiTheme="majorHAnsi" w:hAnsiTheme="majorHAnsi" w:cs="Arial"/>
                <w:b/>
                <w:bCs/>
                <w:sz w:val="16"/>
                <w:szCs w:val="16"/>
              </w:rPr>
              <w:t> </w:t>
            </w:r>
          </w:p>
        </w:tc>
      </w:tr>
      <w:tr w:rsidR="00414F2D" w:rsidRPr="00810F1C" w14:paraId="22EF14AA" w14:textId="77777777" w:rsidTr="00810F1C">
        <w:trPr>
          <w:trHeight w:val="227"/>
        </w:trPr>
        <w:tc>
          <w:tcPr>
            <w:tcW w:w="3353" w:type="pct"/>
            <w:tcBorders>
              <w:top w:val="nil"/>
              <w:left w:val="nil"/>
              <w:bottom w:val="nil"/>
              <w:right w:val="nil"/>
            </w:tcBorders>
            <w:shd w:val="clear" w:color="000000" w:fill="FFFFFF"/>
            <w:noWrap/>
            <w:vAlign w:val="bottom"/>
            <w:hideMark/>
          </w:tcPr>
          <w:p w14:paraId="1D5D1FF7"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c>
          <w:tcPr>
            <w:tcW w:w="837" w:type="pct"/>
            <w:tcBorders>
              <w:top w:val="nil"/>
              <w:left w:val="nil"/>
              <w:bottom w:val="nil"/>
              <w:right w:val="nil"/>
            </w:tcBorders>
            <w:shd w:val="clear" w:color="auto" w:fill="auto"/>
            <w:vAlign w:val="bottom"/>
            <w:hideMark/>
          </w:tcPr>
          <w:p w14:paraId="18A001A0" w14:textId="77777777" w:rsidR="00414F2D" w:rsidRPr="00810F1C" w:rsidRDefault="00414F2D">
            <w:pPr>
              <w:jc w:val="right"/>
              <w:rPr>
                <w:rFonts w:asciiTheme="majorHAnsi" w:hAnsiTheme="majorHAnsi" w:cs="Arial"/>
                <w:b/>
                <w:bCs/>
                <w:sz w:val="16"/>
                <w:szCs w:val="16"/>
              </w:rPr>
            </w:pPr>
            <w:r w:rsidRPr="00810F1C">
              <w:rPr>
                <w:rFonts w:asciiTheme="majorHAnsi" w:hAnsiTheme="majorHAnsi" w:cs="Arial"/>
                <w:b/>
                <w:bCs/>
                <w:sz w:val="16"/>
                <w:szCs w:val="16"/>
              </w:rPr>
              <w:t>01/01/2021</w:t>
            </w:r>
          </w:p>
        </w:tc>
        <w:tc>
          <w:tcPr>
            <w:tcW w:w="810" w:type="pct"/>
            <w:tcBorders>
              <w:top w:val="nil"/>
              <w:left w:val="nil"/>
              <w:bottom w:val="nil"/>
              <w:right w:val="nil"/>
            </w:tcBorders>
            <w:shd w:val="clear" w:color="auto" w:fill="auto"/>
            <w:noWrap/>
            <w:vAlign w:val="bottom"/>
            <w:hideMark/>
          </w:tcPr>
          <w:p w14:paraId="4D6B281F" w14:textId="77777777" w:rsidR="00414F2D" w:rsidRPr="00810F1C" w:rsidRDefault="00414F2D">
            <w:pPr>
              <w:jc w:val="right"/>
              <w:rPr>
                <w:rFonts w:asciiTheme="majorHAnsi" w:hAnsiTheme="majorHAnsi" w:cs="Arial"/>
                <w:b/>
                <w:bCs/>
                <w:sz w:val="16"/>
                <w:szCs w:val="16"/>
              </w:rPr>
            </w:pPr>
            <w:r w:rsidRPr="00810F1C">
              <w:rPr>
                <w:rFonts w:asciiTheme="majorHAnsi" w:hAnsiTheme="majorHAnsi" w:cs="Arial"/>
                <w:b/>
                <w:bCs/>
                <w:sz w:val="16"/>
                <w:szCs w:val="16"/>
              </w:rPr>
              <w:t>01/01/2020</w:t>
            </w:r>
          </w:p>
        </w:tc>
      </w:tr>
      <w:tr w:rsidR="00414F2D" w:rsidRPr="00810F1C" w14:paraId="614CD6B7" w14:textId="77777777" w:rsidTr="00810F1C">
        <w:trPr>
          <w:trHeight w:val="227"/>
        </w:trPr>
        <w:tc>
          <w:tcPr>
            <w:tcW w:w="3353" w:type="pct"/>
            <w:tcBorders>
              <w:top w:val="nil"/>
              <w:left w:val="nil"/>
              <w:bottom w:val="nil"/>
              <w:right w:val="nil"/>
            </w:tcBorders>
            <w:shd w:val="clear" w:color="000000" w:fill="FFFFFF"/>
            <w:noWrap/>
            <w:vAlign w:val="bottom"/>
            <w:hideMark/>
          </w:tcPr>
          <w:p w14:paraId="48F88AB5"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c>
          <w:tcPr>
            <w:tcW w:w="837" w:type="pct"/>
            <w:tcBorders>
              <w:top w:val="nil"/>
              <w:left w:val="nil"/>
              <w:bottom w:val="nil"/>
              <w:right w:val="nil"/>
            </w:tcBorders>
            <w:shd w:val="clear" w:color="auto" w:fill="auto"/>
            <w:noWrap/>
            <w:vAlign w:val="bottom"/>
            <w:hideMark/>
          </w:tcPr>
          <w:p w14:paraId="01EE3081" w14:textId="77777777" w:rsidR="00414F2D" w:rsidRPr="00810F1C" w:rsidRDefault="00414F2D">
            <w:pPr>
              <w:jc w:val="right"/>
              <w:rPr>
                <w:rFonts w:asciiTheme="majorHAnsi" w:hAnsiTheme="majorHAnsi" w:cs="Arial"/>
                <w:b/>
                <w:bCs/>
                <w:sz w:val="16"/>
                <w:szCs w:val="16"/>
              </w:rPr>
            </w:pPr>
            <w:r w:rsidRPr="00810F1C">
              <w:rPr>
                <w:rFonts w:asciiTheme="majorHAnsi" w:hAnsiTheme="majorHAnsi" w:cs="Arial"/>
                <w:b/>
                <w:bCs/>
                <w:sz w:val="16"/>
                <w:szCs w:val="16"/>
              </w:rPr>
              <w:t xml:space="preserve"> a 30/06/2021</w:t>
            </w:r>
          </w:p>
        </w:tc>
        <w:tc>
          <w:tcPr>
            <w:tcW w:w="810" w:type="pct"/>
            <w:tcBorders>
              <w:top w:val="nil"/>
              <w:left w:val="nil"/>
              <w:bottom w:val="nil"/>
              <w:right w:val="nil"/>
            </w:tcBorders>
            <w:shd w:val="clear" w:color="auto" w:fill="auto"/>
            <w:noWrap/>
            <w:vAlign w:val="bottom"/>
            <w:hideMark/>
          </w:tcPr>
          <w:p w14:paraId="29C763CF" w14:textId="77777777" w:rsidR="00414F2D" w:rsidRPr="00810F1C" w:rsidRDefault="00414F2D">
            <w:pPr>
              <w:jc w:val="right"/>
              <w:rPr>
                <w:rFonts w:asciiTheme="majorHAnsi" w:hAnsiTheme="majorHAnsi" w:cs="Arial"/>
                <w:b/>
                <w:bCs/>
                <w:sz w:val="16"/>
                <w:szCs w:val="16"/>
              </w:rPr>
            </w:pPr>
            <w:r w:rsidRPr="00810F1C">
              <w:rPr>
                <w:rFonts w:asciiTheme="majorHAnsi" w:hAnsiTheme="majorHAnsi" w:cs="Arial"/>
                <w:b/>
                <w:bCs/>
                <w:sz w:val="16"/>
                <w:szCs w:val="16"/>
              </w:rPr>
              <w:t xml:space="preserve"> a 30/06/2020</w:t>
            </w:r>
          </w:p>
        </w:tc>
      </w:tr>
      <w:tr w:rsidR="00414F2D" w:rsidRPr="00810F1C" w14:paraId="6098D36E" w14:textId="77777777" w:rsidTr="00810F1C">
        <w:trPr>
          <w:trHeight w:val="227"/>
        </w:trPr>
        <w:tc>
          <w:tcPr>
            <w:tcW w:w="3353" w:type="pct"/>
            <w:tcBorders>
              <w:top w:val="nil"/>
              <w:left w:val="nil"/>
              <w:bottom w:val="nil"/>
              <w:right w:val="nil"/>
            </w:tcBorders>
            <w:shd w:val="clear" w:color="000000" w:fill="FFFFFF"/>
            <w:noWrap/>
            <w:vAlign w:val="bottom"/>
            <w:hideMark/>
          </w:tcPr>
          <w:p w14:paraId="5BD60524"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c>
          <w:tcPr>
            <w:tcW w:w="837" w:type="pct"/>
            <w:tcBorders>
              <w:top w:val="nil"/>
              <w:left w:val="nil"/>
              <w:bottom w:val="nil"/>
              <w:right w:val="nil"/>
            </w:tcBorders>
            <w:shd w:val="clear" w:color="000000" w:fill="FFFFFF"/>
            <w:noWrap/>
            <w:vAlign w:val="bottom"/>
            <w:hideMark/>
          </w:tcPr>
          <w:p w14:paraId="3C902E0A" w14:textId="77777777" w:rsidR="00414F2D" w:rsidRPr="00810F1C" w:rsidRDefault="00414F2D">
            <w:pPr>
              <w:jc w:val="right"/>
              <w:rPr>
                <w:rFonts w:asciiTheme="majorHAnsi" w:hAnsiTheme="majorHAnsi" w:cs="Arial"/>
                <w:b/>
                <w:bCs/>
                <w:sz w:val="16"/>
                <w:szCs w:val="16"/>
              </w:rPr>
            </w:pPr>
            <w:r w:rsidRPr="00810F1C">
              <w:rPr>
                <w:rFonts w:asciiTheme="majorHAnsi" w:hAnsiTheme="majorHAnsi" w:cs="Arial"/>
                <w:b/>
                <w:bCs/>
                <w:sz w:val="16"/>
                <w:szCs w:val="16"/>
              </w:rPr>
              <w:t> </w:t>
            </w:r>
          </w:p>
        </w:tc>
        <w:tc>
          <w:tcPr>
            <w:tcW w:w="810" w:type="pct"/>
            <w:tcBorders>
              <w:top w:val="nil"/>
              <w:left w:val="nil"/>
              <w:bottom w:val="nil"/>
              <w:right w:val="nil"/>
            </w:tcBorders>
            <w:shd w:val="clear" w:color="000000" w:fill="FFFFFF"/>
            <w:noWrap/>
            <w:vAlign w:val="bottom"/>
            <w:hideMark/>
          </w:tcPr>
          <w:p w14:paraId="0243080F" w14:textId="77777777" w:rsidR="00414F2D" w:rsidRPr="00810F1C" w:rsidRDefault="00414F2D">
            <w:pPr>
              <w:jc w:val="right"/>
              <w:rPr>
                <w:rFonts w:asciiTheme="majorHAnsi" w:hAnsiTheme="majorHAnsi" w:cs="Arial"/>
                <w:b/>
                <w:bCs/>
                <w:sz w:val="16"/>
                <w:szCs w:val="16"/>
              </w:rPr>
            </w:pPr>
            <w:r w:rsidRPr="00810F1C">
              <w:rPr>
                <w:rFonts w:asciiTheme="majorHAnsi" w:hAnsiTheme="majorHAnsi" w:cs="Arial"/>
                <w:b/>
                <w:bCs/>
                <w:sz w:val="16"/>
                <w:szCs w:val="16"/>
              </w:rPr>
              <w:t> </w:t>
            </w:r>
          </w:p>
        </w:tc>
      </w:tr>
      <w:tr w:rsidR="00414F2D" w:rsidRPr="00810F1C" w14:paraId="6BCB23E4" w14:textId="77777777" w:rsidTr="00810F1C">
        <w:trPr>
          <w:trHeight w:val="227"/>
        </w:trPr>
        <w:tc>
          <w:tcPr>
            <w:tcW w:w="5000" w:type="pct"/>
            <w:gridSpan w:val="3"/>
            <w:tcBorders>
              <w:top w:val="nil"/>
              <w:left w:val="nil"/>
              <w:bottom w:val="nil"/>
              <w:right w:val="nil"/>
            </w:tcBorders>
            <w:shd w:val="clear" w:color="000000" w:fill="FFFFFF"/>
            <w:noWrap/>
            <w:vAlign w:val="bottom"/>
            <w:hideMark/>
          </w:tcPr>
          <w:p w14:paraId="61F414B4"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 </w:t>
            </w:r>
          </w:p>
        </w:tc>
      </w:tr>
      <w:tr w:rsidR="00414F2D" w:rsidRPr="00810F1C" w14:paraId="30F140CC" w14:textId="77777777" w:rsidTr="00810F1C">
        <w:trPr>
          <w:trHeight w:val="227"/>
        </w:trPr>
        <w:tc>
          <w:tcPr>
            <w:tcW w:w="5000" w:type="pct"/>
            <w:gridSpan w:val="3"/>
            <w:tcBorders>
              <w:top w:val="nil"/>
              <w:left w:val="nil"/>
              <w:bottom w:val="nil"/>
              <w:right w:val="nil"/>
            </w:tcBorders>
            <w:shd w:val="clear" w:color="000000" w:fill="FFFFFF"/>
            <w:noWrap/>
            <w:vAlign w:val="bottom"/>
            <w:hideMark/>
          </w:tcPr>
          <w:p w14:paraId="6B2CCE3F"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 xml:space="preserve"> FLUXOS DE CAIXA DAS ATIVIDADES OPERACIONAIS </w:t>
            </w:r>
          </w:p>
        </w:tc>
      </w:tr>
      <w:tr w:rsidR="00414F2D" w:rsidRPr="00810F1C" w14:paraId="15CF3EAF" w14:textId="77777777" w:rsidTr="00810F1C">
        <w:trPr>
          <w:trHeight w:val="227"/>
        </w:trPr>
        <w:tc>
          <w:tcPr>
            <w:tcW w:w="3353" w:type="pct"/>
            <w:tcBorders>
              <w:top w:val="nil"/>
              <w:left w:val="nil"/>
              <w:bottom w:val="nil"/>
              <w:right w:val="nil"/>
            </w:tcBorders>
            <w:shd w:val="clear" w:color="000000" w:fill="FFFFFF"/>
            <w:noWrap/>
            <w:vAlign w:val="bottom"/>
            <w:hideMark/>
          </w:tcPr>
          <w:p w14:paraId="324F99F7"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 </w:t>
            </w:r>
          </w:p>
        </w:tc>
        <w:tc>
          <w:tcPr>
            <w:tcW w:w="837" w:type="pct"/>
            <w:tcBorders>
              <w:top w:val="nil"/>
              <w:left w:val="nil"/>
              <w:bottom w:val="nil"/>
              <w:right w:val="nil"/>
            </w:tcBorders>
            <w:shd w:val="clear" w:color="000000" w:fill="FFFFFF"/>
            <w:noWrap/>
            <w:vAlign w:val="bottom"/>
            <w:hideMark/>
          </w:tcPr>
          <w:p w14:paraId="32D279FD"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 </w:t>
            </w:r>
          </w:p>
        </w:tc>
        <w:tc>
          <w:tcPr>
            <w:tcW w:w="810" w:type="pct"/>
            <w:tcBorders>
              <w:top w:val="nil"/>
              <w:left w:val="nil"/>
              <w:bottom w:val="nil"/>
              <w:right w:val="nil"/>
            </w:tcBorders>
            <w:shd w:val="clear" w:color="auto" w:fill="auto"/>
            <w:noWrap/>
            <w:vAlign w:val="bottom"/>
            <w:hideMark/>
          </w:tcPr>
          <w:p w14:paraId="4F9EAFE8" w14:textId="77777777" w:rsidR="00414F2D" w:rsidRPr="00810F1C" w:rsidRDefault="00414F2D">
            <w:pPr>
              <w:jc w:val="center"/>
              <w:rPr>
                <w:rFonts w:asciiTheme="majorHAnsi" w:hAnsiTheme="majorHAnsi" w:cs="Arial"/>
                <w:b/>
                <w:bCs/>
                <w:sz w:val="16"/>
                <w:szCs w:val="16"/>
              </w:rPr>
            </w:pPr>
          </w:p>
        </w:tc>
      </w:tr>
      <w:tr w:rsidR="00414F2D" w:rsidRPr="00810F1C" w14:paraId="165727CC" w14:textId="77777777" w:rsidTr="00810F1C">
        <w:trPr>
          <w:trHeight w:val="227"/>
        </w:trPr>
        <w:tc>
          <w:tcPr>
            <w:tcW w:w="3353" w:type="pct"/>
            <w:tcBorders>
              <w:top w:val="nil"/>
              <w:left w:val="nil"/>
              <w:bottom w:val="nil"/>
              <w:right w:val="nil"/>
            </w:tcBorders>
            <w:shd w:val="clear" w:color="000000" w:fill="FFFFFF"/>
            <w:noWrap/>
            <w:vAlign w:val="bottom"/>
            <w:hideMark/>
          </w:tcPr>
          <w:p w14:paraId="4AA48C86" w14:textId="77777777" w:rsidR="00414F2D" w:rsidRPr="00810F1C" w:rsidRDefault="00414F2D">
            <w:pPr>
              <w:rPr>
                <w:rFonts w:asciiTheme="majorHAnsi" w:hAnsiTheme="majorHAnsi" w:cs="Arial"/>
                <w:b/>
                <w:bCs/>
                <w:sz w:val="16"/>
                <w:szCs w:val="16"/>
              </w:rPr>
            </w:pPr>
            <w:r w:rsidRPr="00810F1C">
              <w:rPr>
                <w:rFonts w:asciiTheme="majorHAnsi" w:hAnsiTheme="majorHAnsi" w:cs="Arial"/>
                <w:b/>
                <w:bCs/>
                <w:sz w:val="16"/>
                <w:szCs w:val="16"/>
              </w:rPr>
              <w:t xml:space="preserve"> Resultado do Exercício </w:t>
            </w:r>
          </w:p>
        </w:tc>
        <w:tc>
          <w:tcPr>
            <w:tcW w:w="837" w:type="pct"/>
            <w:tcBorders>
              <w:top w:val="nil"/>
              <w:left w:val="nil"/>
              <w:bottom w:val="nil"/>
              <w:right w:val="nil"/>
            </w:tcBorders>
            <w:shd w:val="clear" w:color="000000" w:fill="FFFFFF"/>
            <w:noWrap/>
            <w:vAlign w:val="bottom"/>
            <w:hideMark/>
          </w:tcPr>
          <w:p w14:paraId="25AFDF6D" w14:textId="77777777" w:rsidR="00414F2D" w:rsidRPr="00810F1C" w:rsidRDefault="00414F2D" w:rsidP="00810F1C">
            <w:pPr>
              <w:jc w:val="right"/>
              <w:rPr>
                <w:rFonts w:asciiTheme="majorHAnsi" w:hAnsiTheme="majorHAnsi" w:cs="Arial"/>
                <w:b/>
                <w:bCs/>
                <w:sz w:val="16"/>
                <w:szCs w:val="16"/>
              </w:rPr>
            </w:pPr>
            <w:r w:rsidRPr="00810F1C">
              <w:rPr>
                <w:rFonts w:asciiTheme="majorHAnsi" w:hAnsiTheme="majorHAnsi" w:cs="Arial"/>
                <w:b/>
                <w:bCs/>
                <w:sz w:val="16"/>
                <w:szCs w:val="16"/>
              </w:rPr>
              <w:t xml:space="preserve">          (59.096.530)</w:t>
            </w:r>
          </w:p>
        </w:tc>
        <w:tc>
          <w:tcPr>
            <w:tcW w:w="810" w:type="pct"/>
            <w:tcBorders>
              <w:top w:val="nil"/>
              <w:left w:val="nil"/>
              <w:bottom w:val="nil"/>
              <w:right w:val="nil"/>
            </w:tcBorders>
            <w:shd w:val="clear" w:color="000000" w:fill="FFFFFF"/>
            <w:noWrap/>
            <w:vAlign w:val="bottom"/>
            <w:hideMark/>
          </w:tcPr>
          <w:p w14:paraId="671B1DE7" w14:textId="77777777" w:rsidR="00414F2D" w:rsidRPr="00810F1C" w:rsidRDefault="00414F2D" w:rsidP="00810F1C">
            <w:pPr>
              <w:jc w:val="right"/>
              <w:rPr>
                <w:rFonts w:asciiTheme="majorHAnsi" w:hAnsiTheme="majorHAnsi" w:cs="Arial"/>
                <w:b/>
                <w:bCs/>
                <w:sz w:val="16"/>
                <w:szCs w:val="16"/>
              </w:rPr>
            </w:pPr>
            <w:r w:rsidRPr="00810F1C">
              <w:rPr>
                <w:rFonts w:asciiTheme="majorHAnsi" w:hAnsiTheme="majorHAnsi" w:cs="Arial"/>
                <w:b/>
                <w:bCs/>
                <w:sz w:val="16"/>
                <w:szCs w:val="16"/>
              </w:rPr>
              <w:t xml:space="preserve">                      8.513.525 </w:t>
            </w:r>
          </w:p>
        </w:tc>
      </w:tr>
      <w:tr w:rsidR="00414F2D" w:rsidRPr="00810F1C" w14:paraId="05404A55" w14:textId="77777777" w:rsidTr="00810F1C">
        <w:trPr>
          <w:trHeight w:val="227"/>
        </w:trPr>
        <w:tc>
          <w:tcPr>
            <w:tcW w:w="3353" w:type="pct"/>
            <w:tcBorders>
              <w:top w:val="nil"/>
              <w:left w:val="nil"/>
              <w:bottom w:val="nil"/>
              <w:right w:val="nil"/>
            </w:tcBorders>
            <w:shd w:val="clear" w:color="000000" w:fill="FFFFFF"/>
            <w:noWrap/>
            <w:vAlign w:val="bottom"/>
            <w:hideMark/>
          </w:tcPr>
          <w:p w14:paraId="289E80C5" w14:textId="04894806"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Ajustes do resultado do </w:t>
            </w:r>
            <w:r w:rsidR="00810F1C" w:rsidRPr="00810F1C">
              <w:rPr>
                <w:rFonts w:asciiTheme="majorHAnsi" w:hAnsiTheme="majorHAnsi" w:cs="Arial"/>
                <w:sz w:val="16"/>
                <w:szCs w:val="16"/>
              </w:rPr>
              <w:t>período</w:t>
            </w:r>
            <w:r w:rsidRPr="00810F1C">
              <w:rPr>
                <w:rFonts w:asciiTheme="majorHAnsi" w:hAnsiTheme="majorHAnsi" w:cs="Arial"/>
                <w:sz w:val="16"/>
                <w:szCs w:val="16"/>
              </w:rPr>
              <w:t xml:space="preserve"> </w:t>
            </w:r>
          </w:p>
        </w:tc>
        <w:tc>
          <w:tcPr>
            <w:tcW w:w="837" w:type="pct"/>
            <w:tcBorders>
              <w:top w:val="nil"/>
              <w:left w:val="nil"/>
              <w:bottom w:val="nil"/>
              <w:right w:val="nil"/>
            </w:tcBorders>
            <w:shd w:val="clear" w:color="000000" w:fill="FFFFFF"/>
            <w:noWrap/>
            <w:vAlign w:val="bottom"/>
            <w:hideMark/>
          </w:tcPr>
          <w:p w14:paraId="63BEE03A"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(9.877.333)</w:t>
            </w:r>
          </w:p>
        </w:tc>
        <w:tc>
          <w:tcPr>
            <w:tcW w:w="810" w:type="pct"/>
            <w:tcBorders>
              <w:top w:val="nil"/>
              <w:left w:val="nil"/>
              <w:bottom w:val="nil"/>
              <w:right w:val="nil"/>
            </w:tcBorders>
            <w:shd w:val="clear" w:color="000000" w:fill="FFFFFF"/>
            <w:noWrap/>
            <w:vAlign w:val="bottom"/>
            <w:hideMark/>
          </w:tcPr>
          <w:p w14:paraId="2CAD0908"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(68.084.486)</w:t>
            </w:r>
          </w:p>
        </w:tc>
      </w:tr>
      <w:tr w:rsidR="00414F2D" w:rsidRPr="00810F1C" w14:paraId="39E79B1A" w14:textId="77777777" w:rsidTr="00810F1C">
        <w:trPr>
          <w:trHeight w:val="227"/>
        </w:trPr>
        <w:tc>
          <w:tcPr>
            <w:tcW w:w="3353" w:type="pct"/>
            <w:tcBorders>
              <w:top w:val="nil"/>
              <w:left w:val="nil"/>
              <w:bottom w:val="nil"/>
              <w:right w:val="nil"/>
            </w:tcBorders>
            <w:shd w:val="clear" w:color="000000" w:fill="FFFFFF"/>
            <w:noWrap/>
            <w:vAlign w:val="bottom"/>
            <w:hideMark/>
          </w:tcPr>
          <w:p w14:paraId="0E704ADD"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Depreciação e Amortização </w:t>
            </w:r>
          </w:p>
        </w:tc>
        <w:tc>
          <w:tcPr>
            <w:tcW w:w="837" w:type="pct"/>
            <w:tcBorders>
              <w:top w:val="nil"/>
              <w:left w:val="nil"/>
              <w:bottom w:val="nil"/>
              <w:right w:val="nil"/>
            </w:tcBorders>
            <w:shd w:val="clear" w:color="000000" w:fill="FFFFFF"/>
            <w:noWrap/>
            <w:vAlign w:val="bottom"/>
            <w:hideMark/>
          </w:tcPr>
          <w:p w14:paraId="04F4CBAB"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3.242.179 </w:t>
            </w:r>
          </w:p>
        </w:tc>
        <w:tc>
          <w:tcPr>
            <w:tcW w:w="810" w:type="pct"/>
            <w:tcBorders>
              <w:top w:val="nil"/>
              <w:left w:val="nil"/>
              <w:bottom w:val="nil"/>
              <w:right w:val="nil"/>
            </w:tcBorders>
            <w:shd w:val="clear" w:color="000000" w:fill="FFFFFF"/>
            <w:noWrap/>
            <w:vAlign w:val="bottom"/>
            <w:hideMark/>
          </w:tcPr>
          <w:p w14:paraId="3E360842"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4.334.504 </w:t>
            </w:r>
          </w:p>
        </w:tc>
      </w:tr>
      <w:tr w:rsidR="00414F2D" w:rsidRPr="00810F1C" w14:paraId="20F17790" w14:textId="77777777" w:rsidTr="00810F1C">
        <w:trPr>
          <w:trHeight w:val="227"/>
        </w:trPr>
        <w:tc>
          <w:tcPr>
            <w:tcW w:w="3353" w:type="pct"/>
            <w:tcBorders>
              <w:top w:val="nil"/>
              <w:left w:val="nil"/>
              <w:bottom w:val="nil"/>
              <w:right w:val="nil"/>
            </w:tcBorders>
            <w:shd w:val="clear" w:color="000000" w:fill="FFFFFF"/>
            <w:noWrap/>
            <w:vAlign w:val="bottom"/>
            <w:hideMark/>
          </w:tcPr>
          <w:p w14:paraId="05360718"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Depreciação de Direito de Uso </w:t>
            </w:r>
          </w:p>
        </w:tc>
        <w:tc>
          <w:tcPr>
            <w:tcW w:w="837" w:type="pct"/>
            <w:tcBorders>
              <w:top w:val="nil"/>
              <w:left w:val="nil"/>
              <w:bottom w:val="nil"/>
              <w:right w:val="nil"/>
            </w:tcBorders>
            <w:shd w:val="clear" w:color="000000" w:fill="FFFFFF"/>
            <w:noWrap/>
            <w:vAlign w:val="bottom"/>
            <w:hideMark/>
          </w:tcPr>
          <w:p w14:paraId="04BAE49C"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2.343.272 </w:t>
            </w:r>
          </w:p>
        </w:tc>
        <w:tc>
          <w:tcPr>
            <w:tcW w:w="810" w:type="pct"/>
            <w:tcBorders>
              <w:top w:val="nil"/>
              <w:left w:val="nil"/>
              <w:bottom w:val="nil"/>
              <w:right w:val="nil"/>
            </w:tcBorders>
            <w:shd w:val="clear" w:color="000000" w:fill="FFFFFF"/>
            <w:noWrap/>
            <w:vAlign w:val="bottom"/>
            <w:hideMark/>
          </w:tcPr>
          <w:p w14:paraId="10E0F3B1"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3.909.348 </w:t>
            </w:r>
          </w:p>
        </w:tc>
      </w:tr>
      <w:tr w:rsidR="00414F2D" w:rsidRPr="00810F1C" w14:paraId="256707DA" w14:textId="77777777" w:rsidTr="00810F1C">
        <w:trPr>
          <w:trHeight w:val="227"/>
        </w:trPr>
        <w:tc>
          <w:tcPr>
            <w:tcW w:w="3353" w:type="pct"/>
            <w:tcBorders>
              <w:top w:val="nil"/>
              <w:left w:val="nil"/>
              <w:bottom w:val="nil"/>
              <w:right w:val="nil"/>
            </w:tcBorders>
            <w:shd w:val="clear" w:color="000000" w:fill="FFFFFF"/>
            <w:noWrap/>
            <w:vAlign w:val="bottom"/>
            <w:hideMark/>
          </w:tcPr>
          <w:p w14:paraId="6A8493DF"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Resultado na Baixa de Ativos Imobilizados / Intangíveis </w:t>
            </w:r>
          </w:p>
        </w:tc>
        <w:tc>
          <w:tcPr>
            <w:tcW w:w="837" w:type="pct"/>
            <w:tcBorders>
              <w:top w:val="nil"/>
              <w:left w:val="nil"/>
              <w:bottom w:val="nil"/>
              <w:right w:val="nil"/>
            </w:tcBorders>
            <w:shd w:val="clear" w:color="000000" w:fill="FFFFFF"/>
            <w:noWrap/>
            <w:vAlign w:val="bottom"/>
            <w:hideMark/>
          </w:tcPr>
          <w:p w14:paraId="7B29B391"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45.904 </w:t>
            </w:r>
          </w:p>
        </w:tc>
        <w:tc>
          <w:tcPr>
            <w:tcW w:w="810" w:type="pct"/>
            <w:tcBorders>
              <w:top w:val="nil"/>
              <w:left w:val="nil"/>
              <w:bottom w:val="nil"/>
              <w:right w:val="nil"/>
            </w:tcBorders>
            <w:shd w:val="clear" w:color="000000" w:fill="FFFFFF"/>
            <w:noWrap/>
            <w:vAlign w:val="bottom"/>
            <w:hideMark/>
          </w:tcPr>
          <w:p w14:paraId="09DAAE8D"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340.295 </w:t>
            </w:r>
          </w:p>
        </w:tc>
      </w:tr>
      <w:tr w:rsidR="00414F2D" w:rsidRPr="00810F1C" w14:paraId="1AC4F7B0" w14:textId="77777777" w:rsidTr="00810F1C">
        <w:trPr>
          <w:trHeight w:val="227"/>
        </w:trPr>
        <w:tc>
          <w:tcPr>
            <w:tcW w:w="3353" w:type="pct"/>
            <w:tcBorders>
              <w:top w:val="nil"/>
              <w:left w:val="nil"/>
              <w:bottom w:val="nil"/>
              <w:right w:val="nil"/>
            </w:tcBorders>
            <w:shd w:val="clear" w:color="000000" w:fill="FFFFFF"/>
            <w:noWrap/>
            <w:vAlign w:val="bottom"/>
            <w:hideMark/>
          </w:tcPr>
          <w:p w14:paraId="7CA50B9C"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Atualização Monetária Ativa </w:t>
            </w:r>
          </w:p>
        </w:tc>
        <w:tc>
          <w:tcPr>
            <w:tcW w:w="837" w:type="pct"/>
            <w:tcBorders>
              <w:top w:val="nil"/>
              <w:left w:val="nil"/>
              <w:bottom w:val="nil"/>
              <w:right w:val="nil"/>
            </w:tcBorders>
            <w:shd w:val="clear" w:color="000000" w:fill="FFFFFF"/>
            <w:noWrap/>
            <w:vAlign w:val="bottom"/>
            <w:hideMark/>
          </w:tcPr>
          <w:p w14:paraId="62BB6292"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(3.372.510)</w:t>
            </w:r>
          </w:p>
        </w:tc>
        <w:tc>
          <w:tcPr>
            <w:tcW w:w="810" w:type="pct"/>
            <w:tcBorders>
              <w:top w:val="nil"/>
              <w:left w:val="nil"/>
              <w:bottom w:val="nil"/>
              <w:right w:val="nil"/>
            </w:tcBorders>
            <w:shd w:val="clear" w:color="000000" w:fill="FFFFFF"/>
            <w:noWrap/>
            <w:vAlign w:val="bottom"/>
            <w:hideMark/>
          </w:tcPr>
          <w:p w14:paraId="49C16177"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(955.137)</w:t>
            </w:r>
          </w:p>
        </w:tc>
      </w:tr>
      <w:tr w:rsidR="00414F2D" w:rsidRPr="00810F1C" w14:paraId="74B6ADA9" w14:textId="77777777" w:rsidTr="00810F1C">
        <w:trPr>
          <w:trHeight w:val="227"/>
        </w:trPr>
        <w:tc>
          <w:tcPr>
            <w:tcW w:w="3353" w:type="pct"/>
            <w:tcBorders>
              <w:top w:val="nil"/>
              <w:left w:val="nil"/>
              <w:bottom w:val="nil"/>
              <w:right w:val="nil"/>
            </w:tcBorders>
            <w:shd w:val="clear" w:color="000000" w:fill="FFFFFF"/>
            <w:noWrap/>
            <w:vAlign w:val="bottom"/>
            <w:hideMark/>
          </w:tcPr>
          <w:p w14:paraId="115ECC2B"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Despesas Líquidas de Provisões para Contingências </w:t>
            </w:r>
          </w:p>
        </w:tc>
        <w:tc>
          <w:tcPr>
            <w:tcW w:w="837" w:type="pct"/>
            <w:tcBorders>
              <w:top w:val="nil"/>
              <w:left w:val="nil"/>
              <w:bottom w:val="nil"/>
              <w:right w:val="nil"/>
            </w:tcBorders>
            <w:shd w:val="clear" w:color="000000" w:fill="FFFFFF"/>
            <w:noWrap/>
            <w:vAlign w:val="bottom"/>
            <w:hideMark/>
          </w:tcPr>
          <w:p w14:paraId="7CCB4E0E"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45.591.521 </w:t>
            </w:r>
          </w:p>
        </w:tc>
        <w:tc>
          <w:tcPr>
            <w:tcW w:w="810" w:type="pct"/>
            <w:tcBorders>
              <w:top w:val="nil"/>
              <w:left w:val="nil"/>
              <w:bottom w:val="nil"/>
              <w:right w:val="nil"/>
            </w:tcBorders>
            <w:shd w:val="clear" w:color="000000" w:fill="FFFFFF"/>
            <w:noWrap/>
            <w:vAlign w:val="bottom"/>
            <w:hideMark/>
          </w:tcPr>
          <w:p w14:paraId="1E7E7762"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(11.726.548)</w:t>
            </w:r>
          </w:p>
        </w:tc>
      </w:tr>
      <w:tr w:rsidR="00414F2D" w:rsidRPr="00810F1C" w14:paraId="4EC1398F" w14:textId="77777777" w:rsidTr="00810F1C">
        <w:trPr>
          <w:trHeight w:val="227"/>
        </w:trPr>
        <w:tc>
          <w:tcPr>
            <w:tcW w:w="3353" w:type="pct"/>
            <w:tcBorders>
              <w:top w:val="nil"/>
              <w:left w:val="nil"/>
              <w:bottom w:val="nil"/>
              <w:right w:val="nil"/>
            </w:tcBorders>
            <w:shd w:val="clear" w:color="000000" w:fill="FFFFFF"/>
            <w:noWrap/>
            <w:vAlign w:val="bottom"/>
            <w:hideMark/>
          </w:tcPr>
          <w:p w14:paraId="1F311C0A"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Provisão p/ 13º Salário, Férias e Encargos </w:t>
            </w:r>
          </w:p>
        </w:tc>
        <w:tc>
          <w:tcPr>
            <w:tcW w:w="837" w:type="pct"/>
            <w:tcBorders>
              <w:top w:val="nil"/>
              <w:left w:val="nil"/>
              <w:bottom w:val="nil"/>
              <w:right w:val="nil"/>
            </w:tcBorders>
            <w:shd w:val="clear" w:color="000000" w:fill="FFFFFF"/>
            <w:noWrap/>
            <w:vAlign w:val="bottom"/>
            <w:hideMark/>
          </w:tcPr>
          <w:p w14:paraId="3A0D77FC"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3.036.979 </w:t>
            </w:r>
          </w:p>
        </w:tc>
        <w:tc>
          <w:tcPr>
            <w:tcW w:w="810" w:type="pct"/>
            <w:tcBorders>
              <w:top w:val="nil"/>
              <w:left w:val="nil"/>
              <w:bottom w:val="nil"/>
              <w:right w:val="nil"/>
            </w:tcBorders>
            <w:shd w:val="clear" w:color="000000" w:fill="FFFFFF"/>
            <w:noWrap/>
            <w:vAlign w:val="bottom"/>
            <w:hideMark/>
          </w:tcPr>
          <w:p w14:paraId="31C0DBE9"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5.093.594 </w:t>
            </w:r>
          </w:p>
        </w:tc>
      </w:tr>
      <w:tr w:rsidR="00414F2D" w:rsidRPr="00810F1C" w14:paraId="0CDD4543" w14:textId="77777777" w:rsidTr="00810F1C">
        <w:trPr>
          <w:trHeight w:val="227"/>
        </w:trPr>
        <w:tc>
          <w:tcPr>
            <w:tcW w:w="3353" w:type="pct"/>
            <w:tcBorders>
              <w:top w:val="nil"/>
              <w:left w:val="nil"/>
              <w:bottom w:val="nil"/>
              <w:right w:val="nil"/>
            </w:tcBorders>
            <w:shd w:val="clear" w:color="000000" w:fill="FFFFFF"/>
            <w:noWrap/>
            <w:vAlign w:val="bottom"/>
            <w:hideMark/>
          </w:tcPr>
          <w:p w14:paraId="65C9FA77"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Resultado de Equivalência Patrimonial </w:t>
            </w:r>
          </w:p>
        </w:tc>
        <w:tc>
          <w:tcPr>
            <w:tcW w:w="837" w:type="pct"/>
            <w:tcBorders>
              <w:top w:val="nil"/>
              <w:left w:val="nil"/>
              <w:bottom w:val="nil"/>
              <w:right w:val="nil"/>
            </w:tcBorders>
            <w:shd w:val="clear" w:color="000000" w:fill="FFFFFF"/>
            <w:noWrap/>
            <w:vAlign w:val="bottom"/>
            <w:hideMark/>
          </w:tcPr>
          <w:p w14:paraId="109A8711"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16.277.330 </w:t>
            </w:r>
          </w:p>
        </w:tc>
        <w:tc>
          <w:tcPr>
            <w:tcW w:w="810" w:type="pct"/>
            <w:tcBorders>
              <w:top w:val="nil"/>
              <w:left w:val="nil"/>
              <w:bottom w:val="nil"/>
              <w:right w:val="nil"/>
            </w:tcBorders>
            <w:shd w:val="clear" w:color="000000" w:fill="FFFFFF"/>
            <w:noWrap/>
            <w:vAlign w:val="bottom"/>
            <w:hideMark/>
          </w:tcPr>
          <w:p w14:paraId="133C56DE"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14.869.339 </w:t>
            </w:r>
          </w:p>
        </w:tc>
      </w:tr>
      <w:tr w:rsidR="00414F2D" w:rsidRPr="00810F1C" w14:paraId="309E4F5C" w14:textId="77777777" w:rsidTr="00810F1C">
        <w:trPr>
          <w:trHeight w:val="227"/>
        </w:trPr>
        <w:tc>
          <w:tcPr>
            <w:tcW w:w="3353" w:type="pct"/>
            <w:tcBorders>
              <w:top w:val="nil"/>
              <w:left w:val="nil"/>
              <w:bottom w:val="nil"/>
              <w:right w:val="nil"/>
            </w:tcBorders>
            <w:shd w:val="clear" w:color="000000" w:fill="FFFFFF"/>
            <w:noWrap/>
            <w:vAlign w:val="bottom"/>
            <w:hideMark/>
          </w:tcPr>
          <w:p w14:paraId="1FB6E12D"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Receitas reconhecida pelo diferimento de contratos </w:t>
            </w:r>
          </w:p>
        </w:tc>
        <w:tc>
          <w:tcPr>
            <w:tcW w:w="837" w:type="pct"/>
            <w:tcBorders>
              <w:top w:val="nil"/>
              <w:left w:val="nil"/>
              <w:bottom w:val="nil"/>
              <w:right w:val="nil"/>
            </w:tcBorders>
            <w:shd w:val="clear" w:color="000000" w:fill="FFFFFF"/>
            <w:noWrap/>
            <w:vAlign w:val="bottom"/>
            <w:hideMark/>
          </w:tcPr>
          <w:p w14:paraId="45E939EA"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(1.196.191)</w:t>
            </w:r>
          </w:p>
        </w:tc>
        <w:tc>
          <w:tcPr>
            <w:tcW w:w="810" w:type="pct"/>
            <w:tcBorders>
              <w:top w:val="nil"/>
              <w:left w:val="nil"/>
              <w:bottom w:val="nil"/>
              <w:right w:val="nil"/>
            </w:tcBorders>
            <w:shd w:val="clear" w:color="000000" w:fill="FFFFFF"/>
            <w:noWrap/>
            <w:vAlign w:val="bottom"/>
            <w:hideMark/>
          </w:tcPr>
          <w:p w14:paraId="1F5F9330"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(904.524)</w:t>
            </w:r>
          </w:p>
        </w:tc>
      </w:tr>
      <w:tr w:rsidR="00414F2D" w:rsidRPr="00810F1C" w14:paraId="154221B7" w14:textId="77777777" w:rsidTr="00810F1C">
        <w:trPr>
          <w:trHeight w:val="227"/>
        </w:trPr>
        <w:tc>
          <w:tcPr>
            <w:tcW w:w="3353" w:type="pct"/>
            <w:tcBorders>
              <w:top w:val="nil"/>
              <w:left w:val="nil"/>
              <w:bottom w:val="nil"/>
              <w:right w:val="nil"/>
            </w:tcBorders>
            <w:shd w:val="clear" w:color="000000" w:fill="FFFFFF"/>
            <w:noWrap/>
            <w:vAlign w:val="bottom"/>
            <w:hideMark/>
          </w:tcPr>
          <w:p w14:paraId="44575BBB"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Baixa de depósito retido de fornecedores </w:t>
            </w:r>
          </w:p>
        </w:tc>
        <w:tc>
          <w:tcPr>
            <w:tcW w:w="837" w:type="pct"/>
            <w:tcBorders>
              <w:top w:val="nil"/>
              <w:left w:val="nil"/>
              <w:bottom w:val="nil"/>
              <w:right w:val="nil"/>
            </w:tcBorders>
            <w:shd w:val="clear" w:color="000000" w:fill="FFFFFF"/>
            <w:noWrap/>
            <w:vAlign w:val="bottom"/>
            <w:hideMark/>
          </w:tcPr>
          <w:p w14:paraId="6666F092"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(4.628)</w:t>
            </w:r>
          </w:p>
        </w:tc>
        <w:tc>
          <w:tcPr>
            <w:tcW w:w="810" w:type="pct"/>
            <w:tcBorders>
              <w:top w:val="nil"/>
              <w:left w:val="nil"/>
              <w:bottom w:val="nil"/>
              <w:right w:val="nil"/>
            </w:tcBorders>
            <w:shd w:val="clear" w:color="000000" w:fill="FFFFFF"/>
            <w:noWrap/>
            <w:vAlign w:val="bottom"/>
            <w:hideMark/>
          </w:tcPr>
          <w:p w14:paraId="1627F080"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   </w:t>
            </w:r>
          </w:p>
        </w:tc>
      </w:tr>
      <w:tr w:rsidR="00414F2D" w:rsidRPr="00810F1C" w14:paraId="2CB13D4A" w14:textId="77777777" w:rsidTr="00810F1C">
        <w:trPr>
          <w:trHeight w:val="227"/>
        </w:trPr>
        <w:tc>
          <w:tcPr>
            <w:tcW w:w="3353" w:type="pct"/>
            <w:tcBorders>
              <w:top w:val="nil"/>
              <w:left w:val="nil"/>
              <w:bottom w:val="nil"/>
              <w:right w:val="nil"/>
            </w:tcBorders>
            <w:shd w:val="clear" w:color="000000" w:fill="FFFFFF"/>
            <w:noWrap/>
            <w:vAlign w:val="bottom"/>
            <w:hideMark/>
          </w:tcPr>
          <w:p w14:paraId="25141A56" w14:textId="77777777" w:rsidR="00414F2D" w:rsidRPr="00810F1C" w:rsidRDefault="00414F2D">
            <w:pPr>
              <w:rPr>
                <w:rFonts w:asciiTheme="majorHAnsi" w:hAnsiTheme="majorHAnsi" w:cs="Arial"/>
                <w:color w:val="000000"/>
                <w:sz w:val="16"/>
                <w:szCs w:val="16"/>
              </w:rPr>
            </w:pPr>
            <w:r w:rsidRPr="00810F1C">
              <w:rPr>
                <w:rFonts w:asciiTheme="majorHAnsi" w:hAnsiTheme="majorHAnsi" w:cs="Arial"/>
                <w:color w:val="000000"/>
                <w:sz w:val="16"/>
                <w:szCs w:val="16"/>
              </w:rPr>
              <w:t xml:space="preserve">      Recebimento de trilhos DNIT</w:t>
            </w:r>
          </w:p>
        </w:tc>
        <w:tc>
          <w:tcPr>
            <w:tcW w:w="837" w:type="pct"/>
            <w:tcBorders>
              <w:top w:val="nil"/>
              <w:left w:val="nil"/>
              <w:bottom w:val="nil"/>
              <w:right w:val="nil"/>
            </w:tcBorders>
            <w:shd w:val="clear" w:color="000000" w:fill="FFFFFF"/>
            <w:noWrap/>
            <w:vAlign w:val="bottom"/>
            <w:hideMark/>
          </w:tcPr>
          <w:p w14:paraId="0F431935"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   </w:t>
            </w:r>
          </w:p>
        </w:tc>
        <w:tc>
          <w:tcPr>
            <w:tcW w:w="810" w:type="pct"/>
            <w:tcBorders>
              <w:top w:val="nil"/>
              <w:left w:val="nil"/>
              <w:bottom w:val="nil"/>
              <w:right w:val="nil"/>
            </w:tcBorders>
            <w:shd w:val="clear" w:color="000000" w:fill="FFFFFF"/>
            <w:noWrap/>
            <w:vAlign w:val="bottom"/>
            <w:hideMark/>
          </w:tcPr>
          <w:p w14:paraId="1C2AB011"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(18.551.962)</w:t>
            </w:r>
          </w:p>
        </w:tc>
      </w:tr>
      <w:tr w:rsidR="00414F2D" w:rsidRPr="00810F1C" w14:paraId="0DE18459" w14:textId="77777777" w:rsidTr="00810F1C">
        <w:trPr>
          <w:trHeight w:val="227"/>
        </w:trPr>
        <w:tc>
          <w:tcPr>
            <w:tcW w:w="3353" w:type="pct"/>
            <w:tcBorders>
              <w:top w:val="nil"/>
              <w:left w:val="nil"/>
              <w:bottom w:val="nil"/>
              <w:right w:val="nil"/>
            </w:tcBorders>
            <w:shd w:val="clear" w:color="000000" w:fill="FFFFFF"/>
            <w:noWrap/>
            <w:vAlign w:val="bottom"/>
            <w:hideMark/>
          </w:tcPr>
          <w:p w14:paraId="268913CE"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Subvenção do Tesouro Nacional - repasse para custeio/pessoal </w:t>
            </w:r>
          </w:p>
        </w:tc>
        <w:tc>
          <w:tcPr>
            <w:tcW w:w="837" w:type="pct"/>
            <w:tcBorders>
              <w:top w:val="nil"/>
              <w:left w:val="nil"/>
              <w:bottom w:val="nil"/>
              <w:right w:val="nil"/>
            </w:tcBorders>
            <w:shd w:val="clear" w:color="000000" w:fill="FFFFFF"/>
            <w:noWrap/>
            <w:vAlign w:val="bottom"/>
            <w:hideMark/>
          </w:tcPr>
          <w:p w14:paraId="73C98A18"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(75.841.189)</w:t>
            </w:r>
          </w:p>
        </w:tc>
        <w:tc>
          <w:tcPr>
            <w:tcW w:w="810" w:type="pct"/>
            <w:tcBorders>
              <w:top w:val="nil"/>
              <w:left w:val="nil"/>
              <w:bottom w:val="nil"/>
              <w:right w:val="nil"/>
            </w:tcBorders>
            <w:shd w:val="clear" w:color="000000" w:fill="FFFFFF"/>
            <w:noWrap/>
            <w:vAlign w:val="bottom"/>
            <w:hideMark/>
          </w:tcPr>
          <w:p w14:paraId="15C3A6C5"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(64.493.395)</w:t>
            </w:r>
          </w:p>
        </w:tc>
      </w:tr>
      <w:tr w:rsidR="00414F2D" w:rsidRPr="00810F1C" w14:paraId="330AB265" w14:textId="77777777" w:rsidTr="00810F1C">
        <w:trPr>
          <w:trHeight w:val="227"/>
        </w:trPr>
        <w:tc>
          <w:tcPr>
            <w:tcW w:w="3353" w:type="pct"/>
            <w:tcBorders>
              <w:top w:val="nil"/>
              <w:left w:val="nil"/>
              <w:bottom w:val="nil"/>
              <w:right w:val="nil"/>
            </w:tcBorders>
            <w:shd w:val="clear" w:color="000000" w:fill="FFFFFF"/>
            <w:noWrap/>
            <w:vAlign w:val="bottom"/>
            <w:hideMark/>
          </w:tcPr>
          <w:p w14:paraId="1F9F0753" w14:textId="77777777" w:rsidR="00414F2D" w:rsidRPr="00810F1C" w:rsidRDefault="00414F2D">
            <w:pPr>
              <w:rPr>
                <w:rFonts w:asciiTheme="majorHAnsi" w:hAnsiTheme="majorHAnsi" w:cs="Arial"/>
                <w:b/>
                <w:bCs/>
                <w:sz w:val="16"/>
                <w:szCs w:val="16"/>
              </w:rPr>
            </w:pPr>
            <w:r w:rsidRPr="00810F1C">
              <w:rPr>
                <w:rFonts w:asciiTheme="majorHAnsi" w:hAnsiTheme="majorHAnsi" w:cs="Arial"/>
                <w:b/>
                <w:bCs/>
                <w:sz w:val="16"/>
                <w:szCs w:val="16"/>
              </w:rPr>
              <w:t xml:space="preserve"> Resultado do Exercício Ajustado </w:t>
            </w:r>
          </w:p>
        </w:tc>
        <w:tc>
          <w:tcPr>
            <w:tcW w:w="837" w:type="pct"/>
            <w:tcBorders>
              <w:top w:val="nil"/>
              <w:left w:val="nil"/>
              <w:bottom w:val="nil"/>
              <w:right w:val="nil"/>
            </w:tcBorders>
            <w:shd w:val="clear" w:color="000000" w:fill="FFFFFF"/>
            <w:noWrap/>
            <w:vAlign w:val="bottom"/>
            <w:hideMark/>
          </w:tcPr>
          <w:p w14:paraId="32E8CF73" w14:textId="77777777" w:rsidR="00414F2D" w:rsidRPr="00810F1C" w:rsidRDefault="00414F2D" w:rsidP="00810F1C">
            <w:pPr>
              <w:jc w:val="right"/>
              <w:rPr>
                <w:rFonts w:asciiTheme="majorHAnsi" w:hAnsiTheme="majorHAnsi" w:cs="Arial"/>
                <w:b/>
                <w:bCs/>
                <w:sz w:val="16"/>
                <w:szCs w:val="16"/>
              </w:rPr>
            </w:pPr>
            <w:r w:rsidRPr="00810F1C">
              <w:rPr>
                <w:rFonts w:asciiTheme="majorHAnsi" w:hAnsiTheme="majorHAnsi" w:cs="Arial"/>
                <w:b/>
                <w:bCs/>
                <w:sz w:val="16"/>
                <w:szCs w:val="16"/>
              </w:rPr>
              <w:t xml:space="preserve">          (68.973.865)</w:t>
            </w:r>
          </w:p>
        </w:tc>
        <w:tc>
          <w:tcPr>
            <w:tcW w:w="810" w:type="pct"/>
            <w:tcBorders>
              <w:top w:val="nil"/>
              <w:left w:val="nil"/>
              <w:bottom w:val="nil"/>
              <w:right w:val="nil"/>
            </w:tcBorders>
            <w:shd w:val="clear" w:color="000000" w:fill="FFFFFF"/>
            <w:noWrap/>
            <w:vAlign w:val="bottom"/>
            <w:hideMark/>
          </w:tcPr>
          <w:p w14:paraId="286B2F84" w14:textId="77777777" w:rsidR="00414F2D" w:rsidRPr="00810F1C" w:rsidRDefault="00414F2D" w:rsidP="00810F1C">
            <w:pPr>
              <w:jc w:val="right"/>
              <w:rPr>
                <w:rFonts w:asciiTheme="majorHAnsi" w:hAnsiTheme="majorHAnsi" w:cs="Arial"/>
                <w:b/>
                <w:bCs/>
                <w:sz w:val="16"/>
                <w:szCs w:val="16"/>
              </w:rPr>
            </w:pPr>
            <w:r w:rsidRPr="00810F1C">
              <w:rPr>
                <w:rFonts w:asciiTheme="majorHAnsi" w:hAnsiTheme="majorHAnsi" w:cs="Arial"/>
                <w:b/>
                <w:bCs/>
                <w:sz w:val="16"/>
                <w:szCs w:val="16"/>
              </w:rPr>
              <w:t xml:space="preserve">                 (59.570.961)</w:t>
            </w:r>
          </w:p>
        </w:tc>
      </w:tr>
      <w:tr w:rsidR="00414F2D" w:rsidRPr="00810F1C" w14:paraId="4D94A99F" w14:textId="77777777" w:rsidTr="00810F1C">
        <w:trPr>
          <w:trHeight w:val="227"/>
        </w:trPr>
        <w:tc>
          <w:tcPr>
            <w:tcW w:w="3353" w:type="pct"/>
            <w:tcBorders>
              <w:top w:val="nil"/>
              <w:left w:val="nil"/>
              <w:bottom w:val="nil"/>
              <w:right w:val="nil"/>
            </w:tcBorders>
            <w:shd w:val="clear" w:color="000000" w:fill="FFFFFF"/>
            <w:noWrap/>
            <w:vAlign w:val="bottom"/>
            <w:hideMark/>
          </w:tcPr>
          <w:p w14:paraId="3C6AA58F" w14:textId="77777777" w:rsidR="00414F2D" w:rsidRPr="00810F1C" w:rsidRDefault="00414F2D">
            <w:pPr>
              <w:rPr>
                <w:rFonts w:asciiTheme="majorHAnsi" w:hAnsiTheme="majorHAnsi" w:cs="Arial"/>
                <w:b/>
                <w:bCs/>
                <w:sz w:val="16"/>
                <w:szCs w:val="16"/>
              </w:rPr>
            </w:pPr>
            <w:r w:rsidRPr="00810F1C">
              <w:rPr>
                <w:rFonts w:asciiTheme="majorHAnsi" w:hAnsiTheme="majorHAnsi" w:cs="Arial"/>
                <w:b/>
                <w:bCs/>
                <w:sz w:val="16"/>
                <w:szCs w:val="16"/>
              </w:rPr>
              <w:t> </w:t>
            </w:r>
          </w:p>
        </w:tc>
        <w:tc>
          <w:tcPr>
            <w:tcW w:w="837" w:type="pct"/>
            <w:tcBorders>
              <w:top w:val="nil"/>
              <w:left w:val="nil"/>
              <w:bottom w:val="nil"/>
              <w:right w:val="nil"/>
            </w:tcBorders>
            <w:shd w:val="clear" w:color="000000" w:fill="FFFFFF"/>
            <w:noWrap/>
            <w:vAlign w:val="bottom"/>
            <w:hideMark/>
          </w:tcPr>
          <w:p w14:paraId="625E22C2" w14:textId="77777777" w:rsidR="00414F2D" w:rsidRPr="00810F1C" w:rsidRDefault="00414F2D" w:rsidP="00810F1C">
            <w:pPr>
              <w:jc w:val="right"/>
              <w:rPr>
                <w:rFonts w:asciiTheme="majorHAnsi" w:hAnsiTheme="majorHAnsi" w:cs="Arial"/>
                <w:b/>
                <w:bCs/>
                <w:sz w:val="16"/>
                <w:szCs w:val="16"/>
              </w:rPr>
            </w:pPr>
            <w:r w:rsidRPr="00810F1C">
              <w:rPr>
                <w:rFonts w:asciiTheme="majorHAnsi" w:hAnsiTheme="majorHAnsi" w:cs="Arial"/>
                <w:b/>
                <w:bCs/>
                <w:sz w:val="16"/>
                <w:szCs w:val="16"/>
              </w:rPr>
              <w:t> </w:t>
            </w:r>
          </w:p>
        </w:tc>
        <w:tc>
          <w:tcPr>
            <w:tcW w:w="810" w:type="pct"/>
            <w:tcBorders>
              <w:top w:val="nil"/>
              <w:left w:val="nil"/>
              <w:bottom w:val="nil"/>
              <w:right w:val="nil"/>
            </w:tcBorders>
            <w:shd w:val="clear" w:color="auto" w:fill="auto"/>
            <w:noWrap/>
            <w:vAlign w:val="bottom"/>
            <w:hideMark/>
          </w:tcPr>
          <w:p w14:paraId="50685513" w14:textId="77777777" w:rsidR="00414F2D" w:rsidRPr="00810F1C" w:rsidRDefault="00414F2D" w:rsidP="00810F1C">
            <w:pPr>
              <w:jc w:val="right"/>
              <w:rPr>
                <w:rFonts w:asciiTheme="majorHAnsi" w:hAnsiTheme="majorHAnsi" w:cs="Arial"/>
                <w:b/>
                <w:bCs/>
                <w:sz w:val="16"/>
                <w:szCs w:val="16"/>
              </w:rPr>
            </w:pPr>
          </w:p>
        </w:tc>
      </w:tr>
      <w:tr w:rsidR="00414F2D" w:rsidRPr="00810F1C" w14:paraId="7448068F" w14:textId="77777777" w:rsidTr="00810F1C">
        <w:trPr>
          <w:trHeight w:val="227"/>
        </w:trPr>
        <w:tc>
          <w:tcPr>
            <w:tcW w:w="3353" w:type="pct"/>
            <w:tcBorders>
              <w:top w:val="nil"/>
              <w:left w:val="nil"/>
              <w:bottom w:val="nil"/>
              <w:right w:val="nil"/>
            </w:tcBorders>
            <w:shd w:val="clear" w:color="000000" w:fill="FFFFFF"/>
            <w:noWrap/>
            <w:vAlign w:val="bottom"/>
            <w:hideMark/>
          </w:tcPr>
          <w:p w14:paraId="5B3C0BEE" w14:textId="77777777" w:rsidR="00414F2D" w:rsidRPr="00810F1C" w:rsidRDefault="00414F2D">
            <w:pPr>
              <w:rPr>
                <w:rFonts w:asciiTheme="majorHAnsi" w:hAnsiTheme="majorHAnsi" w:cs="Arial"/>
                <w:b/>
                <w:bCs/>
                <w:sz w:val="16"/>
                <w:szCs w:val="16"/>
              </w:rPr>
            </w:pPr>
            <w:r w:rsidRPr="00810F1C">
              <w:rPr>
                <w:rFonts w:asciiTheme="majorHAnsi" w:hAnsiTheme="majorHAnsi" w:cs="Arial"/>
                <w:b/>
                <w:bCs/>
                <w:sz w:val="16"/>
                <w:szCs w:val="16"/>
              </w:rPr>
              <w:t xml:space="preserve"> Aumento ou Redução nos Ativos e Passivos Operacionais </w:t>
            </w:r>
          </w:p>
        </w:tc>
        <w:tc>
          <w:tcPr>
            <w:tcW w:w="837" w:type="pct"/>
            <w:tcBorders>
              <w:top w:val="nil"/>
              <w:left w:val="nil"/>
              <w:bottom w:val="nil"/>
              <w:right w:val="nil"/>
            </w:tcBorders>
            <w:shd w:val="clear" w:color="000000" w:fill="FFFFFF"/>
            <w:noWrap/>
            <w:vAlign w:val="bottom"/>
            <w:hideMark/>
          </w:tcPr>
          <w:p w14:paraId="29A29B21" w14:textId="77777777" w:rsidR="00414F2D" w:rsidRPr="00810F1C" w:rsidRDefault="00414F2D" w:rsidP="00810F1C">
            <w:pPr>
              <w:jc w:val="right"/>
              <w:rPr>
                <w:rFonts w:asciiTheme="majorHAnsi" w:hAnsiTheme="majorHAnsi" w:cs="Arial"/>
                <w:b/>
                <w:bCs/>
                <w:sz w:val="16"/>
                <w:szCs w:val="16"/>
              </w:rPr>
            </w:pPr>
            <w:r w:rsidRPr="00810F1C">
              <w:rPr>
                <w:rFonts w:asciiTheme="majorHAnsi" w:hAnsiTheme="majorHAnsi" w:cs="Arial"/>
                <w:b/>
                <w:bCs/>
                <w:sz w:val="16"/>
                <w:szCs w:val="16"/>
              </w:rPr>
              <w:t xml:space="preserve">             (1.316.793)</w:t>
            </w:r>
          </w:p>
        </w:tc>
        <w:tc>
          <w:tcPr>
            <w:tcW w:w="810" w:type="pct"/>
            <w:tcBorders>
              <w:top w:val="nil"/>
              <w:left w:val="nil"/>
              <w:bottom w:val="nil"/>
              <w:right w:val="nil"/>
            </w:tcBorders>
            <w:shd w:val="clear" w:color="000000" w:fill="FFFFFF"/>
            <w:noWrap/>
            <w:vAlign w:val="bottom"/>
            <w:hideMark/>
          </w:tcPr>
          <w:p w14:paraId="5E260984" w14:textId="77777777" w:rsidR="00414F2D" w:rsidRPr="00810F1C" w:rsidRDefault="00414F2D" w:rsidP="00810F1C">
            <w:pPr>
              <w:jc w:val="right"/>
              <w:rPr>
                <w:rFonts w:asciiTheme="majorHAnsi" w:hAnsiTheme="majorHAnsi" w:cs="Arial"/>
                <w:b/>
                <w:bCs/>
                <w:sz w:val="16"/>
                <w:szCs w:val="16"/>
              </w:rPr>
            </w:pPr>
            <w:r w:rsidRPr="00810F1C">
              <w:rPr>
                <w:rFonts w:asciiTheme="majorHAnsi" w:hAnsiTheme="majorHAnsi" w:cs="Arial"/>
                <w:b/>
                <w:bCs/>
                <w:sz w:val="16"/>
                <w:szCs w:val="16"/>
              </w:rPr>
              <w:t xml:space="preserve">                    (1.865.941)</w:t>
            </w:r>
          </w:p>
        </w:tc>
      </w:tr>
      <w:tr w:rsidR="00414F2D" w:rsidRPr="00810F1C" w14:paraId="1AB4EFAB" w14:textId="77777777" w:rsidTr="00810F1C">
        <w:trPr>
          <w:trHeight w:val="227"/>
        </w:trPr>
        <w:tc>
          <w:tcPr>
            <w:tcW w:w="3353" w:type="pct"/>
            <w:tcBorders>
              <w:top w:val="nil"/>
              <w:left w:val="nil"/>
              <w:bottom w:val="nil"/>
              <w:right w:val="nil"/>
            </w:tcBorders>
            <w:shd w:val="clear" w:color="000000" w:fill="FFFFFF"/>
            <w:noWrap/>
            <w:vAlign w:val="bottom"/>
            <w:hideMark/>
          </w:tcPr>
          <w:p w14:paraId="0A309496"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Redução (Aumento) de Direitos Realizáveis Curto Prazo </w:t>
            </w:r>
          </w:p>
        </w:tc>
        <w:tc>
          <w:tcPr>
            <w:tcW w:w="837" w:type="pct"/>
            <w:tcBorders>
              <w:top w:val="nil"/>
              <w:left w:val="nil"/>
              <w:bottom w:val="nil"/>
              <w:right w:val="nil"/>
            </w:tcBorders>
            <w:shd w:val="clear" w:color="000000" w:fill="FFFFFF"/>
            <w:noWrap/>
            <w:vAlign w:val="bottom"/>
            <w:hideMark/>
          </w:tcPr>
          <w:p w14:paraId="04C1030E"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(1.655.984)</w:t>
            </w:r>
          </w:p>
        </w:tc>
        <w:tc>
          <w:tcPr>
            <w:tcW w:w="810" w:type="pct"/>
            <w:tcBorders>
              <w:top w:val="nil"/>
              <w:left w:val="nil"/>
              <w:bottom w:val="nil"/>
              <w:right w:val="nil"/>
            </w:tcBorders>
            <w:shd w:val="clear" w:color="000000" w:fill="FFFFFF"/>
            <w:noWrap/>
            <w:vAlign w:val="bottom"/>
            <w:hideMark/>
          </w:tcPr>
          <w:p w14:paraId="7B9EEB47"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(2.303.859)</w:t>
            </w:r>
          </w:p>
        </w:tc>
      </w:tr>
      <w:tr w:rsidR="00414F2D" w:rsidRPr="00810F1C" w14:paraId="5EE39CE2" w14:textId="77777777" w:rsidTr="00810F1C">
        <w:trPr>
          <w:trHeight w:val="227"/>
        </w:trPr>
        <w:tc>
          <w:tcPr>
            <w:tcW w:w="3353" w:type="pct"/>
            <w:tcBorders>
              <w:top w:val="nil"/>
              <w:left w:val="nil"/>
              <w:bottom w:val="nil"/>
              <w:right w:val="nil"/>
            </w:tcBorders>
            <w:shd w:val="clear" w:color="000000" w:fill="FFFFFF"/>
            <w:noWrap/>
            <w:vAlign w:val="bottom"/>
            <w:hideMark/>
          </w:tcPr>
          <w:p w14:paraId="2A5B23C0"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Redução (Aumento) de Direitos Realizáveis a Longo Prazo </w:t>
            </w:r>
          </w:p>
        </w:tc>
        <w:tc>
          <w:tcPr>
            <w:tcW w:w="837" w:type="pct"/>
            <w:tcBorders>
              <w:top w:val="nil"/>
              <w:left w:val="nil"/>
              <w:bottom w:val="nil"/>
              <w:right w:val="nil"/>
            </w:tcBorders>
            <w:shd w:val="clear" w:color="000000" w:fill="FFFFFF"/>
            <w:noWrap/>
            <w:vAlign w:val="bottom"/>
            <w:hideMark/>
          </w:tcPr>
          <w:p w14:paraId="0577522C"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1.490.174 </w:t>
            </w:r>
          </w:p>
        </w:tc>
        <w:tc>
          <w:tcPr>
            <w:tcW w:w="810" w:type="pct"/>
            <w:tcBorders>
              <w:top w:val="nil"/>
              <w:left w:val="nil"/>
              <w:bottom w:val="nil"/>
              <w:right w:val="nil"/>
            </w:tcBorders>
            <w:shd w:val="clear" w:color="000000" w:fill="FFFFFF"/>
            <w:noWrap/>
            <w:vAlign w:val="bottom"/>
            <w:hideMark/>
          </w:tcPr>
          <w:p w14:paraId="4D981828"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1.159.338 </w:t>
            </w:r>
          </w:p>
        </w:tc>
      </w:tr>
      <w:tr w:rsidR="00414F2D" w:rsidRPr="00810F1C" w14:paraId="1D7FE3E2" w14:textId="77777777" w:rsidTr="00810F1C">
        <w:trPr>
          <w:trHeight w:val="227"/>
        </w:trPr>
        <w:tc>
          <w:tcPr>
            <w:tcW w:w="3353" w:type="pct"/>
            <w:tcBorders>
              <w:top w:val="nil"/>
              <w:left w:val="nil"/>
              <w:bottom w:val="nil"/>
              <w:right w:val="nil"/>
            </w:tcBorders>
            <w:shd w:val="clear" w:color="000000" w:fill="FFFFFF"/>
            <w:noWrap/>
            <w:vAlign w:val="bottom"/>
            <w:hideMark/>
          </w:tcPr>
          <w:p w14:paraId="5D066896" w14:textId="77777777" w:rsidR="00414F2D" w:rsidRPr="00810F1C" w:rsidRDefault="00414F2D">
            <w:pPr>
              <w:outlineLvl w:val="0"/>
              <w:rPr>
                <w:rFonts w:asciiTheme="majorHAnsi" w:hAnsiTheme="majorHAnsi" w:cs="Arial"/>
                <w:sz w:val="16"/>
                <w:szCs w:val="16"/>
              </w:rPr>
            </w:pPr>
            <w:r w:rsidRPr="00810F1C">
              <w:rPr>
                <w:rFonts w:asciiTheme="majorHAnsi" w:hAnsiTheme="majorHAnsi" w:cs="Arial"/>
                <w:sz w:val="16"/>
                <w:szCs w:val="16"/>
              </w:rPr>
              <w:t xml:space="preserve">        Aumento (Redução) de Fornecedores  </w:t>
            </w:r>
          </w:p>
        </w:tc>
        <w:tc>
          <w:tcPr>
            <w:tcW w:w="837" w:type="pct"/>
            <w:tcBorders>
              <w:top w:val="nil"/>
              <w:left w:val="nil"/>
              <w:bottom w:val="nil"/>
              <w:right w:val="nil"/>
            </w:tcBorders>
            <w:shd w:val="clear" w:color="000000" w:fill="FFFFFF"/>
            <w:noWrap/>
            <w:vAlign w:val="bottom"/>
            <w:hideMark/>
          </w:tcPr>
          <w:p w14:paraId="59E71E34" w14:textId="77777777" w:rsidR="00414F2D" w:rsidRPr="00810F1C" w:rsidRDefault="00414F2D" w:rsidP="00810F1C">
            <w:pPr>
              <w:jc w:val="right"/>
              <w:outlineLvl w:val="0"/>
              <w:rPr>
                <w:rFonts w:asciiTheme="majorHAnsi" w:hAnsiTheme="majorHAnsi" w:cs="Arial"/>
                <w:sz w:val="16"/>
                <w:szCs w:val="16"/>
              </w:rPr>
            </w:pPr>
            <w:r w:rsidRPr="00810F1C">
              <w:rPr>
                <w:rFonts w:asciiTheme="majorHAnsi" w:hAnsiTheme="majorHAnsi" w:cs="Arial"/>
                <w:sz w:val="16"/>
                <w:szCs w:val="16"/>
              </w:rPr>
              <w:t xml:space="preserve">                              -   </w:t>
            </w:r>
          </w:p>
        </w:tc>
        <w:tc>
          <w:tcPr>
            <w:tcW w:w="810" w:type="pct"/>
            <w:tcBorders>
              <w:top w:val="nil"/>
              <w:left w:val="nil"/>
              <w:bottom w:val="nil"/>
              <w:right w:val="nil"/>
            </w:tcBorders>
            <w:shd w:val="clear" w:color="000000" w:fill="FFFFFF"/>
            <w:noWrap/>
            <w:vAlign w:val="bottom"/>
            <w:hideMark/>
          </w:tcPr>
          <w:p w14:paraId="127E9752" w14:textId="77777777" w:rsidR="00414F2D" w:rsidRPr="00810F1C" w:rsidRDefault="00414F2D" w:rsidP="00810F1C">
            <w:pPr>
              <w:jc w:val="right"/>
              <w:outlineLvl w:val="0"/>
              <w:rPr>
                <w:rFonts w:asciiTheme="majorHAnsi" w:hAnsiTheme="majorHAnsi" w:cs="Arial"/>
                <w:sz w:val="16"/>
                <w:szCs w:val="16"/>
              </w:rPr>
            </w:pPr>
            <w:r w:rsidRPr="00810F1C">
              <w:rPr>
                <w:rFonts w:asciiTheme="majorHAnsi" w:hAnsiTheme="majorHAnsi" w:cs="Arial"/>
                <w:sz w:val="16"/>
                <w:szCs w:val="16"/>
              </w:rPr>
              <w:t xml:space="preserve">                            74.560 </w:t>
            </w:r>
          </w:p>
        </w:tc>
      </w:tr>
      <w:tr w:rsidR="00414F2D" w:rsidRPr="00810F1C" w14:paraId="3399A069" w14:textId="77777777" w:rsidTr="00810F1C">
        <w:trPr>
          <w:trHeight w:val="227"/>
        </w:trPr>
        <w:tc>
          <w:tcPr>
            <w:tcW w:w="3353" w:type="pct"/>
            <w:tcBorders>
              <w:top w:val="nil"/>
              <w:left w:val="nil"/>
              <w:bottom w:val="nil"/>
              <w:right w:val="nil"/>
            </w:tcBorders>
            <w:shd w:val="clear" w:color="000000" w:fill="FFFFFF"/>
            <w:noWrap/>
            <w:vAlign w:val="bottom"/>
            <w:hideMark/>
          </w:tcPr>
          <w:p w14:paraId="4E560654"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Aumento (Redução) de Contas a Pagar  </w:t>
            </w:r>
          </w:p>
        </w:tc>
        <w:tc>
          <w:tcPr>
            <w:tcW w:w="837" w:type="pct"/>
            <w:tcBorders>
              <w:top w:val="nil"/>
              <w:left w:val="nil"/>
              <w:bottom w:val="nil"/>
              <w:right w:val="nil"/>
            </w:tcBorders>
            <w:shd w:val="clear" w:color="000000" w:fill="FFFFFF"/>
            <w:noWrap/>
            <w:vAlign w:val="bottom"/>
            <w:hideMark/>
          </w:tcPr>
          <w:p w14:paraId="553DAB51"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(1.150.983)</w:t>
            </w:r>
          </w:p>
        </w:tc>
        <w:tc>
          <w:tcPr>
            <w:tcW w:w="810" w:type="pct"/>
            <w:tcBorders>
              <w:top w:val="nil"/>
              <w:left w:val="nil"/>
              <w:bottom w:val="nil"/>
              <w:right w:val="nil"/>
            </w:tcBorders>
            <w:shd w:val="clear" w:color="000000" w:fill="FFFFFF"/>
            <w:noWrap/>
            <w:vAlign w:val="bottom"/>
            <w:hideMark/>
          </w:tcPr>
          <w:p w14:paraId="39E2245C"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(795.980)</w:t>
            </w:r>
          </w:p>
        </w:tc>
      </w:tr>
      <w:tr w:rsidR="00414F2D" w:rsidRPr="00810F1C" w14:paraId="05CE49EF" w14:textId="77777777" w:rsidTr="00810F1C">
        <w:trPr>
          <w:trHeight w:val="227"/>
        </w:trPr>
        <w:tc>
          <w:tcPr>
            <w:tcW w:w="3353" w:type="pct"/>
            <w:tcBorders>
              <w:top w:val="nil"/>
              <w:left w:val="nil"/>
              <w:bottom w:val="nil"/>
              <w:right w:val="nil"/>
            </w:tcBorders>
            <w:shd w:val="clear" w:color="000000" w:fill="FFFFFF"/>
            <w:noWrap/>
            <w:vAlign w:val="bottom"/>
            <w:hideMark/>
          </w:tcPr>
          <w:p w14:paraId="27AB9E75" w14:textId="77777777" w:rsidR="00414F2D" w:rsidRPr="00810F1C" w:rsidRDefault="00414F2D">
            <w:pPr>
              <w:rPr>
                <w:rFonts w:asciiTheme="majorHAnsi" w:hAnsiTheme="majorHAnsi" w:cs="Arial"/>
                <w:b/>
                <w:bCs/>
                <w:sz w:val="16"/>
                <w:szCs w:val="16"/>
              </w:rPr>
            </w:pPr>
            <w:r w:rsidRPr="00810F1C">
              <w:rPr>
                <w:rFonts w:asciiTheme="majorHAnsi" w:hAnsiTheme="majorHAnsi" w:cs="Arial"/>
                <w:b/>
                <w:bCs/>
                <w:sz w:val="16"/>
                <w:szCs w:val="16"/>
              </w:rPr>
              <w:t xml:space="preserve">  = Caixa Líquido Gerado ou Consumido nas atividades operacionais </w:t>
            </w:r>
          </w:p>
        </w:tc>
        <w:tc>
          <w:tcPr>
            <w:tcW w:w="837" w:type="pct"/>
            <w:tcBorders>
              <w:top w:val="nil"/>
              <w:left w:val="nil"/>
              <w:bottom w:val="nil"/>
              <w:right w:val="nil"/>
            </w:tcBorders>
            <w:shd w:val="clear" w:color="000000" w:fill="FFFFFF"/>
            <w:noWrap/>
            <w:vAlign w:val="bottom"/>
            <w:hideMark/>
          </w:tcPr>
          <w:p w14:paraId="7DEABED3" w14:textId="77777777" w:rsidR="00414F2D" w:rsidRPr="00810F1C" w:rsidRDefault="00414F2D" w:rsidP="00810F1C">
            <w:pPr>
              <w:jc w:val="right"/>
              <w:rPr>
                <w:rFonts w:asciiTheme="majorHAnsi" w:hAnsiTheme="majorHAnsi" w:cs="Arial"/>
                <w:b/>
                <w:bCs/>
                <w:sz w:val="16"/>
                <w:szCs w:val="16"/>
              </w:rPr>
            </w:pPr>
            <w:r w:rsidRPr="00810F1C">
              <w:rPr>
                <w:rFonts w:asciiTheme="majorHAnsi" w:hAnsiTheme="majorHAnsi" w:cs="Arial"/>
                <w:b/>
                <w:bCs/>
                <w:sz w:val="16"/>
                <w:szCs w:val="16"/>
              </w:rPr>
              <w:t xml:space="preserve">          (70.290.658)</w:t>
            </w:r>
          </w:p>
        </w:tc>
        <w:tc>
          <w:tcPr>
            <w:tcW w:w="810" w:type="pct"/>
            <w:tcBorders>
              <w:top w:val="nil"/>
              <w:left w:val="nil"/>
              <w:bottom w:val="nil"/>
              <w:right w:val="nil"/>
            </w:tcBorders>
            <w:shd w:val="clear" w:color="000000" w:fill="FFFFFF"/>
            <w:noWrap/>
            <w:vAlign w:val="bottom"/>
            <w:hideMark/>
          </w:tcPr>
          <w:p w14:paraId="31A79A11" w14:textId="77777777" w:rsidR="00414F2D" w:rsidRPr="00810F1C" w:rsidRDefault="00414F2D" w:rsidP="00810F1C">
            <w:pPr>
              <w:jc w:val="right"/>
              <w:rPr>
                <w:rFonts w:asciiTheme="majorHAnsi" w:hAnsiTheme="majorHAnsi" w:cs="Arial"/>
                <w:b/>
                <w:bCs/>
                <w:sz w:val="16"/>
                <w:szCs w:val="16"/>
              </w:rPr>
            </w:pPr>
            <w:r w:rsidRPr="00810F1C">
              <w:rPr>
                <w:rFonts w:asciiTheme="majorHAnsi" w:hAnsiTheme="majorHAnsi" w:cs="Arial"/>
                <w:b/>
                <w:bCs/>
                <w:sz w:val="16"/>
                <w:szCs w:val="16"/>
              </w:rPr>
              <w:t xml:space="preserve">                 (61.436.902)</w:t>
            </w:r>
          </w:p>
        </w:tc>
      </w:tr>
      <w:tr w:rsidR="00414F2D" w:rsidRPr="00810F1C" w14:paraId="67959C97" w14:textId="77777777" w:rsidTr="00810F1C">
        <w:trPr>
          <w:trHeight w:val="227"/>
        </w:trPr>
        <w:tc>
          <w:tcPr>
            <w:tcW w:w="3353" w:type="pct"/>
            <w:tcBorders>
              <w:top w:val="nil"/>
              <w:left w:val="nil"/>
              <w:bottom w:val="nil"/>
              <w:right w:val="nil"/>
            </w:tcBorders>
            <w:shd w:val="clear" w:color="000000" w:fill="FFFFFF"/>
            <w:noWrap/>
            <w:vAlign w:val="bottom"/>
            <w:hideMark/>
          </w:tcPr>
          <w:p w14:paraId="55F6FB70"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c>
          <w:tcPr>
            <w:tcW w:w="837" w:type="pct"/>
            <w:tcBorders>
              <w:top w:val="nil"/>
              <w:left w:val="nil"/>
              <w:bottom w:val="nil"/>
              <w:right w:val="nil"/>
            </w:tcBorders>
            <w:shd w:val="clear" w:color="000000" w:fill="FFFFFF"/>
            <w:noWrap/>
            <w:vAlign w:val="bottom"/>
            <w:hideMark/>
          </w:tcPr>
          <w:p w14:paraId="7F18D891"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c>
          <w:tcPr>
            <w:tcW w:w="810" w:type="pct"/>
            <w:tcBorders>
              <w:top w:val="nil"/>
              <w:left w:val="nil"/>
              <w:bottom w:val="nil"/>
              <w:right w:val="nil"/>
            </w:tcBorders>
            <w:shd w:val="clear" w:color="000000" w:fill="FFFFFF"/>
            <w:noWrap/>
            <w:vAlign w:val="bottom"/>
            <w:hideMark/>
          </w:tcPr>
          <w:p w14:paraId="77392D8E"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r>
      <w:tr w:rsidR="00414F2D" w:rsidRPr="00810F1C" w14:paraId="6390CCF7" w14:textId="77777777" w:rsidTr="00810F1C">
        <w:trPr>
          <w:trHeight w:val="227"/>
        </w:trPr>
        <w:tc>
          <w:tcPr>
            <w:tcW w:w="3353" w:type="pct"/>
            <w:tcBorders>
              <w:top w:val="nil"/>
              <w:left w:val="nil"/>
              <w:bottom w:val="nil"/>
              <w:right w:val="nil"/>
            </w:tcBorders>
            <w:shd w:val="clear" w:color="000000" w:fill="FFFFFF"/>
            <w:noWrap/>
            <w:vAlign w:val="bottom"/>
            <w:hideMark/>
          </w:tcPr>
          <w:p w14:paraId="71A53E5E"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c>
          <w:tcPr>
            <w:tcW w:w="837" w:type="pct"/>
            <w:tcBorders>
              <w:top w:val="nil"/>
              <w:left w:val="nil"/>
              <w:bottom w:val="nil"/>
              <w:right w:val="nil"/>
            </w:tcBorders>
            <w:shd w:val="clear" w:color="000000" w:fill="FFFFFF"/>
            <w:noWrap/>
            <w:vAlign w:val="bottom"/>
            <w:hideMark/>
          </w:tcPr>
          <w:p w14:paraId="6B56A377"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c>
          <w:tcPr>
            <w:tcW w:w="810" w:type="pct"/>
            <w:tcBorders>
              <w:top w:val="nil"/>
              <w:left w:val="nil"/>
              <w:bottom w:val="nil"/>
              <w:right w:val="nil"/>
            </w:tcBorders>
            <w:shd w:val="clear" w:color="000000" w:fill="FFFFFF"/>
            <w:noWrap/>
            <w:vAlign w:val="bottom"/>
            <w:hideMark/>
          </w:tcPr>
          <w:p w14:paraId="75CA0E3A"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r>
      <w:tr w:rsidR="00414F2D" w:rsidRPr="00810F1C" w14:paraId="2DC40066" w14:textId="77777777" w:rsidTr="00810F1C">
        <w:trPr>
          <w:trHeight w:val="227"/>
        </w:trPr>
        <w:tc>
          <w:tcPr>
            <w:tcW w:w="5000" w:type="pct"/>
            <w:gridSpan w:val="3"/>
            <w:tcBorders>
              <w:top w:val="nil"/>
              <w:left w:val="nil"/>
              <w:bottom w:val="nil"/>
              <w:right w:val="nil"/>
            </w:tcBorders>
            <w:shd w:val="clear" w:color="000000" w:fill="FFFFFF"/>
            <w:noWrap/>
            <w:vAlign w:val="bottom"/>
            <w:hideMark/>
          </w:tcPr>
          <w:p w14:paraId="45141059"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 xml:space="preserve"> FLUXOS DE CAIXA DAS ATIVIDADES DE INVESTIMENTOS </w:t>
            </w:r>
          </w:p>
        </w:tc>
      </w:tr>
      <w:tr w:rsidR="00414F2D" w:rsidRPr="00810F1C" w14:paraId="28CCACBA" w14:textId="77777777" w:rsidTr="00810F1C">
        <w:trPr>
          <w:trHeight w:val="227"/>
        </w:trPr>
        <w:tc>
          <w:tcPr>
            <w:tcW w:w="3353" w:type="pct"/>
            <w:tcBorders>
              <w:top w:val="nil"/>
              <w:left w:val="nil"/>
              <w:bottom w:val="nil"/>
              <w:right w:val="nil"/>
            </w:tcBorders>
            <w:shd w:val="clear" w:color="000000" w:fill="FFFFFF"/>
            <w:noWrap/>
            <w:vAlign w:val="bottom"/>
            <w:hideMark/>
          </w:tcPr>
          <w:p w14:paraId="53500944"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 </w:t>
            </w:r>
          </w:p>
        </w:tc>
        <w:tc>
          <w:tcPr>
            <w:tcW w:w="837" w:type="pct"/>
            <w:tcBorders>
              <w:top w:val="nil"/>
              <w:left w:val="nil"/>
              <w:bottom w:val="nil"/>
              <w:right w:val="nil"/>
            </w:tcBorders>
            <w:shd w:val="clear" w:color="000000" w:fill="FFFFFF"/>
            <w:noWrap/>
            <w:vAlign w:val="bottom"/>
            <w:hideMark/>
          </w:tcPr>
          <w:p w14:paraId="40806918"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c>
          <w:tcPr>
            <w:tcW w:w="810" w:type="pct"/>
            <w:tcBorders>
              <w:top w:val="nil"/>
              <w:left w:val="nil"/>
              <w:bottom w:val="nil"/>
              <w:right w:val="nil"/>
            </w:tcBorders>
            <w:shd w:val="clear" w:color="000000" w:fill="FFFFFF"/>
            <w:noWrap/>
            <w:vAlign w:val="bottom"/>
            <w:hideMark/>
          </w:tcPr>
          <w:p w14:paraId="194C8D12"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 </w:t>
            </w:r>
          </w:p>
        </w:tc>
      </w:tr>
      <w:tr w:rsidR="00414F2D" w:rsidRPr="00810F1C" w14:paraId="42D6B191" w14:textId="77777777" w:rsidTr="00810F1C">
        <w:trPr>
          <w:trHeight w:val="227"/>
        </w:trPr>
        <w:tc>
          <w:tcPr>
            <w:tcW w:w="3353" w:type="pct"/>
            <w:tcBorders>
              <w:top w:val="nil"/>
              <w:left w:val="nil"/>
              <w:bottom w:val="nil"/>
              <w:right w:val="nil"/>
            </w:tcBorders>
            <w:shd w:val="clear" w:color="000000" w:fill="FFFFFF"/>
            <w:noWrap/>
            <w:vAlign w:val="bottom"/>
            <w:hideMark/>
          </w:tcPr>
          <w:p w14:paraId="4F0B3675" w14:textId="77777777" w:rsidR="00414F2D" w:rsidRPr="00810F1C" w:rsidRDefault="00414F2D">
            <w:pPr>
              <w:outlineLvl w:val="0"/>
              <w:rPr>
                <w:rFonts w:asciiTheme="majorHAnsi" w:hAnsiTheme="majorHAnsi" w:cs="Arial"/>
                <w:sz w:val="16"/>
                <w:szCs w:val="16"/>
              </w:rPr>
            </w:pPr>
            <w:r w:rsidRPr="00810F1C">
              <w:rPr>
                <w:rFonts w:asciiTheme="majorHAnsi" w:hAnsiTheme="majorHAnsi" w:cs="Arial"/>
                <w:sz w:val="16"/>
                <w:szCs w:val="16"/>
              </w:rPr>
              <w:t xml:space="preserve"> Aquisição de Imobilizado/Intangível </w:t>
            </w:r>
          </w:p>
        </w:tc>
        <w:tc>
          <w:tcPr>
            <w:tcW w:w="837" w:type="pct"/>
            <w:tcBorders>
              <w:top w:val="nil"/>
              <w:left w:val="nil"/>
              <w:bottom w:val="nil"/>
              <w:right w:val="nil"/>
            </w:tcBorders>
            <w:shd w:val="clear" w:color="000000" w:fill="FFFFFF"/>
            <w:noWrap/>
            <w:vAlign w:val="bottom"/>
            <w:hideMark/>
          </w:tcPr>
          <w:p w14:paraId="7C350D01" w14:textId="77777777" w:rsidR="00414F2D" w:rsidRPr="00810F1C" w:rsidRDefault="00414F2D" w:rsidP="00810F1C">
            <w:pPr>
              <w:jc w:val="right"/>
              <w:outlineLvl w:val="0"/>
              <w:rPr>
                <w:rFonts w:asciiTheme="majorHAnsi" w:hAnsiTheme="majorHAnsi" w:cs="Arial"/>
                <w:sz w:val="16"/>
                <w:szCs w:val="16"/>
              </w:rPr>
            </w:pPr>
            <w:r w:rsidRPr="00810F1C">
              <w:rPr>
                <w:rFonts w:asciiTheme="majorHAnsi" w:hAnsiTheme="majorHAnsi" w:cs="Arial"/>
                <w:sz w:val="16"/>
                <w:szCs w:val="16"/>
              </w:rPr>
              <w:t xml:space="preserve">        (150.885.356)</w:t>
            </w:r>
          </w:p>
        </w:tc>
        <w:tc>
          <w:tcPr>
            <w:tcW w:w="810" w:type="pct"/>
            <w:tcBorders>
              <w:top w:val="nil"/>
              <w:left w:val="nil"/>
              <w:bottom w:val="nil"/>
              <w:right w:val="nil"/>
            </w:tcBorders>
            <w:shd w:val="clear" w:color="000000" w:fill="FFFFFF"/>
            <w:noWrap/>
            <w:vAlign w:val="bottom"/>
            <w:hideMark/>
          </w:tcPr>
          <w:p w14:paraId="1A40CBCA" w14:textId="77777777" w:rsidR="00414F2D" w:rsidRPr="00810F1C" w:rsidRDefault="00414F2D" w:rsidP="00810F1C">
            <w:pPr>
              <w:jc w:val="right"/>
              <w:outlineLvl w:val="0"/>
              <w:rPr>
                <w:rFonts w:asciiTheme="majorHAnsi" w:hAnsiTheme="majorHAnsi" w:cs="Arial"/>
                <w:sz w:val="16"/>
                <w:szCs w:val="16"/>
              </w:rPr>
            </w:pPr>
            <w:r w:rsidRPr="00810F1C">
              <w:rPr>
                <w:rFonts w:asciiTheme="majorHAnsi" w:hAnsiTheme="majorHAnsi" w:cs="Arial"/>
                <w:sz w:val="16"/>
                <w:szCs w:val="16"/>
              </w:rPr>
              <w:t xml:space="preserve">               (119.477.104)</w:t>
            </w:r>
          </w:p>
        </w:tc>
      </w:tr>
      <w:tr w:rsidR="00414F2D" w:rsidRPr="00810F1C" w14:paraId="7253424F" w14:textId="77777777" w:rsidTr="00810F1C">
        <w:trPr>
          <w:trHeight w:val="227"/>
        </w:trPr>
        <w:tc>
          <w:tcPr>
            <w:tcW w:w="3353" w:type="pct"/>
            <w:tcBorders>
              <w:top w:val="nil"/>
              <w:left w:val="nil"/>
              <w:bottom w:val="nil"/>
              <w:right w:val="nil"/>
            </w:tcBorders>
            <w:shd w:val="clear" w:color="000000" w:fill="FFFFFF"/>
            <w:noWrap/>
            <w:vAlign w:val="bottom"/>
            <w:hideMark/>
          </w:tcPr>
          <w:p w14:paraId="4166CF75"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Aumento (Redução) de passivo do Imobilizado/Intangível </w:t>
            </w:r>
          </w:p>
        </w:tc>
        <w:tc>
          <w:tcPr>
            <w:tcW w:w="837" w:type="pct"/>
            <w:tcBorders>
              <w:top w:val="nil"/>
              <w:left w:val="nil"/>
              <w:bottom w:val="nil"/>
              <w:right w:val="nil"/>
            </w:tcBorders>
            <w:shd w:val="clear" w:color="000000" w:fill="FFFFFF"/>
            <w:noWrap/>
            <w:vAlign w:val="bottom"/>
            <w:hideMark/>
          </w:tcPr>
          <w:p w14:paraId="203195CB"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5.964.272 </w:t>
            </w:r>
          </w:p>
        </w:tc>
        <w:tc>
          <w:tcPr>
            <w:tcW w:w="810" w:type="pct"/>
            <w:tcBorders>
              <w:top w:val="nil"/>
              <w:left w:val="nil"/>
              <w:bottom w:val="nil"/>
              <w:right w:val="nil"/>
            </w:tcBorders>
            <w:shd w:val="clear" w:color="000000" w:fill="FFFFFF"/>
            <w:noWrap/>
            <w:vAlign w:val="bottom"/>
            <w:hideMark/>
          </w:tcPr>
          <w:p w14:paraId="294C61DE"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20.160.926 </w:t>
            </w:r>
          </w:p>
        </w:tc>
      </w:tr>
      <w:tr w:rsidR="00414F2D" w:rsidRPr="00810F1C" w14:paraId="0FC6526C" w14:textId="77777777" w:rsidTr="00810F1C">
        <w:trPr>
          <w:trHeight w:val="227"/>
        </w:trPr>
        <w:tc>
          <w:tcPr>
            <w:tcW w:w="3353" w:type="pct"/>
            <w:tcBorders>
              <w:top w:val="nil"/>
              <w:left w:val="nil"/>
              <w:bottom w:val="nil"/>
              <w:right w:val="nil"/>
            </w:tcBorders>
            <w:shd w:val="clear" w:color="000000" w:fill="FFFFFF"/>
            <w:noWrap/>
            <w:vAlign w:val="bottom"/>
            <w:hideMark/>
          </w:tcPr>
          <w:p w14:paraId="7F23C788" w14:textId="77777777" w:rsidR="00414F2D" w:rsidRPr="00810F1C" w:rsidRDefault="00414F2D">
            <w:pPr>
              <w:rPr>
                <w:rFonts w:asciiTheme="majorHAnsi" w:hAnsiTheme="majorHAnsi" w:cs="Arial"/>
                <w:b/>
                <w:bCs/>
                <w:sz w:val="16"/>
                <w:szCs w:val="16"/>
              </w:rPr>
            </w:pPr>
            <w:r w:rsidRPr="00810F1C">
              <w:rPr>
                <w:rFonts w:asciiTheme="majorHAnsi" w:hAnsiTheme="majorHAnsi" w:cs="Arial"/>
                <w:b/>
                <w:bCs/>
                <w:sz w:val="16"/>
                <w:szCs w:val="16"/>
              </w:rPr>
              <w:t xml:space="preserve"> = </w:t>
            </w:r>
            <w:proofErr w:type="spellStart"/>
            <w:r w:rsidRPr="00810F1C">
              <w:rPr>
                <w:rFonts w:asciiTheme="majorHAnsi" w:hAnsiTheme="majorHAnsi" w:cs="Arial"/>
                <w:b/>
                <w:bCs/>
                <w:sz w:val="16"/>
                <w:szCs w:val="16"/>
              </w:rPr>
              <w:t>Disponib.liquidas</w:t>
            </w:r>
            <w:proofErr w:type="spellEnd"/>
            <w:r w:rsidRPr="00810F1C">
              <w:rPr>
                <w:rFonts w:asciiTheme="majorHAnsi" w:hAnsiTheme="majorHAnsi" w:cs="Arial"/>
                <w:b/>
                <w:bCs/>
                <w:sz w:val="16"/>
                <w:szCs w:val="16"/>
              </w:rPr>
              <w:t xml:space="preserve"> geradas (aplicadas) nas atividades de investimentos </w:t>
            </w:r>
          </w:p>
        </w:tc>
        <w:tc>
          <w:tcPr>
            <w:tcW w:w="837" w:type="pct"/>
            <w:tcBorders>
              <w:top w:val="nil"/>
              <w:left w:val="nil"/>
              <w:bottom w:val="nil"/>
              <w:right w:val="nil"/>
            </w:tcBorders>
            <w:shd w:val="clear" w:color="000000" w:fill="FFFFFF"/>
            <w:noWrap/>
            <w:vAlign w:val="bottom"/>
            <w:hideMark/>
          </w:tcPr>
          <w:p w14:paraId="1AAAAFE8" w14:textId="77777777" w:rsidR="00414F2D" w:rsidRPr="00810F1C" w:rsidRDefault="00414F2D" w:rsidP="00810F1C">
            <w:pPr>
              <w:jc w:val="right"/>
              <w:rPr>
                <w:rFonts w:asciiTheme="majorHAnsi" w:hAnsiTheme="majorHAnsi" w:cs="Arial"/>
                <w:b/>
                <w:bCs/>
                <w:sz w:val="16"/>
                <w:szCs w:val="16"/>
              </w:rPr>
            </w:pPr>
            <w:r w:rsidRPr="00810F1C">
              <w:rPr>
                <w:rFonts w:asciiTheme="majorHAnsi" w:hAnsiTheme="majorHAnsi" w:cs="Arial"/>
                <w:b/>
                <w:bCs/>
                <w:sz w:val="16"/>
                <w:szCs w:val="16"/>
              </w:rPr>
              <w:t xml:space="preserve">        (144.921.084)</w:t>
            </w:r>
          </w:p>
        </w:tc>
        <w:tc>
          <w:tcPr>
            <w:tcW w:w="810" w:type="pct"/>
            <w:tcBorders>
              <w:top w:val="nil"/>
              <w:left w:val="nil"/>
              <w:bottom w:val="nil"/>
              <w:right w:val="nil"/>
            </w:tcBorders>
            <w:shd w:val="clear" w:color="000000" w:fill="FFFFFF"/>
            <w:noWrap/>
            <w:vAlign w:val="bottom"/>
            <w:hideMark/>
          </w:tcPr>
          <w:p w14:paraId="212B28BB" w14:textId="77777777" w:rsidR="00414F2D" w:rsidRPr="00810F1C" w:rsidRDefault="00414F2D" w:rsidP="00810F1C">
            <w:pPr>
              <w:jc w:val="right"/>
              <w:rPr>
                <w:rFonts w:asciiTheme="majorHAnsi" w:hAnsiTheme="majorHAnsi" w:cs="Arial"/>
                <w:b/>
                <w:bCs/>
                <w:sz w:val="16"/>
                <w:szCs w:val="16"/>
              </w:rPr>
            </w:pPr>
            <w:r w:rsidRPr="00810F1C">
              <w:rPr>
                <w:rFonts w:asciiTheme="majorHAnsi" w:hAnsiTheme="majorHAnsi" w:cs="Arial"/>
                <w:b/>
                <w:bCs/>
                <w:sz w:val="16"/>
                <w:szCs w:val="16"/>
              </w:rPr>
              <w:t xml:space="preserve">                 (99.316.178)</w:t>
            </w:r>
          </w:p>
        </w:tc>
      </w:tr>
      <w:tr w:rsidR="00414F2D" w:rsidRPr="00810F1C" w14:paraId="5FBFED2E" w14:textId="77777777" w:rsidTr="00810F1C">
        <w:trPr>
          <w:trHeight w:val="227"/>
        </w:trPr>
        <w:tc>
          <w:tcPr>
            <w:tcW w:w="3353" w:type="pct"/>
            <w:tcBorders>
              <w:top w:val="nil"/>
              <w:left w:val="nil"/>
              <w:bottom w:val="nil"/>
              <w:right w:val="nil"/>
            </w:tcBorders>
            <w:shd w:val="clear" w:color="000000" w:fill="FFFFFF"/>
            <w:noWrap/>
            <w:vAlign w:val="bottom"/>
            <w:hideMark/>
          </w:tcPr>
          <w:p w14:paraId="4654AD76"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c>
          <w:tcPr>
            <w:tcW w:w="837" w:type="pct"/>
            <w:tcBorders>
              <w:top w:val="nil"/>
              <w:left w:val="nil"/>
              <w:bottom w:val="nil"/>
              <w:right w:val="nil"/>
            </w:tcBorders>
            <w:shd w:val="clear" w:color="000000" w:fill="FFFFFF"/>
            <w:noWrap/>
            <w:vAlign w:val="bottom"/>
            <w:hideMark/>
          </w:tcPr>
          <w:p w14:paraId="398F527F"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c>
          <w:tcPr>
            <w:tcW w:w="810" w:type="pct"/>
            <w:tcBorders>
              <w:top w:val="nil"/>
              <w:left w:val="nil"/>
              <w:bottom w:val="nil"/>
              <w:right w:val="nil"/>
            </w:tcBorders>
            <w:shd w:val="clear" w:color="000000" w:fill="FFFFFF"/>
            <w:noWrap/>
            <w:vAlign w:val="bottom"/>
            <w:hideMark/>
          </w:tcPr>
          <w:p w14:paraId="4A5CA8AE"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r>
      <w:tr w:rsidR="00414F2D" w:rsidRPr="00810F1C" w14:paraId="2FCB4391" w14:textId="77777777" w:rsidTr="00810F1C">
        <w:trPr>
          <w:trHeight w:val="227"/>
        </w:trPr>
        <w:tc>
          <w:tcPr>
            <w:tcW w:w="3353" w:type="pct"/>
            <w:tcBorders>
              <w:top w:val="nil"/>
              <w:left w:val="nil"/>
              <w:bottom w:val="nil"/>
              <w:right w:val="nil"/>
            </w:tcBorders>
            <w:shd w:val="clear" w:color="000000" w:fill="FFFFFF"/>
            <w:noWrap/>
            <w:vAlign w:val="bottom"/>
            <w:hideMark/>
          </w:tcPr>
          <w:p w14:paraId="60FAF2F9"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c>
          <w:tcPr>
            <w:tcW w:w="837" w:type="pct"/>
            <w:tcBorders>
              <w:top w:val="nil"/>
              <w:left w:val="nil"/>
              <w:bottom w:val="nil"/>
              <w:right w:val="nil"/>
            </w:tcBorders>
            <w:shd w:val="clear" w:color="000000" w:fill="FFFFFF"/>
            <w:noWrap/>
            <w:vAlign w:val="bottom"/>
            <w:hideMark/>
          </w:tcPr>
          <w:p w14:paraId="16481E90"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c>
          <w:tcPr>
            <w:tcW w:w="810" w:type="pct"/>
            <w:tcBorders>
              <w:top w:val="nil"/>
              <w:left w:val="nil"/>
              <w:bottom w:val="nil"/>
              <w:right w:val="nil"/>
            </w:tcBorders>
            <w:shd w:val="clear" w:color="000000" w:fill="FFFFFF"/>
            <w:noWrap/>
            <w:vAlign w:val="bottom"/>
            <w:hideMark/>
          </w:tcPr>
          <w:p w14:paraId="67C94790" w14:textId="77777777" w:rsidR="00414F2D" w:rsidRPr="00810F1C" w:rsidRDefault="00414F2D">
            <w:pPr>
              <w:jc w:val="center"/>
              <w:rPr>
                <w:rFonts w:asciiTheme="majorHAnsi" w:hAnsiTheme="majorHAnsi" w:cs="Arial"/>
                <w:sz w:val="16"/>
                <w:szCs w:val="16"/>
              </w:rPr>
            </w:pPr>
            <w:r w:rsidRPr="00810F1C">
              <w:rPr>
                <w:rFonts w:asciiTheme="majorHAnsi" w:hAnsiTheme="majorHAnsi" w:cs="Arial"/>
                <w:sz w:val="16"/>
                <w:szCs w:val="16"/>
              </w:rPr>
              <w:t> </w:t>
            </w:r>
          </w:p>
        </w:tc>
      </w:tr>
      <w:tr w:rsidR="00414F2D" w:rsidRPr="00810F1C" w14:paraId="2CEAB64C" w14:textId="77777777" w:rsidTr="00810F1C">
        <w:trPr>
          <w:trHeight w:val="227"/>
        </w:trPr>
        <w:tc>
          <w:tcPr>
            <w:tcW w:w="5000" w:type="pct"/>
            <w:gridSpan w:val="3"/>
            <w:tcBorders>
              <w:top w:val="nil"/>
              <w:left w:val="nil"/>
              <w:bottom w:val="nil"/>
              <w:right w:val="nil"/>
            </w:tcBorders>
            <w:shd w:val="clear" w:color="000000" w:fill="FFFFFF"/>
            <w:noWrap/>
            <w:vAlign w:val="bottom"/>
            <w:hideMark/>
          </w:tcPr>
          <w:p w14:paraId="23EBECDE"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 xml:space="preserve"> FLUXOS DE CAIXA DAS ATIVIDADES DE FINANCIAMENTO </w:t>
            </w:r>
          </w:p>
        </w:tc>
      </w:tr>
      <w:tr w:rsidR="00414F2D" w:rsidRPr="00810F1C" w14:paraId="0EA2A287" w14:textId="77777777" w:rsidTr="00810F1C">
        <w:trPr>
          <w:trHeight w:val="227"/>
        </w:trPr>
        <w:tc>
          <w:tcPr>
            <w:tcW w:w="3353" w:type="pct"/>
            <w:tcBorders>
              <w:top w:val="nil"/>
              <w:left w:val="nil"/>
              <w:bottom w:val="nil"/>
              <w:right w:val="nil"/>
            </w:tcBorders>
            <w:shd w:val="clear" w:color="000000" w:fill="FFFFFF"/>
            <w:noWrap/>
            <w:vAlign w:val="bottom"/>
            <w:hideMark/>
          </w:tcPr>
          <w:p w14:paraId="43605D8C"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 </w:t>
            </w:r>
          </w:p>
        </w:tc>
        <w:tc>
          <w:tcPr>
            <w:tcW w:w="837" w:type="pct"/>
            <w:tcBorders>
              <w:top w:val="nil"/>
              <w:left w:val="nil"/>
              <w:bottom w:val="nil"/>
              <w:right w:val="nil"/>
            </w:tcBorders>
            <w:shd w:val="clear" w:color="000000" w:fill="FFFFFF"/>
            <w:noWrap/>
            <w:vAlign w:val="bottom"/>
            <w:hideMark/>
          </w:tcPr>
          <w:p w14:paraId="62F198D4"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 </w:t>
            </w:r>
          </w:p>
        </w:tc>
        <w:tc>
          <w:tcPr>
            <w:tcW w:w="810" w:type="pct"/>
            <w:tcBorders>
              <w:top w:val="nil"/>
              <w:left w:val="nil"/>
              <w:bottom w:val="nil"/>
              <w:right w:val="nil"/>
            </w:tcBorders>
            <w:shd w:val="clear" w:color="000000" w:fill="FFFFFF"/>
            <w:noWrap/>
            <w:vAlign w:val="bottom"/>
            <w:hideMark/>
          </w:tcPr>
          <w:p w14:paraId="6980D61A" w14:textId="77777777" w:rsidR="00414F2D" w:rsidRPr="00810F1C" w:rsidRDefault="00414F2D">
            <w:pPr>
              <w:jc w:val="center"/>
              <w:rPr>
                <w:rFonts w:asciiTheme="majorHAnsi" w:hAnsiTheme="majorHAnsi" w:cs="Arial"/>
                <w:b/>
                <w:bCs/>
                <w:sz w:val="16"/>
                <w:szCs w:val="16"/>
              </w:rPr>
            </w:pPr>
            <w:r w:rsidRPr="00810F1C">
              <w:rPr>
                <w:rFonts w:asciiTheme="majorHAnsi" w:hAnsiTheme="majorHAnsi" w:cs="Arial"/>
                <w:b/>
                <w:bCs/>
                <w:sz w:val="16"/>
                <w:szCs w:val="16"/>
              </w:rPr>
              <w:t> </w:t>
            </w:r>
          </w:p>
        </w:tc>
      </w:tr>
      <w:tr w:rsidR="00414F2D" w:rsidRPr="00810F1C" w14:paraId="774714AF" w14:textId="77777777" w:rsidTr="00810F1C">
        <w:trPr>
          <w:trHeight w:val="227"/>
        </w:trPr>
        <w:tc>
          <w:tcPr>
            <w:tcW w:w="3353" w:type="pct"/>
            <w:tcBorders>
              <w:top w:val="nil"/>
              <w:left w:val="nil"/>
              <w:bottom w:val="nil"/>
              <w:right w:val="nil"/>
            </w:tcBorders>
            <w:shd w:val="clear" w:color="000000" w:fill="FFFFFF"/>
            <w:noWrap/>
            <w:vAlign w:val="bottom"/>
            <w:hideMark/>
          </w:tcPr>
          <w:p w14:paraId="1041CAEB"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Créditos Recebidos da União - AFAC </w:t>
            </w:r>
          </w:p>
        </w:tc>
        <w:tc>
          <w:tcPr>
            <w:tcW w:w="837" w:type="pct"/>
            <w:tcBorders>
              <w:top w:val="nil"/>
              <w:left w:val="nil"/>
              <w:bottom w:val="nil"/>
              <w:right w:val="nil"/>
            </w:tcBorders>
            <w:shd w:val="clear" w:color="000000" w:fill="FFFFFF"/>
            <w:noWrap/>
            <w:vAlign w:val="bottom"/>
            <w:hideMark/>
          </w:tcPr>
          <w:p w14:paraId="471263DA"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167.934.090 </w:t>
            </w:r>
          </w:p>
        </w:tc>
        <w:tc>
          <w:tcPr>
            <w:tcW w:w="810" w:type="pct"/>
            <w:tcBorders>
              <w:top w:val="nil"/>
              <w:left w:val="nil"/>
              <w:bottom w:val="nil"/>
              <w:right w:val="nil"/>
            </w:tcBorders>
            <w:shd w:val="clear" w:color="000000" w:fill="FFFFFF"/>
            <w:noWrap/>
            <w:vAlign w:val="bottom"/>
            <w:hideMark/>
          </w:tcPr>
          <w:p w14:paraId="278D6ACD"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103.497.195 </w:t>
            </w:r>
          </w:p>
        </w:tc>
      </w:tr>
      <w:tr w:rsidR="00414F2D" w:rsidRPr="00810F1C" w14:paraId="5BF5929E" w14:textId="77777777" w:rsidTr="00810F1C">
        <w:trPr>
          <w:trHeight w:val="227"/>
        </w:trPr>
        <w:tc>
          <w:tcPr>
            <w:tcW w:w="3353" w:type="pct"/>
            <w:tcBorders>
              <w:top w:val="nil"/>
              <w:left w:val="nil"/>
              <w:bottom w:val="nil"/>
              <w:right w:val="nil"/>
            </w:tcBorders>
            <w:shd w:val="clear" w:color="000000" w:fill="FFFFFF"/>
            <w:noWrap/>
            <w:vAlign w:val="bottom"/>
            <w:hideMark/>
          </w:tcPr>
          <w:p w14:paraId="7CF17216"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Subvenção do Tesouro Nacional - repasse para custeio/pessoal </w:t>
            </w:r>
          </w:p>
        </w:tc>
        <w:tc>
          <w:tcPr>
            <w:tcW w:w="837" w:type="pct"/>
            <w:tcBorders>
              <w:top w:val="nil"/>
              <w:left w:val="nil"/>
              <w:bottom w:val="nil"/>
              <w:right w:val="nil"/>
            </w:tcBorders>
            <w:shd w:val="clear" w:color="000000" w:fill="FFFFFF"/>
            <w:noWrap/>
            <w:vAlign w:val="bottom"/>
            <w:hideMark/>
          </w:tcPr>
          <w:p w14:paraId="55B2A137"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75.841.189 </w:t>
            </w:r>
          </w:p>
        </w:tc>
        <w:tc>
          <w:tcPr>
            <w:tcW w:w="810" w:type="pct"/>
            <w:tcBorders>
              <w:top w:val="nil"/>
              <w:left w:val="nil"/>
              <w:bottom w:val="nil"/>
              <w:right w:val="nil"/>
            </w:tcBorders>
            <w:shd w:val="clear" w:color="000000" w:fill="FFFFFF"/>
            <w:noWrap/>
            <w:vAlign w:val="bottom"/>
            <w:hideMark/>
          </w:tcPr>
          <w:p w14:paraId="40DF921F"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64.493.395 </w:t>
            </w:r>
          </w:p>
        </w:tc>
      </w:tr>
      <w:tr w:rsidR="00414F2D" w:rsidRPr="00810F1C" w14:paraId="67FD8AC9" w14:textId="77777777" w:rsidTr="00810F1C">
        <w:trPr>
          <w:trHeight w:val="227"/>
        </w:trPr>
        <w:tc>
          <w:tcPr>
            <w:tcW w:w="3353" w:type="pct"/>
            <w:tcBorders>
              <w:top w:val="nil"/>
              <w:left w:val="nil"/>
              <w:bottom w:val="nil"/>
              <w:right w:val="nil"/>
            </w:tcBorders>
            <w:shd w:val="clear" w:color="000000" w:fill="FFFFFF"/>
            <w:noWrap/>
            <w:vAlign w:val="bottom"/>
            <w:hideMark/>
          </w:tcPr>
          <w:p w14:paraId="77068BB1" w14:textId="77777777" w:rsidR="00414F2D" w:rsidRPr="00810F1C" w:rsidRDefault="00414F2D">
            <w:pPr>
              <w:rPr>
                <w:rFonts w:asciiTheme="majorHAnsi" w:hAnsiTheme="majorHAnsi" w:cs="Arial"/>
                <w:b/>
                <w:bCs/>
                <w:sz w:val="16"/>
                <w:szCs w:val="16"/>
              </w:rPr>
            </w:pPr>
            <w:r w:rsidRPr="00810F1C">
              <w:rPr>
                <w:rFonts w:asciiTheme="majorHAnsi" w:hAnsiTheme="majorHAnsi" w:cs="Arial"/>
                <w:b/>
                <w:bCs/>
                <w:sz w:val="16"/>
                <w:szCs w:val="16"/>
              </w:rPr>
              <w:t xml:space="preserve"> = </w:t>
            </w:r>
            <w:proofErr w:type="spellStart"/>
            <w:r w:rsidRPr="00810F1C">
              <w:rPr>
                <w:rFonts w:asciiTheme="majorHAnsi" w:hAnsiTheme="majorHAnsi" w:cs="Arial"/>
                <w:b/>
                <w:bCs/>
                <w:sz w:val="16"/>
                <w:szCs w:val="16"/>
              </w:rPr>
              <w:t>Disponib</w:t>
            </w:r>
            <w:proofErr w:type="spellEnd"/>
            <w:r w:rsidRPr="00810F1C">
              <w:rPr>
                <w:rFonts w:asciiTheme="majorHAnsi" w:hAnsiTheme="majorHAnsi" w:cs="Arial"/>
                <w:b/>
                <w:bCs/>
                <w:sz w:val="16"/>
                <w:szCs w:val="16"/>
              </w:rPr>
              <w:t xml:space="preserve">. líquidas geradas (aplicadas) nas atividades de financiamentos </w:t>
            </w:r>
          </w:p>
        </w:tc>
        <w:tc>
          <w:tcPr>
            <w:tcW w:w="837" w:type="pct"/>
            <w:tcBorders>
              <w:top w:val="nil"/>
              <w:left w:val="nil"/>
              <w:bottom w:val="nil"/>
              <w:right w:val="nil"/>
            </w:tcBorders>
            <w:shd w:val="clear" w:color="000000" w:fill="FFFFFF"/>
            <w:noWrap/>
            <w:vAlign w:val="bottom"/>
            <w:hideMark/>
          </w:tcPr>
          <w:p w14:paraId="5129EC67" w14:textId="77777777" w:rsidR="00414F2D" w:rsidRPr="00810F1C" w:rsidRDefault="00414F2D" w:rsidP="00810F1C">
            <w:pPr>
              <w:jc w:val="right"/>
              <w:rPr>
                <w:rFonts w:asciiTheme="majorHAnsi" w:hAnsiTheme="majorHAnsi" w:cs="Arial"/>
                <w:b/>
                <w:bCs/>
                <w:sz w:val="16"/>
                <w:szCs w:val="16"/>
              </w:rPr>
            </w:pPr>
            <w:r w:rsidRPr="00810F1C">
              <w:rPr>
                <w:rFonts w:asciiTheme="majorHAnsi" w:hAnsiTheme="majorHAnsi" w:cs="Arial"/>
                <w:b/>
                <w:bCs/>
                <w:sz w:val="16"/>
                <w:szCs w:val="16"/>
              </w:rPr>
              <w:t xml:space="preserve">          243.775.279 </w:t>
            </w:r>
          </w:p>
        </w:tc>
        <w:tc>
          <w:tcPr>
            <w:tcW w:w="810" w:type="pct"/>
            <w:tcBorders>
              <w:top w:val="nil"/>
              <w:left w:val="nil"/>
              <w:bottom w:val="nil"/>
              <w:right w:val="nil"/>
            </w:tcBorders>
            <w:shd w:val="clear" w:color="000000" w:fill="FFFFFF"/>
            <w:noWrap/>
            <w:vAlign w:val="bottom"/>
            <w:hideMark/>
          </w:tcPr>
          <w:p w14:paraId="505F02DC" w14:textId="77777777" w:rsidR="00414F2D" w:rsidRPr="00810F1C" w:rsidRDefault="00414F2D" w:rsidP="00810F1C">
            <w:pPr>
              <w:jc w:val="right"/>
              <w:rPr>
                <w:rFonts w:asciiTheme="majorHAnsi" w:hAnsiTheme="majorHAnsi" w:cs="Arial"/>
                <w:b/>
                <w:bCs/>
                <w:sz w:val="16"/>
                <w:szCs w:val="16"/>
              </w:rPr>
            </w:pPr>
            <w:r w:rsidRPr="00810F1C">
              <w:rPr>
                <w:rFonts w:asciiTheme="majorHAnsi" w:hAnsiTheme="majorHAnsi" w:cs="Arial"/>
                <w:b/>
                <w:bCs/>
                <w:sz w:val="16"/>
                <w:szCs w:val="16"/>
              </w:rPr>
              <w:t xml:space="preserve">                 167.990.590 </w:t>
            </w:r>
          </w:p>
        </w:tc>
      </w:tr>
      <w:tr w:rsidR="00414F2D" w:rsidRPr="00810F1C" w14:paraId="5543EE19" w14:textId="77777777" w:rsidTr="00810F1C">
        <w:trPr>
          <w:trHeight w:val="227"/>
        </w:trPr>
        <w:tc>
          <w:tcPr>
            <w:tcW w:w="3353" w:type="pct"/>
            <w:tcBorders>
              <w:top w:val="nil"/>
              <w:left w:val="nil"/>
              <w:bottom w:val="nil"/>
              <w:right w:val="nil"/>
            </w:tcBorders>
            <w:shd w:val="clear" w:color="000000" w:fill="FFFFFF"/>
            <w:noWrap/>
            <w:vAlign w:val="bottom"/>
            <w:hideMark/>
          </w:tcPr>
          <w:p w14:paraId="04C22B32"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c>
          <w:tcPr>
            <w:tcW w:w="837" w:type="pct"/>
            <w:tcBorders>
              <w:top w:val="nil"/>
              <w:left w:val="nil"/>
              <w:bottom w:val="nil"/>
              <w:right w:val="nil"/>
            </w:tcBorders>
            <w:shd w:val="clear" w:color="000000" w:fill="FFFFFF"/>
            <w:noWrap/>
            <w:vAlign w:val="bottom"/>
            <w:hideMark/>
          </w:tcPr>
          <w:p w14:paraId="27FFDF67" w14:textId="77777777" w:rsidR="00414F2D" w:rsidRPr="00810F1C" w:rsidRDefault="00414F2D">
            <w:pPr>
              <w:rPr>
                <w:rFonts w:asciiTheme="majorHAnsi" w:hAnsiTheme="majorHAnsi" w:cs="Arial"/>
                <w:sz w:val="16"/>
                <w:szCs w:val="16"/>
              </w:rPr>
            </w:pPr>
            <w:r w:rsidRPr="00810F1C">
              <w:rPr>
                <w:rFonts w:asciiTheme="majorHAnsi" w:hAnsiTheme="majorHAnsi" w:cs="Arial"/>
                <w:sz w:val="16"/>
                <w:szCs w:val="16"/>
              </w:rPr>
              <w:t> </w:t>
            </w:r>
          </w:p>
        </w:tc>
        <w:tc>
          <w:tcPr>
            <w:tcW w:w="810" w:type="pct"/>
            <w:tcBorders>
              <w:top w:val="nil"/>
              <w:left w:val="nil"/>
              <w:bottom w:val="nil"/>
              <w:right w:val="nil"/>
            </w:tcBorders>
            <w:shd w:val="clear" w:color="000000" w:fill="FFFFFF"/>
            <w:noWrap/>
            <w:vAlign w:val="bottom"/>
            <w:hideMark/>
          </w:tcPr>
          <w:p w14:paraId="1E2A3BC6" w14:textId="77777777" w:rsidR="00414F2D" w:rsidRPr="00810F1C" w:rsidRDefault="00414F2D">
            <w:pPr>
              <w:rPr>
                <w:rFonts w:asciiTheme="majorHAnsi" w:hAnsiTheme="majorHAnsi" w:cs="Arial"/>
                <w:b/>
                <w:bCs/>
                <w:sz w:val="16"/>
                <w:szCs w:val="16"/>
              </w:rPr>
            </w:pPr>
            <w:r w:rsidRPr="00810F1C">
              <w:rPr>
                <w:rFonts w:asciiTheme="majorHAnsi" w:hAnsiTheme="majorHAnsi" w:cs="Arial"/>
                <w:b/>
                <w:bCs/>
                <w:sz w:val="16"/>
                <w:szCs w:val="16"/>
              </w:rPr>
              <w:t> </w:t>
            </w:r>
          </w:p>
        </w:tc>
      </w:tr>
      <w:tr w:rsidR="00414F2D" w:rsidRPr="00810F1C" w14:paraId="397F86B1" w14:textId="77777777" w:rsidTr="00810F1C">
        <w:trPr>
          <w:trHeight w:val="227"/>
        </w:trPr>
        <w:tc>
          <w:tcPr>
            <w:tcW w:w="3353" w:type="pct"/>
            <w:tcBorders>
              <w:top w:val="nil"/>
              <w:left w:val="nil"/>
              <w:bottom w:val="nil"/>
              <w:right w:val="nil"/>
            </w:tcBorders>
            <w:shd w:val="clear" w:color="000000" w:fill="FFFFFF"/>
            <w:noWrap/>
            <w:vAlign w:val="bottom"/>
            <w:hideMark/>
          </w:tcPr>
          <w:p w14:paraId="2A1226C0" w14:textId="77777777" w:rsidR="00414F2D" w:rsidRPr="00810F1C" w:rsidRDefault="00414F2D">
            <w:pPr>
              <w:rPr>
                <w:rFonts w:asciiTheme="majorHAnsi" w:hAnsiTheme="majorHAnsi" w:cs="Arial"/>
                <w:b/>
                <w:bCs/>
                <w:sz w:val="16"/>
                <w:szCs w:val="16"/>
              </w:rPr>
            </w:pPr>
            <w:r w:rsidRPr="00810F1C">
              <w:rPr>
                <w:rFonts w:asciiTheme="majorHAnsi" w:hAnsiTheme="majorHAnsi" w:cs="Arial"/>
                <w:b/>
                <w:bCs/>
                <w:sz w:val="16"/>
                <w:szCs w:val="16"/>
              </w:rPr>
              <w:t xml:space="preserve"> Aumento (redução) das disponibilidades </w:t>
            </w:r>
          </w:p>
        </w:tc>
        <w:tc>
          <w:tcPr>
            <w:tcW w:w="837" w:type="pct"/>
            <w:tcBorders>
              <w:top w:val="nil"/>
              <w:left w:val="nil"/>
              <w:bottom w:val="nil"/>
              <w:right w:val="nil"/>
            </w:tcBorders>
            <w:shd w:val="clear" w:color="000000" w:fill="FFFFFF"/>
            <w:noWrap/>
            <w:vAlign w:val="bottom"/>
            <w:hideMark/>
          </w:tcPr>
          <w:p w14:paraId="15655C49" w14:textId="77777777" w:rsidR="00414F2D" w:rsidRPr="00810F1C" w:rsidRDefault="00414F2D" w:rsidP="00810F1C">
            <w:pPr>
              <w:jc w:val="right"/>
              <w:rPr>
                <w:rFonts w:asciiTheme="majorHAnsi" w:hAnsiTheme="majorHAnsi" w:cs="Arial"/>
                <w:b/>
                <w:bCs/>
                <w:sz w:val="16"/>
                <w:szCs w:val="16"/>
              </w:rPr>
            </w:pPr>
            <w:r w:rsidRPr="00810F1C">
              <w:rPr>
                <w:rFonts w:asciiTheme="majorHAnsi" w:hAnsiTheme="majorHAnsi" w:cs="Arial"/>
                <w:b/>
                <w:bCs/>
                <w:sz w:val="16"/>
                <w:szCs w:val="16"/>
              </w:rPr>
              <w:t xml:space="preserve">             28.563.547 </w:t>
            </w:r>
          </w:p>
        </w:tc>
        <w:tc>
          <w:tcPr>
            <w:tcW w:w="810" w:type="pct"/>
            <w:tcBorders>
              <w:top w:val="nil"/>
              <w:left w:val="nil"/>
              <w:bottom w:val="nil"/>
              <w:right w:val="nil"/>
            </w:tcBorders>
            <w:shd w:val="clear" w:color="000000" w:fill="FFFFFF"/>
            <w:noWrap/>
            <w:vAlign w:val="bottom"/>
            <w:hideMark/>
          </w:tcPr>
          <w:p w14:paraId="6C920966" w14:textId="77777777" w:rsidR="00414F2D" w:rsidRPr="00810F1C" w:rsidRDefault="00414F2D" w:rsidP="00810F1C">
            <w:pPr>
              <w:jc w:val="right"/>
              <w:rPr>
                <w:rFonts w:asciiTheme="majorHAnsi" w:hAnsiTheme="majorHAnsi" w:cs="Arial"/>
                <w:b/>
                <w:bCs/>
                <w:sz w:val="16"/>
                <w:szCs w:val="16"/>
              </w:rPr>
            </w:pPr>
            <w:r w:rsidRPr="00810F1C">
              <w:rPr>
                <w:rFonts w:asciiTheme="majorHAnsi" w:hAnsiTheme="majorHAnsi" w:cs="Arial"/>
                <w:b/>
                <w:bCs/>
                <w:sz w:val="16"/>
                <w:szCs w:val="16"/>
              </w:rPr>
              <w:t xml:space="preserve">                      7.237.510 </w:t>
            </w:r>
          </w:p>
        </w:tc>
      </w:tr>
      <w:tr w:rsidR="00414F2D" w:rsidRPr="00810F1C" w14:paraId="661D6875" w14:textId="77777777" w:rsidTr="00810F1C">
        <w:trPr>
          <w:trHeight w:val="227"/>
        </w:trPr>
        <w:tc>
          <w:tcPr>
            <w:tcW w:w="3353" w:type="pct"/>
            <w:tcBorders>
              <w:top w:val="nil"/>
              <w:left w:val="nil"/>
              <w:bottom w:val="nil"/>
              <w:right w:val="nil"/>
            </w:tcBorders>
            <w:shd w:val="clear" w:color="auto" w:fill="auto"/>
            <w:noWrap/>
            <w:vAlign w:val="bottom"/>
            <w:hideMark/>
          </w:tcPr>
          <w:p w14:paraId="6C5EF8DC" w14:textId="42151DED"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Disponibilidades no início do </w:t>
            </w:r>
            <w:r w:rsidR="00810F1C" w:rsidRPr="00810F1C">
              <w:rPr>
                <w:rFonts w:asciiTheme="majorHAnsi" w:hAnsiTheme="majorHAnsi" w:cs="Arial"/>
                <w:sz w:val="16"/>
                <w:szCs w:val="16"/>
              </w:rPr>
              <w:t>período</w:t>
            </w:r>
            <w:r w:rsidRPr="00810F1C">
              <w:rPr>
                <w:rFonts w:asciiTheme="majorHAnsi" w:hAnsiTheme="majorHAnsi" w:cs="Arial"/>
                <w:sz w:val="16"/>
                <w:szCs w:val="16"/>
              </w:rPr>
              <w:t xml:space="preserve"> </w:t>
            </w:r>
          </w:p>
        </w:tc>
        <w:tc>
          <w:tcPr>
            <w:tcW w:w="837" w:type="pct"/>
            <w:tcBorders>
              <w:top w:val="nil"/>
              <w:left w:val="nil"/>
              <w:bottom w:val="nil"/>
              <w:right w:val="nil"/>
            </w:tcBorders>
            <w:shd w:val="clear" w:color="000000" w:fill="FFFFFF"/>
            <w:noWrap/>
            <w:vAlign w:val="bottom"/>
            <w:hideMark/>
          </w:tcPr>
          <w:p w14:paraId="127DF17B"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32.350.978 </w:t>
            </w:r>
          </w:p>
        </w:tc>
        <w:tc>
          <w:tcPr>
            <w:tcW w:w="810" w:type="pct"/>
            <w:tcBorders>
              <w:top w:val="nil"/>
              <w:left w:val="nil"/>
              <w:bottom w:val="nil"/>
              <w:right w:val="nil"/>
            </w:tcBorders>
            <w:shd w:val="clear" w:color="000000" w:fill="FFFFFF"/>
            <w:noWrap/>
            <w:vAlign w:val="bottom"/>
            <w:hideMark/>
          </w:tcPr>
          <w:p w14:paraId="04A5C258"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39.662.846 </w:t>
            </w:r>
          </w:p>
        </w:tc>
      </w:tr>
      <w:tr w:rsidR="00414F2D" w:rsidRPr="00810F1C" w14:paraId="34822216" w14:textId="77777777" w:rsidTr="00810F1C">
        <w:trPr>
          <w:trHeight w:val="227"/>
        </w:trPr>
        <w:tc>
          <w:tcPr>
            <w:tcW w:w="3353" w:type="pct"/>
            <w:tcBorders>
              <w:top w:val="nil"/>
              <w:left w:val="nil"/>
              <w:bottom w:val="nil"/>
              <w:right w:val="nil"/>
            </w:tcBorders>
            <w:shd w:val="clear" w:color="auto" w:fill="auto"/>
            <w:noWrap/>
            <w:vAlign w:val="bottom"/>
            <w:hideMark/>
          </w:tcPr>
          <w:p w14:paraId="113D3D14" w14:textId="461750A7" w:rsidR="00414F2D" w:rsidRPr="00810F1C" w:rsidRDefault="00414F2D">
            <w:pPr>
              <w:rPr>
                <w:rFonts w:asciiTheme="majorHAnsi" w:hAnsiTheme="majorHAnsi" w:cs="Arial"/>
                <w:sz w:val="16"/>
                <w:szCs w:val="16"/>
              </w:rPr>
            </w:pPr>
            <w:r w:rsidRPr="00810F1C">
              <w:rPr>
                <w:rFonts w:asciiTheme="majorHAnsi" w:hAnsiTheme="majorHAnsi" w:cs="Arial"/>
                <w:sz w:val="16"/>
                <w:szCs w:val="16"/>
              </w:rPr>
              <w:t xml:space="preserve"> Disponibilidades no final do </w:t>
            </w:r>
            <w:r w:rsidR="00810F1C" w:rsidRPr="00810F1C">
              <w:rPr>
                <w:rFonts w:asciiTheme="majorHAnsi" w:hAnsiTheme="majorHAnsi" w:cs="Arial"/>
                <w:sz w:val="16"/>
                <w:szCs w:val="16"/>
              </w:rPr>
              <w:t>período</w:t>
            </w:r>
            <w:r w:rsidRPr="00810F1C">
              <w:rPr>
                <w:rFonts w:asciiTheme="majorHAnsi" w:hAnsiTheme="majorHAnsi" w:cs="Arial"/>
                <w:sz w:val="16"/>
                <w:szCs w:val="16"/>
              </w:rPr>
              <w:t xml:space="preserve"> </w:t>
            </w:r>
          </w:p>
        </w:tc>
        <w:tc>
          <w:tcPr>
            <w:tcW w:w="837" w:type="pct"/>
            <w:tcBorders>
              <w:top w:val="nil"/>
              <w:left w:val="nil"/>
              <w:bottom w:val="nil"/>
              <w:right w:val="nil"/>
            </w:tcBorders>
            <w:shd w:val="clear" w:color="000000" w:fill="FFFFFF"/>
            <w:noWrap/>
            <w:vAlign w:val="bottom"/>
            <w:hideMark/>
          </w:tcPr>
          <w:p w14:paraId="755CE34E"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60.914.526 </w:t>
            </w:r>
          </w:p>
        </w:tc>
        <w:tc>
          <w:tcPr>
            <w:tcW w:w="810" w:type="pct"/>
            <w:tcBorders>
              <w:top w:val="nil"/>
              <w:left w:val="nil"/>
              <w:bottom w:val="nil"/>
              <w:right w:val="nil"/>
            </w:tcBorders>
            <w:shd w:val="clear" w:color="000000" w:fill="FFFFFF"/>
            <w:noWrap/>
            <w:vAlign w:val="bottom"/>
            <w:hideMark/>
          </w:tcPr>
          <w:p w14:paraId="07892CA3" w14:textId="77777777" w:rsidR="00414F2D" w:rsidRPr="00810F1C" w:rsidRDefault="00414F2D" w:rsidP="00810F1C">
            <w:pPr>
              <w:jc w:val="right"/>
              <w:rPr>
                <w:rFonts w:asciiTheme="majorHAnsi" w:hAnsiTheme="majorHAnsi" w:cs="Arial"/>
                <w:sz w:val="16"/>
                <w:szCs w:val="16"/>
              </w:rPr>
            </w:pPr>
            <w:r w:rsidRPr="00810F1C">
              <w:rPr>
                <w:rFonts w:asciiTheme="majorHAnsi" w:hAnsiTheme="majorHAnsi" w:cs="Arial"/>
                <w:sz w:val="16"/>
                <w:szCs w:val="16"/>
              </w:rPr>
              <w:t xml:space="preserve">              46.900.356 </w:t>
            </w:r>
          </w:p>
        </w:tc>
      </w:tr>
      <w:tr w:rsidR="00414F2D" w:rsidRPr="00810F1C" w14:paraId="000888FA" w14:textId="77777777" w:rsidTr="00810F1C">
        <w:trPr>
          <w:trHeight w:val="227"/>
        </w:trPr>
        <w:tc>
          <w:tcPr>
            <w:tcW w:w="5000" w:type="pct"/>
            <w:gridSpan w:val="3"/>
            <w:tcBorders>
              <w:top w:val="nil"/>
              <w:left w:val="nil"/>
              <w:bottom w:val="nil"/>
              <w:right w:val="nil"/>
            </w:tcBorders>
            <w:shd w:val="clear" w:color="000000" w:fill="FFFFFF"/>
            <w:noWrap/>
            <w:vAlign w:val="bottom"/>
            <w:hideMark/>
          </w:tcPr>
          <w:p w14:paraId="7F627AA8" w14:textId="77777777" w:rsidR="00414F2D" w:rsidRPr="00810F1C" w:rsidRDefault="00414F2D">
            <w:pPr>
              <w:jc w:val="center"/>
              <w:rPr>
                <w:rFonts w:asciiTheme="majorHAnsi" w:hAnsiTheme="majorHAnsi" w:cs="Arial"/>
                <w:sz w:val="16"/>
                <w:szCs w:val="16"/>
              </w:rPr>
            </w:pPr>
            <w:r w:rsidRPr="00810F1C">
              <w:rPr>
                <w:rFonts w:asciiTheme="majorHAnsi" w:hAnsiTheme="majorHAnsi" w:cs="Arial"/>
                <w:sz w:val="16"/>
                <w:szCs w:val="16"/>
              </w:rPr>
              <w:t> </w:t>
            </w:r>
          </w:p>
        </w:tc>
      </w:tr>
      <w:tr w:rsidR="00414F2D" w:rsidRPr="00810F1C" w14:paraId="3BF864A4" w14:textId="77777777" w:rsidTr="00810F1C">
        <w:trPr>
          <w:trHeight w:val="227"/>
        </w:trPr>
        <w:tc>
          <w:tcPr>
            <w:tcW w:w="5000" w:type="pct"/>
            <w:gridSpan w:val="3"/>
            <w:tcBorders>
              <w:top w:val="nil"/>
              <w:left w:val="nil"/>
              <w:bottom w:val="nil"/>
              <w:right w:val="nil"/>
            </w:tcBorders>
            <w:shd w:val="clear" w:color="auto" w:fill="auto"/>
            <w:noWrap/>
            <w:vAlign w:val="bottom"/>
            <w:hideMark/>
          </w:tcPr>
          <w:p w14:paraId="627BA1BB" w14:textId="77777777" w:rsidR="00414F2D" w:rsidRPr="00810F1C" w:rsidRDefault="00414F2D">
            <w:pPr>
              <w:jc w:val="center"/>
              <w:rPr>
                <w:rFonts w:asciiTheme="majorHAnsi" w:hAnsiTheme="majorHAnsi" w:cs="Arial"/>
                <w:sz w:val="16"/>
                <w:szCs w:val="16"/>
              </w:rPr>
            </w:pPr>
            <w:r w:rsidRPr="00810F1C">
              <w:rPr>
                <w:rFonts w:asciiTheme="majorHAnsi" w:hAnsiTheme="majorHAnsi" w:cs="Arial"/>
                <w:sz w:val="16"/>
                <w:szCs w:val="16"/>
              </w:rPr>
              <w:t>(As Notas Explicativas são parte integrante das demonstrações contábeis intermediárias)</w:t>
            </w:r>
          </w:p>
        </w:tc>
      </w:tr>
    </w:tbl>
    <w:p w14:paraId="6C78FFD3" w14:textId="20A63BB7" w:rsidR="00331A4D" w:rsidRDefault="00331A4D" w:rsidP="002E2B5B">
      <w:pPr>
        <w:pStyle w:val="Ttulo1"/>
        <w:tabs>
          <w:tab w:val="left" w:pos="1701"/>
        </w:tabs>
        <w:ind w:right="-142"/>
        <w:rPr>
          <w:rFonts w:ascii="Calibri" w:hAnsi="Calibri" w:cs="Calibri"/>
          <w:szCs w:val="22"/>
        </w:rPr>
      </w:pPr>
    </w:p>
    <w:p w14:paraId="244D95DA" w14:textId="4F7A92C7" w:rsidR="00810F1C" w:rsidRDefault="00810F1C" w:rsidP="00810F1C"/>
    <w:p w14:paraId="2C5DBA2E" w14:textId="22BC410B" w:rsidR="00810F1C" w:rsidRDefault="00810F1C" w:rsidP="00810F1C"/>
    <w:p w14:paraId="2B17FDAB" w14:textId="77777777" w:rsidR="00810F1C" w:rsidRPr="00810F1C" w:rsidRDefault="00810F1C" w:rsidP="00810F1C"/>
    <w:tbl>
      <w:tblPr>
        <w:tblW w:w="4752" w:type="pct"/>
        <w:tblLayout w:type="fixed"/>
        <w:tblCellMar>
          <w:left w:w="70" w:type="dxa"/>
          <w:right w:w="70" w:type="dxa"/>
        </w:tblCellMar>
        <w:tblLook w:val="04A0" w:firstRow="1" w:lastRow="0" w:firstColumn="1" w:lastColumn="0" w:noHBand="0" w:noVBand="1"/>
      </w:tblPr>
      <w:tblGrid>
        <w:gridCol w:w="3403"/>
        <w:gridCol w:w="1277"/>
        <w:gridCol w:w="2692"/>
        <w:gridCol w:w="1132"/>
        <w:gridCol w:w="1444"/>
      </w:tblGrid>
      <w:tr w:rsidR="00810F1C" w:rsidRPr="00810F1C" w14:paraId="7A28EB55" w14:textId="77777777" w:rsidTr="00810F1C">
        <w:trPr>
          <w:trHeight w:val="300"/>
        </w:trPr>
        <w:tc>
          <w:tcPr>
            <w:tcW w:w="5000" w:type="pct"/>
            <w:gridSpan w:val="5"/>
            <w:tcBorders>
              <w:top w:val="nil"/>
              <w:left w:val="nil"/>
              <w:bottom w:val="nil"/>
              <w:right w:val="nil"/>
            </w:tcBorders>
            <w:shd w:val="clear" w:color="000000" w:fill="FFFFFF"/>
            <w:noWrap/>
            <w:vAlign w:val="bottom"/>
            <w:hideMark/>
          </w:tcPr>
          <w:p w14:paraId="2FDADBA4" w14:textId="77777777" w:rsidR="00810F1C" w:rsidRPr="00810F1C" w:rsidRDefault="00810F1C">
            <w:pPr>
              <w:jc w:val="center"/>
              <w:rPr>
                <w:rFonts w:asciiTheme="majorHAnsi" w:hAnsiTheme="majorHAnsi" w:cs="Arial"/>
                <w:b/>
                <w:bCs/>
                <w:sz w:val="16"/>
                <w:szCs w:val="16"/>
              </w:rPr>
            </w:pPr>
            <w:r w:rsidRPr="00810F1C">
              <w:rPr>
                <w:rFonts w:asciiTheme="majorHAnsi" w:hAnsiTheme="majorHAnsi" w:cs="Arial"/>
                <w:b/>
                <w:bCs/>
                <w:sz w:val="16"/>
                <w:szCs w:val="16"/>
              </w:rPr>
              <w:lastRenderedPageBreak/>
              <w:t>VALEC ENGENHARIA, CONSTRUÇÕES E FERROVIAS S/A</w:t>
            </w:r>
          </w:p>
        </w:tc>
      </w:tr>
      <w:tr w:rsidR="00810F1C" w:rsidRPr="00810F1C" w14:paraId="367C6CF7" w14:textId="77777777" w:rsidTr="00810F1C">
        <w:trPr>
          <w:trHeight w:val="300"/>
        </w:trPr>
        <w:tc>
          <w:tcPr>
            <w:tcW w:w="5000" w:type="pct"/>
            <w:gridSpan w:val="5"/>
            <w:tcBorders>
              <w:top w:val="nil"/>
              <w:left w:val="nil"/>
              <w:bottom w:val="nil"/>
              <w:right w:val="nil"/>
            </w:tcBorders>
            <w:shd w:val="clear" w:color="000000" w:fill="FFFFFF"/>
            <w:noWrap/>
            <w:vAlign w:val="bottom"/>
            <w:hideMark/>
          </w:tcPr>
          <w:p w14:paraId="0ED90408" w14:textId="77777777" w:rsidR="00810F1C" w:rsidRPr="00810F1C" w:rsidRDefault="00810F1C">
            <w:pPr>
              <w:jc w:val="center"/>
              <w:rPr>
                <w:rFonts w:asciiTheme="majorHAnsi" w:hAnsiTheme="majorHAnsi" w:cs="Arial"/>
                <w:b/>
                <w:bCs/>
                <w:sz w:val="16"/>
                <w:szCs w:val="16"/>
              </w:rPr>
            </w:pPr>
            <w:r w:rsidRPr="00810F1C">
              <w:rPr>
                <w:rFonts w:asciiTheme="majorHAnsi" w:hAnsiTheme="majorHAnsi" w:cs="Arial"/>
                <w:b/>
                <w:bCs/>
                <w:sz w:val="16"/>
                <w:szCs w:val="16"/>
              </w:rPr>
              <w:t>DEMONSTRAÇÃO DO VALOR ADICIONADO (DVA)</w:t>
            </w:r>
          </w:p>
        </w:tc>
      </w:tr>
      <w:tr w:rsidR="00810F1C" w:rsidRPr="00810F1C" w14:paraId="198672B5" w14:textId="77777777" w:rsidTr="00810F1C">
        <w:trPr>
          <w:trHeight w:val="300"/>
        </w:trPr>
        <w:tc>
          <w:tcPr>
            <w:tcW w:w="5000" w:type="pct"/>
            <w:gridSpan w:val="5"/>
            <w:tcBorders>
              <w:top w:val="nil"/>
              <w:left w:val="nil"/>
              <w:bottom w:val="nil"/>
              <w:right w:val="nil"/>
            </w:tcBorders>
            <w:shd w:val="clear" w:color="auto" w:fill="auto"/>
            <w:noWrap/>
            <w:vAlign w:val="bottom"/>
            <w:hideMark/>
          </w:tcPr>
          <w:p w14:paraId="5E6D1333" w14:textId="77777777" w:rsidR="00810F1C" w:rsidRPr="00810F1C" w:rsidRDefault="00810F1C">
            <w:pPr>
              <w:jc w:val="center"/>
              <w:rPr>
                <w:rFonts w:asciiTheme="majorHAnsi" w:hAnsiTheme="majorHAnsi" w:cs="Arial"/>
                <w:b/>
                <w:bCs/>
                <w:sz w:val="16"/>
                <w:szCs w:val="16"/>
              </w:rPr>
            </w:pPr>
            <w:r w:rsidRPr="00810F1C">
              <w:rPr>
                <w:rFonts w:asciiTheme="majorHAnsi" w:hAnsiTheme="majorHAnsi" w:cs="Arial"/>
                <w:b/>
                <w:bCs/>
                <w:sz w:val="16"/>
                <w:szCs w:val="16"/>
              </w:rPr>
              <w:t>2º TRIMESTRE 2021</w:t>
            </w:r>
          </w:p>
        </w:tc>
      </w:tr>
      <w:tr w:rsidR="00810F1C" w:rsidRPr="00810F1C" w14:paraId="3D482A38" w14:textId="77777777" w:rsidTr="00810F1C">
        <w:trPr>
          <w:trHeight w:val="300"/>
        </w:trPr>
        <w:tc>
          <w:tcPr>
            <w:tcW w:w="5000" w:type="pct"/>
            <w:gridSpan w:val="5"/>
            <w:tcBorders>
              <w:top w:val="nil"/>
              <w:left w:val="nil"/>
              <w:bottom w:val="nil"/>
              <w:right w:val="nil"/>
            </w:tcBorders>
            <w:shd w:val="clear" w:color="auto" w:fill="auto"/>
            <w:noWrap/>
            <w:vAlign w:val="bottom"/>
            <w:hideMark/>
          </w:tcPr>
          <w:p w14:paraId="55EB41CD" w14:textId="77777777" w:rsidR="00810F1C" w:rsidRPr="00810F1C" w:rsidRDefault="00810F1C">
            <w:pPr>
              <w:jc w:val="center"/>
              <w:rPr>
                <w:rFonts w:asciiTheme="majorHAnsi" w:hAnsiTheme="majorHAnsi" w:cs="Arial"/>
                <w:b/>
                <w:bCs/>
                <w:sz w:val="16"/>
                <w:szCs w:val="16"/>
              </w:rPr>
            </w:pPr>
            <w:r w:rsidRPr="00810F1C">
              <w:rPr>
                <w:rFonts w:asciiTheme="majorHAnsi" w:hAnsiTheme="majorHAnsi" w:cs="Arial"/>
                <w:b/>
                <w:bCs/>
                <w:sz w:val="16"/>
                <w:szCs w:val="16"/>
              </w:rPr>
              <w:t>Em R$</w:t>
            </w:r>
          </w:p>
        </w:tc>
      </w:tr>
      <w:tr w:rsidR="00810F1C" w:rsidRPr="00810F1C" w14:paraId="0E13B00B" w14:textId="77777777" w:rsidTr="00810F1C">
        <w:trPr>
          <w:trHeight w:val="630"/>
        </w:trPr>
        <w:tc>
          <w:tcPr>
            <w:tcW w:w="1710" w:type="pct"/>
            <w:tcBorders>
              <w:top w:val="nil"/>
              <w:left w:val="nil"/>
              <w:bottom w:val="nil"/>
              <w:right w:val="nil"/>
            </w:tcBorders>
            <w:shd w:val="clear" w:color="000000" w:fill="FFFFFF"/>
            <w:noWrap/>
            <w:vAlign w:val="bottom"/>
            <w:hideMark/>
          </w:tcPr>
          <w:p w14:paraId="267E983B" w14:textId="77777777" w:rsidR="00810F1C" w:rsidRPr="00810F1C" w:rsidRDefault="00810F1C">
            <w:pPr>
              <w:jc w:val="center"/>
              <w:rPr>
                <w:rFonts w:asciiTheme="majorHAnsi" w:hAnsiTheme="majorHAnsi" w:cs="Arial"/>
                <w:b/>
                <w:bCs/>
                <w:sz w:val="16"/>
                <w:szCs w:val="16"/>
              </w:rPr>
            </w:pPr>
            <w:r w:rsidRPr="00810F1C">
              <w:rPr>
                <w:rFonts w:asciiTheme="majorHAnsi" w:hAnsiTheme="majorHAnsi" w:cs="Arial"/>
                <w:b/>
                <w:bCs/>
                <w:sz w:val="16"/>
                <w:szCs w:val="16"/>
              </w:rPr>
              <w:t> </w:t>
            </w:r>
          </w:p>
        </w:tc>
        <w:tc>
          <w:tcPr>
            <w:tcW w:w="642" w:type="pct"/>
            <w:tcBorders>
              <w:top w:val="nil"/>
              <w:left w:val="nil"/>
              <w:bottom w:val="nil"/>
              <w:right w:val="nil"/>
            </w:tcBorders>
            <w:shd w:val="clear" w:color="000000" w:fill="FFFFFF"/>
            <w:noWrap/>
            <w:vAlign w:val="bottom"/>
            <w:hideMark/>
          </w:tcPr>
          <w:p w14:paraId="61A2C48E" w14:textId="77777777" w:rsidR="00810F1C" w:rsidRPr="00810F1C" w:rsidRDefault="00810F1C">
            <w:pPr>
              <w:jc w:val="center"/>
              <w:rPr>
                <w:rFonts w:asciiTheme="majorHAnsi" w:hAnsiTheme="majorHAnsi" w:cs="Arial"/>
                <w:b/>
                <w:bCs/>
                <w:sz w:val="16"/>
                <w:szCs w:val="16"/>
              </w:rPr>
            </w:pPr>
            <w:r w:rsidRPr="00810F1C">
              <w:rPr>
                <w:rFonts w:asciiTheme="majorHAnsi" w:hAnsiTheme="majorHAnsi" w:cs="Arial"/>
                <w:b/>
                <w:bCs/>
                <w:sz w:val="16"/>
                <w:szCs w:val="16"/>
              </w:rPr>
              <w:t> </w:t>
            </w:r>
          </w:p>
        </w:tc>
        <w:tc>
          <w:tcPr>
            <w:tcW w:w="1353" w:type="pct"/>
            <w:tcBorders>
              <w:top w:val="nil"/>
              <w:left w:val="nil"/>
              <w:bottom w:val="nil"/>
              <w:right w:val="nil"/>
            </w:tcBorders>
            <w:shd w:val="clear" w:color="000000" w:fill="FFFFFF"/>
            <w:noWrap/>
            <w:vAlign w:val="bottom"/>
            <w:hideMark/>
          </w:tcPr>
          <w:p w14:paraId="3C5B7379" w14:textId="77777777" w:rsidR="00810F1C" w:rsidRPr="00810F1C" w:rsidRDefault="00810F1C">
            <w:pPr>
              <w:jc w:val="center"/>
              <w:rPr>
                <w:rFonts w:asciiTheme="majorHAnsi" w:hAnsiTheme="majorHAnsi" w:cs="Arial"/>
                <w:b/>
                <w:bCs/>
                <w:sz w:val="16"/>
                <w:szCs w:val="16"/>
              </w:rPr>
            </w:pPr>
            <w:r w:rsidRPr="00810F1C">
              <w:rPr>
                <w:rFonts w:asciiTheme="majorHAnsi" w:hAnsiTheme="majorHAnsi" w:cs="Arial"/>
                <w:b/>
                <w:bCs/>
                <w:sz w:val="16"/>
                <w:szCs w:val="16"/>
              </w:rPr>
              <w:t> </w:t>
            </w:r>
          </w:p>
        </w:tc>
        <w:tc>
          <w:tcPr>
            <w:tcW w:w="569" w:type="pct"/>
            <w:tcBorders>
              <w:top w:val="nil"/>
              <w:left w:val="nil"/>
              <w:bottom w:val="nil"/>
              <w:right w:val="nil"/>
            </w:tcBorders>
            <w:shd w:val="clear" w:color="auto" w:fill="auto"/>
            <w:vAlign w:val="bottom"/>
            <w:hideMark/>
          </w:tcPr>
          <w:p w14:paraId="1B69B46A"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01/01/2021</w:t>
            </w:r>
          </w:p>
        </w:tc>
        <w:tc>
          <w:tcPr>
            <w:tcW w:w="726" w:type="pct"/>
            <w:tcBorders>
              <w:top w:val="nil"/>
              <w:left w:val="nil"/>
              <w:bottom w:val="nil"/>
              <w:right w:val="nil"/>
            </w:tcBorders>
            <w:shd w:val="clear" w:color="auto" w:fill="auto"/>
            <w:vAlign w:val="bottom"/>
            <w:hideMark/>
          </w:tcPr>
          <w:p w14:paraId="413AF69D"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01/01/2020</w:t>
            </w:r>
          </w:p>
        </w:tc>
      </w:tr>
      <w:tr w:rsidR="00810F1C" w:rsidRPr="00810F1C" w14:paraId="6BB6E151" w14:textId="77777777" w:rsidTr="00810F1C">
        <w:trPr>
          <w:trHeight w:val="300"/>
        </w:trPr>
        <w:tc>
          <w:tcPr>
            <w:tcW w:w="1710" w:type="pct"/>
            <w:tcBorders>
              <w:top w:val="nil"/>
              <w:left w:val="nil"/>
              <w:bottom w:val="nil"/>
              <w:right w:val="nil"/>
            </w:tcBorders>
            <w:shd w:val="clear" w:color="000000" w:fill="FFFFFF"/>
            <w:noWrap/>
            <w:vAlign w:val="bottom"/>
            <w:hideMark/>
          </w:tcPr>
          <w:p w14:paraId="245542A8" w14:textId="77777777" w:rsidR="00810F1C" w:rsidRPr="00810F1C" w:rsidRDefault="00810F1C">
            <w:pPr>
              <w:jc w:val="center"/>
              <w:rPr>
                <w:rFonts w:asciiTheme="majorHAnsi" w:hAnsiTheme="majorHAnsi" w:cs="Arial"/>
                <w:b/>
                <w:bCs/>
                <w:sz w:val="16"/>
                <w:szCs w:val="16"/>
              </w:rPr>
            </w:pPr>
            <w:r w:rsidRPr="00810F1C">
              <w:rPr>
                <w:rFonts w:asciiTheme="majorHAnsi" w:hAnsiTheme="majorHAnsi" w:cs="Arial"/>
                <w:b/>
                <w:bCs/>
                <w:sz w:val="16"/>
                <w:szCs w:val="16"/>
              </w:rPr>
              <w:t> </w:t>
            </w:r>
          </w:p>
        </w:tc>
        <w:tc>
          <w:tcPr>
            <w:tcW w:w="642" w:type="pct"/>
            <w:tcBorders>
              <w:top w:val="nil"/>
              <w:left w:val="nil"/>
              <w:bottom w:val="nil"/>
              <w:right w:val="nil"/>
            </w:tcBorders>
            <w:shd w:val="clear" w:color="000000" w:fill="FFFFFF"/>
            <w:noWrap/>
            <w:vAlign w:val="bottom"/>
            <w:hideMark/>
          </w:tcPr>
          <w:p w14:paraId="75EAE465" w14:textId="77777777" w:rsidR="00810F1C" w:rsidRPr="00810F1C" w:rsidRDefault="00810F1C">
            <w:pPr>
              <w:jc w:val="center"/>
              <w:rPr>
                <w:rFonts w:asciiTheme="majorHAnsi" w:hAnsiTheme="majorHAnsi" w:cs="Arial"/>
                <w:b/>
                <w:bCs/>
                <w:sz w:val="16"/>
                <w:szCs w:val="16"/>
              </w:rPr>
            </w:pPr>
            <w:r w:rsidRPr="00810F1C">
              <w:rPr>
                <w:rFonts w:asciiTheme="majorHAnsi" w:hAnsiTheme="majorHAnsi" w:cs="Arial"/>
                <w:b/>
                <w:bCs/>
                <w:sz w:val="16"/>
                <w:szCs w:val="16"/>
              </w:rPr>
              <w:t> </w:t>
            </w:r>
          </w:p>
        </w:tc>
        <w:tc>
          <w:tcPr>
            <w:tcW w:w="1353" w:type="pct"/>
            <w:tcBorders>
              <w:top w:val="nil"/>
              <w:left w:val="nil"/>
              <w:bottom w:val="nil"/>
              <w:right w:val="nil"/>
            </w:tcBorders>
            <w:shd w:val="clear" w:color="000000" w:fill="FFFFFF"/>
            <w:noWrap/>
            <w:vAlign w:val="bottom"/>
            <w:hideMark/>
          </w:tcPr>
          <w:p w14:paraId="4F48EDD4" w14:textId="77777777" w:rsidR="00810F1C" w:rsidRPr="00810F1C" w:rsidRDefault="00810F1C">
            <w:pPr>
              <w:jc w:val="center"/>
              <w:rPr>
                <w:rFonts w:asciiTheme="majorHAnsi" w:hAnsiTheme="majorHAnsi" w:cs="Arial"/>
                <w:b/>
                <w:bCs/>
                <w:sz w:val="16"/>
                <w:szCs w:val="16"/>
              </w:rPr>
            </w:pPr>
            <w:r w:rsidRPr="00810F1C">
              <w:rPr>
                <w:rFonts w:asciiTheme="majorHAnsi" w:hAnsiTheme="majorHAnsi" w:cs="Arial"/>
                <w:b/>
                <w:bCs/>
                <w:sz w:val="16"/>
                <w:szCs w:val="16"/>
              </w:rPr>
              <w:t> </w:t>
            </w:r>
          </w:p>
        </w:tc>
        <w:tc>
          <w:tcPr>
            <w:tcW w:w="569" w:type="pct"/>
            <w:tcBorders>
              <w:top w:val="nil"/>
              <w:left w:val="nil"/>
              <w:bottom w:val="nil"/>
              <w:right w:val="nil"/>
            </w:tcBorders>
            <w:shd w:val="clear" w:color="auto" w:fill="auto"/>
            <w:noWrap/>
            <w:vAlign w:val="bottom"/>
            <w:hideMark/>
          </w:tcPr>
          <w:p w14:paraId="3BD8B0AA"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a 30/06/2021</w:t>
            </w:r>
          </w:p>
        </w:tc>
        <w:tc>
          <w:tcPr>
            <w:tcW w:w="726" w:type="pct"/>
            <w:tcBorders>
              <w:top w:val="nil"/>
              <w:left w:val="nil"/>
              <w:bottom w:val="nil"/>
              <w:right w:val="nil"/>
            </w:tcBorders>
            <w:shd w:val="clear" w:color="auto" w:fill="auto"/>
            <w:noWrap/>
            <w:vAlign w:val="bottom"/>
            <w:hideMark/>
          </w:tcPr>
          <w:p w14:paraId="02FE2AA6"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a 30/06/2020</w:t>
            </w:r>
          </w:p>
        </w:tc>
      </w:tr>
      <w:tr w:rsidR="00810F1C" w:rsidRPr="00810F1C" w14:paraId="33471E37" w14:textId="77777777" w:rsidTr="00810F1C">
        <w:trPr>
          <w:trHeight w:val="300"/>
        </w:trPr>
        <w:tc>
          <w:tcPr>
            <w:tcW w:w="1710" w:type="pct"/>
            <w:tcBorders>
              <w:top w:val="nil"/>
              <w:left w:val="nil"/>
              <w:bottom w:val="nil"/>
              <w:right w:val="nil"/>
            </w:tcBorders>
            <w:shd w:val="clear" w:color="000000" w:fill="FFFFFF"/>
            <w:noWrap/>
            <w:vAlign w:val="bottom"/>
            <w:hideMark/>
          </w:tcPr>
          <w:p w14:paraId="61EED76A" w14:textId="77777777" w:rsidR="00810F1C" w:rsidRPr="00810F1C" w:rsidRDefault="00810F1C">
            <w:pPr>
              <w:jc w:val="center"/>
              <w:rPr>
                <w:rFonts w:asciiTheme="majorHAnsi" w:hAnsiTheme="majorHAnsi" w:cs="Arial"/>
                <w:b/>
                <w:bCs/>
                <w:sz w:val="16"/>
                <w:szCs w:val="16"/>
              </w:rPr>
            </w:pPr>
            <w:r w:rsidRPr="00810F1C">
              <w:rPr>
                <w:rFonts w:asciiTheme="majorHAnsi" w:hAnsiTheme="majorHAnsi" w:cs="Arial"/>
                <w:b/>
                <w:bCs/>
                <w:sz w:val="16"/>
                <w:szCs w:val="16"/>
              </w:rPr>
              <w:t> </w:t>
            </w:r>
          </w:p>
        </w:tc>
        <w:tc>
          <w:tcPr>
            <w:tcW w:w="642" w:type="pct"/>
            <w:tcBorders>
              <w:top w:val="nil"/>
              <w:left w:val="nil"/>
              <w:bottom w:val="nil"/>
              <w:right w:val="nil"/>
            </w:tcBorders>
            <w:shd w:val="clear" w:color="000000" w:fill="FFFFFF"/>
            <w:noWrap/>
            <w:vAlign w:val="bottom"/>
            <w:hideMark/>
          </w:tcPr>
          <w:p w14:paraId="22CAD926" w14:textId="77777777" w:rsidR="00810F1C" w:rsidRPr="00810F1C" w:rsidRDefault="00810F1C">
            <w:pPr>
              <w:jc w:val="center"/>
              <w:rPr>
                <w:rFonts w:asciiTheme="majorHAnsi" w:hAnsiTheme="majorHAnsi" w:cs="Arial"/>
                <w:b/>
                <w:bCs/>
                <w:sz w:val="16"/>
                <w:szCs w:val="16"/>
              </w:rPr>
            </w:pPr>
            <w:r w:rsidRPr="00810F1C">
              <w:rPr>
                <w:rFonts w:asciiTheme="majorHAnsi" w:hAnsiTheme="majorHAnsi" w:cs="Arial"/>
                <w:b/>
                <w:bCs/>
                <w:sz w:val="16"/>
                <w:szCs w:val="16"/>
              </w:rPr>
              <w:t> </w:t>
            </w:r>
          </w:p>
        </w:tc>
        <w:tc>
          <w:tcPr>
            <w:tcW w:w="1353" w:type="pct"/>
            <w:tcBorders>
              <w:top w:val="nil"/>
              <w:left w:val="nil"/>
              <w:bottom w:val="nil"/>
              <w:right w:val="nil"/>
            </w:tcBorders>
            <w:shd w:val="clear" w:color="000000" w:fill="FFFFFF"/>
            <w:noWrap/>
            <w:vAlign w:val="bottom"/>
            <w:hideMark/>
          </w:tcPr>
          <w:p w14:paraId="5AF93FE6"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27154421"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 </w:t>
            </w:r>
          </w:p>
        </w:tc>
        <w:tc>
          <w:tcPr>
            <w:tcW w:w="726" w:type="pct"/>
            <w:tcBorders>
              <w:top w:val="nil"/>
              <w:left w:val="nil"/>
              <w:bottom w:val="nil"/>
              <w:right w:val="nil"/>
            </w:tcBorders>
            <w:shd w:val="clear" w:color="000000" w:fill="FFFFFF"/>
            <w:noWrap/>
            <w:vAlign w:val="bottom"/>
            <w:hideMark/>
          </w:tcPr>
          <w:p w14:paraId="75E37D34"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 </w:t>
            </w:r>
          </w:p>
        </w:tc>
      </w:tr>
      <w:tr w:rsidR="00810F1C" w:rsidRPr="00810F1C" w14:paraId="1D4DB466" w14:textId="77777777" w:rsidTr="00810F1C">
        <w:trPr>
          <w:trHeight w:val="300"/>
        </w:trPr>
        <w:tc>
          <w:tcPr>
            <w:tcW w:w="1710" w:type="pct"/>
            <w:tcBorders>
              <w:top w:val="nil"/>
              <w:left w:val="nil"/>
              <w:bottom w:val="nil"/>
              <w:right w:val="nil"/>
            </w:tcBorders>
            <w:shd w:val="clear" w:color="000000" w:fill="FFFFFF"/>
            <w:noWrap/>
            <w:vAlign w:val="bottom"/>
            <w:hideMark/>
          </w:tcPr>
          <w:p w14:paraId="4A5EF43A"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I. RECEITAS</w:t>
            </w:r>
          </w:p>
        </w:tc>
        <w:tc>
          <w:tcPr>
            <w:tcW w:w="642" w:type="pct"/>
            <w:tcBorders>
              <w:top w:val="nil"/>
              <w:left w:val="nil"/>
              <w:bottom w:val="nil"/>
              <w:right w:val="nil"/>
            </w:tcBorders>
            <w:shd w:val="clear" w:color="000000" w:fill="FFFFFF"/>
            <w:noWrap/>
            <w:vAlign w:val="bottom"/>
            <w:hideMark/>
          </w:tcPr>
          <w:p w14:paraId="37CC4384"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 </w:t>
            </w:r>
          </w:p>
        </w:tc>
        <w:tc>
          <w:tcPr>
            <w:tcW w:w="1353" w:type="pct"/>
            <w:tcBorders>
              <w:top w:val="nil"/>
              <w:left w:val="nil"/>
              <w:bottom w:val="nil"/>
              <w:right w:val="nil"/>
            </w:tcBorders>
            <w:shd w:val="clear" w:color="000000" w:fill="FFFFFF"/>
            <w:noWrap/>
            <w:vAlign w:val="bottom"/>
            <w:hideMark/>
          </w:tcPr>
          <w:p w14:paraId="3246EEC1"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664226BF"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77.148.257</w:t>
            </w:r>
          </w:p>
        </w:tc>
        <w:tc>
          <w:tcPr>
            <w:tcW w:w="726" w:type="pct"/>
            <w:tcBorders>
              <w:top w:val="nil"/>
              <w:left w:val="nil"/>
              <w:bottom w:val="nil"/>
              <w:right w:val="nil"/>
            </w:tcBorders>
            <w:shd w:val="clear" w:color="000000" w:fill="FFFFFF"/>
            <w:noWrap/>
            <w:vAlign w:val="bottom"/>
            <w:hideMark/>
          </w:tcPr>
          <w:p w14:paraId="12D555EA"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65.404.170</w:t>
            </w:r>
          </w:p>
        </w:tc>
      </w:tr>
      <w:tr w:rsidR="00810F1C" w:rsidRPr="00810F1C" w14:paraId="418B3B2F"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490E5DFC"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xml:space="preserve">        Receitas de Exploração da Ferrovia</w:t>
            </w:r>
          </w:p>
        </w:tc>
        <w:tc>
          <w:tcPr>
            <w:tcW w:w="1353" w:type="pct"/>
            <w:tcBorders>
              <w:top w:val="nil"/>
              <w:left w:val="nil"/>
              <w:bottom w:val="nil"/>
              <w:right w:val="nil"/>
            </w:tcBorders>
            <w:shd w:val="clear" w:color="000000" w:fill="FFFFFF"/>
            <w:noWrap/>
            <w:vAlign w:val="bottom"/>
            <w:hideMark/>
          </w:tcPr>
          <w:p w14:paraId="4738577A"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5780AF5F"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110.877</w:t>
            </w:r>
          </w:p>
        </w:tc>
        <w:tc>
          <w:tcPr>
            <w:tcW w:w="726" w:type="pct"/>
            <w:tcBorders>
              <w:top w:val="nil"/>
              <w:left w:val="nil"/>
              <w:bottom w:val="nil"/>
              <w:right w:val="nil"/>
            </w:tcBorders>
            <w:shd w:val="clear" w:color="000000" w:fill="FFFFFF"/>
            <w:noWrap/>
            <w:vAlign w:val="bottom"/>
            <w:hideMark/>
          </w:tcPr>
          <w:p w14:paraId="7ED4B75C"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6.251</w:t>
            </w:r>
          </w:p>
        </w:tc>
      </w:tr>
      <w:tr w:rsidR="00810F1C" w:rsidRPr="00810F1C" w14:paraId="7ABBE649"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156A502B"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xml:space="preserve">        Permissões para uso de pátios</w:t>
            </w:r>
          </w:p>
        </w:tc>
        <w:tc>
          <w:tcPr>
            <w:tcW w:w="1353" w:type="pct"/>
            <w:tcBorders>
              <w:top w:val="nil"/>
              <w:left w:val="nil"/>
              <w:bottom w:val="nil"/>
              <w:right w:val="nil"/>
            </w:tcBorders>
            <w:shd w:val="clear" w:color="000000" w:fill="FFFFFF"/>
            <w:noWrap/>
            <w:vAlign w:val="bottom"/>
            <w:hideMark/>
          </w:tcPr>
          <w:p w14:paraId="2A925026"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4A198311"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1.196.191</w:t>
            </w:r>
          </w:p>
        </w:tc>
        <w:tc>
          <w:tcPr>
            <w:tcW w:w="726" w:type="pct"/>
            <w:tcBorders>
              <w:top w:val="nil"/>
              <w:left w:val="nil"/>
              <w:bottom w:val="nil"/>
              <w:right w:val="nil"/>
            </w:tcBorders>
            <w:shd w:val="clear" w:color="000000" w:fill="FFFFFF"/>
            <w:noWrap/>
            <w:vAlign w:val="bottom"/>
            <w:hideMark/>
          </w:tcPr>
          <w:p w14:paraId="4FC60508"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904.524</w:t>
            </w:r>
          </w:p>
        </w:tc>
      </w:tr>
      <w:tr w:rsidR="00810F1C" w:rsidRPr="00810F1C" w14:paraId="687C4E29"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157E6B51"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 xml:space="preserve">        </w:t>
            </w:r>
            <w:r w:rsidRPr="00810F1C">
              <w:rPr>
                <w:rFonts w:asciiTheme="majorHAnsi" w:hAnsiTheme="majorHAnsi" w:cs="Arial"/>
                <w:sz w:val="16"/>
                <w:szCs w:val="16"/>
              </w:rPr>
              <w:t>Repasses Recebidos (subvenções p/ custeio)</w:t>
            </w:r>
          </w:p>
        </w:tc>
        <w:tc>
          <w:tcPr>
            <w:tcW w:w="1353" w:type="pct"/>
            <w:tcBorders>
              <w:top w:val="nil"/>
              <w:left w:val="nil"/>
              <w:bottom w:val="nil"/>
              <w:right w:val="nil"/>
            </w:tcBorders>
            <w:shd w:val="clear" w:color="000000" w:fill="FFFFFF"/>
            <w:noWrap/>
            <w:vAlign w:val="bottom"/>
            <w:hideMark/>
          </w:tcPr>
          <w:p w14:paraId="2DE7D260"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317E7F72"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75.841.189</w:t>
            </w:r>
          </w:p>
        </w:tc>
        <w:tc>
          <w:tcPr>
            <w:tcW w:w="726" w:type="pct"/>
            <w:tcBorders>
              <w:top w:val="nil"/>
              <w:left w:val="nil"/>
              <w:bottom w:val="nil"/>
              <w:right w:val="nil"/>
            </w:tcBorders>
            <w:shd w:val="clear" w:color="000000" w:fill="FFFFFF"/>
            <w:noWrap/>
            <w:vAlign w:val="bottom"/>
            <w:hideMark/>
          </w:tcPr>
          <w:p w14:paraId="5CEC18B2"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64.493.395</w:t>
            </w:r>
          </w:p>
        </w:tc>
      </w:tr>
      <w:tr w:rsidR="00810F1C" w:rsidRPr="00810F1C" w14:paraId="17E350B7" w14:textId="77777777" w:rsidTr="00810F1C">
        <w:trPr>
          <w:trHeight w:val="300"/>
        </w:trPr>
        <w:tc>
          <w:tcPr>
            <w:tcW w:w="1710" w:type="pct"/>
            <w:tcBorders>
              <w:top w:val="nil"/>
              <w:left w:val="nil"/>
              <w:bottom w:val="nil"/>
              <w:right w:val="nil"/>
            </w:tcBorders>
            <w:shd w:val="clear" w:color="000000" w:fill="FFFFFF"/>
            <w:noWrap/>
            <w:vAlign w:val="bottom"/>
            <w:hideMark/>
          </w:tcPr>
          <w:p w14:paraId="74BA29C9"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II. INSUMOS</w:t>
            </w:r>
          </w:p>
        </w:tc>
        <w:tc>
          <w:tcPr>
            <w:tcW w:w="642" w:type="pct"/>
            <w:tcBorders>
              <w:top w:val="nil"/>
              <w:left w:val="nil"/>
              <w:bottom w:val="nil"/>
              <w:right w:val="nil"/>
            </w:tcBorders>
            <w:shd w:val="clear" w:color="000000" w:fill="FFFFFF"/>
            <w:noWrap/>
            <w:vAlign w:val="bottom"/>
            <w:hideMark/>
          </w:tcPr>
          <w:p w14:paraId="24E1F131"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1353" w:type="pct"/>
            <w:tcBorders>
              <w:top w:val="nil"/>
              <w:left w:val="nil"/>
              <w:bottom w:val="nil"/>
              <w:right w:val="nil"/>
            </w:tcBorders>
            <w:shd w:val="clear" w:color="000000" w:fill="FFFFFF"/>
            <w:noWrap/>
            <w:vAlign w:val="bottom"/>
            <w:hideMark/>
          </w:tcPr>
          <w:p w14:paraId="0AEEB14E"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0214C246"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 xml:space="preserve">       50.152.334 </w:t>
            </w:r>
          </w:p>
        </w:tc>
        <w:tc>
          <w:tcPr>
            <w:tcW w:w="726" w:type="pct"/>
            <w:tcBorders>
              <w:top w:val="nil"/>
              <w:left w:val="nil"/>
              <w:bottom w:val="nil"/>
              <w:right w:val="nil"/>
            </w:tcBorders>
            <w:shd w:val="clear" w:color="000000" w:fill="FFFFFF"/>
            <w:noWrap/>
            <w:vAlign w:val="bottom"/>
            <w:hideMark/>
          </w:tcPr>
          <w:p w14:paraId="716DAF19" w14:textId="77777777" w:rsidR="00810F1C" w:rsidRPr="00810F1C" w:rsidRDefault="00810F1C" w:rsidP="00810F1C">
            <w:pPr>
              <w:jc w:val="right"/>
              <w:rPr>
                <w:rFonts w:asciiTheme="majorHAnsi" w:hAnsiTheme="majorHAnsi" w:cs="Arial"/>
                <w:b/>
                <w:bCs/>
                <w:sz w:val="16"/>
                <w:szCs w:val="16"/>
              </w:rPr>
            </w:pPr>
            <w:r w:rsidRPr="00810F1C">
              <w:rPr>
                <w:rFonts w:asciiTheme="majorHAnsi" w:hAnsiTheme="majorHAnsi" w:cs="Arial"/>
                <w:b/>
                <w:bCs/>
                <w:sz w:val="16"/>
                <w:szCs w:val="16"/>
              </w:rPr>
              <w:t xml:space="preserve">                     (195.416.385)</w:t>
            </w:r>
          </w:p>
        </w:tc>
      </w:tr>
      <w:tr w:rsidR="00810F1C" w:rsidRPr="00810F1C" w14:paraId="6AFA5F33"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069C45FD"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 xml:space="preserve">        </w:t>
            </w:r>
            <w:r w:rsidRPr="00810F1C">
              <w:rPr>
                <w:rFonts w:asciiTheme="majorHAnsi" w:hAnsiTheme="majorHAnsi" w:cs="Arial"/>
                <w:sz w:val="16"/>
                <w:szCs w:val="16"/>
              </w:rPr>
              <w:t>Materiais, Energia, Serviços de Terceiros e Outros</w:t>
            </w:r>
          </w:p>
        </w:tc>
        <w:tc>
          <w:tcPr>
            <w:tcW w:w="1353" w:type="pct"/>
            <w:tcBorders>
              <w:top w:val="nil"/>
              <w:left w:val="nil"/>
              <w:bottom w:val="nil"/>
              <w:right w:val="nil"/>
            </w:tcBorders>
            <w:shd w:val="clear" w:color="000000" w:fill="FFFFFF"/>
            <w:noWrap/>
            <w:vAlign w:val="bottom"/>
            <w:hideMark/>
          </w:tcPr>
          <w:p w14:paraId="3435B5A8"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0B86B118"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xml:space="preserve">       50.152.334 </w:t>
            </w:r>
          </w:p>
        </w:tc>
        <w:tc>
          <w:tcPr>
            <w:tcW w:w="726" w:type="pct"/>
            <w:tcBorders>
              <w:top w:val="nil"/>
              <w:left w:val="nil"/>
              <w:bottom w:val="nil"/>
              <w:right w:val="nil"/>
            </w:tcBorders>
            <w:shd w:val="clear" w:color="000000" w:fill="FFFFFF"/>
            <w:noWrap/>
            <w:vAlign w:val="bottom"/>
            <w:hideMark/>
          </w:tcPr>
          <w:p w14:paraId="4944AF00" w14:textId="77777777" w:rsidR="00810F1C" w:rsidRPr="00810F1C" w:rsidRDefault="00810F1C" w:rsidP="00810F1C">
            <w:pPr>
              <w:jc w:val="right"/>
              <w:rPr>
                <w:rFonts w:asciiTheme="majorHAnsi" w:hAnsiTheme="majorHAnsi" w:cs="Arial"/>
                <w:sz w:val="16"/>
                <w:szCs w:val="16"/>
              </w:rPr>
            </w:pPr>
            <w:r w:rsidRPr="00810F1C">
              <w:rPr>
                <w:rFonts w:asciiTheme="majorHAnsi" w:hAnsiTheme="majorHAnsi" w:cs="Arial"/>
                <w:sz w:val="16"/>
                <w:szCs w:val="16"/>
              </w:rPr>
              <w:t xml:space="preserve">                     (195.416.385)</w:t>
            </w:r>
          </w:p>
        </w:tc>
      </w:tr>
      <w:tr w:rsidR="00810F1C" w:rsidRPr="00810F1C" w14:paraId="0CDA502A"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68DEFC55"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III. VALOR ADICIONADO BRUTO (I - II)</w:t>
            </w:r>
          </w:p>
        </w:tc>
        <w:tc>
          <w:tcPr>
            <w:tcW w:w="1353" w:type="pct"/>
            <w:tcBorders>
              <w:top w:val="nil"/>
              <w:left w:val="nil"/>
              <w:bottom w:val="nil"/>
              <w:right w:val="nil"/>
            </w:tcBorders>
            <w:shd w:val="clear" w:color="000000" w:fill="FFFFFF"/>
            <w:noWrap/>
            <w:vAlign w:val="bottom"/>
            <w:hideMark/>
          </w:tcPr>
          <w:p w14:paraId="4D833CF1"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3EC5D140"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 xml:space="preserve">       26.995.923 </w:t>
            </w:r>
          </w:p>
        </w:tc>
        <w:tc>
          <w:tcPr>
            <w:tcW w:w="726" w:type="pct"/>
            <w:tcBorders>
              <w:top w:val="nil"/>
              <w:left w:val="nil"/>
              <w:bottom w:val="nil"/>
              <w:right w:val="nil"/>
            </w:tcBorders>
            <w:shd w:val="clear" w:color="000000" w:fill="FFFFFF"/>
            <w:noWrap/>
            <w:vAlign w:val="bottom"/>
            <w:hideMark/>
          </w:tcPr>
          <w:p w14:paraId="45F96D13" w14:textId="77777777" w:rsidR="00810F1C" w:rsidRPr="00810F1C" w:rsidRDefault="00810F1C" w:rsidP="00810F1C">
            <w:pPr>
              <w:jc w:val="right"/>
              <w:rPr>
                <w:rFonts w:asciiTheme="majorHAnsi" w:hAnsiTheme="majorHAnsi" w:cs="Arial"/>
                <w:b/>
                <w:bCs/>
                <w:sz w:val="16"/>
                <w:szCs w:val="16"/>
              </w:rPr>
            </w:pPr>
            <w:r w:rsidRPr="00810F1C">
              <w:rPr>
                <w:rFonts w:asciiTheme="majorHAnsi" w:hAnsiTheme="majorHAnsi" w:cs="Arial"/>
                <w:b/>
                <w:bCs/>
                <w:sz w:val="16"/>
                <w:szCs w:val="16"/>
              </w:rPr>
              <w:t xml:space="preserve">                        260.820.555 </w:t>
            </w:r>
          </w:p>
        </w:tc>
      </w:tr>
      <w:tr w:rsidR="00810F1C" w:rsidRPr="00810F1C" w14:paraId="6EED722D" w14:textId="77777777" w:rsidTr="00810F1C">
        <w:trPr>
          <w:trHeight w:val="300"/>
        </w:trPr>
        <w:tc>
          <w:tcPr>
            <w:tcW w:w="1710" w:type="pct"/>
            <w:tcBorders>
              <w:top w:val="nil"/>
              <w:left w:val="nil"/>
              <w:bottom w:val="nil"/>
              <w:right w:val="nil"/>
            </w:tcBorders>
            <w:shd w:val="clear" w:color="000000" w:fill="FFFFFF"/>
            <w:noWrap/>
            <w:vAlign w:val="bottom"/>
            <w:hideMark/>
          </w:tcPr>
          <w:p w14:paraId="77770422"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IV. RETENÇÕES</w:t>
            </w:r>
          </w:p>
        </w:tc>
        <w:tc>
          <w:tcPr>
            <w:tcW w:w="642" w:type="pct"/>
            <w:tcBorders>
              <w:top w:val="nil"/>
              <w:left w:val="nil"/>
              <w:bottom w:val="nil"/>
              <w:right w:val="nil"/>
            </w:tcBorders>
            <w:shd w:val="clear" w:color="000000" w:fill="FFFFFF"/>
            <w:noWrap/>
            <w:vAlign w:val="bottom"/>
            <w:hideMark/>
          </w:tcPr>
          <w:p w14:paraId="2BE696D2"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1353" w:type="pct"/>
            <w:tcBorders>
              <w:top w:val="nil"/>
              <w:left w:val="nil"/>
              <w:bottom w:val="nil"/>
              <w:right w:val="nil"/>
            </w:tcBorders>
            <w:shd w:val="clear" w:color="000000" w:fill="FFFFFF"/>
            <w:noWrap/>
            <w:vAlign w:val="bottom"/>
            <w:hideMark/>
          </w:tcPr>
          <w:p w14:paraId="4834C38A"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2B3E6963"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5.585.451</w:t>
            </w:r>
          </w:p>
        </w:tc>
        <w:tc>
          <w:tcPr>
            <w:tcW w:w="726" w:type="pct"/>
            <w:tcBorders>
              <w:top w:val="nil"/>
              <w:left w:val="nil"/>
              <w:bottom w:val="nil"/>
              <w:right w:val="nil"/>
            </w:tcBorders>
            <w:shd w:val="clear" w:color="000000" w:fill="FFFFFF"/>
            <w:noWrap/>
            <w:vAlign w:val="bottom"/>
            <w:hideMark/>
          </w:tcPr>
          <w:p w14:paraId="145DD628"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8.243.852</w:t>
            </w:r>
          </w:p>
        </w:tc>
      </w:tr>
      <w:tr w:rsidR="00810F1C" w:rsidRPr="00810F1C" w14:paraId="47AC0358" w14:textId="77777777" w:rsidTr="00810F1C">
        <w:trPr>
          <w:trHeight w:val="285"/>
        </w:trPr>
        <w:tc>
          <w:tcPr>
            <w:tcW w:w="2352" w:type="pct"/>
            <w:gridSpan w:val="2"/>
            <w:tcBorders>
              <w:top w:val="nil"/>
              <w:left w:val="nil"/>
              <w:bottom w:val="nil"/>
              <w:right w:val="nil"/>
            </w:tcBorders>
            <w:shd w:val="clear" w:color="000000" w:fill="FFFFFF"/>
            <w:noWrap/>
            <w:vAlign w:val="bottom"/>
            <w:hideMark/>
          </w:tcPr>
          <w:p w14:paraId="26422AA6"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xml:space="preserve">        Depreciação e Amortização</w:t>
            </w:r>
          </w:p>
        </w:tc>
        <w:tc>
          <w:tcPr>
            <w:tcW w:w="1353" w:type="pct"/>
            <w:tcBorders>
              <w:top w:val="nil"/>
              <w:left w:val="nil"/>
              <w:bottom w:val="nil"/>
              <w:right w:val="nil"/>
            </w:tcBorders>
            <w:shd w:val="clear" w:color="000000" w:fill="FFFFFF"/>
            <w:noWrap/>
            <w:vAlign w:val="bottom"/>
            <w:hideMark/>
          </w:tcPr>
          <w:p w14:paraId="536AF759"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499FF164"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3.242.179</w:t>
            </w:r>
          </w:p>
        </w:tc>
        <w:tc>
          <w:tcPr>
            <w:tcW w:w="726" w:type="pct"/>
            <w:tcBorders>
              <w:top w:val="nil"/>
              <w:left w:val="nil"/>
              <w:bottom w:val="nil"/>
              <w:right w:val="nil"/>
            </w:tcBorders>
            <w:shd w:val="clear" w:color="000000" w:fill="FFFFFF"/>
            <w:noWrap/>
            <w:vAlign w:val="bottom"/>
            <w:hideMark/>
          </w:tcPr>
          <w:p w14:paraId="17FC5DED"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4.334.504</w:t>
            </w:r>
          </w:p>
        </w:tc>
      </w:tr>
      <w:tr w:rsidR="00810F1C" w:rsidRPr="00810F1C" w14:paraId="35B61CA2" w14:textId="77777777" w:rsidTr="00810F1C">
        <w:trPr>
          <w:trHeight w:val="285"/>
        </w:trPr>
        <w:tc>
          <w:tcPr>
            <w:tcW w:w="2352" w:type="pct"/>
            <w:gridSpan w:val="2"/>
            <w:tcBorders>
              <w:top w:val="nil"/>
              <w:left w:val="nil"/>
              <w:bottom w:val="nil"/>
              <w:right w:val="nil"/>
            </w:tcBorders>
            <w:shd w:val="clear" w:color="000000" w:fill="FFFFFF"/>
            <w:noWrap/>
            <w:vAlign w:val="bottom"/>
            <w:hideMark/>
          </w:tcPr>
          <w:p w14:paraId="2D09344A"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xml:space="preserve">        Depreciação de Direito de Uso</w:t>
            </w:r>
          </w:p>
        </w:tc>
        <w:tc>
          <w:tcPr>
            <w:tcW w:w="1353" w:type="pct"/>
            <w:tcBorders>
              <w:top w:val="nil"/>
              <w:left w:val="nil"/>
              <w:bottom w:val="nil"/>
              <w:right w:val="nil"/>
            </w:tcBorders>
            <w:shd w:val="clear" w:color="000000" w:fill="FFFFFF"/>
            <w:noWrap/>
            <w:vAlign w:val="bottom"/>
            <w:hideMark/>
          </w:tcPr>
          <w:p w14:paraId="5527D53F"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742CADF9"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2.343.272</w:t>
            </w:r>
          </w:p>
        </w:tc>
        <w:tc>
          <w:tcPr>
            <w:tcW w:w="726" w:type="pct"/>
            <w:tcBorders>
              <w:top w:val="nil"/>
              <w:left w:val="nil"/>
              <w:bottom w:val="nil"/>
              <w:right w:val="nil"/>
            </w:tcBorders>
            <w:shd w:val="clear" w:color="000000" w:fill="FFFFFF"/>
            <w:noWrap/>
            <w:vAlign w:val="bottom"/>
            <w:hideMark/>
          </w:tcPr>
          <w:p w14:paraId="711B0C5C"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3.909.348</w:t>
            </w:r>
          </w:p>
        </w:tc>
      </w:tr>
      <w:tr w:rsidR="00810F1C" w:rsidRPr="00810F1C" w14:paraId="3F7EABBD"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3685A51E"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V. VALOR ADICIONADO LÍQUIDO PRODUZIDO PELA ENTIDADE (III - IV)</w:t>
            </w:r>
          </w:p>
        </w:tc>
        <w:tc>
          <w:tcPr>
            <w:tcW w:w="1353" w:type="pct"/>
            <w:tcBorders>
              <w:top w:val="nil"/>
              <w:left w:val="nil"/>
              <w:bottom w:val="nil"/>
              <w:right w:val="nil"/>
            </w:tcBorders>
            <w:shd w:val="clear" w:color="000000" w:fill="FFFFFF"/>
            <w:noWrap/>
            <w:vAlign w:val="bottom"/>
            <w:hideMark/>
          </w:tcPr>
          <w:p w14:paraId="401C3AC1"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1606C333"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 xml:space="preserve">       21.410.472 </w:t>
            </w:r>
          </w:p>
        </w:tc>
        <w:tc>
          <w:tcPr>
            <w:tcW w:w="726" w:type="pct"/>
            <w:tcBorders>
              <w:top w:val="nil"/>
              <w:left w:val="nil"/>
              <w:bottom w:val="nil"/>
              <w:right w:val="nil"/>
            </w:tcBorders>
            <w:shd w:val="clear" w:color="000000" w:fill="FFFFFF"/>
            <w:noWrap/>
            <w:vAlign w:val="bottom"/>
            <w:hideMark/>
          </w:tcPr>
          <w:p w14:paraId="1C7B4123"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 xml:space="preserve">                        252.576.703 </w:t>
            </w:r>
          </w:p>
        </w:tc>
      </w:tr>
      <w:tr w:rsidR="00810F1C" w:rsidRPr="00810F1C" w14:paraId="250029E9"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529815DD"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 xml:space="preserve">VI. VALOR ADICIONADO RECEBIDO EM TRANSFERÊNCIAS </w:t>
            </w:r>
          </w:p>
        </w:tc>
        <w:tc>
          <w:tcPr>
            <w:tcW w:w="1353" w:type="pct"/>
            <w:tcBorders>
              <w:top w:val="nil"/>
              <w:left w:val="nil"/>
              <w:bottom w:val="nil"/>
              <w:right w:val="nil"/>
            </w:tcBorders>
            <w:shd w:val="clear" w:color="000000" w:fill="FFFFFF"/>
            <w:noWrap/>
            <w:vAlign w:val="bottom"/>
            <w:hideMark/>
          </w:tcPr>
          <w:p w14:paraId="2F8BB107"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1D13290B"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 xml:space="preserve">    (12.775.881)</w:t>
            </w:r>
          </w:p>
        </w:tc>
        <w:tc>
          <w:tcPr>
            <w:tcW w:w="726" w:type="pct"/>
            <w:tcBorders>
              <w:top w:val="nil"/>
              <w:left w:val="nil"/>
              <w:bottom w:val="nil"/>
              <w:right w:val="nil"/>
            </w:tcBorders>
            <w:shd w:val="clear" w:color="000000" w:fill="FFFFFF"/>
            <w:noWrap/>
            <w:vAlign w:val="bottom"/>
            <w:hideMark/>
          </w:tcPr>
          <w:p w14:paraId="031A5A20"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 xml:space="preserve">                        (13.874.122)</w:t>
            </w:r>
          </w:p>
        </w:tc>
      </w:tr>
      <w:tr w:rsidR="00810F1C" w:rsidRPr="00810F1C" w14:paraId="0A6F994F" w14:textId="77777777" w:rsidTr="00810F1C">
        <w:trPr>
          <w:trHeight w:val="360"/>
        </w:trPr>
        <w:tc>
          <w:tcPr>
            <w:tcW w:w="2352" w:type="pct"/>
            <w:gridSpan w:val="2"/>
            <w:tcBorders>
              <w:top w:val="nil"/>
              <w:left w:val="nil"/>
              <w:bottom w:val="nil"/>
              <w:right w:val="nil"/>
            </w:tcBorders>
            <w:shd w:val="clear" w:color="000000" w:fill="FFFFFF"/>
            <w:noWrap/>
            <w:vAlign w:val="center"/>
            <w:hideMark/>
          </w:tcPr>
          <w:p w14:paraId="1254908A"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xml:space="preserve">        Receitas Financeiras</w:t>
            </w:r>
          </w:p>
        </w:tc>
        <w:tc>
          <w:tcPr>
            <w:tcW w:w="1353" w:type="pct"/>
            <w:tcBorders>
              <w:top w:val="nil"/>
              <w:left w:val="nil"/>
              <w:bottom w:val="nil"/>
              <w:right w:val="nil"/>
            </w:tcBorders>
            <w:shd w:val="clear" w:color="000000" w:fill="FFFFFF"/>
            <w:noWrap/>
            <w:vAlign w:val="bottom"/>
            <w:hideMark/>
          </w:tcPr>
          <w:p w14:paraId="5139ADC9"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2CCCE5F1"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xml:space="preserve">         3.461.839 </w:t>
            </w:r>
          </w:p>
        </w:tc>
        <w:tc>
          <w:tcPr>
            <w:tcW w:w="726" w:type="pct"/>
            <w:tcBorders>
              <w:top w:val="nil"/>
              <w:left w:val="nil"/>
              <w:bottom w:val="nil"/>
              <w:right w:val="nil"/>
            </w:tcBorders>
            <w:shd w:val="clear" w:color="000000" w:fill="FFFFFF"/>
            <w:noWrap/>
            <w:vAlign w:val="bottom"/>
            <w:hideMark/>
          </w:tcPr>
          <w:p w14:paraId="4B9E13EF"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 xml:space="preserve">                                995.217 </w:t>
            </w:r>
          </w:p>
        </w:tc>
      </w:tr>
      <w:tr w:rsidR="00810F1C" w:rsidRPr="00810F1C" w14:paraId="09F541CF" w14:textId="77777777" w:rsidTr="00810F1C">
        <w:trPr>
          <w:trHeight w:val="360"/>
        </w:trPr>
        <w:tc>
          <w:tcPr>
            <w:tcW w:w="1710" w:type="pct"/>
            <w:tcBorders>
              <w:top w:val="nil"/>
              <w:left w:val="nil"/>
              <w:bottom w:val="nil"/>
              <w:right w:val="nil"/>
            </w:tcBorders>
            <w:shd w:val="clear" w:color="000000" w:fill="FFFFFF"/>
            <w:noWrap/>
            <w:vAlign w:val="center"/>
            <w:hideMark/>
          </w:tcPr>
          <w:p w14:paraId="76592B3C"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xml:space="preserve">        Doações</w:t>
            </w:r>
          </w:p>
        </w:tc>
        <w:tc>
          <w:tcPr>
            <w:tcW w:w="642" w:type="pct"/>
            <w:tcBorders>
              <w:top w:val="nil"/>
              <w:left w:val="nil"/>
              <w:bottom w:val="nil"/>
              <w:right w:val="nil"/>
            </w:tcBorders>
            <w:shd w:val="clear" w:color="000000" w:fill="FFFFFF"/>
            <w:noWrap/>
            <w:vAlign w:val="bottom"/>
            <w:hideMark/>
          </w:tcPr>
          <w:p w14:paraId="55DC9E32"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1353" w:type="pct"/>
            <w:tcBorders>
              <w:top w:val="nil"/>
              <w:left w:val="nil"/>
              <w:bottom w:val="nil"/>
              <w:right w:val="nil"/>
            </w:tcBorders>
            <w:shd w:val="clear" w:color="000000" w:fill="FFFFFF"/>
            <w:noWrap/>
            <w:vAlign w:val="bottom"/>
            <w:hideMark/>
          </w:tcPr>
          <w:p w14:paraId="0BADD8AE"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275E4FFF"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365.849</w:t>
            </w:r>
          </w:p>
        </w:tc>
        <w:tc>
          <w:tcPr>
            <w:tcW w:w="726" w:type="pct"/>
            <w:tcBorders>
              <w:top w:val="nil"/>
              <w:left w:val="nil"/>
              <w:bottom w:val="nil"/>
              <w:right w:val="nil"/>
            </w:tcBorders>
            <w:shd w:val="clear" w:color="000000" w:fill="FFFFFF"/>
            <w:noWrap/>
            <w:vAlign w:val="bottom"/>
            <w:hideMark/>
          </w:tcPr>
          <w:p w14:paraId="682FB9BC"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 xml:space="preserve">                                            -   </w:t>
            </w:r>
          </w:p>
        </w:tc>
      </w:tr>
      <w:tr w:rsidR="00810F1C" w:rsidRPr="00810F1C" w14:paraId="6D28AB14"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20EA53E1"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xml:space="preserve">        Repasse Concedido</w:t>
            </w:r>
          </w:p>
        </w:tc>
        <w:tc>
          <w:tcPr>
            <w:tcW w:w="1353" w:type="pct"/>
            <w:tcBorders>
              <w:top w:val="nil"/>
              <w:left w:val="nil"/>
              <w:bottom w:val="nil"/>
              <w:right w:val="nil"/>
            </w:tcBorders>
            <w:shd w:val="clear" w:color="000000" w:fill="FFFFFF"/>
            <w:noWrap/>
            <w:vAlign w:val="bottom"/>
            <w:hideMark/>
          </w:tcPr>
          <w:p w14:paraId="58A0A29F"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258B9D55"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 xml:space="preserve">          (326.239)</w:t>
            </w:r>
          </w:p>
        </w:tc>
        <w:tc>
          <w:tcPr>
            <w:tcW w:w="726" w:type="pct"/>
            <w:tcBorders>
              <w:top w:val="nil"/>
              <w:left w:val="nil"/>
              <w:bottom w:val="nil"/>
              <w:right w:val="nil"/>
            </w:tcBorders>
            <w:shd w:val="clear" w:color="000000" w:fill="FFFFFF"/>
            <w:noWrap/>
            <w:vAlign w:val="bottom"/>
            <w:hideMark/>
          </w:tcPr>
          <w:p w14:paraId="781F8B1C"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 xml:space="preserve">                                            -   </w:t>
            </w:r>
          </w:p>
        </w:tc>
      </w:tr>
      <w:tr w:rsidR="00810F1C" w:rsidRPr="00810F1C" w14:paraId="05E9DE50"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4C380C7C"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 xml:space="preserve">        </w:t>
            </w:r>
            <w:r w:rsidRPr="00810F1C">
              <w:rPr>
                <w:rFonts w:asciiTheme="majorHAnsi" w:hAnsiTheme="majorHAnsi" w:cs="Arial"/>
                <w:sz w:val="16"/>
                <w:szCs w:val="16"/>
              </w:rPr>
              <w:t>Resultado de Equivalência Patrimonial</w:t>
            </w:r>
          </w:p>
        </w:tc>
        <w:tc>
          <w:tcPr>
            <w:tcW w:w="1353" w:type="pct"/>
            <w:tcBorders>
              <w:top w:val="nil"/>
              <w:left w:val="nil"/>
              <w:bottom w:val="nil"/>
              <w:right w:val="nil"/>
            </w:tcBorders>
            <w:shd w:val="clear" w:color="000000" w:fill="FFFFFF"/>
            <w:noWrap/>
            <w:vAlign w:val="bottom"/>
            <w:hideMark/>
          </w:tcPr>
          <w:p w14:paraId="1D43D262"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4DEAAB34"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 xml:space="preserve">    (16.277.330)</w:t>
            </w:r>
          </w:p>
        </w:tc>
        <w:tc>
          <w:tcPr>
            <w:tcW w:w="726" w:type="pct"/>
            <w:tcBorders>
              <w:top w:val="nil"/>
              <w:left w:val="nil"/>
              <w:bottom w:val="nil"/>
              <w:right w:val="nil"/>
            </w:tcBorders>
            <w:shd w:val="clear" w:color="000000" w:fill="FFFFFF"/>
            <w:noWrap/>
            <w:vAlign w:val="bottom"/>
            <w:hideMark/>
          </w:tcPr>
          <w:p w14:paraId="3EB6CD2C"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 xml:space="preserve">                        (14.869.339)</w:t>
            </w:r>
          </w:p>
        </w:tc>
      </w:tr>
      <w:tr w:rsidR="00810F1C" w:rsidRPr="00810F1C" w14:paraId="105B6B82"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2CAC423A"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VII. VALOR ADICIONADO TOTAL A DISTRIBUIR (V + VI)</w:t>
            </w:r>
          </w:p>
        </w:tc>
        <w:tc>
          <w:tcPr>
            <w:tcW w:w="1353" w:type="pct"/>
            <w:tcBorders>
              <w:top w:val="nil"/>
              <w:left w:val="nil"/>
              <w:bottom w:val="nil"/>
              <w:right w:val="nil"/>
            </w:tcBorders>
            <w:shd w:val="clear" w:color="000000" w:fill="FFFFFF"/>
            <w:noWrap/>
            <w:vAlign w:val="bottom"/>
            <w:hideMark/>
          </w:tcPr>
          <w:p w14:paraId="677578D8"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20A9E524"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 xml:space="preserve">         8.634.590 </w:t>
            </w:r>
          </w:p>
        </w:tc>
        <w:tc>
          <w:tcPr>
            <w:tcW w:w="726" w:type="pct"/>
            <w:tcBorders>
              <w:top w:val="nil"/>
              <w:left w:val="nil"/>
              <w:bottom w:val="nil"/>
              <w:right w:val="nil"/>
            </w:tcBorders>
            <w:shd w:val="clear" w:color="000000" w:fill="FFFFFF"/>
            <w:noWrap/>
            <w:vAlign w:val="bottom"/>
            <w:hideMark/>
          </w:tcPr>
          <w:p w14:paraId="30C8546B"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 xml:space="preserve">                        238.702.581 </w:t>
            </w:r>
          </w:p>
        </w:tc>
      </w:tr>
      <w:tr w:rsidR="00810F1C" w:rsidRPr="00810F1C" w14:paraId="14D521F7"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2B0CFF6A"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VIII. DISTRIBUIÇÃO DO VALOR ADICIONADO</w:t>
            </w:r>
          </w:p>
        </w:tc>
        <w:tc>
          <w:tcPr>
            <w:tcW w:w="1353" w:type="pct"/>
            <w:tcBorders>
              <w:top w:val="nil"/>
              <w:left w:val="nil"/>
              <w:bottom w:val="nil"/>
              <w:right w:val="nil"/>
            </w:tcBorders>
            <w:shd w:val="clear" w:color="000000" w:fill="FFFFFF"/>
            <w:noWrap/>
            <w:vAlign w:val="bottom"/>
            <w:hideMark/>
          </w:tcPr>
          <w:p w14:paraId="2CAF5FF3"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5F00A9F8"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 xml:space="preserve">         8.634.590 </w:t>
            </w:r>
          </w:p>
        </w:tc>
        <w:tc>
          <w:tcPr>
            <w:tcW w:w="726" w:type="pct"/>
            <w:tcBorders>
              <w:top w:val="nil"/>
              <w:left w:val="nil"/>
              <w:bottom w:val="nil"/>
              <w:right w:val="nil"/>
            </w:tcBorders>
            <w:shd w:val="clear" w:color="000000" w:fill="FFFFFF"/>
            <w:noWrap/>
            <w:vAlign w:val="bottom"/>
            <w:hideMark/>
          </w:tcPr>
          <w:p w14:paraId="37856DE1"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 xml:space="preserve">                        238.702.581 </w:t>
            </w:r>
          </w:p>
        </w:tc>
      </w:tr>
      <w:tr w:rsidR="00810F1C" w:rsidRPr="00810F1C" w14:paraId="199DF984" w14:textId="77777777" w:rsidTr="00810F1C">
        <w:trPr>
          <w:trHeight w:val="300"/>
        </w:trPr>
        <w:tc>
          <w:tcPr>
            <w:tcW w:w="1710" w:type="pct"/>
            <w:tcBorders>
              <w:top w:val="nil"/>
              <w:left w:val="nil"/>
              <w:bottom w:val="nil"/>
              <w:right w:val="nil"/>
            </w:tcBorders>
            <w:shd w:val="clear" w:color="000000" w:fill="FFFFFF"/>
            <w:noWrap/>
            <w:vAlign w:val="bottom"/>
            <w:hideMark/>
          </w:tcPr>
          <w:p w14:paraId="1D85A964" w14:textId="77777777" w:rsidR="00810F1C" w:rsidRPr="00810F1C" w:rsidRDefault="00810F1C">
            <w:pPr>
              <w:rPr>
                <w:rFonts w:asciiTheme="majorHAnsi" w:hAnsiTheme="majorHAnsi" w:cs="Arial"/>
                <w:sz w:val="16"/>
                <w:szCs w:val="16"/>
              </w:rPr>
            </w:pPr>
            <w:r w:rsidRPr="00810F1C">
              <w:rPr>
                <w:rFonts w:asciiTheme="majorHAnsi" w:hAnsiTheme="majorHAnsi" w:cs="Arial"/>
                <w:b/>
                <w:bCs/>
                <w:sz w:val="16"/>
                <w:szCs w:val="16"/>
              </w:rPr>
              <w:t>VIII. 1 PESSOAL</w:t>
            </w:r>
            <w:r w:rsidRPr="00810F1C">
              <w:rPr>
                <w:rFonts w:asciiTheme="majorHAnsi" w:hAnsiTheme="majorHAnsi" w:cs="Arial"/>
                <w:sz w:val="16"/>
                <w:szCs w:val="16"/>
              </w:rPr>
              <w:t xml:space="preserve">   </w:t>
            </w:r>
          </w:p>
        </w:tc>
        <w:tc>
          <w:tcPr>
            <w:tcW w:w="642" w:type="pct"/>
            <w:tcBorders>
              <w:top w:val="nil"/>
              <w:left w:val="nil"/>
              <w:bottom w:val="nil"/>
              <w:right w:val="nil"/>
            </w:tcBorders>
            <w:shd w:val="clear" w:color="000000" w:fill="FFFFFF"/>
            <w:noWrap/>
            <w:vAlign w:val="bottom"/>
            <w:hideMark/>
          </w:tcPr>
          <w:p w14:paraId="2BC030C1"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1353" w:type="pct"/>
            <w:tcBorders>
              <w:top w:val="nil"/>
              <w:left w:val="nil"/>
              <w:bottom w:val="nil"/>
              <w:right w:val="nil"/>
            </w:tcBorders>
            <w:shd w:val="clear" w:color="000000" w:fill="FFFFFF"/>
            <w:noWrap/>
            <w:vAlign w:val="bottom"/>
            <w:hideMark/>
          </w:tcPr>
          <w:p w14:paraId="071B2446"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374B41D6"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55.943.337</w:t>
            </w:r>
          </w:p>
        </w:tc>
        <w:tc>
          <w:tcPr>
            <w:tcW w:w="726" w:type="pct"/>
            <w:tcBorders>
              <w:top w:val="nil"/>
              <w:left w:val="nil"/>
              <w:bottom w:val="nil"/>
              <w:right w:val="nil"/>
            </w:tcBorders>
            <w:shd w:val="clear" w:color="000000" w:fill="FFFFFF"/>
            <w:noWrap/>
            <w:vAlign w:val="bottom"/>
            <w:hideMark/>
          </w:tcPr>
          <w:p w14:paraId="5D296F41"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218.103.465</w:t>
            </w:r>
          </w:p>
        </w:tc>
      </w:tr>
      <w:tr w:rsidR="00810F1C" w:rsidRPr="00810F1C" w14:paraId="33DDBA97"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5C79FBD1"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 xml:space="preserve">         </w:t>
            </w:r>
            <w:r w:rsidRPr="00810F1C">
              <w:rPr>
                <w:rFonts w:asciiTheme="majorHAnsi" w:hAnsiTheme="majorHAnsi" w:cs="Arial"/>
                <w:sz w:val="16"/>
                <w:szCs w:val="16"/>
              </w:rPr>
              <w:t>Remuneração Direta</w:t>
            </w:r>
          </w:p>
        </w:tc>
        <w:tc>
          <w:tcPr>
            <w:tcW w:w="1353" w:type="pct"/>
            <w:tcBorders>
              <w:top w:val="nil"/>
              <w:left w:val="nil"/>
              <w:bottom w:val="nil"/>
              <w:right w:val="nil"/>
            </w:tcBorders>
            <w:shd w:val="clear" w:color="000000" w:fill="FFFFFF"/>
            <w:noWrap/>
            <w:vAlign w:val="bottom"/>
            <w:hideMark/>
          </w:tcPr>
          <w:p w14:paraId="4EBE69FA"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79F4689E"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47.360.793</w:t>
            </w:r>
          </w:p>
        </w:tc>
        <w:tc>
          <w:tcPr>
            <w:tcW w:w="726" w:type="pct"/>
            <w:tcBorders>
              <w:top w:val="nil"/>
              <w:left w:val="nil"/>
              <w:bottom w:val="nil"/>
              <w:right w:val="nil"/>
            </w:tcBorders>
            <w:shd w:val="clear" w:color="000000" w:fill="FFFFFF"/>
            <w:noWrap/>
            <w:vAlign w:val="bottom"/>
            <w:hideMark/>
          </w:tcPr>
          <w:p w14:paraId="305E7C92"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209.324.203</w:t>
            </w:r>
          </w:p>
        </w:tc>
      </w:tr>
      <w:tr w:rsidR="00810F1C" w:rsidRPr="00810F1C" w14:paraId="33AF0AC2" w14:textId="77777777" w:rsidTr="00810F1C">
        <w:trPr>
          <w:trHeight w:val="300"/>
        </w:trPr>
        <w:tc>
          <w:tcPr>
            <w:tcW w:w="1710" w:type="pct"/>
            <w:tcBorders>
              <w:top w:val="nil"/>
              <w:left w:val="nil"/>
              <w:bottom w:val="nil"/>
              <w:right w:val="nil"/>
            </w:tcBorders>
            <w:shd w:val="clear" w:color="000000" w:fill="FFFFFF"/>
            <w:noWrap/>
            <w:vAlign w:val="bottom"/>
            <w:hideMark/>
          </w:tcPr>
          <w:p w14:paraId="5C4C0C9E"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 xml:space="preserve">         </w:t>
            </w:r>
            <w:r w:rsidRPr="00810F1C">
              <w:rPr>
                <w:rFonts w:asciiTheme="majorHAnsi" w:hAnsiTheme="majorHAnsi" w:cs="Arial"/>
                <w:sz w:val="16"/>
                <w:szCs w:val="16"/>
              </w:rPr>
              <w:t>Benefícios</w:t>
            </w:r>
          </w:p>
        </w:tc>
        <w:tc>
          <w:tcPr>
            <w:tcW w:w="642" w:type="pct"/>
            <w:tcBorders>
              <w:top w:val="nil"/>
              <w:left w:val="nil"/>
              <w:bottom w:val="nil"/>
              <w:right w:val="nil"/>
            </w:tcBorders>
            <w:shd w:val="clear" w:color="000000" w:fill="FFFFFF"/>
            <w:noWrap/>
            <w:vAlign w:val="bottom"/>
            <w:hideMark/>
          </w:tcPr>
          <w:p w14:paraId="6C8CFA76"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1353" w:type="pct"/>
            <w:tcBorders>
              <w:top w:val="nil"/>
              <w:left w:val="nil"/>
              <w:bottom w:val="nil"/>
              <w:right w:val="nil"/>
            </w:tcBorders>
            <w:shd w:val="clear" w:color="000000" w:fill="FFFFFF"/>
            <w:noWrap/>
            <w:vAlign w:val="bottom"/>
            <w:hideMark/>
          </w:tcPr>
          <w:p w14:paraId="777184BD"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58FE3ADF"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5.387.262</w:t>
            </w:r>
          </w:p>
        </w:tc>
        <w:tc>
          <w:tcPr>
            <w:tcW w:w="726" w:type="pct"/>
            <w:tcBorders>
              <w:top w:val="nil"/>
              <w:left w:val="nil"/>
              <w:bottom w:val="nil"/>
              <w:right w:val="nil"/>
            </w:tcBorders>
            <w:shd w:val="clear" w:color="000000" w:fill="FFFFFF"/>
            <w:noWrap/>
            <w:vAlign w:val="bottom"/>
            <w:hideMark/>
          </w:tcPr>
          <w:p w14:paraId="2C2572BA"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5.411.734</w:t>
            </w:r>
          </w:p>
        </w:tc>
      </w:tr>
      <w:tr w:rsidR="00810F1C" w:rsidRPr="00810F1C" w14:paraId="56DB4493" w14:textId="77777777" w:rsidTr="00810F1C">
        <w:trPr>
          <w:trHeight w:val="300"/>
        </w:trPr>
        <w:tc>
          <w:tcPr>
            <w:tcW w:w="1710" w:type="pct"/>
            <w:tcBorders>
              <w:top w:val="nil"/>
              <w:left w:val="nil"/>
              <w:bottom w:val="nil"/>
              <w:right w:val="nil"/>
            </w:tcBorders>
            <w:shd w:val="clear" w:color="000000" w:fill="FFFFFF"/>
            <w:noWrap/>
            <w:vAlign w:val="bottom"/>
            <w:hideMark/>
          </w:tcPr>
          <w:p w14:paraId="5D3C8F5D"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xml:space="preserve">         FGTS</w:t>
            </w:r>
          </w:p>
        </w:tc>
        <w:tc>
          <w:tcPr>
            <w:tcW w:w="642" w:type="pct"/>
            <w:tcBorders>
              <w:top w:val="nil"/>
              <w:left w:val="nil"/>
              <w:bottom w:val="nil"/>
              <w:right w:val="nil"/>
            </w:tcBorders>
            <w:shd w:val="clear" w:color="000000" w:fill="FFFFFF"/>
            <w:noWrap/>
            <w:vAlign w:val="bottom"/>
            <w:hideMark/>
          </w:tcPr>
          <w:p w14:paraId="7754C949"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1353" w:type="pct"/>
            <w:tcBorders>
              <w:top w:val="nil"/>
              <w:left w:val="nil"/>
              <w:bottom w:val="nil"/>
              <w:right w:val="nil"/>
            </w:tcBorders>
            <w:shd w:val="clear" w:color="000000" w:fill="FFFFFF"/>
            <w:noWrap/>
            <w:vAlign w:val="bottom"/>
            <w:hideMark/>
          </w:tcPr>
          <w:p w14:paraId="0ABAE1F2"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3E7AAE19"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3.195.283</w:t>
            </w:r>
          </w:p>
        </w:tc>
        <w:tc>
          <w:tcPr>
            <w:tcW w:w="726" w:type="pct"/>
            <w:tcBorders>
              <w:top w:val="nil"/>
              <w:left w:val="nil"/>
              <w:bottom w:val="nil"/>
              <w:right w:val="nil"/>
            </w:tcBorders>
            <w:shd w:val="clear" w:color="000000" w:fill="FFFFFF"/>
            <w:noWrap/>
            <w:vAlign w:val="bottom"/>
            <w:hideMark/>
          </w:tcPr>
          <w:p w14:paraId="0375BCDE"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3.367.528</w:t>
            </w:r>
          </w:p>
        </w:tc>
      </w:tr>
      <w:tr w:rsidR="00810F1C" w:rsidRPr="00810F1C" w14:paraId="6C8CD7CF"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34E29086"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VIII. 2 IMPOSTOS, TAXAS E CONTRIBUIÇÕES</w:t>
            </w:r>
          </w:p>
        </w:tc>
        <w:tc>
          <w:tcPr>
            <w:tcW w:w="1353" w:type="pct"/>
            <w:tcBorders>
              <w:top w:val="nil"/>
              <w:left w:val="nil"/>
              <w:bottom w:val="nil"/>
              <w:right w:val="nil"/>
            </w:tcBorders>
            <w:shd w:val="clear" w:color="000000" w:fill="FFFFFF"/>
            <w:noWrap/>
            <w:vAlign w:val="bottom"/>
            <w:hideMark/>
          </w:tcPr>
          <w:p w14:paraId="72CF2557"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0FD87172"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11.168.634</w:t>
            </w:r>
          </w:p>
        </w:tc>
        <w:tc>
          <w:tcPr>
            <w:tcW w:w="726" w:type="pct"/>
            <w:tcBorders>
              <w:top w:val="nil"/>
              <w:left w:val="nil"/>
              <w:bottom w:val="nil"/>
              <w:right w:val="nil"/>
            </w:tcBorders>
            <w:shd w:val="clear" w:color="000000" w:fill="FFFFFF"/>
            <w:noWrap/>
            <w:vAlign w:val="bottom"/>
            <w:hideMark/>
          </w:tcPr>
          <w:p w14:paraId="7D84D92F"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11.729.103</w:t>
            </w:r>
          </w:p>
        </w:tc>
      </w:tr>
      <w:tr w:rsidR="00810F1C" w:rsidRPr="00810F1C" w14:paraId="1B427B1D" w14:textId="77777777" w:rsidTr="00810F1C">
        <w:trPr>
          <w:trHeight w:val="300"/>
        </w:trPr>
        <w:tc>
          <w:tcPr>
            <w:tcW w:w="1710" w:type="pct"/>
            <w:tcBorders>
              <w:top w:val="nil"/>
              <w:left w:val="nil"/>
              <w:bottom w:val="nil"/>
              <w:right w:val="nil"/>
            </w:tcBorders>
            <w:shd w:val="clear" w:color="000000" w:fill="FFFFFF"/>
            <w:noWrap/>
            <w:vAlign w:val="bottom"/>
            <w:hideMark/>
          </w:tcPr>
          <w:p w14:paraId="7240043A"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xml:space="preserve">         Federais</w:t>
            </w:r>
          </w:p>
        </w:tc>
        <w:tc>
          <w:tcPr>
            <w:tcW w:w="642" w:type="pct"/>
            <w:tcBorders>
              <w:top w:val="nil"/>
              <w:left w:val="nil"/>
              <w:bottom w:val="nil"/>
              <w:right w:val="nil"/>
            </w:tcBorders>
            <w:shd w:val="clear" w:color="000000" w:fill="FFFFFF"/>
            <w:noWrap/>
            <w:vAlign w:val="bottom"/>
            <w:hideMark/>
          </w:tcPr>
          <w:p w14:paraId="1CEF11CB"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1353" w:type="pct"/>
            <w:tcBorders>
              <w:top w:val="nil"/>
              <w:left w:val="nil"/>
              <w:bottom w:val="nil"/>
              <w:right w:val="nil"/>
            </w:tcBorders>
            <w:shd w:val="clear" w:color="000000" w:fill="FFFFFF"/>
            <w:noWrap/>
            <w:vAlign w:val="bottom"/>
            <w:hideMark/>
          </w:tcPr>
          <w:p w14:paraId="1A8A61CE"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49D6D322"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11.142.398</w:t>
            </w:r>
          </w:p>
        </w:tc>
        <w:tc>
          <w:tcPr>
            <w:tcW w:w="726" w:type="pct"/>
            <w:tcBorders>
              <w:top w:val="nil"/>
              <w:left w:val="nil"/>
              <w:bottom w:val="nil"/>
              <w:right w:val="nil"/>
            </w:tcBorders>
            <w:shd w:val="clear" w:color="000000" w:fill="FFFFFF"/>
            <w:noWrap/>
            <w:vAlign w:val="bottom"/>
            <w:hideMark/>
          </w:tcPr>
          <w:p w14:paraId="516E9B23"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11.704.233</w:t>
            </w:r>
          </w:p>
        </w:tc>
      </w:tr>
      <w:tr w:rsidR="00810F1C" w:rsidRPr="00810F1C" w14:paraId="3A606D6D" w14:textId="77777777" w:rsidTr="00810F1C">
        <w:trPr>
          <w:trHeight w:val="300"/>
        </w:trPr>
        <w:tc>
          <w:tcPr>
            <w:tcW w:w="1710" w:type="pct"/>
            <w:tcBorders>
              <w:top w:val="nil"/>
              <w:left w:val="nil"/>
              <w:bottom w:val="nil"/>
              <w:right w:val="nil"/>
            </w:tcBorders>
            <w:shd w:val="clear" w:color="000000" w:fill="FFFFFF"/>
            <w:noWrap/>
            <w:vAlign w:val="bottom"/>
            <w:hideMark/>
          </w:tcPr>
          <w:p w14:paraId="6079C281"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xml:space="preserve">         Municipais</w:t>
            </w:r>
          </w:p>
        </w:tc>
        <w:tc>
          <w:tcPr>
            <w:tcW w:w="642" w:type="pct"/>
            <w:tcBorders>
              <w:top w:val="nil"/>
              <w:left w:val="nil"/>
              <w:bottom w:val="nil"/>
              <w:right w:val="nil"/>
            </w:tcBorders>
            <w:shd w:val="clear" w:color="000000" w:fill="FFFFFF"/>
            <w:noWrap/>
            <w:vAlign w:val="bottom"/>
            <w:hideMark/>
          </w:tcPr>
          <w:p w14:paraId="3A27A6D4"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1353" w:type="pct"/>
            <w:tcBorders>
              <w:top w:val="nil"/>
              <w:left w:val="nil"/>
              <w:bottom w:val="nil"/>
              <w:right w:val="nil"/>
            </w:tcBorders>
            <w:shd w:val="clear" w:color="000000" w:fill="FFFFFF"/>
            <w:noWrap/>
            <w:vAlign w:val="bottom"/>
            <w:hideMark/>
          </w:tcPr>
          <w:p w14:paraId="1E37F64C"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63F08EEF"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26.236</w:t>
            </w:r>
          </w:p>
        </w:tc>
        <w:tc>
          <w:tcPr>
            <w:tcW w:w="726" w:type="pct"/>
            <w:tcBorders>
              <w:top w:val="nil"/>
              <w:left w:val="nil"/>
              <w:bottom w:val="nil"/>
              <w:right w:val="nil"/>
            </w:tcBorders>
            <w:shd w:val="clear" w:color="000000" w:fill="FFFFFF"/>
            <w:noWrap/>
            <w:vAlign w:val="bottom"/>
            <w:hideMark/>
          </w:tcPr>
          <w:p w14:paraId="1EA8520D"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24.870</w:t>
            </w:r>
          </w:p>
        </w:tc>
      </w:tr>
      <w:tr w:rsidR="00810F1C" w:rsidRPr="00810F1C" w14:paraId="79EB9CAE"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2052CAFD"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VIII. 3 REMUNERAÇÃO DE CAPITAIS DE TERCEIROS</w:t>
            </w:r>
          </w:p>
        </w:tc>
        <w:tc>
          <w:tcPr>
            <w:tcW w:w="1353" w:type="pct"/>
            <w:tcBorders>
              <w:top w:val="nil"/>
              <w:left w:val="nil"/>
              <w:bottom w:val="nil"/>
              <w:right w:val="nil"/>
            </w:tcBorders>
            <w:shd w:val="clear" w:color="000000" w:fill="FFFFFF"/>
            <w:noWrap/>
            <w:vAlign w:val="bottom"/>
            <w:hideMark/>
          </w:tcPr>
          <w:p w14:paraId="2341FDF7"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35B8AD18"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619.150</w:t>
            </w:r>
          </w:p>
        </w:tc>
        <w:tc>
          <w:tcPr>
            <w:tcW w:w="726" w:type="pct"/>
            <w:tcBorders>
              <w:top w:val="nil"/>
              <w:left w:val="nil"/>
              <w:bottom w:val="nil"/>
              <w:right w:val="nil"/>
            </w:tcBorders>
            <w:shd w:val="clear" w:color="000000" w:fill="FFFFFF"/>
            <w:noWrap/>
            <w:vAlign w:val="bottom"/>
            <w:hideMark/>
          </w:tcPr>
          <w:p w14:paraId="08D54CAF"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356.488</w:t>
            </w:r>
          </w:p>
        </w:tc>
      </w:tr>
      <w:tr w:rsidR="00810F1C" w:rsidRPr="00810F1C" w14:paraId="418DDB87"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5EE6A782"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xml:space="preserve">         Juros e Atualizações Monetárias</w:t>
            </w:r>
          </w:p>
        </w:tc>
        <w:tc>
          <w:tcPr>
            <w:tcW w:w="1353" w:type="pct"/>
            <w:tcBorders>
              <w:top w:val="nil"/>
              <w:left w:val="nil"/>
              <w:bottom w:val="nil"/>
              <w:right w:val="nil"/>
            </w:tcBorders>
            <w:shd w:val="clear" w:color="000000" w:fill="FFFFFF"/>
            <w:noWrap/>
            <w:vAlign w:val="bottom"/>
            <w:hideMark/>
          </w:tcPr>
          <w:p w14:paraId="51B5206F"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2CAA25FB"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xml:space="preserve">                        -   </w:t>
            </w:r>
          </w:p>
        </w:tc>
        <w:tc>
          <w:tcPr>
            <w:tcW w:w="726" w:type="pct"/>
            <w:tcBorders>
              <w:top w:val="nil"/>
              <w:left w:val="nil"/>
              <w:bottom w:val="nil"/>
              <w:right w:val="nil"/>
            </w:tcBorders>
            <w:shd w:val="clear" w:color="000000" w:fill="FFFFFF"/>
            <w:noWrap/>
            <w:vAlign w:val="bottom"/>
            <w:hideMark/>
          </w:tcPr>
          <w:p w14:paraId="167FD7FE"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377</w:t>
            </w:r>
          </w:p>
        </w:tc>
      </w:tr>
      <w:tr w:rsidR="00810F1C" w:rsidRPr="00810F1C" w14:paraId="172AA382"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7A2BA2FB"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xml:space="preserve">         Locação de Máquinas e Equipamentos</w:t>
            </w:r>
          </w:p>
        </w:tc>
        <w:tc>
          <w:tcPr>
            <w:tcW w:w="1353" w:type="pct"/>
            <w:tcBorders>
              <w:top w:val="nil"/>
              <w:left w:val="nil"/>
              <w:bottom w:val="nil"/>
              <w:right w:val="nil"/>
            </w:tcBorders>
            <w:shd w:val="clear" w:color="000000" w:fill="FFFFFF"/>
            <w:noWrap/>
            <w:vAlign w:val="bottom"/>
            <w:hideMark/>
          </w:tcPr>
          <w:p w14:paraId="77186853"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7E671CC7"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619.150</w:t>
            </w:r>
          </w:p>
        </w:tc>
        <w:tc>
          <w:tcPr>
            <w:tcW w:w="726" w:type="pct"/>
            <w:tcBorders>
              <w:top w:val="nil"/>
              <w:left w:val="nil"/>
              <w:bottom w:val="nil"/>
              <w:right w:val="nil"/>
            </w:tcBorders>
            <w:shd w:val="clear" w:color="000000" w:fill="FFFFFF"/>
            <w:noWrap/>
            <w:vAlign w:val="bottom"/>
            <w:hideMark/>
          </w:tcPr>
          <w:p w14:paraId="54C7FC65"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356.111</w:t>
            </w:r>
          </w:p>
        </w:tc>
      </w:tr>
      <w:tr w:rsidR="00810F1C" w:rsidRPr="00810F1C" w14:paraId="303E513B"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59CF6C85" w14:textId="77777777" w:rsidR="00810F1C" w:rsidRPr="00810F1C" w:rsidRDefault="00810F1C">
            <w:pPr>
              <w:rPr>
                <w:rFonts w:asciiTheme="majorHAnsi" w:hAnsiTheme="majorHAnsi" w:cs="Arial"/>
                <w:b/>
                <w:bCs/>
                <w:sz w:val="16"/>
                <w:szCs w:val="16"/>
              </w:rPr>
            </w:pPr>
            <w:r w:rsidRPr="00810F1C">
              <w:rPr>
                <w:rFonts w:asciiTheme="majorHAnsi" w:hAnsiTheme="majorHAnsi" w:cs="Arial"/>
                <w:b/>
                <w:bCs/>
                <w:sz w:val="16"/>
                <w:szCs w:val="16"/>
              </w:rPr>
              <w:t>VIII.4 REMUNERAÇÃO DE CAPITAIS PRÓPRIOS</w:t>
            </w:r>
          </w:p>
        </w:tc>
        <w:tc>
          <w:tcPr>
            <w:tcW w:w="1353" w:type="pct"/>
            <w:tcBorders>
              <w:top w:val="nil"/>
              <w:left w:val="nil"/>
              <w:bottom w:val="nil"/>
              <w:right w:val="nil"/>
            </w:tcBorders>
            <w:shd w:val="clear" w:color="000000" w:fill="FFFFFF"/>
            <w:noWrap/>
            <w:vAlign w:val="bottom"/>
            <w:hideMark/>
          </w:tcPr>
          <w:p w14:paraId="0583104C"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1014EF41"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 xml:space="preserve">    (59.096.532)</w:t>
            </w:r>
          </w:p>
        </w:tc>
        <w:tc>
          <w:tcPr>
            <w:tcW w:w="726" w:type="pct"/>
            <w:tcBorders>
              <w:top w:val="nil"/>
              <w:left w:val="nil"/>
              <w:bottom w:val="nil"/>
              <w:right w:val="nil"/>
            </w:tcBorders>
            <w:shd w:val="clear" w:color="000000" w:fill="FFFFFF"/>
            <w:noWrap/>
            <w:vAlign w:val="bottom"/>
            <w:hideMark/>
          </w:tcPr>
          <w:p w14:paraId="0E2B5A92" w14:textId="77777777" w:rsidR="00810F1C" w:rsidRPr="00810F1C" w:rsidRDefault="00810F1C">
            <w:pPr>
              <w:jc w:val="right"/>
              <w:rPr>
                <w:rFonts w:asciiTheme="majorHAnsi" w:hAnsiTheme="majorHAnsi" w:cs="Arial"/>
                <w:b/>
                <w:bCs/>
                <w:sz w:val="16"/>
                <w:szCs w:val="16"/>
              </w:rPr>
            </w:pPr>
            <w:r w:rsidRPr="00810F1C">
              <w:rPr>
                <w:rFonts w:asciiTheme="majorHAnsi" w:hAnsiTheme="majorHAnsi" w:cs="Arial"/>
                <w:b/>
                <w:bCs/>
                <w:sz w:val="16"/>
                <w:szCs w:val="16"/>
              </w:rPr>
              <w:t>8.513.525</w:t>
            </w:r>
          </w:p>
        </w:tc>
      </w:tr>
      <w:tr w:rsidR="00810F1C" w:rsidRPr="00810F1C" w14:paraId="25A66CB4" w14:textId="77777777" w:rsidTr="00810F1C">
        <w:trPr>
          <w:trHeight w:val="300"/>
        </w:trPr>
        <w:tc>
          <w:tcPr>
            <w:tcW w:w="2352" w:type="pct"/>
            <w:gridSpan w:val="2"/>
            <w:tcBorders>
              <w:top w:val="nil"/>
              <w:left w:val="nil"/>
              <w:bottom w:val="nil"/>
              <w:right w:val="nil"/>
            </w:tcBorders>
            <w:shd w:val="clear" w:color="000000" w:fill="FFFFFF"/>
            <w:noWrap/>
            <w:vAlign w:val="bottom"/>
            <w:hideMark/>
          </w:tcPr>
          <w:p w14:paraId="61BF1521" w14:textId="649D0421" w:rsidR="00810F1C" w:rsidRPr="00810F1C" w:rsidRDefault="00810F1C">
            <w:pPr>
              <w:rPr>
                <w:rFonts w:asciiTheme="majorHAnsi" w:hAnsiTheme="majorHAnsi" w:cs="Arial"/>
                <w:sz w:val="16"/>
                <w:szCs w:val="16"/>
              </w:rPr>
            </w:pPr>
            <w:r w:rsidRPr="00810F1C">
              <w:rPr>
                <w:rFonts w:asciiTheme="majorHAnsi" w:hAnsiTheme="majorHAnsi" w:cs="Arial"/>
                <w:sz w:val="16"/>
                <w:szCs w:val="16"/>
              </w:rPr>
              <w:t xml:space="preserve">         Prejuízo do Período</w:t>
            </w:r>
          </w:p>
        </w:tc>
        <w:tc>
          <w:tcPr>
            <w:tcW w:w="1353" w:type="pct"/>
            <w:tcBorders>
              <w:top w:val="nil"/>
              <w:left w:val="nil"/>
              <w:bottom w:val="nil"/>
              <w:right w:val="nil"/>
            </w:tcBorders>
            <w:shd w:val="clear" w:color="000000" w:fill="FFFFFF"/>
            <w:noWrap/>
            <w:vAlign w:val="bottom"/>
            <w:hideMark/>
          </w:tcPr>
          <w:p w14:paraId="7A9A84E0"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14E8892D"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 xml:space="preserve">    (59.096.532)</w:t>
            </w:r>
          </w:p>
        </w:tc>
        <w:tc>
          <w:tcPr>
            <w:tcW w:w="726" w:type="pct"/>
            <w:tcBorders>
              <w:top w:val="nil"/>
              <w:left w:val="nil"/>
              <w:bottom w:val="nil"/>
              <w:right w:val="nil"/>
            </w:tcBorders>
            <w:shd w:val="clear" w:color="000000" w:fill="FFFFFF"/>
            <w:noWrap/>
            <w:vAlign w:val="bottom"/>
            <w:hideMark/>
          </w:tcPr>
          <w:p w14:paraId="37E34A4E"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8.513.525</w:t>
            </w:r>
          </w:p>
        </w:tc>
      </w:tr>
      <w:tr w:rsidR="00810F1C" w:rsidRPr="00810F1C" w14:paraId="7DF02976" w14:textId="77777777" w:rsidTr="00810F1C">
        <w:trPr>
          <w:trHeight w:val="300"/>
        </w:trPr>
        <w:tc>
          <w:tcPr>
            <w:tcW w:w="1710" w:type="pct"/>
            <w:tcBorders>
              <w:top w:val="nil"/>
              <w:left w:val="nil"/>
              <w:bottom w:val="nil"/>
              <w:right w:val="nil"/>
            </w:tcBorders>
            <w:shd w:val="clear" w:color="000000" w:fill="FFFFFF"/>
            <w:noWrap/>
            <w:vAlign w:val="bottom"/>
            <w:hideMark/>
          </w:tcPr>
          <w:p w14:paraId="7CA4EB1C"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642" w:type="pct"/>
            <w:tcBorders>
              <w:top w:val="nil"/>
              <w:left w:val="nil"/>
              <w:bottom w:val="nil"/>
              <w:right w:val="nil"/>
            </w:tcBorders>
            <w:shd w:val="clear" w:color="000000" w:fill="FFFFFF"/>
            <w:noWrap/>
            <w:vAlign w:val="bottom"/>
            <w:hideMark/>
          </w:tcPr>
          <w:p w14:paraId="5DDC9A70"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1353" w:type="pct"/>
            <w:tcBorders>
              <w:top w:val="nil"/>
              <w:left w:val="nil"/>
              <w:bottom w:val="nil"/>
              <w:right w:val="nil"/>
            </w:tcBorders>
            <w:shd w:val="clear" w:color="000000" w:fill="FFFFFF"/>
            <w:noWrap/>
            <w:vAlign w:val="bottom"/>
            <w:hideMark/>
          </w:tcPr>
          <w:p w14:paraId="731DB1E5" w14:textId="77777777" w:rsidR="00810F1C" w:rsidRPr="00810F1C" w:rsidRDefault="00810F1C">
            <w:pPr>
              <w:rPr>
                <w:rFonts w:asciiTheme="majorHAnsi" w:hAnsiTheme="majorHAnsi" w:cs="Arial"/>
                <w:sz w:val="16"/>
                <w:szCs w:val="16"/>
              </w:rPr>
            </w:pPr>
            <w:r w:rsidRPr="00810F1C">
              <w:rPr>
                <w:rFonts w:asciiTheme="majorHAnsi" w:hAnsiTheme="majorHAnsi" w:cs="Arial"/>
                <w:sz w:val="16"/>
                <w:szCs w:val="16"/>
              </w:rPr>
              <w:t> </w:t>
            </w:r>
          </w:p>
        </w:tc>
        <w:tc>
          <w:tcPr>
            <w:tcW w:w="569" w:type="pct"/>
            <w:tcBorders>
              <w:top w:val="nil"/>
              <w:left w:val="nil"/>
              <w:bottom w:val="nil"/>
              <w:right w:val="nil"/>
            </w:tcBorders>
            <w:shd w:val="clear" w:color="000000" w:fill="FFFFFF"/>
            <w:noWrap/>
            <w:vAlign w:val="bottom"/>
            <w:hideMark/>
          </w:tcPr>
          <w:p w14:paraId="553E9E05"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 </w:t>
            </w:r>
          </w:p>
        </w:tc>
        <w:tc>
          <w:tcPr>
            <w:tcW w:w="726" w:type="pct"/>
            <w:tcBorders>
              <w:top w:val="nil"/>
              <w:left w:val="nil"/>
              <w:bottom w:val="nil"/>
              <w:right w:val="nil"/>
            </w:tcBorders>
            <w:shd w:val="clear" w:color="000000" w:fill="FFFFFF"/>
            <w:noWrap/>
            <w:vAlign w:val="bottom"/>
            <w:hideMark/>
          </w:tcPr>
          <w:p w14:paraId="5E40FB29" w14:textId="77777777" w:rsidR="00810F1C" w:rsidRPr="00810F1C" w:rsidRDefault="00810F1C">
            <w:pPr>
              <w:jc w:val="right"/>
              <w:rPr>
                <w:rFonts w:asciiTheme="majorHAnsi" w:hAnsiTheme="majorHAnsi" w:cs="Arial"/>
                <w:sz w:val="16"/>
                <w:szCs w:val="16"/>
              </w:rPr>
            </w:pPr>
            <w:r w:rsidRPr="00810F1C">
              <w:rPr>
                <w:rFonts w:asciiTheme="majorHAnsi" w:hAnsiTheme="majorHAnsi" w:cs="Arial"/>
                <w:sz w:val="16"/>
                <w:szCs w:val="16"/>
              </w:rPr>
              <w:t> </w:t>
            </w:r>
          </w:p>
        </w:tc>
      </w:tr>
      <w:tr w:rsidR="00810F1C" w:rsidRPr="00810F1C" w14:paraId="2272CBDB" w14:textId="77777777" w:rsidTr="00810F1C">
        <w:trPr>
          <w:trHeight w:val="300"/>
        </w:trPr>
        <w:tc>
          <w:tcPr>
            <w:tcW w:w="5000" w:type="pct"/>
            <w:gridSpan w:val="5"/>
            <w:tcBorders>
              <w:top w:val="nil"/>
              <w:left w:val="nil"/>
              <w:bottom w:val="nil"/>
            </w:tcBorders>
            <w:shd w:val="clear" w:color="000000" w:fill="FFFFFF"/>
            <w:noWrap/>
            <w:vAlign w:val="bottom"/>
            <w:hideMark/>
          </w:tcPr>
          <w:p w14:paraId="1B0434EE" w14:textId="0B6F428A" w:rsidR="00810F1C" w:rsidRPr="00810F1C" w:rsidRDefault="00810F1C" w:rsidP="00810F1C">
            <w:pPr>
              <w:jc w:val="center"/>
              <w:rPr>
                <w:rFonts w:asciiTheme="majorHAnsi" w:hAnsiTheme="majorHAnsi" w:cs="Arial"/>
                <w:sz w:val="16"/>
                <w:szCs w:val="16"/>
              </w:rPr>
            </w:pPr>
          </w:p>
          <w:p w14:paraId="56277C6D" w14:textId="465864D3" w:rsidR="00810F1C" w:rsidRPr="00810F1C" w:rsidRDefault="00810F1C" w:rsidP="00810F1C">
            <w:pPr>
              <w:jc w:val="center"/>
              <w:rPr>
                <w:rFonts w:asciiTheme="majorHAnsi" w:hAnsiTheme="majorHAnsi" w:cs="Arial"/>
                <w:sz w:val="16"/>
                <w:szCs w:val="16"/>
              </w:rPr>
            </w:pPr>
          </w:p>
          <w:p w14:paraId="5D132B34" w14:textId="436D60CD" w:rsidR="00810F1C" w:rsidRPr="00810F1C" w:rsidRDefault="00810F1C" w:rsidP="00810F1C">
            <w:pPr>
              <w:jc w:val="center"/>
              <w:rPr>
                <w:rFonts w:asciiTheme="majorHAnsi" w:hAnsiTheme="majorHAnsi" w:cs="Arial"/>
                <w:sz w:val="16"/>
                <w:szCs w:val="16"/>
              </w:rPr>
            </w:pPr>
            <w:r w:rsidRPr="00810F1C">
              <w:rPr>
                <w:rFonts w:asciiTheme="majorHAnsi" w:hAnsiTheme="majorHAnsi" w:cs="Arial"/>
                <w:sz w:val="16"/>
                <w:szCs w:val="16"/>
              </w:rPr>
              <w:t>(As Notas Explicativas são parte integrante das demonstrações contábeis intermediárias)</w:t>
            </w:r>
          </w:p>
          <w:p w14:paraId="29DBC608" w14:textId="4820D170" w:rsidR="00810F1C" w:rsidRPr="00810F1C" w:rsidRDefault="00810F1C" w:rsidP="00810F1C">
            <w:pPr>
              <w:jc w:val="center"/>
              <w:rPr>
                <w:rFonts w:asciiTheme="majorHAnsi" w:hAnsiTheme="majorHAnsi" w:cs="Arial"/>
                <w:sz w:val="16"/>
                <w:szCs w:val="16"/>
              </w:rPr>
            </w:pPr>
          </w:p>
          <w:p w14:paraId="0B5A4E19" w14:textId="2E0F86E9" w:rsidR="00810F1C" w:rsidRPr="00810F1C" w:rsidRDefault="00810F1C" w:rsidP="00810F1C">
            <w:pPr>
              <w:jc w:val="center"/>
              <w:rPr>
                <w:rFonts w:asciiTheme="majorHAnsi" w:hAnsiTheme="majorHAnsi" w:cs="Arial"/>
                <w:sz w:val="16"/>
                <w:szCs w:val="16"/>
              </w:rPr>
            </w:pPr>
          </w:p>
        </w:tc>
      </w:tr>
    </w:tbl>
    <w:p w14:paraId="4E3E4493" w14:textId="77777777" w:rsidR="00331A4D" w:rsidRDefault="00331A4D" w:rsidP="002E2B5B">
      <w:pPr>
        <w:pStyle w:val="Ttulo1"/>
        <w:tabs>
          <w:tab w:val="left" w:pos="1701"/>
        </w:tabs>
        <w:ind w:right="-142"/>
        <w:rPr>
          <w:rFonts w:ascii="Calibri" w:hAnsi="Calibri" w:cs="Calibri"/>
          <w:szCs w:val="22"/>
        </w:rPr>
      </w:pPr>
    </w:p>
    <w:p w14:paraId="16D29BD2" w14:textId="77777777" w:rsidR="00331A4D" w:rsidRDefault="00331A4D" w:rsidP="002E2B5B">
      <w:pPr>
        <w:pStyle w:val="Ttulo1"/>
        <w:tabs>
          <w:tab w:val="left" w:pos="1701"/>
        </w:tabs>
        <w:ind w:right="-142"/>
        <w:rPr>
          <w:rFonts w:ascii="Calibri" w:hAnsi="Calibri" w:cs="Calibri"/>
          <w:szCs w:val="22"/>
        </w:rPr>
      </w:pPr>
    </w:p>
    <w:p w14:paraId="43C5D639" w14:textId="699BBDF0" w:rsidR="00A419B2" w:rsidRPr="002E2B5B" w:rsidRDefault="00BE5E3D" w:rsidP="002E2B5B">
      <w:pPr>
        <w:pStyle w:val="Ttulo1"/>
        <w:tabs>
          <w:tab w:val="left" w:pos="1701"/>
        </w:tabs>
        <w:ind w:right="-142"/>
        <w:rPr>
          <w:rFonts w:ascii="Calibri" w:hAnsi="Calibri" w:cs="Calibri"/>
          <w:szCs w:val="22"/>
        </w:rPr>
      </w:pPr>
      <w:r w:rsidRPr="002E2B5B">
        <w:rPr>
          <w:rFonts w:ascii="Calibri" w:hAnsi="Calibri" w:cs="Calibri"/>
          <w:szCs w:val="22"/>
        </w:rPr>
        <w:t xml:space="preserve">NOTAS EXPLICATIVAS </w:t>
      </w:r>
      <w:r w:rsidR="003172EB" w:rsidRPr="002E2B5B">
        <w:rPr>
          <w:rFonts w:ascii="Calibri" w:hAnsi="Calibri" w:cs="Calibri"/>
          <w:szCs w:val="22"/>
        </w:rPr>
        <w:t xml:space="preserve">ÀS </w:t>
      </w:r>
      <w:r w:rsidR="00C80DB7" w:rsidRPr="002E2B5B">
        <w:rPr>
          <w:rFonts w:ascii="Calibri" w:hAnsi="Calibri" w:cs="Calibri"/>
          <w:szCs w:val="22"/>
        </w:rPr>
        <w:t xml:space="preserve">DEMONSTRAÇÕES </w:t>
      </w:r>
      <w:r w:rsidR="007C284D" w:rsidRPr="002E2B5B">
        <w:rPr>
          <w:rFonts w:ascii="Calibri" w:hAnsi="Calibri" w:cs="Calibri"/>
          <w:szCs w:val="22"/>
        </w:rPr>
        <w:t>CONTÁBEIS</w:t>
      </w:r>
      <w:r w:rsidR="000069AD" w:rsidRPr="002E2B5B">
        <w:rPr>
          <w:rFonts w:ascii="Calibri" w:hAnsi="Calibri" w:cs="Calibri"/>
          <w:szCs w:val="22"/>
        </w:rPr>
        <w:t xml:space="preserve"> </w:t>
      </w:r>
      <w:r w:rsidR="00AC2662">
        <w:rPr>
          <w:rFonts w:ascii="Calibri" w:hAnsi="Calibri" w:cs="Calibri"/>
          <w:szCs w:val="22"/>
        </w:rPr>
        <w:t xml:space="preserve">INTERMEDIÁRIAS </w:t>
      </w:r>
      <w:r w:rsidR="00A419B2" w:rsidRPr="002E2B5B">
        <w:rPr>
          <w:rFonts w:ascii="Calibri" w:hAnsi="Calibri" w:cs="Calibri"/>
          <w:szCs w:val="22"/>
        </w:rPr>
        <w:t xml:space="preserve">PARA O </w:t>
      </w:r>
      <w:r w:rsidR="00B80638">
        <w:rPr>
          <w:rFonts w:ascii="Calibri" w:hAnsi="Calibri" w:cs="Calibri"/>
          <w:szCs w:val="22"/>
        </w:rPr>
        <w:t>PERÍODO</w:t>
      </w:r>
      <w:r w:rsidR="00A419B2" w:rsidRPr="002E2B5B">
        <w:rPr>
          <w:rFonts w:ascii="Calibri" w:hAnsi="Calibri" w:cs="Calibri"/>
          <w:szCs w:val="22"/>
        </w:rPr>
        <w:t xml:space="preserve"> FINDO</w:t>
      </w:r>
    </w:p>
    <w:p w14:paraId="17B80F84" w14:textId="636DFDFB" w:rsidR="00A419B2" w:rsidRPr="002E2B5B" w:rsidRDefault="00A419B2" w:rsidP="002E2B5B">
      <w:pPr>
        <w:pStyle w:val="Ttulo1"/>
        <w:ind w:right="-142"/>
        <w:rPr>
          <w:rFonts w:ascii="Calibri" w:hAnsi="Calibri" w:cs="Calibri"/>
          <w:szCs w:val="22"/>
        </w:rPr>
      </w:pPr>
      <w:r w:rsidRPr="002E2B5B">
        <w:rPr>
          <w:rFonts w:ascii="Calibri" w:hAnsi="Calibri" w:cs="Calibri"/>
          <w:szCs w:val="22"/>
        </w:rPr>
        <w:t xml:space="preserve">EM </w:t>
      </w:r>
      <w:r w:rsidR="005E3402" w:rsidRPr="002E2B5B">
        <w:rPr>
          <w:rFonts w:ascii="Calibri" w:hAnsi="Calibri" w:cs="Calibri"/>
          <w:szCs w:val="22"/>
        </w:rPr>
        <w:t>3</w:t>
      </w:r>
      <w:r w:rsidR="00AC2662">
        <w:rPr>
          <w:rFonts w:ascii="Calibri" w:hAnsi="Calibri" w:cs="Calibri"/>
          <w:szCs w:val="22"/>
        </w:rPr>
        <w:t>0</w:t>
      </w:r>
      <w:r w:rsidRPr="002E2B5B">
        <w:rPr>
          <w:rFonts w:ascii="Calibri" w:hAnsi="Calibri" w:cs="Calibri"/>
          <w:szCs w:val="22"/>
        </w:rPr>
        <w:t xml:space="preserve"> DE </w:t>
      </w:r>
      <w:r w:rsidR="00AC2662">
        <w:rPr>
          <w:rFonts w:ascii="Calibri" w:hAnsi="Calibri" w:cs="Calibri"/>
          <w:szCs w:val="22"/>
        </w:rPr>
        <w:t>JUNHO</w:t>
      </w:r>
      <w:r w:rsidR="00695F78">
        <w:rPr>
          <w:rFonts w:ascii="Calibri" w:hAnsi="Calibri" w:cs="Calibri"/>
          <w:szCs w:val="22"/>
        </w:rPr>
        <w:t xml:space="preserve"> DE 2021</w:t>
      </w:r>
    </w:p>
    <w:p w14:paraId="0B380762" w14:textId="77777777" w:rsidR="00BE5E3D" w:rsidRPr="002E2B5B" w:rsidRDefault="00BE5E3D" w:rsidP="002E2B5B">
      <w:pPr>
        <w:pStyle w:val="Ttulo1"/>
        <w:tabs>
          <w:tab w:val="left" w:pos="1701"/>
        </w:tabs>
        <w:ind w:right="-142"/>
        <w:rPr>
          <w:rFonts w:ascii="Calibri" w:hAnsi="Calibri" w:cs="Calibri"/>
          <w:b w:val="0"/>
          <w:szCs w:val="22"/>
        </w:rPr>
      </w:pPr>
      <w:r w:rsidRPr="002E2B5B">
        <w:rPr>
          <w:rFonts w:ascii="Calibri" w:hAnsi="Calibri" w:cs="Calibri"/>
          <w:b w:val="0"/>
          <w:szCs w:val="22"/>
        </w:rPr>
        <w:t xml:space="preserve">- Em R$ 1 </w:t>
      </w:r>
      <w:r w:rsidR="00F404DC" w:rsidRPr="002E2B5B">
        <w:rPr>
          <w:rFonts w:ascii="Calibri" w:hAnsi="Calibri" w:cs="Calibri"/>
          <w:b w:val="0"/>
          <w:szCs w:val="22"/>
        </w:rPr>
        <w:t>–</w:t>
      </w:r>
    </w:p>
    <w:p w14:paraId="7F7FF890" w14:textId="77777777" w:rsidR="00B66FFB" w:rsidRPr="002E2B5B" w:rsidRDefault="00B66FFB" w:rsidP="002E2B5B">
      <w:pPr>
        <w:pStyle w:val="NormalWeb"/>
        <w:spacing w:before="0" w:beforeAutospacing="0" w:after="0" w:afterAutospacing="0"/>
        <w:jc w:val="both"/>
        <w:rPr>
          <w:rFonts w:ascii="Calibri" w:hAnsi="Calibri" w:cs="Calibri"/>
          <w:b/>
          <w:sz w:val="22"/>
          <w:szCs w:val="22"/>
        </w:rPr>
      </w:pPr>
    </w:p>
    <w:p w14:paraId="6B6FB4D4" w14:textId="444FA63A" w:rsidR="00F658CA" w:rsidRPr="002E2B5B" w:rsidRDefault="00F658CA" w:rsidP="002E2B5B">
      <w:pPr>
        <w:pStyle w:val="NormalWeb"/>
        <w:spacing w:before="0" w:beforeAutospacing="0" w:after="0" w:afterAutospacing="0"/>
        <w:jc w:val="both"/>
        <w:rPr>
          <w:rFonts w:ascii="Calibri" w:hAnsi="Calibri" w:cs="Calibri"/>
          <w:b/>
          <w:sz w:val="22"/>
          <w:szCs w:val="22"/>
        </w:rPr>
      </w:pPr>
      <w:r w:rsidRPr="002E2B5B">
        <w:rPr>
          <w:rFonts w:ascii="Calibri" w:hAnsi="Calibri" w:cs="Calibri"/>
          <w:b/>
          <w:sz w:val="22"/>
          <w:szCs w:val="22"/>
        </w:rPr>
        <w:t>NOTA 1 – CONTEXTO OPERACIONAL</w:t>
      </w:r>
    </w:p>
    <w:p w14:paraId="3EA8E486" w14:textId="77777777" w:rsidR="009165D8" w:rsidRPr="002E2B5B" w:rsidRDefault="009165D8" w:rsidP="002E2B5B">
      <w:pPr>
        <w:pStyle w:val="NormalWeb"/>
        <w:spacing w:before="0" w:beforeAutospacing="0" w:after="0" w:afterAutospacing="0"/>
        <w:jc w:val="both"/>
        <w:rPr>
          <w:rFonts w:ascii="Calibri" w:hAnsi="Calibri" w:cs="Calibri"/>
          <w:b/>
          <w:sz w:val="22"/>
          <w:szCs w:val="22"/>
        </w:rPr>
      </w:pPr>
    </w:p>
    <w:p w14:paraId="3779276C" w14:textId="77777777" w:rsidR="004966BC" w:rsidRPr="002E2B5B" w:rsidRDefault="00DA0C1E" w:rsidP="002E2B5B">
      <w:pPr>
        <w:pStyle w:val="NormalWeb"/>
        <w:spacing w:before="0" w:beforeAutospacing="0" w:after="0" w:afterAutospacing="0"/>
        <w:jc w:val="both"/>
        <w:rPr>
          <w:rFonts w:ascii="Calibri" w:hAnsi="Calibri" w:cs="Calibri"/>
          <w:b/>
          <w:sz w:val="22"/>
          <w:szCs w:val="22"/>
          <w:u w:val="single"/>
        </w:rPr>
      </w:pPr>
      <w:r w:rsidRPr="002E2B5B">
        <w:rPr>
          <w:rFonts w:ascii="Calibri" w:hAnsi="Calibri" w:cs="Calibri"/>
          <w:b/>
          <w:sz w:val="22"/>
          <w:szCs w:val="22"/>
          <w:u w:val="single"/>
        </w:rPr>
        <w:t>A</w:t>
      </w:r>
      <w:r w:rsidR="004966BC" w:rsidRPr="002E2B5B">
        <w:rPr>
          <w:rFonts w:ascii="Calibri" w:hAnsi="Calibri" w:cs="Calibri"/>
          <w:b/>
          <w:sz w:val="22"/>
          <w:szCs w:val="22"/>
          <w:u w:val="single"/>
        </w:rPr>
        <w:t xml:space="preserve"> Empresa</w:t>
      </w:r>
    </w:p>
    <w:p w14:paraId="64E064A0" w14:textId="12703A3A"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 VALEC Engenharia, Construções e Ferrovias S.A. é uma empresa pública federal dependente vinculada ao Ministério da Infraestrutura, com sede em Brasília-DF, organizada sob a forma de sociedade anônima de capital fechado, com 8.090.009 ações ordinárias nominativas, sem valor nominal, sendo a União detentora de 100% das ações.</w:t>
      </w:r>
    </w:p>
    <w:p w14:paraId="6D39AE9C" w14:textId="76767CB0"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função social da VALEC é a construção e exploração de infraestrutura ferroviária e suas competências estão previstas no Art. 8º da Lei nº 11.772, de 17 de setembro de 2008. </w:t>
      </w:r>
    </w:p>
    <w:p w14:paraId="054599A5" w14:textId="3A9A5FED"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Como empresa pública federal dependente, a VALEC recebe recursos financeiros da União para pagamentos de despesas com pessoal e custeio por meio de subvenções do Tesouro Nacional e, para fomentar os gastos com investimentos nas construções das ferrovias, recebe recursos por meio de Adiantamentos para Futuro Aumento de Capital – AFAC, que posteriormente são integralizados ao Capital Social.   </w:t>
      </w:r>
    </w:p>
    <w:p w14:paraId="3080CB6F" w14:textId="17C6D540" w:rsidR="009165D8" w:rsidRPr="002E2B5B" w:rsidRDefault="00F658CA" w:rsidP="002E2B5B">
      <w:pPr>
        <w:pStyle w:val="NormalWeb"/>
        <w:spacing w:before="0" w:beforeAutospacing="0" w:after="120" w:afterAutospacing="0"/>
        <w:jc w:val="both"/>
        <w:rPr>
          <w:rFonts w:ascii="Calibri" w:hAnsi="Calibri" w:cs="Calibri"/>
          <w:sz w:val="22"/>
          <w:szCs w:val="22"/>
          <w:shd w:val="clear" w:color="auto" w:fill="FFFFFF"/>
        </w:rPr>
      </w:pPr>
      <w:r w:rsidRPr="002E2B5B">
        <w:rPr>
          <w:rFonts w:ascii="Calibri" w:hAnsi="Calibri" w:cs="Calibri"/>
          <w:sz w:val="22"/>
          <w:szCs w:val="22"/>
        </w:rPr>
        <w:t>Os atos de gestão da VALEC são supervisionados pelos órgãos de governança do poder executivo – Secretaria de Coordenação e Governança das Empresas Estatais - SEST e Secretaria do Tesouro Nacional - STN e fiscalizados</w:t>
      </w:r>
      <w:r w:rsidRPr="002E2B5B">
        <w:rPr>
          <w:rFonts w:ascii="Calibri" w:hAnsi="Calibri" w:cs="Calibri"/>
          <w:sz w:val="22"/>
          <w:szCs w:val="22"/>
          <w:shd w:val="clear" w:color="auto" w:fill="FFFFFF"/>
        </w:rPr>
        <w:t xml:space="preserve"> pelos Órgãos de controle interno </w:t>
      </w:r>
      <w:r w:rsidRPr="002E2B5B">
        <w:rPr>
          <w:rFonts w:ascii="Calibri" w:hAnsi="Calibri" w:cs="Calibri"/>
          <w:sz w:val="22"/>
          <w:szCs w:val="22"/>
        </w:rPr>
        <w:t xml:space="preserve">– </w:t>
      </w:r>
      <w:r w:rsidRPr="002E2B5B">
        <w:rPr>
          <w:rFonts w:ascii="Calibri" w:hAnsi="Calibri" w:cs="Calibri"/>
          <w:sz w:val="22"/>
          <w:szCs w:val="22"/>
          <w:shd w:val="clear" w:color="auto" w:fill="FFFFFF"/>
        </w:rPr>
        <w:t xml:space="preserve">Controladoria-Geral da União - CGU e externo </w:t>
      </w:r>
      <w:r w:rsidRPr="002E2B5B">
        <w:rPr>
          <w:rFonts w:ascii="Calibri" w:hAnsi="Calibri" w:cs="Calibri"/>
          <w:sz w:val="22"/>
          <w:szCs w:val="22"/>
        </w:rPr>
        <w:t xml:space="preserve">– </w:t>
      </w:r>
      <w:r w:rsidRPr="002E2B5B">
        <w:rPr>
          <w:rFonts w:ascii="Calibri" w:hAnsi="Calibri" w:cs="Calibri"/>
          <w:sz w:val="22"/>
          <w:szCs w:val="22"/>
          <w:shd w:val="clear" w:color="auto" w:fill="FFFFFF"/>
        </w:rPr>
        <w:t>Tribunal de Contas da União - TCU.</w:t>
      </w:r>
    </w:p>
    <w:p w14:paraId="2BE6CF77" w14:textId="77777777" w:rsidR="004966BC" w:rsidRPr="002E2B5B" w:rsidRDefault="004966BC" w:rsidP="002E2B5B">
      <w:pPr>
        <w:pStyle w:val="NormalWeb"/>
        <w:spacing w:before="0" w:beforeAutospacing="0" w:after="0" w:afterAutospacing="0"/>
        <w:jc w:val="both"/>
        <w:rPr>
          <w:rFonts w:ascii="Calibri" w:hAnsi="Calibri" w:cs="Calibri"/>
          <w:b/>
          <w:bCs/>
          <w:sz w:val="22"/>
          <w:szCs w:val="22"/>
          <w:u w:val="single"/>
          <w:shd w:val="clear" w:color="auto" w:fill="FFFFFF"/>
        </w:rPr>
      </w:pPr>
      <w:r w:rsidRPr="002E2B5B">
        <w:rPr>
          <w:rFonts w:ascii="Calibri" w:hAnsi="Calibri" w:cs="Calibri"/>
          <w:b/>
          <w:bCs/>
          <w:sz w:val="22"/>
          <w:szCs w:val="22"/>
          <w:u w:val="single"/>
          <w:shd w:val="clear" w:color="auto" w:fill="FFFFFF"/>
        </w:rPr>
        <w:t>Continuidade Operacional</w:t>
      </w:r>
    </w:p>
    <w:p w14:paraId="75326BCC" w14:textId="201AEC0F"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VALEC é uma empresa pública controlada pela União (única acionista), reestruturada pela Lei nº 11.772, de 17 de setembro de 2008, considerada dependente nos termos da Lei Complementar nº 101, de 04 de maio de 2000, a qual define como estatal dependente a “</w:t>
      </w:r>
      <w:r w:rsidRPr="002E2B5B">
        <w:rPr>
          <w:rFonts w:ascii="Calibri" w:hAnsi="Calibri" w:cs="Calibri"/>
          <w:i/>
          <w:iCs/>
          <w:sz w:val="22"/>
          <w:szCs w:val="22"/>
          <w:shd w:val="clear" w:color="auto" w:fill="FFFFFF"/>
        </w:rPr>
        <w:t>empresa controlada que recebe do ente controlador recursos financeiros para pagamento de despesas com pessoal ou de custeio em geral ou de capital, excluídos, no último caso, aqueles provenientes de aumento de participação acionária</w:t>
      </w:r>
      <w:r w:rsidRPr="002E2B5B">
        <w:rPr>
          <w:rFonts w:ascii="Calibri" w:hAnsi="Calibri" w:cs="Calibri"/>
          <w:sz w:val="22"/>
          <w:szCs w:val="22"/>
          <w:shd w:val="clear" w:color="auto" w:fill="FFFFFF"/>
        </w:rPr>
        <w:t>”.</w:t>
      </w:r>
    </w:p>
    <w:p w14:paraId="037E83C7" w14:textId="43DEB00D"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Nesse contexto, a VALEC segue as políticas públicas traçadas pelo Ministérios da Infraestrutura e seu planejamento financeiro de longo prazo é vinculado ao planejamento orçamentário, por meio do Plano Plurianual de 2020 – 2023, aprovados nos termos da Lei 13.971, de 13 de dezembro de 2019.</w:t>
      </w:r>
    </w:p>
    <w:p w14:paraId="03C89E6C" w14:textId="75429E97" w:rsidR="00B80638" w:rsidRPr="002E2B5B" w:rsidRDefault="00B80638" w:rsidP="00B80638">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Em </w:t>
      </w:r>
      <w:r w:rsidR="00AC2662">
        <w:rPr>
          <w:rFonts w:ascii="Calibri" w:hAnsi="Calibri" w:cs="Calibri"/>
          <w:sz w:val="22"/>
          <w:szCs w:val="22"/>
          <w:shd w:val="clear" w:color="auto" w:fill="FFFFFF"/>
        </w:rPr>
        <w:t>30/06/2021</w:t>
      </w:r>
      <w:r w:rsidRPr="002E2B5B">
        <w:rPr>
          <w:rFonts w:ascii="Calibri" w:hAnsi="Calibri" w:cs="Calibri"/>
          <w:sz w:val="22"/>
          <w:szCs w:val="22"/>
          <w:shd w:val="clear" w:color="auto" w:fill="FFFFFF"/>
        </w:rPr>
        <w:t xml:space="preserve"> o Passivo Circulante excedeu o seu Ativo Circulante em R$ </w:t>
      </w:r>
      <w:r w:rsidR="00AC2662">
        <w:rPr>
          <w:rFonts w:ascii="Calibri" w:hAnsi="Calibri" w:cs="Calibri"/>
          <w:sz w:val="22"/>
          <w:szCs w:val="22"/>
          <w:shd w:val="clear" w:color="auto" w:fill="FFFFFF"/>
        </w:rPr>
        <w:t>270</w:t>
      </w:r>
      <w:r w:rsidRPr="002E2B5B">
        <w:rPr>
          <w:rFonts w:ascii="Calibri" w:hAnsi="Calibri" w:cs="Calibri"/>
          <w:sz w:val="22"/>
          <w:szCs w:val="22"/>
          <w:shd w:val="clear" w:color="auto" w:fill="FFFFFF"/>
        </w:rPr>
        <w:t xml:space="preserve"> milhões:</w:t>
      </w:r>
    </w:p>
    <w:tbl>
      <w:tblPr>
        <w:tblW w:w="5000" w:type="pct"/>
        <w:tblCellMar>
          <w:left w:w="70" w:type="dxa"/>
          <w:right w:w="70" w:type="dxa"/>
        </w:tblCellMar>
        <w:tblLook w:val="04A0" w:firstRow="1" w:lastRow="0" w:firstColumn="1" w:lastColumn="0" w:noHBand="0" w:noVBand="1"/>
      </w:tblPr>
      <w:tblGrid>
        <w:gridCol w:w="7779"/>
        <w:gridCol w:w="2688"/>
      </w:tblGrid>
      <w:tr w:rsidR="00B80638" w:rsidRPr="002E2B5B" w14:paraId="33EC5058" w14:textId="77777777" w:rsidTr="00B23D01">
        <w:trPr>
          <w:trHeight w:hRule="exact" w:val="227"/>
        </w:trPr>
        <w:tc>
          <w:tcPr>
            <w:tcW w:w="5000" w:type="pct"/>
            <w:gridSpan w:val="2"/>
            <w:tcBorders>
              <w:bottom w:val="single" w:sz="4" w:space="0" w:color="auto"/>
            </w:tcBorders>
            <w:shd w:val="clear" w:color="auto" w:fill="auto"/>
            <w:noWrap/>
            <w:vAlign w:val="center"/>
            <w:hideMark/>
          </w:tcPr>
          <w:p w14:paraId="42723F1F" w14:textId="77777777" w:rsidR="00B80638" w:rsidRPr="002E2B5B" w:rsidRDefault="00B80638" w:rsidP="00331A4D">
            <w:pPr>
              <w:rPr>
                <w:rFonts w:ascii="Calibri" w:hAnsi="Calibri" w:cs="Calibri"/>
                <w:b/>
                <w:bCs/>
                <w:sz w:val="16"/>
                <w:szCs w:val="16"/>
              </w:rPr>
            </w:pPr>
            <w:r w:rsidRPr="002E2B5B">
              <w:rPr>
                <w:rFonts w:ascii="Calibri" w:hAnsi="Calibri" w:cs="Calibri"/>
                <w:b/>
                <w:bCs/>
                <w:sz w:val="16"/>
                <w:szCs w:val="16"/>
              </w:rPr>
              <w:t>Descrição</w:t>
            </w:r>
          </w:p>
        </w:tc>
      </w:tr>
      <w:tr w:rsidR="00B80638" w:rsidRPr="002E2B5B" w14:paraId="0C37360E" w14:textId="77777777" w:rsidTr="00B23D01">
        <w:trPr>
          <w:trHeight w:hRule="exact" w:val="227"/>
        </w:trPr>
        <w:tc>
          <w:tcPr>
            <w:tcW w:w="3716" w:type="pct"/>
            <w:tcBorders>
              <w:top w:val="single" w:sz="4" w:space="0" w:color="auto"/>
            </w:tcBorders>
            <w:shd w:val="clear" w:color="auto" w:fill="auto"/>
            <w:noWrap/>
            <w:vAlign w:val="center"/>
            <w:hideMark/>
          </w:tcPr>
          <w:p w14:paraId="0BD30FC5" w14:textId="77777777" w:rsidR="00B80638" w:rsidRPr="002E2B5B" w:rsidRDefault="00B80638" w:rsidP="00331A4D">
            <w:pPr>
              <w:rPr>
                <w:rFonts w:ascii="Calibri" w:hAnsi="Calibri" w:cs="Calibri"/>
                <w:sz w:val="16"/>
                <w:szCs w:val="16"/>
              </w:rPr>
            </w:pPr>
            <w:r w:rsidRPr="002E2B5B">
              <w:rPr>
                <w:rFonts w:ascii="Calibri" w:hAnsi="Calibri" w:cs="Calibri"/>
                <w:sz w:val="16"/>
                <w:szCs w:val="16"/>
              </w:rPr>
              <w:t>Ativo Circulante</w:t>
            </w:r>
          </w:p>
        </w:tc>
        <w:tc>
          <w:tcPr>
            <w:tcW w:w="1284" w:type="pct"/>
            <w:tcBorders>
              <w:top w:val="single" w:sz="4" w:space="0" w:color="auto"/>
            </w:tcBorders>
            <w:shd w:val="clear" w:color="auto" w:fill="auto"/>
            <w:noWrap/>
            <w:vAlign w:val="center"/>
            <w:hideMark/>
          </w:tcPr>
          <w:p w14:paraId="3B10BD34" w14:textId="5962CFDF" w:rsidR="00B80638" w:rsidRPr="002E2B5B" w:rsidRDefault="00AC2662" w:rsidP="00331A4D">
            <w:pPr>
              <w:jc w:val="right"/>
              <w:rPr>
                <w:rFonts w:ascii="Calibri" w:hAnsi="Calibri" w:cs="Calibri"/>
                <w:sz w:val="16"/>
                <w:szCs w:val="16"/>
              </w:rPr>
            </w:pPr>
            <w:r>
              <w:rPr>
                <w:rFonts w:ascii="Calibri" w:hAnsi="Calibri" w:cs="Calibri"/>
                <w:sz w:val="16"/>
                <w:szCs w:val="16"/>
              </w:rPr>
              <w:t>72.276.008</w:t>
            </w:r>
          </w:p>
        </w:tc>
      </w:tr>
      <w:tr w:rsidR="00B80638" w:rsidRPr="002E2B5B" w14:paraId="481728C3" w14:textId="77777777" w:rsidTr="00B23D01">
        <w:trPr>
          <w:trHeight w:hRule="exact" w:val="227"/>
        </w:trPr>
        <w:tc>
          <w:tcPr>
            <w:tcW w:w="3716" w:type="pct"/>
            <w:shd w:val="clear" w:color="auto" w:fill="auto"/>
            <w:noWrap/>
            <w:vAlign w:val="center"/>
          </w:tcPr>
          <w:p w14:paraId="3D217979" w14:textId="77777777" w:rsidR="00B80638" w:rsidRPr="002E2B5B" w:rsidRDefault="00B80638" w:rsidP="00331A4D">
            <w:pPr>
              <w:rPr>
                <w:rFonts w:ascii="Calibri" w:hAnsi="Calibri" w:cs="Calibri"/>
                <w:sz w:val="16"/>
                <w:szCs w:val="16"/>
              </w:rPr>
            </w:pPr>
            <w:r w:rsidRPr="002E2B5B">
              <w:rPr>
                <w:rFonts w:ascii="Calibri" w:hAnsi="Calibri" w:cs="Calibri"/>
                <w:sz w:val="16"/>
                <w:szCs w:val="16"/>
              </w:rPr>
              <w:t>Passivo Circulante</w:t>
            </w:r>
          </w:p>
        </w:tc>
        <w:tc>
          <w:tcPr>
            <w:tcW w:w="1284" w:type="pct"/>
            <w:shd w:val="clear" w:color="auto" w:fill="auto"/>
            <w:noWrap/>
            <w:vAlign w:val="center"/>
          </w:tcPr>
          <w:p w14:paraId="483DEE40" w14:textId="20C2EC4F" w:rsidR="00B80638" w:rsidRDefault="00AC2662" w:rsidP="00331A4D">
            <w:pPr>
              <w:jc w:val="right"/>
              <w:rPr>
                <w:rFonts w:ascii="Calibri" w:hAnsi="Calibri" w:cs="Calibri"/>
                <w:sz w:val="16"/>
                <w:szCs w:val="16"/>
              </w:rPr>
            </w:pPr>
            <w:r>
              <w:rPr>
                <w:rFonts w:ascii="Calibri" w:hAnsi="Calibri" w:cs="Calibri"/>
                <w:sz w:val="16"/>
                <w:szCs w:val="16"/>
              </w:rPr>
              <w:t>342.336.318</w:t>
            </w:r>
          </w:p>
          <w:p w14:paraId="0AE9D82F" w14:textId="77777777" w:rsidR="00B80638" w:rsidRPr="002E2B5B" w:rsidRDefault="00B80638" w:rsidP="00331A4D">
            <w:pPr>
              <w:jc w:val="right"/>
              <w:rPr>
                <w:rFonts w:ascii="Calibri" w:hAnsi="Calibri" w:cs="Calibri"/>
                <w:sz w:val="16"/>
                <w:szCs w:val="16"/>
              </w:rPr>
            </w:pPr>
          </w:p>
        </w:tc>
      </w:tr>
      <w:tr w:rsidR="00B80638" w:rsidRPr="002E2B5B" w14:paraId="149CCF0C" w14:textId="77777777" w:rsidTr="00B23D01">
        <w:trPr>
          <w:trHeight w:hRule="exact" w:val="227"/>
        </w:trPr>
        <w:tc>
          <w:tcPr>
            <w:tcW w:w="3716" w:type="pct"/>
            <w:tcBorders>
              <w:top w:val="single" w:sz="4" w:space="0" w:color="auto"/>
              <w:bottom w:val="single" w:sz="4" w:space="0" w:color="auto"/>
            </w:tcBorders>
            <w:shd w:val="clear" w:color="auto" w:fill="auto"/>
            <w:noWrap/>
            <w:vAlign w:val="center"/>
            <w:hideMark/>
          </w:tcPr>
          <w:p w14:paraId="3B83A8B1" w14:textId="77777777" w:rsidR="00B80638" w:rsidRPr="002E2B5B" w:rsidRDefault="00B80638" w:rsidP="00331A4D">
            <w:pPr>
              <w:rPr>
                <w:rFonts w:ascii="Calibri" w:hAnsi="Calibri" w:cs="Calibri"/>
                <w:b/>
                <w:sz w:val="16"/>
                <w:szCs w:val="16"/>
              </w:rPr>
            </w:pPr>
            <w:r w:rsidRPr="002E2B5B">
              <w:rPr>
                <w:rFonts w:ascii="Calibri" w:hAnsi="Calibri" w:cs="Calibri"/>
                <w:b/>
                <w:bCs/>
                <w:sz w:val="16"/>
                <w:szCs w:val="16"/>
              </w:rPr>
              <w:t>Excedente (AC – PC)</w:t>
            </w:r>
          </w:p>
        </w:tc>
        <w:tc>
          <w:tcPr>
            <w:tcW w:w="1284" w:type="pct"/>
            <w:tcBorders>
              <w:top w:val="single" w:sz="4" w:space="0" w:color="auto"/>
              <w:bottom w:val="single" w:sz="4" w:space="0" w:color="auto"/>
            </w:tcBorders>
            <w:shd w:val="clear" w:color="auto" w:fill="auto"/>
            <w:noWrap/>
            <w:vAlign w:val="center"/>
            <w:hideMark/>
          </w:tcPr>
          <w:p w14:paraId="44EB5EB3" w14:textId="6863223C" w:rsidR="00B80638" w:rsidRPr="002E2B5B" w:rsidRDefault="00B80638" w:rsidP="00331A4D">
            <w:pPr>
              <w:jc w:val="right"/>
              <w:rPr>
                <w:rFonts w:ascii="Calibri" w:hAnsi="Calibri" w:cs="Calibri"/>
                <w:b/>
                <w:bCs/>
                <w:sz w:val="16"/>
                <w:szCs w:val="16"/>
              </w:rPr>
            </w:pPr>
            <w:r w:rsidRPr="002E2B5B">
              <w:rPr>
                <w:rFonts w:ascii="Calibri" w:hAnsi="Calibri" w:cs="Calibri"/>
                <w:b/>
                <w:bCs/>
                <w:sz w:val="16"/>
                <w:szCs w:val="16"/>
              </w:rPr>
              <w:t>(</w:t>
            </w:r>
            <w:r w:rsidR="00AC2662">
              <w:rPr>
                <w:rFonts w:ascii="Calibri" w:hAnsi="Calibri" w:cs="Calibri"/>
                <w:b/>
                <w:bCs/>
                <w:sz w:val="16"/>
                <w:szCs w:val="16"/>
              </w:rPr>
              <w:t>270.060.310</w:t>
            </w:r>
            <w:r w:rsidRPr="002E2B5B">
              <w:rPr>
                <w:rFonts w:ascii="Calibri" w:hAnsi="Calibri" w:cs="Calibri"/>
                <w:b/>
                <w:bCs/>
                <w:sz w:val="16"/>
                <w:szCs w:val="16"/>
              </w:rPr>
              <w:t>)</w:t>
            </w:r>
          </w:p>
        </w:tc>
      </w:tr>
    </w:tbl>
    <w:p w14:paraId="5EBFC6EA" w14:textId="77777777" w:rsidR="00B80638" w:rsidRPr="002E2B5B" w:rsidRDefault="00B80638" w:rsidP="00B80638">
      <w:pPr>
        <w:autoSpaceDE w:val="0"/>
        <w:autoSpaceDN w:val="0"/>
        <w:adjustRightInd w:val="0"/>
        <w:jc w:val="both"/>
        <w:rPr>
          <w:rFonts w:ascii="Calibri" w:hAnsi="Calibri" w:cs="Calibri"/>
          <w:sz w:val="22"/>
          <w:szCs w:val="22"/>
          <w:shd w:val="clear" w:color="auto" w:fill="FFFFFF"/>
        </w:rPr>
      </w:pPr>
    </w:p>
    <w:p w14:paraId="7E3EEAC0" w14:textId="3A2FDEF6" w:rsidR="00B80638" w:rsidRPr="002E2B5B" w:rsidRDefault="00B80638" w:rsidP="00B80638">
      <w:pPr>
        <w:autoSpaceDE w:val="0"/>
        <w:autoSpaceDN w:val="0"/>
        <w:adjustRightInd w:val="0"/>
        <w:spacing w:after="120"/>
        <w:jc w:val="both"/>
        <w:rPr>
          <w:rFonts w:ascii="Calibri" w:hAnsi="Calibri" w:cs="Calibri"/>
          <w:sz w:val="22"/>
          <w:szCs w:val="22"/>
          <w:shd w:val="clear" w:color="auto" w:fill="FFFFFF"/>
        </w:rPr>
      </w:pPr>
      <w:r w:rsidRPr="0001095F">
        <w:rPr>
          <w:rFonts w:ascii="Calibri" w:hAnsi="Calibri" w:cs="Calibri"/>
          <w:sz w:val="22"/>
          <w:szCs w:val="22"/>
          <w:shd w:val="clear" w:color="auto" w:fill="FFFFFF"/>
        </w:rPr>
        <w:t xml:space="preserve">Essa situação foi demonstrada a partir de último trimestre do exercício de 2020, em decorrência da reclassificação de parte das provisões para riscos trabalhistas/cíveis do Passivo Não Circulante para o Passivo Circulante, </w:t>
      </w:r>
      <w:r w:rsidR="00956793">
        <w:rPr>
          <w:rFonts w:ascii="Calibri" w:hAnsi="Calibri" w:cs="Calibri"/>
          <w:sz w:val="22"/>
          <w:szCs w:val="22"/>
          <w:shd w:val="clear" w:color="auto" w:fill="FFFFFF"/>
        </w:rPr>
        <w:t>após a</w:t>
      </w:r>
      <w:r w:rsidRPr="0001095F">
        <w:rPr>
          <w:rFonts w:ascii="Calibri" w:hAnsi="Calibri" w:cs="Calibri"/>
          <w:sz w:val="22"/>
          <w:szCs w:val="22"/>
          <w:shd w:val="clear" w:color="auto" w:fill="FFFFFF"/>
        </w:rPr>
        <w:t xml:space="preserve"> revisão da previsão de realização dos pagamentos dos processos que se encontram em andamento contra a VALEC.</w:t>
      </w:r>
    </w:p>
    <w:p w14:paraId="4EC0CF98" w14:textId="68D718FC" w:rsidR="00B80638" w:rsidRDefault="00B80638" w:rsidP="00B80638">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No entanto, </w:t>
      </w:r>
      <w:r>
        <w:rPr>
          <w:rFonts w:ascii="Calibri" w:hAnsi="Calibri" w:cs="Calibri"/>
          <w:sz w:val="22"/>
          <w:szCs w:val="22"/>
          <w:shd w:val="clear" w:color="auto" w:fill="FFFFFF"/>
        </w:rPr>
        <w:t>a</w:t>
      </w:r>
      <w:r w:rsidRPr="00FF4575">
        <w:rPr>
          <w:rFonts w:ascii="Calibri" w:hAnsi="Calibri" w:cs="Calibri"/>
          <w:sz w:val="22"/>
          <w:szCs w:val="22"/>
          <w:shd w:val="clear" w:color="auto" w:fill="FFFFFF"/>
        </w:rPr>
        <w:t xml:space="preserve"> legislação prevê a possibilidade de suplementação orçamentária, caso os recursos previstos na Lei Orçamentária Anual não sejam suficientes. O embasamento para essa suplementação está ancorado nos </w:t>
      </w:r>
      <w:proofErr w:type="spellStart"/>
      <w:r w:rsidRPr="00FF4575">
        <w:rPr>
          <w:rFonts w:ascii="Calibri" w:hAnsi="Calibri" w:cs="Calibri"/>
          <w:sz w:val="22"/>
          <w:szCs w:val="22"/>
          <w:shd w:val="clear" w:color="auto" w:fill="FFFFFF"/>
        </w:rPr>
        <w:t>arts</w:t>
      </w:r>
      <w:proofErr w:type="spellEnd"/>
      <w:r w:rsidRPr="00FF4575">
        <w:rPr>
          <w:rFonts w:ascii="Calibri" w:hAnsi="Calibri" w:cs="Calibri"/>
          <w:sz w:val="22"/>
          <w:szCs w:val="22"/>
          <w:shd w:val="clear" w:color="auto" w:fill="FFFFFF"/>
        </w:rPr>
        <w:t xml:space="preserve">. 40 a 46 da Lei nº 4.320, de 17 de março de 1964 (créditos orçamentários); no art. 4º da Lei nº 14.144, de 22 de abril de 2021; e no art. 9º da Portaria SOF/ME nº 4.967, de 29 de abril de 2021 e Portaria SOF/ME </w:t>
      </w:r>
      <w:r w:rsidR="00956793">
        <w:rPr>
          <w:rFonts w:ascii="Calibri" w:hAnsi="Calibri" w:cs="Calibri"/>
          <w:sz w:val="22"/>
          <w:szCs w:val="22"/>
          <w:shd w:val="clear" w:color="auto" w:fill="FFFFFF"/>
        </w:rPr>
        <w:t>n</w:t>
      </w:r>
      <w:r w:rsidRPr="00FF4575">
        <w:rPr>
          <w:rFonts w:ascii="Calibri" w:hAnsi="Calibri" w:cs="Calibri"/>
          <w:sz w:val="22"/>
          <w:szCs w:val="22"/>
          <w:shd w:val="clear" w:color="auto" w:fill="FFFFFF"/>
        </w:rPr>
        <w:t>º</w:t>
      </w:r>
      <w:r w:rsidR="00956793">
        <w:rPr>
          <w:rFonts w:ascii="Calibri" w:hAnsi="Calibri" w:cs="Calibri"/>
          <w:sz w:val="22"/>
          <w:szCs w:val="22"/>
          <w:shd w:val="clear" w:color="auto" w:fill="FFFFFF"/>
        </w:rPr>
        <w:t xml:space="preserve"> </w:t>
      </w:r>
      <w:r w:rsidRPr="00FF4575">
        <w:rPr>
          <w:rFonts w:ascii="Calibri" w:hAnsi="Calibri" w:cs="Calibri"/>
          <w:sz w:val="22"/>
          <w:szCs w:val="22"/>
          <w:shd w:val="clear" w:color="auto" w:fill="FFFFFF"/>
        </w:rPr>
        <w:t xml:space="preserve">352, de 11 de </w:t>
      </w:r>
      <w:r>
        <w:rPr>
          <w:rFonts w:ascii="Calibri" w:hAnsi="Calibri" w:cs="Calibri"/>
          <w:sz w:val="22"/>
          <w:szCs w:val="22"/>
          <w:shd w:val="clear" w:color="auto" w:fill="FFFFFF"/>
        </w:rPr>
        <w:t>j</w:t>
      </w:r>
      <w:r w:rsidRPr="00FF4575">
        <w:rPr>
          <w:rFonts w:ascii="Calibri" w:hAnsi="Calibri" w:cs="Calibri"/>
          <w:sz w:val="22"/>
          <w:szCs w:val="22"/>
          <w:shd w:val="clear" w:color="auto" w:fill="FFFFFF"/>
        </w:rPr>
        <w:t>aneiro de 2021.</w:t>
      </w:r>
    </w:p>
    <w:p w14:paraId="0E1E89CF" w14:textId="7F72B227"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w:t>
      </w:r>
      <w:r w:rsidR="00F15B75"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busca ser referência não só na construção e exploração das ferrovias que lhes foram outorgadas, mas também na prestação dos mais diversos serviços e soluções tecnológicas para o sistema ferroviário nacional, estruturando parcerias e ativos, além da pesquisa e inovação. Objetiva a captação de fontes alternativas de receitas, incentivando </w:t>
      </w:r>
      <w:r w:rsidRPr="002E2B5B">
        <w:rPr>
          <w:rFonts w:ascii="Calibri" w:hAnsi="Calibri" w:cs="Calibri"/>
          <w:sz w:val="22"/>
          <w:szCs w:val="22"/>
          <w:shd w:val="clear" w:color="auto" w:fill="FFFFFF"/>
        </w:rPr>
        <w:lastRenderedPageBreak/>
        <w:t>ações para identificação de oportunidades de negócios nacionais e internacionais, além do estreitamento institucional com o mercado privado e público de infraestrutura ferroviária.</w:t>
      </w:r>
    </w:p>
    <w:p w14:paraId="518AEF98" w14:textId="6E297B8D"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Na exploração de Terminais e Áreas Remanescentes, está prevista a realização de parcerias em 05 áreas nos quais prevê-se uma receita aproximada de R$ 100 milhões, sendo que estas concentrar-se-ão nos Pátios de Porto Nacional/TO; Gurupi/TO; Sudoeste do Goiás/GO; São Simão/GO; e Porto Franco/MA.</w:t>
      </w:r>
    </w:p>
    <w:p w14:paraId="2B18CD7E" w14:textId="4875B3F4"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Na área de desapropriações o planejamento traz como metas: lançar em definitivo o sistema “VALEC Territorial”, onde estarão consolidados os mapas e painéis referentes à Desapropriação e Gestão da Faixa de Domínio; apresentar proposta para leilão público dos imóveis (terrenos) remanescentes; concluir os procedimentos administrativos necessários para a escrituração, registro ou ajuizamento dos processos expropriatórios; e continuação das atividades de levantamento com o uso de Sistemas de Aeronaves Remotamente Pilotadas (RPAS) para geração de </w:t>
      </w:r>
      <w:proofErr w:type="spellStart"/>
      <w:r w:rsidRPr="002E2B5B">
        <w:rPr>
          <w:rFonts w:ascii="Calibri" w:hAnsi="Calibri" w:cs="Calibri"/>
          <w:sz w:val="22"/>
          <w:szCs w:val="22"/>
          <w:shd w:val="clear" w:color="auto" w:fill="FFFFFF"/>
        </w:rPr>
        <w:t>Ortofoto</w:t>
      </w:r>
      <w:proofErr w:type="spellEnd"/>
      <w:r w:rsidRPr="002E2B5B">
        <w:rPr>
          <w:rFonts w:ascii="Calibri" w:hAnsi="Calibri" w:cs="Calibri"/>
          <w:sz w:val="22"/>
          <w:szCs w:val="22"/>
          <w:shd w:val="clear" w:color="auto" w:fill="FFFFFF"/>
        </w:rPr>
        <w:t xml:space="preserve"> de Modelo Digital de Elevação (MDE).</w:t>
      </w:r>
    </w:p>
    <w:p w14:paraId="2800437C" w14:textId="41EFB731" w:rsidR="009165D8" w:rsidRPr="002E2B5B" w:rsidRDefault="000951E8" w:rsidP="002E2B5B">
      <w:pPr>
        <w:pStyle w:val="Pa0"/>
        <w:spacing w:after="120"/>
        <w:rPr>
          <w:rFonts w:ascii="Calibri" w:hAnsi="Calibri" w:cs="Calibri"/>
          <w:sz w:val="22"/>
          <w:szCs w:val="22"/>
        </w:rPr>
      </w:pPr>
      <w:r w:rsidRPr="002E2B5B">
        <w:rPr>
          <w:rFonts w:ascii="Calibri" w:hAnsi="Calibri" w:cs="Calibri"/>
          <w:sz w:val="22"/>
          <w:szCs w:val="22"/>
        </w:rPr>
        <w:t xml:space="preserve">Como unidade executora de políticas públicas de desenvolvimento da infraestrutura ferroviária nacional, muitos projetos deverão ser direcionados para atuação da </w:t>
      </w:r>
      <w:r w:rsidR="00F15B75" w:rsidRPr="002E2B5B">
        <w:rPr>
          <w:rFonts w:ascii="Calibri" w:hAnsi="Calibri" w:cs="Calibri"/>
          <w:sz w:val="22"/>
          <w:szCs w:val="22"/>
        </w:rPr>
        <w:t>VALEC</w:t>
      </w:r>
      <w:r w:rsidRPr="002E2B5B">
        <w:rPr>
          <w:rFonts w:ascii="Calibri" w:hAnsi="Calibri" w:cs="Calibri"/>
          <w:sz w:val="22"/>
          <w:szCs w:val="22"/>
        </w:rPr>
        <w:t xml:space="preserve">, tendo em vista as oportunidades geradas pela possibilidade de renovação antecipada das concessões ferroviárias, a devolução e </w:t>
      </w:r>
      <w:proofErr w:type="spellStart"/>
      <w:r w:rsidRPr="002E2B5B">
        <w:rPr>
          <w:rFonts w:ascii="Calibri" w:hAnsi="Calibri" w:cs="Calibri"/>
          <w:sz w:val="22"/>
          <w:szCs w:val="22"/>
        </w:rPr>
        <w:t>relicitação</w:t>
      </w:r>
      <w:proofErr w:type="spellEnd"/>
      <w:r w:rsidRPr="002E2B5B">
        <w:rPr>
          <w:rFonts w:ascii="Calibri" w:hAnsi="Calibri" w:cs="Calibri"/>
          <w:sz w:val="22"/>
          <w:szCs w:val="22"/>
        </w:rPr>
        <w:t xml:space="preserve"> de trechos ferroviários previstos pela Lei nº 13.448/2017 </w:t>
      </w:r>
      <w:r w:rsidRPr="00997E85">
        <w:rPr>
          <w:rFonts w:ascii="Calibri" w:hAnsi="Calibri" w:cs="Calibri"/>
          <w:sz w:val="22"/>
          <w:szCs w:val="22"/>
        </w:rPr>
        <w:t>e a possibilidade de aprovação do PLS 261/2018, que trata das autorizações ferroviárias privadas.</w:t>
      </w:r>
    </w:p>
    <w:p w14:paraId="68D29291" w14:textId="77777777" w:rsidR="000951E8" w:rsidRPr="002E2B5B" w:rsidRDefault="000951E8" w:rsidP="002E2B5B">
      <w:pPr>
        <w:pStyle w:val="NormalWeb"/>
        <w:spacing w:before="0" w:beforeAutospacing="0" w:after="0" w:afterAutospacing="0"/>
        <w:jc w:val="both"/>
        <w:rPr>
          <w:rFonts w:ascii="Calibri" w:hAnsi="Calibri" w:cs="Calibri"/>
          <w:b/>
          <w:bCs/>
          <w:sz w:val="22"/>
          <w:szCs w:val="22"/>
          <w:u w:val="single"/>
        </w:rPr>
      </w:pPr>
      <w:r w:rsidRPr="002E2B5B">
        <w:rPr>
          <w:rFonts w:ascii="Calibri" w:hAnsi="Calibri" w:cs="Calibri"/>
          <w:b/>
          <w:bCs/>
          <w:sz w:val="22"/>
          <w:szCs w:val="22"/>
          <w:u w:val="single"/>
        </w:rPr>
        <w:t>Projetos e Atividades Operacionais</w:t>
      </w:r>
    </w:p>
    <w:p w14:paraId="714DAA20" w14:textId="6834CEAB" w:rsidR="00B124A6" w:rsidRPr="002E2B5B" w:rsidRDefault="00F658CA"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rPr>
        <w:t xml:space="preserve">A VALEC atua como principal catalisador do modo ferroviário nacional, responsável por projetos em grande parte do País, como a construção da Ferrovia Norte-Sul e da Ferrovia de Integração Leste-Oeste, além de projetos como: Corredor Ferroviário de Santa Catarina – EF 280, </w:t>
      </w:r>
      <w:r w:rsidRPr="002E2B5B">
        <w:rPr>
          <w:rFonts w:ascii="Calibri" w:hAnsi="Calibri" w:cs="Calibri"/>
          <w:sz w:val="22"/>
          <w:szCs w:val="22"/>
          <w:shd w:val="clear" w:color="auto" w:fill="FFFFFF"/>
        </w:rPr>
        <w:t>Ferrovia do Pantanal – EF 267 e Ferrovia Integração Centro-Oeste – EF 354.</w:t>
      </w:r>
      <w:r w:rsidR="00B124A6" w:rsidRPr="002E2B5B">
        <w:rPr>
          <w:rFonts w:ascii="Calibri" w:hAnsi="Calibri" w:cs="Calibri"/>
          <w:sz w:val="22"/>
          <w:szCs w:val="22"/>
          <w:shd w:val="clear" w:color="auto" w:fill="FFFFFF"/>
        </w:rPr>
        <w:t xml:space="preserve"> </w:t>
      </w:r>
    </w:p>
    <w:p w14:paraId="1CE7932C"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4B848B94" w14:textId="77777777" w:rsidR="00F658CA" w:rsidRPr="002E2B5B" w:rsidRDefault="00F658CA" w:rsidP="002E2B5B">
      <w:pPr>
        <w:autoSpaceDE w:val="0"/>
        <w:autoSpaceDN w:val="0"/>
        <w:adjustRightInd w:val="0"/>
        <w:jc w:val="both"/>
        <w:rPr>
          <w:rFonts w:ascii="Calibri" w:hAnsi="Calibri" w:cs="Calibri"/>
          <w:b/>
          <w:sz w:val="22"/>
          <w:szCs w:val="22"/>
        </w:rPr>
      </w:pPr>
      <w:r w:rsidRPr="002E2B5B">
        <w:rPr>
          <w:rFonts w:ascii="Calibri" w:hAnsi="Calibri" w:cs="Calibri"/>
          <w:b/>
          <w:sz w:val="22"/>
          <w:szCs w:val="22"/>
        </w:rPr>
        <w:t>I - FERROVIA NORTE-SUL - FNS – EF 151</w:t>
      </w:r>
    </w:p>
    <w:p w14:paraId="1C20A585" w14:textId="214AD834"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Constitui como eixo estruturador do Sistema Ferroviário Nacional: estabelecendo alternativas mais econômicas para os fluxos de carga para o mercado consumidor; induzindo a ocupação econômica do cerrado brasileiro; favorecendo a multimodalidade de transportes; conectando a malha ferroviária brasileira; promovendo uma logística exportadora competitiva, de modo a possibilitar o acesso a portos de grande capacidade; incentivando investimentos, que irão incrementar a produção, induzir processos produtivos modernos e promover a industrialização.</w:t>
      </w:r>
    </w:p>
    <w:p w14:paraId="33FE8524" w14:textId="4F551503"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outorga estabelecendo o direito de construção, uso e gozo da FNS EF – 151 se deu inicialmente por meio do Decreto nº 94.813, de 01º de setembro de 1987, posteriormente alterado pelas Leis nº 11.297, de 09 de maio de 2006, e nº 11.772, de 17 de setembro de 2008. </w:t>
      </w:r>
    </w:p>
    <w:p w14:paraId="1B87C1FF" w14:textId="0E13F0EE"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Em virtude de sua extensão e da disponibilidade orçamentária, a construção da FNS foi realizada em etapas que constituem os seguintes trechos/</w:t>
      </w:r>
      <w:proofErr w:type="spellStart"/>
      <w:r w:rsidRPr="002E2B5B">
        <w:rPr>
          <w:rFonts w:ascii="Calibri" w:hAnsi="Calibri" w:cs="Calibri"/>
          <w:sz w:val="22"/>
          <w:szCs w:val="22"/>
        </w:rPr>
        <w:t>tramos</w:t>
      </w:r>
      <w:proofErr w:type="spellEnd"/>
      <w:r w:rsidRPr="002E2B5B">
        <w:rPr>
          <w:rFonts w:ascii="Calibri" w:hAnsi="Calibri" w:cs="Calibri"/>
          <w:sz w:val="22"/>
          <w:szCs w:val="22"/>
        </w:rPr>
        <w:t xml:space="preserve">: Tramo Norte </w:t>
      </w:r>
      <w:r w:rsidR="00040BCF" w:rsidRPr="002E2B5B">
        <w:rPr>
          <w:rFonts w:ascii="Calibri" w:hAnsi="Calibri" w:cs="Calibri"/>
          <w:sz w:val="22"/>
          <w:szCs w:val="22"/>
        </w:rPr>
        <w:t>(</w:t>
      </w:r>
      <w:r w:rsidRPr="002E2B5B">
        <w:rPr>
          <w:rFonts w:ascii="Calibri" w:hAnsi="Calibri" w:cs="Calibri"/>
          <w:sz w:val="22"/>
          <w:szCs w:val="22"/>
        </w:rPr>
        <w:t>Açailândia/MA – Porto Nacional/TO</w:t>
      </w:r>
      <w:r w:rsidR="00040BCF" w:rsidRPr="002E2B5B">
        <w:rPr>
          <w:rFonts w:ascii="Calibri" w:hAnsi="Calibri" w:cs="Calibri"/>
          <w:sz w:val="22"/>
          <w:szCs w:val="22"/>
        </w:rPr>
        <w:t>)</w:t>
      </w:r>
      <w:r w:rsidRPr="002E2B5B">
        <w:rPr>
          <w:rFonts w:ascii="Calibri" w:hAnsi="Calibri" w:cs="Calibri"/>
          <w:sz w:val="22"/>
          <w:szCs w:val="22"/>
        </w:rPr>
        <w:t xml:space="preserve">; Tramo Central: </w:t>
      </w:r>
      <w:r w:rsidR="00040BCF" w:rsidRPr="002E2B5B">
        <w:rPr>
          <w:rFonts w:ascii="Calibri" w:hAnsi="Calibri" w:cs="Calibri"/>
          <w:sz w:val="22"/>
          <w:szCs w:val="22"/>
        </w:rPr>
        <w:t>(</w:t>
      </w:r>
      <w:r w:rsidRPr="002E2B5B">
        <w:rPr>
          <w:rFonts w:ascii="Calibri" w:hAnsi="Calibri" w:cs="Calibri"/>
          <w:sz w:val="22"/>
          <w:szCs w:val="22"/>
        </w:rPr>
        <w:t xml:space="preserve">Porto Nacional/TO – </w:t>
      </w:r>
      <w:r w:rsidR="00040BCF" w:rsidRPr="002E2B5B">
        <w:rPr>
          <w:rFonts w:ascii="Calibri" w:hAnsi="Calibri" w:cs="Calibri"/>
          <w:sz w:val="22"/>
          <w:szCs w:val="22"/>
        </w:rPr>
        <w:t>Uruaçu/GO)</w:t>
      </w:r>
      <w:r w:rsidRPr="002E2B5B">
        <w:rPr>
          <w:rFonts w:ascii="Calibri" w:hAnsi="Calibri" w:cs="Calibri"/>
          <w:sz w:val="22"/>
          <w:szCs w:val="22"/>
        </w:rPr>
        <w:t>; Tramo Sul</w:t>
      </w:r>
      <w:r w:rsidR="00040BCF" w:rsidRPr="002E2B5B">
        <w:rPr>
          <w:rFonts w:ascii="Calibri" w:hAnsi="Calibri" w:cs="Calibri"/>
          <w:sz w:val="22"/>
          <w:szCs w:val="22"/>
        </w:rPr>
        <w:t xml:space="preserve"> (Uruaçu/GO - Anápolis/GO); e </w:t>
      </w:r>
      <w:r w:rsidRPr="002E2B5B">
        <w:rPr>
          <w:rFonts w:ascii="Calibri" w:hAnsi="Calibri" w:cs="Calibri"/>
          <w:sz w:val="22"/>
          <w:szCs w:val="22"/>
        </w:rPr>
        <w:t xml:space="preserve">Extensão Sul </w:t>
      </w:r>
      <w:r w:rsidR="00040BCF" w:rsidRPr="002E2B5B">
        <w:rPr>
          <w:rFonts w:ascii="Calibri" w:hAnsi="Calibri" w:cs="Calibri"/>
          <w:sz w:val="22"/>
          <w:szCs w:val="22"/>
        </w:rPr>
        <w:t>(</w:t>
      </w:r>
      <w:r w:rsidRPr="002E2B5B">
        <w:rPr>
          <w:rFonts w:ascii="Calibri" w:hAnsi="Calibri" w:cs="Calibri"/>
          <w:sz w:val="22"/>
          <w:szCs w:val="22"/>
        </w:rPr>
        <w:t>Ouro Verde/GO – Estrela d’Oeste/SP</w:t>
      </w:r>
      <w:r w:rsidR="00040BCF" w:rsidRPr="002E2B5B">
        <w:rPr>
          <w:rFonts w:ascii="Calibri" w:hAnsi="Calibri" w:cs="Calibri"/>
          <w:sz w:val="22"/>
          <w:szCs w:val="22"/>
        </w:rPr>
        <w:t>)</w:t>
      </w:r>
      <w:r w:rsidRPr="002E2B5B">
        <w:rPr>
          <w:rFonts w:ascii="Calibri" w:hAnsi="Calibri" w:cs="Calibri"/>
          <w:sz w:val="22"/>
          <w:szCs w:val="22"/>
        </w:rPr>
        <w:t>.</w:t>
      </w:r>
    </w:p>
    <w:p w14:paraId="60F839DC" w14:textId="2E0E8FF6"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O </w:t>
      </w:r>
      <w:r w:rsidR="00040BCF" w:rsidRPr="002E2B5B">
        <w:rPr>
          <w:rFonts w:ascii="Calibri" w:hAnsi="Calibri" w:cs="Calibri"/>
          <w:sz w:val="22"/>
          <w:szCs w:val="22"/>
        </w:rPr>
        <w:t>T</w:t>
      </w:r>
      <w:r w:rsidRPr="002E2B5B">
        <w:rPr>
          <w:rFonts w:ascii="Calibri" w:hAnsi="Calibri" w:cs="Calibri"/>
          <w:sz w:val="22"/>
          <w:szCs w:val="22"/>
        </w:rPr>
        <w:t xml:space="preserve">recho </w:t>
      </w:r>
      <w:r w:rsidR="00040BCF" w:rsidRPr="002E2B5B">
        <w:rPr>
          <w:rFonts w:ascii="Calibri" w:hAnsi="Calibri" w:cs="Calibri"/>
          <w:sz w:val="22"/>
          <w:szCs w:val="22"/>
        </w:rPr>
        <w:t>Norte</w:t>
      </w:r>
      <w:r w:rsidRPr="002E2B5B">
        <w:rPr>
          <w:rFonts w:ascii="Calibri" w:hAnsi="Calibri" w:cs="Calibri"/>
          <w:sz w:val="22"/>
          <w:szCs w:val="22"/>
        </w:rPr>
        <w:t xml:space="preserve"> possui 720 km de extensão e encontra-se </w:t>
      </w:r>
      <w:proofErr w:type="spellStart"/>
      <w:r w:rsidRPr="002E2B5B">
        <w:rPr>
          <w:rFonts w:ascii="Calibri" w:hAnsi="Calibri" w:cs="Calibri"/>
          <w:sz w:val="22"/>
          <w:szCs w:val="22"/>
        </w:rPr>
        <w:t>subconcedido</w:t>
      </w:r>
      <w:proofErr w:type="spellEnd"/>
      <w:r w:rsidRPr="002E2B5B">
        <w:rPr>
          <w:rFonts w:ascii="Calibri" w:hAnsi="Calibri" w:cs="Calibri"/>
          <w:sz w:val="22"/>
          <w:szCs w:val="22"/>
        </w:rPr>
        <w:t xml:space="preserve"> à Ferrovia Norte Sul S.A desde dezembro de 2007</w:t>
      </w:r>
      <w:r w:rsidR="001B4261" w:rsidRPr="002E2B5B">
        <w:rPr>
          <w:rFonts w:ascii="Calibri" w:hAnsi="Calibri" w:cs="Calibri"/>
          <w:sz w:val="22"/>
          <w:szCs w:val="22"/>
        </w:rPr>
        <w:t>, pelo prazo contratual de 30 anos</w:t>
      </w:r>
      <w:r w:rsidRPr="002E2B5B">
        <w:rPr>
          <w:rFonts w:ascii="Calibri" w:hAnsi="Calibri" w:cs="Calibri"/>
          <w:sz w:val="22"/>
          <w:szCs w:val="22"/>
        </w:rPr>
        <w:t xml:space="preserve">. Esse trecho teve sua autorização para tráfego em 19 de janeiro de 2011, por meio da Resolução nº 3624/2011 da Agência Nacional de Transportes Terrestres </w:t>
      </w:r>
      <w:r w:rsidR="00040BCF" w:rsidRPr="002E2B5B">
        <w:rPr>
          <w:rFonts w:ascii="Calibri" w:hAnsi="Calibri" w:cs="Calibri"/>
          <w:sz w:val="22"/>
          <w:szCs w:val="22"/>
        </w:rPr>
        <w:t>(</w:t>
      </w:r>
      <w:r w:rsidRPr="002E2B5B">
        <w:rPr>
          <w:rFonts w:ascii="Calibri" w:hAnsi="Calibri" w:cs="Calibri"/>
          <w:sz w:val="22"/>
          <w:szCs w:val="22"/>
        </w:rPr>
        <w:t>ANTT</w:t>
      </w:r>
      <w:r w:rsidR="00040BCF" w:rsidRPr="002E2B5B">
        <w:rPr>
          <w:rFonts w:ascii="Calibri" w:hAnsi="Calibri" w:cs="Calibri"/>
          <w:sz w:val="22"/>
          <w:szCs w:val="22"/>
        </w:rPr>
        <w:t>)</w:t>
      </w:r>
      <w:r w:rsidRPr="002E2B5B">
        <w:rPr>
          <w:rFonts w:ascii="Calibri" w:hAnsi="Calibri" w:cs="Calibri"/>
          <w:sz w:val="22"/>
          <w:szCs w:val="22"/>
        </w:rPr>
        <w:t>.</w:t>
      </w:r>
    </w:p>
    <w:p w14:paraId="2AC1751B" w14:textId="7FB59E5D" w:rsidR="00D4582D" w:rsidRPr="00997E85"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 um total de 1.537 km, o trecho que compreende Porto Nacional/TO a Estrela d’Oeste/SP </w:t>
      </w:r>
      <w:r w:rsidR="00E35FF8" w:rsidRPr="002E2B5B">
        <w:rPr>
          <w:rFonts w:ascii="Calibri" w:hAnsi="Calibri" w:cs="Calibri"/>
          <w:sz w:val="22"/>
          <w:szCs w:val="22"/>
        </w:rPr>
        <w:t>(</w:t>
      </w:r>
      <w:proofErr w:type="spellStart"/>
      <w:r w:rsidR="00E35FF8" w:rsidRPr="002E2B5B">
        <w:rPr>
          <w:rFonts w:ascii="Calibri" w:hAnsi="Calibri" w:cs="Calibri"/>
          <w:sz w:val="22"/>
          <w:szCs w:val="22"/>
        </w:rPr>
        <w:t>Tramos</w:t>
      </w:r>
      <w:proofErr w:type="spellEnd"/>
      <w:r w:rsidR="00E35FF8" w:rsidRPr="002E2B5B">
        <w:rPr>
          <w:rFonts w:ascii="Calibri" w:hAnsi="Calibri" w:cs="Calibri"/>
          <w:sz w:val="22"/>
          <w:szCs w:val="22"/>
        </w:rPr>
        <w:t xml:space="preserve"> Central, Sul e Extensão Sul) </w:t>
      </w:r>
      <w:r w:rsidRPr="002E2B5B">
        <w:rPr>
          <w:rFonts w:ascii="Calibri" w:hAnsi="Calibri" w:cs="Calibri"/>
          <w:sz w:val="22"/>
          <w:szCs w:val="22"/>
        </w:rPr>
        <w:t xml:space="preserve">foi leiloado para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em 28 de março de 2019. Em 30 de abril de 2019, a Agência Nacional de Transportes Terrestres – ANTT homologou o resultado do leilão, no qual consagrou-se vencedora a empresa Rumo Malha Central S.A e o contrato foi assinado em 31 de julho de 2019, por intermédio da ANTT, tendo como Concessionária e Interveniente </w:t>
      </w:r>
      <w:proofErr w:type="spellStart"/>
      <w:r w:rsidRPr="002E2B5B">
        <w:rPr>
          <w:rFonts w:ascii="Calibri" w:hAnsi="Calibri" w:cs="Calibri"/>
          <w:sz w:val="22"/>
          <w:szCs w:val="22"/>
        </w:rPr>
        <w:t>Subconcedente</w:t>
      </w:r>
      <w:proofErr w:type="spellEnd"/>
      <w:r w:rsidRPr="002E2B5B">
        <w:rPr>
          <w:rFonts w:ascii="Calibri" w:hAnsi="Calibri" w:cs="Calibri"/>
          <w:sz w:val="22"/>
          <w:szCs w:val="22"/>
        </w:rPr>
        <w:t xml:space="preserve"> a VALEC. O contrato de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tem por objeto a prestação do serviço público de transporte ferroviário de cargas associado à exploração da infraestrutura da malha ferroviária </w:t>
      </w:r>
      <w:r w:rsidRPr="00997E85">
        <w:rPr>
          <w:rFonts w:ascii="Calibri" w:hAnsi="Calibri" w:cs="Calibri"/>
          <w:sz w:val="22"/>
          <w:szCs w:val="22"/>
        </w:rPr>
        <w:t>situada entre Porto Nacional/TO e Estrela d´Oeste/SP, com vigência de 30 (trinta) anos.</w:t>
      </w:r>
    </w:p>
    <w:p w14:paraId="74B42D40" w14:textId="1E608882" w:rsidR="00D52821" w:rsidRPr="002E2B5B" w:rsidRDefault="00F658CA" w:rsidP="002E2B5B">
      <w:pPr>
        <w:pStyle w:val="NormalWeb"/>
        <w:spacing w:before="0" w:beforeAutospacing="0" w:after="0" w:afterAutospacing="0"/>
        <w:jc w:val="both"/>
        <w:rPr>
          <w:rFonts w:ascii="Calibri" w:hAnsi="Calibri" w:cs="Calibri"/>
          <w:sz w:val="22"/>
          <w:szCs w:val="22"/>
        </w:rPr>
      </w:pPr>
      <w:r w:rsidRPr="00997E85">
        <w:rPr>
          <w:rFonts w:ascii="Calibri" w:hAnsi="Calibri" w:cs="Calibri"/>
          <w:sz w:val="22"/>
          <w:szCs w:val="22"/>
        </w:rPr>
        <w:t xml:space="preserve">Os contratos de </w:t>
      </w:r>
      <w:proofErr w:type="spellStart"/>
      <w:r w:rsidRPr="00997E85">
        <w:rPr>
          <w:rFonts w:ascii="Calibri" w:hAnsi="Calibri" w:cs="Calibri"/>
          <w:sz w:val="22"/>
          <w:szCs w:val="22"/>
        </w:rPr>
        <w:t>subconcessão</w:t>
      </w:r>
      <w:proofErr w:type="spellEnd"/>
      <w:r w:rsidRPr="00997E85">
        <w:rPr>
          <w:rFonts w:ascii="Calibri" w:hAnsi="Calibri" w:cs="Calibri"/>
          <w:sz w:val="22"/>
          <w:szCs w:val="22"/>
        </w:rPr>
        <w:t xml:space="preserve"> da Ferrovia Norte-Sul e seus reflexos contábeis estão divulgados </w:t>
      </w:r>
      <w:r w:rsidRPr="00B23D01">
        <w:rPr>
          <w:rFonts w:ascii="Calibri" w:hAnsi="Calibri" w:cs="Calibri"/>
          <w:sz w:val="22"/>
          <w:szCs w:val="22"/>
        </w:rPr>
        <w:t>na</w:t>
      </w:r>
      <w:r w:rsidR="001B4261" w:rsidRPr="00B23D01">
        <w:rPr>
          <w:rFonts w:ascii="Calibri" w:hAnsi="Calibri" w:cs="Calibri"/>
          <w:sz w:val="22"/>
          <w:szCs w:val="22"/>
        </w:rPr>
        <w:t>s</w:t>
      </w:r>
      <w:r w:rsidRPr="00B23D01">
        <w:rPr>
          <w:rFonts w:ascii="Calibri" w:hAnsi="Calibri" w:cs="Calibri"/>
          <w:sz w:val="22"/>
          <w:szCs w:val="22"/>
        </w:rPr>
        <w:t xml:space="preserve"> Nota</w:t>
      </w:r>
      <w:r w:rsidR="001B4261" w:rsidRPr="00B23D01">
        <w:rPr>
          <w:rFonts w:ascii="Calibri" w:hAnsi="Calibri" w:cs="Calibri"/>
          <w:sz w:val="22"/>
          <w:szCs w:val="22"/>
        </w:rPr>
        <w:t>s</w:t>
      </w:r>
      <w:r w:rsidR="00E71DE6" w:rsidRPr="00B23D01">
        <w:rPr>
          <w:rFonts w:ascii="Calibri" w:hAnsi="Calibri" w:cs="Calibri"/>
          <w:sz w:val="22"/>
          <w:szCs w:val="22"/>
        </w:rPr>
        <w:t xml:space="preserve"> </w:t>
      </w:r>
      <w:r w:rsidR="00997E85" w:rsidRPr="00B23D01">
        <w:rPr>
          <w:rFonts w:ascii="Calibri" w:hAnsi="Calibri" w:cs="Calibri"/>
          <w:sz w:val="22"/>
          <w:szCs w:val="22"/>
        </w:rPr>
        <w:t>8</w:t>
      </w:r>
      <w:r w:rsidR="001B4261" w:rsidRPr="00B23D01">
        <w:rPr>
          <w:rFonts w:ascii="Calibri" w:hAnsi="Calibri" w:cs="Calibri"/>
          <w:sz w:val="22"/>
          <w:szCs w:val="22"/>
        </w:rPr>
        <w:t>.</w:t>
      </w:r>
    </w:p>
    <w:p w14:paraId="075BF93B" w14:textId="77777777" w:rsidR="00D52821" w:rsidRPr="002E2B5B" w:rsidRDefault="00D52821" w:rsidP="002E2B5B">
      <w:pPr>
        <w:autoSpaceDE w:val="0"/>
        <w:autoSpaceDN w:val="0"/>
        <w:adjustRightInd w:val="0"/>
        <w:jc w:val="both"/>
        <w:rPr>
          <w:rFonts w:ascii="Calibri" w:hAnsi="Calibri" w:cs="Calibri"/>
          <w:b/>
          <w:sz w:val="22"/>
          <w:szCs w:val="22"/>
        </w:rPr>
      </w:pPr>
    </w:p>
    <w:p w14:paraId="2EF395BE" w14:textId="3F38F6AC" w:rsidR="00F658CA" w:rsidRPr="002E2B5B" w:rsidRDefault="00F658CA" w:rsidP="002E2B5B">
      <w:pPr>
        <w:autoSpaceDE w:val="0"/>
        <w:autoSpaceDN w:val="0"/>
        <w:adjustRightInd w:val="0"/>
        <w:jc w:val="both"/>
        <w:rPr>
          <w:rFonts w:ascii="Calibri" w:hAnsi="Calibri" w:cs="Calibri"/>
          <w:b/>
          <w:sz w:val="22"/>
          <w:szCs w:val="22"/>
        </w:rPr>
      </w:pPr>
      <w:r w:rsidRPr="002E2B5B">
        <w:rPr>
          <w:rFonts w:ascii="Calibri" w:hAnsi="Calibri" w:cs="Calibri"/>
          <w:b/>
          <w:sz w:val="22"/>
          <w:szCs w:val="22"/>
        </w:rPr>
        <w:lastRenderedPageBreak/>
        <w:t>II - FERROVIA DE INTEGRAÇÃO OESTE LESTE - FIOL – EF 334</w:t>
      </w:r>
    </w:p>
    <w:p w14:paraId="52B20FE7" w14:textId="6DCA8B32"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 aproximadamente 1.527 km de extensão, ligará o futuro </w:t>
      </w:r>
      <w:r w:rsidR="001B4261" w:rsidRPr="002E2B5B">
        <w:rPr>
          <w:rFonts w:ascii="Calibri" w:hAnsi="Calibri" w:cs="Calibri"/>
          <w:sz w:val="22"/>
          <w:szCs w:val="22"/>
        </w:rPr>
        <w:t>P</w:t>
      </w:r>
      <w:r w:rsidRPr="002E2B5B">
        <w:rPr>
          <w:rFonts w:ascii="Calibri" w:hAnsi="Calibri" w:cs="Calibri"/>
          <w:sz w:val="22"/>
          <w:szCs w:val="22"/>
        </w:rPr>
        <w:t xml:space="preserve">orto de Ilhéus/BA a </w:t>
      </w:r>
      <w:proofErr w:type="spellStart"/>
      <w:r w:rsidRPr="002E2B5B">
        <w:rPr>
          <w:rFonts w:ascii="Calibri" w:hAnsi="Calibri" w:cs="Calibri"/>
          <w:sz w:val="22"/>
          <w:szCs w:val="22"/>
        </w:rPr>
        <w:t>Figueirópolis</w:t>
      </w:r>
      <w:proofErr w:type="spellEnd"/>
      <w:r w:rsidRPr="002E2B5B">
        <w:rPr>
          <w:rFonts w:ascii="Calibri" w:hAnsi="Calibri" w:cs="Calibri"/>
          <w:sz w:val="22"/>
          <w:szCs w:val="22"/>
        </w:rPr>
        <w:t>/TO, ponto em que se conectará com a Ferrovia Norte Sul.</w:t>
      </w:r>
    </w:p>
    <w:p w14:paraId="1EC6EB6F" w14:textId="0E4AE8FD" w:rsidR="00D4582D"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 construção da FIOL tem como objetivos: estabelecer alternativas mais econômicas para os fluxos de carga de longa distância; favorecer a multimodalidade de transportes; interligar a malha ferroviária brasileira; propor nova alternativa logística para o escoamento da produção agrícola e de mineração por meio do terminal portuário de Ilhéus/BA; e incentivar investimentos a fim de incrementar a produção e induzir processos produtivos modernos.</w:t>
      </w:r>
    </w:p>
    <w:p w14:paraId="17374F13" w14:textId="6AD8F412"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Devido à sua extensão e disponibilidade orçamentária, a FIOL está sendo construída em etapas e constituem os seguintes trechos: FIOL I</w:t>
      </w:r>
      <w:r w:rsidR="00EC2487" w:rsidRPr="002E2B5B">
        <w:rPr>
          <w:rFonts w:ascii="Calibri" w:hAnsi="Calibri" w:cs="Calibri"/>
          <w:sz w:val="22"/>
          <w:szCs w:val="22"/>
        </w:rPr>
        <w:t xml:space="preserve"> (</w:t>
      </w:r>
      <w:r w:rsidRPr="002E2B5B">
        <w:rPr>
          <w:rFonts w:ascii="Calibri" w:hAnsi="Calibri" w:cs="Calibri"/>
          <w:sz w:val="22"/>
          <w:szCs w:val="22"/>
        </w:rPr>
        <w:t>Ilhéus/BA – Caetité/BA</w:t>
      </w:r>
      <w:r w:rsidR="00EC2487" w:rsidRPr="002E2B5B">
        <w:rPr>
          <w:rFonts w:ascii="Calibri" w:hAnsi="Calibri" w:cs="Calibri"/>
          <w:sz w:val="22"/>
          <w:szCs w:val="22"/>
        </w:rPr>
        <w:t>)</w:t>
      </w:r>
      <w:r w:rsidRPr="002E2B5B">
        <w:rPr>
          <w:rFonts w:ascii="Calibri" w:hAnsi="Calibri" w:cs="Calibri"/>
          <w:sz w:val="22"/>
          <w:szCs w:val="22"/>
        </w:rPr>
        <w:t xml:space="preserve">; FIOL II </w:t>
      </w:r>
      <w:r w:rsidR="00EC2487" w:rsidRPr="002E2B5B">
        <w:rPr>
          <w:rFonts w:ascii="Calibri" w:hAnsi="Calibri" w:cs="Calibri"/>
          <w:sz w:val="22"/>
          <w:szCs w:val="22"/>
        </w:rPr>
        <w:t>(</w:t>
      </w:r>
      <w:r w:rsidRPr="002E2B5B">
        <w:rPr>
          <w:rFonts w:ascii="Calibri" w:hAnsi="Calibri" w:cs="Calibri"/>
          <w:sz w:val="22"/>
          <w:szCs w:val="22"/>
        </w:rPr>
        <w:t>Caetité/BA – Barreiras/BA</w:t>
      </w:r>
      <w:r w:rsidR="00EC2487" w:rsidRPr="002E2B5B">
        <w:rPr>
          <w:rFonts w:ascii="Calibri" w:hAnsi="Calibri" w:cs="Calibri"/>
          <w:sz w:val="22"/>
          <w:szCs w:val="22"/>
        </w:rPr>
        <w:t>)</w:t>
      </w:r>
      <w:r w:rsidRPr="002E2B5B">
        <w:rPr>
          <w:rFonts w:ascii="Calibri" w:hAnsi="Calibri" w:cs="Calibri"/>
          <w:sz w:val="22"/>
          <w:szCs w:val="22"/>
        </w:rPr>
        <w:t xml:space="preserve"> e FIOL III</w:t>
      </w:r>
      <w:r w:rsidR="00EC2487" w:rsidRPr="002E2B5B">
        <w:rPr>
          <w:rFonts w:ascii="Calibri" w:hAnsi="Calibri" w:cs="Calibri"/>
          <w:sz w:val="22"/>
          <w:szCs w:val="22"/>
        </w:rPr>
        <w:t xml:space="preserve"> (</w:t>
      </w:r>
      <w:r w:rsidRPr="002E2B5B">
        <w:rPr>
          <w:rFonts w:ascii="Calibri" w:hAnsi="Calibri" w:cs="Calibri"/>
          <w:sz w:val="22"/>
          <w:szCs w:val="22"/>
        </w:rPr>
        <w:t xml:space="preserve">Barreiras/BA – </w:t>
      </w:r>
      <w:proofErr w:type="spellStart"/>
      <w:r w:rsidRPr="002E2B5B">
        <w:rPr>
          <w:rFonts w:ascii="Calibri" w:hAnsi="Calibri" w:cs="Calibri"/>
          <w:sz w:val="22"/>
          <w:szCs w:val="22"/>
        </w:rPr>
        <w:t>Figueirópolis</w:t>
      </w:r>
      <w:proofErr w:type="spellEnd"/>
      <w:r w:rsidRPr="002E2B5B">
        <w:rPr>
          <w:rFonts w:ascii="Calibri" w:hAnsi="Calibri" w:cs="Calibri"/>
          <w:sz w:val="22"/>
          <w:szCs w:val="22"/>
        </w:rPr>
        <w:t>/TO</w:t>
      </w:r>
      <w:r w:rsidR="00EC2487" w:rsidRPr="002E2B5B">
        <w:rPr>
          <w:rFonts w:ascii="Calibri" w:hAnsi="Calibri" w:cs="Calibri"/>
          <w:sz w:val="22"/>
          <w:szCs w:val="22"/>
        </w:rPr>
        <w:t>)</w:t>
      </w:r>
      <w:r w:rsidRPr="002E2B5B">
        <w:rPr>
          <w:rFonts w:ascii="Calibri" w:hAnsi="Calibri" w:cs="Calibri"/>
          <w:sz w:val="22"/>
          <w:szCs w:val="22"/>
        </w:rPr>
        <w:t>.</w:t>
      </w:r>
    </w:p>
    <w:p w14:paraId="4023B415" w14:textId="20183F4B" w:rsidR="009165D8" w:rsidRPr="002E2B5B" w:rsidRDefault="00DA0C1E"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Em 08 de abril de 2021, ocorreu o Leilão para </w:t>
      </w:r>
      <w:proofErr w:type="spellStart"/>
      <w:r w:rsidRPr="002E2B5B">
        <w:rPr>
          <w:rFonts w:ascii="Calibri" w:hAnsi="Calibri" w:cs="Calibri"/>
          <w:sz w:val="22"/>
          <w:szCs w:val="22"/>
          <w:shd w:val="clear" w:color="auto" w:fill="FFFFFF"/>
        </w:rPr>
        <w:t>subconcessão</w:t>
      </w:r>
      <w:proofErr w:type="spellEnd"/>
      <w:r w:rsidRPr="002E2B5B">
        <w:rPr>
          <w:rFonts w:ascii="Calibri" w:hAnsi="Calibri" w:cs="Calibri"/>
          <w:sz w:val="22"/>
          <w:szCs w:val="22"/>
          <w:shd w:val="clear" w:color="auto" w:fill="FFFFFF"/>
        </w:rPr>
        <w:t xml:space="preserve"> do trecho ferroviário entre os municípios de Ilhéus/BA a Caetité/BA</w:t>
      </w:r>
      <w:r w:rsidR="00F8127A" w:rsidRPr="002E2B5B">
        <w:rPr>
          <w:rFonts w:ascii="Calibri" w:hAnsi="Calibri" w:cs="Calibri"/>
          <w:sz w:val="22"/>
          <w:szCs w:val="22"/>
          <w:shd w:val="clear" w:color="auto" w:fill="FFFFFF"/>
        </w:rPr>
        <w:t xml:space="preserve"> (FIOL I)</w:t>
      </w:r>
      <w:r w:rsidRPr="002E2B5B">
        <w:rPr>
          <w:rFonts w:ascii="Calibri" w:hAnsi="Calibri" w:cs="Calibri"/>
          <w:sz w:val="22"/>
          <w:szCs w:val="22"/>
          <w:shd w:val="clear" w:color="auto" w:fill="FFFFFF"/>
        </w:rPr>
        <w:t xml:space="preserve">, com 537 km de extensão. A </w:t>
      </w:r>
      <w:proofErr w:type="spellStart"/>
      <w:r w:rsidRPr="002E2B5B">
        <w:rPr>
          <w:rFonts w:ascii="Calibri" w:hAnsi="Calibri" w:cs="Calibri"/>
          <w:sz w:val="22"/>
          <w:szCs w:val="22"/>
          <w:shd w:val="clear" w:color="auto" w:fill="FFFFFF"/>
        </w:rPr>
        <w:t>subconcessão</w:t>
      </w:r>
      <w:proofErr w:type="spellEnd"/>
      <w:r w:rsidRPr="002E2B5B">
        <w:rPr>
          <w:rFonts w:ascii="Calibri" w:hAnsi="Calibri" w:cs="Calibri"/>
          <w:sz w:val="22"/>
          <w:szCs w:val="22"/>
          <w:shd w:val="clear" w:color="auto" w:fill="FFFFFF"/>
        </w:rPr>
        <w:t xml:space="preserve"> terá duração de 35 anos, conforme o Edital de Concorrência Internacional nº 01/2020. </w:t>
      </w:r>
    </w:p>
    <w:p w14:paraId="262E8853" w14:textId="5981EE5E" w:rsidR="003A356C" w:rsidRPr="002E2B5B" w:rsidRDefault="00DA0C1E" w:rsidP="002E2B5B">
      <w:pPr>
        <w:pStyle w:val="NormalWeb"/>
        <w:spacing w:before="0" w:beforeAutospacing="0" w:after="120" w:afterAutospacing="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De acordo com o Cronograma determinado no Edital, o Ato de Homologação do leilão pela Diretoria Colegiada da Agência Nacional de Transportes Terrestres (ANTT) e adjudicação do objeto da </w:t>
      </w:r>
      <w:proofErr w:type="spellStart"/>
      <w:r w:rsidRPr="002E2B5B">
        <w:rPr>
          <w:rFonts w:ascii="Calibri" w:hAnsi="Calibri" w:cs="Calibri"/>
          <w:sz w:val="22"/>
          <w:szCs w:val="22"/>
          <w:shd w:val="clear" w:color="auto" w:fill="FFFFFF"/>
        </w:rPr>
        <w:t>Subconcessão</w:t>
      </w:r>
      <w:proofErr w:type="spellEnd"/>
      <w:r w:rsidRPr="002E2B5B">
        <w:rPr>
          <w:rFonts w:ascii="Calibri" w:hAnsi="Calibri" w:cs="Calibri"/>
          <w:sz w:val="22"/>
          <w:szCs w:val="22"/>
          <w:shd w:val="clear" w:color="auto" w:fill="FFFFFF"/>
        </w:rPr>
        <w:t xml:space="preserve"> à proponente vencedora ocorreu em 27 de maio de 2021, levando a V</w:t>
      </w:r>
      <w:r w:rsidR="001B4261"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a efetuar o teste de recuperabilidade de ativos, </w:t>
      </w:r>
      <w:r w:rsidR="00E242C7" w:rsidRPr="002E2B5B">
        <w:rPr>
          <w:rFonts w:ascii="Calibri" w:hAnsi="Calibri" w:cs="Calibri"/>
          <w:sz w:val="22"/>
          <w:szCs w:val="22"/>
          <w:shd w:val="clear" w:color="auto" w:fill="FFFFFF"/>
        </w:rPr>
        <w:t>considerando</w:t>
      </w:r>
      <w:r w:rsidRPr="002E2B5B">
        <w:rPr>
          <w:rFonts w:ascii="Calibri" w:hAnsi="Calibri" w:cs="Calibri"/>
          <w:sz w:val="22"/>
          <w:szCs w:val="22"/>
          <w:shd w:val="clear" w:color="auto" w:fill="FFFFFF"/>
        </w:rPr>
        <w:t xml:space="preserve"> a receita de outorga previstas como parâmetros para medir o benefício econômico </w:t>
      </w:r>
      <w:r w:rsidR="00E242C7" w:rsidRPr="002E2B5B">
        <w:rPr>
          <w:rFonts w:ascii="Calibri" w:hAnsi="Calibri" w:cs="Calibri"/>
          <w:sz w:val="22"/>
          <w:szCs w:val="22"/>
          <w:shd w:val="clear" w:color="auto" w:fill="FFFFFF"/>
        </w:rPr>
        <w:t>e reconhecer a perda</w:t>
      </w:r>
      <w:r w:rsidRPr="002E2B5B">
        <w:rPr>
          <w:rFonts w:ascii="Calibri" w:hAnsi="Calibri" w:cs="Calibri"/>
          <w:sz w:val="22"/>
          <w:szCs w:val="22"/>
          <w:shd w:val="clear" w:color="auto" w:fill="FFFFFF"/>
        </w:rPr>
        <w:t xml:space="preserve"> ao valor recuperável de ativos</w:t>
      </w:r>
      <w:r w:rsidR="001B4261" w:rsidRPr="002E2B5B">
        <w:rPr>
          <w:rFonts w:ascii="Calibri" w:hAnsi="Calibri" w:cs="Calibri"/>
          <w:sz w:val="22"/>
          <w:szCs w:val="22"/>
          <w:shd w:val="clear" w:color="auto" w:fill="FFFFFF"/>
        </w:rPr>
        <w:t xml:space="preserve">, conforme descrito na </w:t>
      </w:r>
      <w:r w:rsidR="00997E85" w:rsidRPr="00B23D01">
        <w:rPr>
          <w:rFonts w:ascii="Calibri" w:hAnsi="Calibri" w:cs="Calibri"/>
          <w:sz w:val="22"/>
          <w:szCs w:val="22"/>
          <w:shd w:val="clear" w:color="auto" w:fill="FFFFFF"/>
        </w:rPr>
        <w:t>Nota 8</w:t>
      </w:r>
      <w:r w:rsidR="001B4261" w:rsidRPr="00B23D01">
        <w:rPr>
          <w:rFonts w:ascii="Calibri" w:hAnsi="Calibri" w:cs="Calibri"/>
          <w:sz w:val="22"/>
          <w:szCs w:val="22"/>
          <w:shd w:val="clear" w:color="auto" w:fill="FFFFFF"/>
        </w:rPr>
        <w:t>.</w:t>
      </w:r>
    </w:p>
    <w:p w14:paraId="62309C7C" w14:textId="77777777" w:rsidR="003057AB" w:rsidRPr="002E2B5B" w:rsidRDefault="00F658CA" w:rsidP="002E2B5B">
      <w:pPr>
        <w:autoSpaceDE w:val="0"/>
        <w:autoSpaceDN w:val="0"/>
        <w:adjustRightInd w:val="0"/>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III - ESTUDOS E PROJETOS  </w:t>
      </w:r>
    </w:p>
    <w:p w14:paraId="7DF0340F" w14:textId="3B036092" w:rsidR="00F658CA" w:rsidRPr="002E2B5B" w:rsidRDefault="00F658CA"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Conforme inciso III do art. 9º da Lei nº 11.772, de 17 de setembro de 2008, compete à empresa, em conformidade com as diretrizes do Ministério da Infraestrutura, desenvolver estudos e projetos de obras de infraestrutura ferroviária. Os Estudos e Projetos compreendem os Estudos de Viabilidade Técnica, Econômica e Ambiental – EVTEA, o Projeto Básico – PB e o Projeto Executivo - PE.</w:t>
      </w:r>
    </w:p>
    <w:p w14:paraId="0B9C8753"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030A1CB0" w14:textId="77777777" w:rsidR="00F658CA" w:rsidRPr="002E2B5B" w:rsidRDefault="00F658CA" w:rsidP="002E2B5B">
      <w:pPr>
        <w:pStyle w:val="PargrafodaLista"/>
        <w:numPr>
          <w:ilvl w:val="0"/>
          <w:numId w:val="17"/>
        </w:numPr>
        <w:autoSpaceDE w:val="0"/>
        <w:autoSpaceDN w:val="0"/>
        <w:adjustRightInd w:val="0"/>
        <w:spacing w:line="259" w:lineRule="auto"/>
        <w:ind w:left="284"/>
        <w:contextualSpacing/>
        <w:jc w:val="both"/>
        <w:rPr>
          <w:rFonts w:ascii="Calibri" w:hAnsi="Calibri" w:cs="Calibri"/>
          <w:b/>
          <w:sz w:val="22"/>
        </w:rPr>
      </w:pPr>
      <w:r w:rsidRPr="002E2B5B">
        <w:rPr>
          <w:rFonts w:ascii="Calibri" w:hAnsi="Calibri" w:cs="Calibri"/>
          <w:b/>
          <w:sz w:val="22"/>
        </w:rPr>
        <w:t xml:space="preserve">Ferrovia de Integração Oeste Leste – FIOL - EF-334 </w:t>
      </w:r>
    </w:p>
    <w:p w14:paraId="35FB3B85" w14:textId="77777777" w:rsidR="000B1DB5"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Os estudos de Viabilidade foram concluídos em 2008, Projeto Básico em 2011 e o Executivo em 2013, do trecho que compreende Ilhéus/BA a </w:t>
      </w:r>
      <w:proofErr w:type="spellStart"/>
      <w:r w:rsidRPr="002E2B5B">
        <w:rPr>
          <w:rFonts w:ascii="Calibri" w:hAnsi="Calibri" w:cs="Calibri"/>
          <w:sz w:val="22"/>
          <w:szCs w:val="22"/>
          <w:shd w:val="clear" w:color="auto" w:fill="FFFFFF"/>
        </w:rPr>
        <w:t>Figueirópolis</w:t>
      </w:r>
      <w:proofErr w:type="spellEnd"/>
      <w:r w:rsidRPr="002E2B5B">
        <w:rPr>
          <w:rFonts w:ascii="Calibri" w:hAnsi="Calibri" w:cs="Calibri"/>
          <w:sz w:val="22"/>
          <w:szCs w:val="22"/>
          <w:shd w:val="clear" w:color="auto" w:fill="FFFFFF"/>
        </w:rPr>
        <w:t xml:space="preserve">/TO, subdivididos em trecho denominados FIOL I, II e III. O planejamento dessa ligação visa estabelecer uma alternativa mais econômica para os fluxos de cargas de longa distância potencialmente transportáveis pelo modal ferroviário, a exemplo das cargas de baixo valor agregado, como minérios e granéis sólidos produzidos ao longo da região de influência da ferrovia. Além de contribuir para indução do desenvolvimento regional, quando concluída, a FIOL propiciará melhor equilíbrio da matriz de transportes, reduzindo a dependência do modal rodoviário ao criar um corredor logístico mais competitivo.   </w:t>
      </w:r>
    </w:p>
    <w:p w14:paraId="2A97A8B7" w14:textId="5D40D153" w:rsidR="00D4582D"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FIOL está em construção </w:t>
      </w:r>
      <w:r w:rsidR="00181180" w:rsidRPr="002E2B5B">
        <w:rPr>
          <w:rFonts w:ascii="Calibri" w:hAnsi="Calibri" w:cs="Calibri"/>
          <w:sz w:val="22"/>
          <w:szCs w:val="22"/>
          <w:shd w:val="clear" w:color="auto" w:fill="FFFFFF"/>
        </w:rPr>
        <w:t>no trecho denominado</w:t>
      </w:r>
      <w:r w:rsidRPr="002E2B5B">
        <w:rPr>
          <w:rFonts w:ascii="Calibri" w:hAnsi="Calibri" w:cs="Calibri"/>
          <w:sz w:val="22"/>
          <w:szCs w:val="22"/>
          <w:shd w:val="clear" w:color="auto" w:fill="FFFFFF"/>
        </w:rPr>
        <w:t xml:space="preserve"> FIOL II, com 485km, totalizando 1.022km de extensão. Os projetos executivos desse trecho são acompanhados e revisados pari passu pelas equipes e responsáveis do projeto e orçamento da empresa.</w:t>
      </w:r>
    </w:p>
    <w:p w14:paraId="5803FDDE" w14:textId="41AE1686" w:rsidR="009165D8"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531 km de extensão, o trecho denominado de FIOL III, encontra-se com o EVTEA, Projeto Básico e Projeto Executivo concluídos</w:t>
      </w:r>
      <w:r w:rsidR="00D4582D" w:rsidRPr="002E2B5B">
        <w:rPr>
          <w:rFonts w:ascii="Calibri" w:hAnsi="Calibri" w:cs="Calibri"/>
          <w:sz w:val="22"/>
          <w:szCs w:val="22"/>
          <w:shd w:val="clear" w:color="auto" w:fill="FFFFFF"/>
        </w:rPr>
        <w:t>, passíveis de revisões</w:t>
      </w:r>
      <w:r w:rsidRPr="002E2B5B">
        <w:rPr>
          <w:rFonts w:ascii="Calibri" w:hAnsi="Calibri" w:cs="Calibri"/>
          <w:sz w:val="22"/>
          <w:szCs w:val="22"/>
          <w:shd w:val="clear" w:color="auto" w:fill="FFFFFF"/>
        </w:rPr>
        <w:t xml:space="preserve">. Ao conectar-se com a FNS em </w:t>
      </w:r>
      <w:proofErr w:type="spellStart"/>
      <w:r w:rsidRPr="002E2B5B">
        <w:rPr>
          <w:rFonts w:ascii="Calibri" w:hAnsi="Calibri" w:cs="Calibri"/>
          <w:sz w:val="22"/>
          <w:szCs w:val="22"/>
          <w:shd w:val="clear" w:color="auto" w:fill="FFFFFF"/>
        </w:rPr>
        <w:t>Figueirópolis</w:t>
      </w:r>
      <w:proofErr w:type="spellEnd"/>
      <w:r w:rsidRPr="002E2B5B">
        <w:rPr>
          <w:rFonts w:ascii="Calibri" w:hAnsi="Calibri" w:cs="Calibri"/>
          <w:sz w:val="22"/>
          <w:szCs w:val="22"/>
          <w:shd w:val="clear" w:color="auto" w:fill="FFFFFF"/>
        </w:rPr>
        <w:t>/TO, a FIOL formará importante corredor logístico de transporte, ampliando as possibilidades de escoamento da produção econômica do país.</w:t>
      </w:r>
    </w:p>
    <w:p w14:paraId="40FC0E7C" w14:textId="77777777" w:rsidR="00F658CA" w:rsidRPr="002E2B5B" w:rsidRDefault="00F658CA" w:rsidP="002E2B5B">
      <w:pPr>
        <w:pStyle w:val="PargrafodaLista"/>
        <w:numPr>
          <w:ilvl w:val="0"/>
          <w:numId w:val="17"/>
        </w:numPr>
        <w:autoSpaceDE w:val="0"/>
        <w:autoSpaceDN w:val="0"/>
        <w:adjustRightInd w:val="0"/>
        <w:spacing w:line="259" w:lineRule="auto"/>
        <w:ind w:left="284"/>
        <w:contextualSpacing/>
        <w:jc w:val="both"/>
        <w:rPr>
          <w:rFonts w:ascii="Calibri" w:hAnsi="Calibri" w:cs="Calibri"/>
          <w:b/>
          <w:sz w:val="22"/>
        </w:rPr>
      </w:pPr>
      <w:r w:rsidRPr="002E2B5B">
        <w:rPr>
          <w:rFonts w:ascii="Calibri" w:hAnsi="Calibri" w:cs="Calibri"/>
          <w:b/>
          <w:sz w:val="22"/>
        </w:rPr>
        <w:t>Ferrovia Transcontinental e Ferrovia de Integração Centro-Oeste (FICO) – EF 354</w:t>
      </w:r>
    </w:p>
    <w:p w14:paraId="4A4F4896" w14:textId="7773C677" w:rsidR="009165D8"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outorga à VALEC, estabelecendo o direito de construção, uso e gozo da EF – 354, se deu por meio da Lei nº 11.772, de 17 de setembro de 2008, sendo incluída no Plano Nacional de Viação com 4.800 km de extensão em solo brasileiro, entre o Porto do Açu, no litoral do estado do Rio de Janeiro e a localidade de Boqueirão da Esperança/AC, na fronteira Brasil-Peru, como parte da ligação entre os oceanos Atlântico, no Brasil, e Pacífico, no Peru, o qual é denominado Ferrovia Transcontinental.</w:t>
      </w:r>
    </w:p>
    <w:p w14:paraId="4DDA1A08" w14:textId="6772EB8A" w:rsidR="009165D8"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O trecho da Ferrovia Transcontinental compreendido entre Mara Rosa/GO e Vilhena/RO, com extensão aproximada de 1.720 km, é denominada Ferrovia de Integração do Centro-Oeste (FICO), objeto de estudo nos últimos anos por </w:t>
      </w:r>
      <w:r w:rsidRPr="002E2B5B">
        <w:rPr>
          <w:rFonts w:ascii="Calibri" w:hAnsi="Calibri" w:cs="Calibri"/>
          <w:sz w:val="22"/>
          <w:szCs w:val="22"/>
          <w:shd w:val="clear" w:color="auto" w:fill="FFFFFF"/>
        </w:rPr>
        <w:lastRenderedPageBreak/>
        <w:t>esta companhia e com recursos oriundos do Programa de Aceleração do Crescimento – PAC, da ordem de R$ 130 milhões.</w:t>
      </w:r>
    </w:p>
    <w:p w14:paraId="2EF940B6" w14:textId="2F91CD53" w:rsidR="00D4582D"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Dentre as principais funções da FICO, está a de estabelecer alternativas mais econômicas para os fluxos de cargas de longa distância potencialmente transportáveis pelo modal ferroviário, a exemplo das cargas de baixo valor agregado como minérios e granéis sólidos produzidos ao longo da região de influência da ferrovia. Visa ainda reduzir a dependência do modal rodoviário, incentivando a multimodalidade e melhorando a logística de transporte, tanto para o escoamento da produção ao mercado consumidor quanto para importação de insumos, interligando a malha ferroviária brasileira aos principais portos de grande capacidade.</w:t>
      </w:r>
    </w:p>
    <w:p w14:paraId="13213C43" w14:textId="077EBA01" w:rsidR="00D4582D"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Isso proporcionará a redução dos valores de frete e, consequentemente, a dos custos de comercialização no mercado interno, com acentuado reflexo também na exportação, aumentando a competitividade dos produtos brasileiros, gerando melhoria no desempenho econômico de toda a malha ferroviária. </w:t>
      </w:r>
    </w:p>
    <w:p w14:paraId="423CB3DB" w14:textId="18BB4232" w:rsidR="009165D8" w:rsidRPr="002E2B5B" w:rsidRDefault="000B1DB5" w:rsidP="00B23D01">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FICO foi subdividida nos seguintes trechos: Mara Rosa/GO – Água Boa/MT; Água Boa/MT – Lucas do Rio Verde/MT; Lucas do Rio Verde/MT – Vilhena/RO; Vilhena/RO – Porto Velho/RO e Porto Velho/RO – Boqueirão/AC.</w:t>
      </w:r>
    </w:p>
    <w:p w14:paraId="45ADDA58" w14:textId="77777777" w:rsidR="004028E9" w:rsidRPr="002E2B5B" w:rsidRDefault="004028E9"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b.1)</w:t>
      </w:r>
      <w:r w:rsidRPr="002E2B5B">
        <w:rPr>
          <w:rFonts w:ascii="Calibri" w:hAnsi="Calibri" w:cs="Calibri"/>
          <w:sz w:val="22"/>
          <w:szCs w:val="22"/>
          <w:shd w:val="clear" w:color="auto" w:fill="FFFFFF"/>
        </w:rPr>
        <w:t xml:space="preserve"> </w:t>
      </w:r>
      <w:r w:rsidRPr="002E2B5B">
        <w:rPr>
          <w:rFonts w:ascii="Calibri" w:hAnsi="Calibri" w:cs="Calibri"/>
          <w:b/>
          <w:bCs/>
          <w:sz w:val="22"/>
          <w:szCs w:val="22"/>
          <w:shd w:val="clear" w:color="auto" w:fill="FFFFFF"/>
        </w:rPr>
        <w:t>Mara Rosa/GO - Água Boa/MT - Lucas do Rio Verde/MT</w:t>
      </w:r>
    </w:p>
    <w:p w14:paraId="399E4C84" w14:textId="2DCCBACB" w:rsidR="004028E9" w:rsidRPr="002E2B5B" w:rsidRDefault="004028E9"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888km de extensão, sendo o primeiro trecho de 383km entre Mara Rosa/GO a Água Boa/MT e o segundo trecho, de 507 km, de Água Boa/MT a Lucas do Rio Verde/MT. Esse trecho possui EVTEA e Projeto Básico concluídos.</w:t>
      </w:r>
    </w:p>
    <w:p w14:paraId="2226B63F"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08EA4909" w14:textId="77777777" w:rsidR="004028E9" w:rsidRPr="002E2B5B" w:rsidRDefault="004028E9"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 xml:space="preserve">b.2) Lucas do Rio Verde/MT – Vilhena/RO </w:t>
      </w:r>
    </w:p>
    <w:p w14:paraId="1F009305" w14:textId="422A40B7" w:rsidR="004028E9" w:rsidRPr="002E2B5B" w:rsidRDefault="004028E9"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646 km de extensão, o empreendimento encontra-se com EVTEA concluído desde 2014 e com anteprojeto em andamento.</w:t>
      </w:r>
    </w:p>
    <w:p w14:paraId="6A017E4D" w14:textId="77777777" w:rsidR="009165D8" w:rsidRPr="002E2B5B" w:rsidRDefault="009165D8" w:rsidP="002E2B5B">
      <w:pPr>
        <w:autoSpaceDE w:val="0"/>
        <w:autoSpaceDN w:val="0"/>
        <w:adjustRightInd w:val="0"/>
        <w:jc w:val="both"/>
        <w:rPr>
          <w:rFonts w:ascii="Calibri" w:hAnsi="Calibri" w:cs="Calibri"/>
          <w:b/>
          <w:bCs/>
          <w:sz w:val="22"/>
          <w:szCs w:val="22"/>
          <w:shd w:val="clear" w:color="auto" w:fill="FFFFFF"/>
        </w:rPr>
      </w:pPr>
    </w:p>
    <w:p w14:paraId="7414FBDB" w14:textId="77777777" w:rsidR="004028E9" w:rsidRPr="002E2B5B" w:rsidRDefault="004028E9"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 xml:space="preserve">b.3) Vilhena/RO a Porto Velho/RO </w:t>
      </w:r>
    </w:p>
    <w:p w14:paraId="640F06FA" w14:textId="7D11A443" w:rsidR="004028E9" w:rsidRPr="002E2B5B" w:rsidRDefault="004028E9"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770 km de extensão, o empreendimento ligará a ferrovia a partir da cidade Vilhena/RO até a Hidrovia do Rio Madeira, em Porto Velho/RO, além de estabelecer um importante corredor logístico intermodal aos portos de Itacoatiara/AM e Santarém/PA. Atualmente o trecho encontra-se na elaboração do EVTEA.</w:t>
      </w:r>
    </w:p>
    <w:p w14:paraId="6AF14AF4"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2F8B9FEE" w14:textId="77777777" w:rsidR="004028E9" w:rsidRPr="002E2B5B" w:rsidRDefault="004028E9"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b.4) Porto Velho/RO a Boqueirão/AC</w:t>
      </w:r>
    </w:p>
    <w:p w14:paraId="1A8331A6" w14:textId="45D56581" w:rsidR="004028E9" w:rsidRPr="002E2B5B" w:rsidRDefault="004028E9"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Trecho da FICO entre Porto Velho/RO e Boqueirão/AC ainda não possui estudos de viabilidade em desenvolvimento.</w:t>
      </w:r>
    </w:p>
    <w:p w14:paraId="26A3F13D"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36146C05" w14:textId="77777777" w:rsidR="00F658CA" w:rsidRPr="002E2B5B" w:rsidRDefault="00F658CA" w:rsidP="002E2B5B">
      <w:pPr>
        <w:numPr>
          <w:ilvl w:val="0"/>
          <w:numId w:val="17"/>
        </w:numPr>
        <w:autoSpaceDE w:val="0"/>
        <w:autoSpaceDN w:val="0"/>
        <w:adjustRightInd w:val="0"/>
        <w:ind w:left="284" w:hanging="284"/>
        <w:jc w:val="both"/>
        <w:rPr>
          <w:rFonts w:ascii="Calibri" w:hAnsi="Calibri" w:cs="Calibri"/>
          <w:b/>
          <w:sz w:val="22"/>
        </w:rPr>
      </w:pPr>
      <w:r w:rsidRPr="002E2B5B">
        <w:rPr>
          <w:rFonts w:ascii="Calibri" w:hAnsi="Calibri" w:cs="Calibri"/>
          <w:b/>
          <w:sz w:val="22"/>
        </w:rPr>
        <w:t>Corredor Ferroviário de Santa Catarina – EF 280</w:t>
      </w:r>
    </w:p>
    <w:p w14:paraId="1D30596A" w14:textId="3EC2F67B" w:rsidR="00D4582D" w:rsidRPr="002E2B5B" w:rsidRDefault="00E5187C"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Contratado em 2014, a elaboração do EVTEA e do Projeto Básico da EF -280 está em curso e visa ligar a EF-451 - Ferrovia Litorânea, no município de Itajaí/SC, ao extremo oeste do estado, no município de Dionísio Cerqueira/SC. A ligação ferroviária insere-se no contexto do planejamento logístico do estado de Santa Catarina, com relevância também para distribuição de cargas a nível nacional ao integrar a malha ferroviária do país. </w:t>
      </w:r>
    </w:p>
    <w:p w14:paraId="37044FB8" w14:textId="5876B55B" w:rsidR="00D4582D" w:rsidRPr="002E2B5B" w:rsidRDefault="00E5187C"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Por interconectar-se com projetos previstos, como a Ferrovia Litorânea e a extensão prevista da Ferrovia Norte-Sul - FNS em direção ao sul do país, o Corredor Ferroviário favorece o fluxo de cargas de oeste a leste no estado de Santa Catarina, com possibilidade de remeter ou buscar cargas ao norte ou ao sul do Brasil, através do compartilhamento de malhas com a FNS e a interconexão com a Ferrovia Tronco Principal Sul (EF-116). O projeto, ainda, interliga-se logisticamente aos cincos portos existentes em Santa Catarina, através da conexão prevista com a Ferrovia Litorânea.</w:t>
      </w:r>
    </w:p>
    <w:p w14:paraId="63BE5DEB" w14:textId="4EA2F06A" w:rsidR="00E5187C" w:rsidRPr="002E2B5B" w:rsidRDefault="00E5187C"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início deste estudo teve embasamento no Ofício n° 621/2012/SE/MT de 29 de outubro de 2012, o qual define que o EVTEA seria realizado pela VALEC. Ressalta-se que esse estudo foi finalizado em 2020.</w:t>
      </w:r>
    </w:p>
    <w:p w14:paraId="5BEDF543" w14:textId="77777777" w:rsidR="001159E0" w:rsidRPr="002E2B5B" w:rsidRDefault="001159E0" w:rsidP="002E2B5B">
      <w:pPr>
        <w:autoSpaceDE w:val="0"/>
        <w:autoSpaceDN w:val="0"/>
        <w:adjustRightInd w:val="0"/>
        <w:jc w:val="both"/>
        <w:rPr>
          <w:rFonts w:ascii="Calibri" w:hAnsi="Calibri" w:cs="Calibri"/>
          <w:sz w:val="22"/>
          <w:szCs w:val="22"/>
          <w:shd w:val="clear" w:color="auto" w:fill="FFFFFF"/>
        </w:rPr>
      </w:pPr>
    </w:p>
    <w:p w14:paraId="1925FB55" w14:textId="77777777" w:rsidR="00F658CA" w:rsidRPr="002E2B5B" w:rsidRDefault="00F658CA" w:rsidP="002E2B5B">
      <w:pPr>
        <w:numPr>
          <w:ilvl w:val="0"/>
          <w:numId w:val="17"/>
        </w:numPr>
        <w:autoSpaceDE w:val="0"/>
        <w:autoSpaceDN w:val="0"/>
        <w:adjustRightInd w:val="0"/>
        <w:ind w:left="284" w:hanging="284"/>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Ferrovia do Pantanal – EF 267</w:t>
      </w:r>
    </w:p>
    <w:p w14:paraId="6127A220" w14:textId="734289A3" w:rsidR="009203C8" w:rsidRPr="002E2B5B" w:rsidRDefault="00F658CA"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Com aproximadamente 734km, a EF- 267 foi outorgada à VALEC estabelecendo o direito de construção, uso e gozo por meio da Lei nº 11.772, de 17 de setembro de 2008. Esta ferrovia fará a conexão da FNS no município de Panorama/SP até Porto Murtinho/MS às margens do Rio Paraguai, no sul do Pantanal mato-grossense, atendendo uma área de alta densidade de produção agrícola e possibilitando o acesso logístico a vários portos do país ao se conectar com malha paulista e com a Ferrovia Norte e Sul. Dentre as demandas para essa ferrovia destacam-se também as cargas no sentido importação (mar – continente), como fertilizantes e cargas gerais, além das cargas para </w:t>
      </w:r>
      <w:r w:rsidRPr="002E2B5B">
        <w:rPr>
          <w:rFonts w:ascii="Calibri" w:hAnsi="Calibri" w:cs="Calibri"/>
          <w:sz w:val="22"/>
          <w:szCs w:val="22"/>
          <w:shd w:val="clear" w:color="auto" w:fill="FFFFFF"/>
        </w:rPr>
        <w:lastRenderedPageBreak/>
        <w:t xml:space="preserve">consumo interno. O EVTEA desse trecho, contratado pela VALEC, foi finalizado em maio 2012, consumindo recursos da ordem de R$ 5,5 milhões. </w:t>
      </w:r>
    </w:p>
    <w:p w14:paraId="5AA718DE"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488392F2" w14:textId="77777777" w:rsidR="00E5187C" w:rsidRPr="002E2B5B" w:rsidRDefault="00F658CA" w:rsidP="002E2B5B">
      <w:pPr>
        <w:numPr>
          <w:ilvl w:val="0"/>
          <w:numId w:val="17"/>
        </w:numPr>
        <w:autoSpaceDE w:val="0"/>
        <w:autoSpaceDN w:val="0"/>
        <w:adjustRightInd w:val="0"/>
        <w:ind w:left="284" w:hanging="284"/>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Ramais da Ferrovia Norte Sul - FNS</w:t>
      </w:r>
    </w:p>
    <w:p w14:paraId="492EDE48" w14:textId="5D185ABE" w:rsidR="00D4582D" w:rsidRPr="002E2B5B" w:rsidRDefault="00F658CA"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Os ramais da Ferrovia Norte Sul compreendem: Açailândia/MA – Barcarena/PA; Porto Franco/MA-Balsas/MA; Goiânia/GO – Brasília/DF; Quirinópolis/GO – Itumbiara/GO; Estrela d’Oeste/SP – Panorama/SP; Panorama/SP – Chapecó/SC; Chapecó/SC - Rio Grande/RS.</w:t>
      </w:r>
    </w:p>
    <w:p w14:paraId="2873B8E0" w14:textId="0A5E2071" w:rsidR="00D4582D" w:rsidRPr="002E2B5B" w:rsidRDefault="00F658CA"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2012 foram finalizados os EVTEA dos trechos de Açailândia/MA a Barcarena/PA (Termo de Referência 19/2010), com 477Km, de Goiânia/GO a Brasília/DF (Termo de Referência 017/2010), com 212km e de Quirinópolis/GO a Itumbiara/GO (Termo de referência 17/2010), com 203km.</w:t>
      </w:r>
    </w:p>
    <w:p w14:paraId="589E659E" w14:textId="580F345D" w:rsidR="00D4582D" w:rsidRPr="002E2B5B" w:rsidRDefault="00F658CA"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2014, para atender à crescente demanda por transporte de cargas, a VALEC concluiu os EVTEA para mais três trechos da ferrovia: entre Estrela d’Oeste/SP a Panorama/SP (Termo de referência 18/2010), com 264km; entre Panorama/SP e Chapecó/SC (Termo de Referência 006/2011 e 003/2012), com 950km; e entre Chapecó/SC e Rio Grande/RS (Termo de Referência 006/2011), com 833km.</w:t>
      </w:r>
    </w:p>
    <w:p w14:paraId="4463D4E9" w14:textId="0C0E2F46" w:rsidR="009165D8" w:rsidRPr="002E2B5B" w:rsidRDefault="00F658CA"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2019, foi concluído o Anteprojeto do Trecho Porto Franco/MA-Balsas/MA</w:t>
      </w:r>
      <w:r w:rsidR="005B2BAA" w:rsidRPr="002E2B5B">
        <w:rPr>
          <w:rFonts w:ascii="Calibri" w:hAnsi="Calibri" w:cs="Calibri"/>
          <w:sz w:val="22"/>
          <w:szCs w:val="22"/>
          <w:shd w:val="clear" w:color="auto" w:fill="FFFFFF"/>
        </w:rPr>
        <w:t>.</w:t>
      </w:r>
    </w:p>
    <w:p w14:paraId="60B8B7BC" w14:textId="77777777" w:rsidR="00232874" w:rsidRPr="002E2B5B" w:rsidRDefault="00232874"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IV – INVESTIMENTO CRUZADO</w:t>
      </w:r>
    </w:p>
    <w:p w14:paraId="72DD75D6" w14:textId="46939E09" w:rsidR="009165D8"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Lei nº 13.448</w:t>
      </w:r>
      <w:r w:rsidR="00750CA7">
        <w:rPr>
          <w:rFonts w:ascii="Calibri" w:hAnsi="Calibri" w:cs="Calibri"/>
          <w:sz w:val="22"/>
          <w:szCs w:val="22"/>
          <w:shd w:val="clear" w:color="auto" w:fill="FFFFFF"/>
        </w:rPr>
        <w:t>, de 05 de junho de 2017</w:t>
      </w:r>
      <w:r w:rsidRPr="002E2B5B">
        <w:rPr>
          <w:rFonts w:ascii="Calibri" w:hAnsi="Calibri" w:cs="Calibri"/>
          <w:sz w:val="22"/>
          <w:szCs w:val="22"/>
          <w:shd w:val="clear" w:color="auto" w:fill="FFFFFF"/>
        </w:rPr>
        <w:t xml:space="preserve"> trouxe, como inovação no ordenamento jurídico, a possibilidade de realização de investimentos em malhas ferroviárias distintas como contrapartida às prorrogações de contratos de concessão.</w:t>
      </w:r>
      <w:r w:rsidR="00B84648"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 xml:space="preserve">A lei estabelece que o órgão ou a entidade competente é autorizada a promover alterações nos contratos de parceria no setor ferroviário a fim de solucionar questões operacionais e logísticas, inclusive por meio de prorrogações ou </w:t>
      </w:r>
      <w:proofErr w:type="spellStart"/>
      <w:r w:rsidRPr="002E2B5B">
        <w:rPr>
          <w:rFonts w:ascii="Calibri" w:hAnsi="Calibri" w:cs="Calibri"/>
          <w:sz w:val="22"/>
          <w:szCs w:val="22"/>
          <w:shd w:val="clear" w:color="auto" w:fill="FFFFFF"/>
        </w:rPr>
        <w:t>relicitações</w:t>
      </w:r>
      <w:proofErr w:type="spellEnd"/>
      <w:r w:rsidRPr="002E2B5B">
        <w:rPr>
          <w:rFonts w:ascii="Calibri" w:hAnsi="Calibri" w:cs="Calibri"/>
          <w:sz w:val="22"/>
          <w:szCs w:val="22"/>
          <w:shd w:val="clear" w:color="auto" w:fill="FFFFFF"/>
        </w:rPr>
        <w:t xml:space="preserve"> da totalidade ou de parte dos empreendimentos contratados.</w:t>
      </w:r>
    </w:p>
    <w:p w14:paraId="255744A2" w14:textId="19AA468A" w:rsidR="009165D8"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Permite, ainda, ao órgão ou a entidade competente, de comum acordo com os contratados, buscar soluções para todo o sistema e adotar medidas diferenciadas por contrato ou por trecho ferroviário que considerem a reconfiguração de malhas, admitida a previsão de investimentos pelos contratados em malha própria ou naquelas de interesse da administração pública.</w:t>
      </w:r>
    </w:p>
    <w:p w14:paraId="3C68FC9B" w14:textId="77777777" w:rsidR="00232874"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Esse dispositivo passou a ser chamado de ‘</w:t>
      </w:r>
      <w:r w:rsidR="00B84648" w:rsidRPr="002E2B5B">
        <w:rPr>
          <w:rFonts w:ascii="Calibri" w:hAnsi="Calibri" w:cs="Calibri"/>
          <w:sz w:val="22"/>
          <w:szCs w:val="22"/>
          <w:shd w:val="clear" w:color="auto" w:fill="FFFFFF"/>
        </w:rPr>
        <w:t>I</w:t>
      </w:r>
      <w:r w:rsidRPr="002E2B5B">
        <w:rPr>
          <w:rFonts w:ascii="Calibri" w:hAnsi="Calibri" w:cs="Calibri"/>
          <w:sz w:val="22"/>
          <w:szCs w:val="22"/>
          <w:shd w:val="clear" w:color="auto" w:fill="FFFFFF"/>
        </w:rPr>
        <w:t xml:space="preserve">nvestimento </w:t>
      </w:r>
      <w:r w:rsidR="00B84648" w:rsidRPr="002E2B5B">
        <w:rPr>
          <w:rFonts w:ascii="Calibri" w:hAnsi="Calibri" w:cs="Calibri"/>
          <w:sz w:val="22"/>
          <w:szCs w:val="22"/>
          <w:shd w:val="clear" w:color="auto" w:fill="FFFFFF"/>
        </w:rPr>
        <w:t>C</w:t>
      </w:r>
      <w:r w:rsidRPr="002E2B5B">
        <w:rPr>
          <w:rFonts w:ascii="Calibri" w:hAnsi="Calibri" w:cs="Calibri"/>
          <w:sz w:val="22"/>
          <w:szCs w:val="22"/>
          <w:shd w:val="clear" w:color="auto" w:fill="FFFFFF"/>
        </w:rPr>
        <w:t>ruzado’, pelo qual é possibilitada a ampliação da malha e da capacidade do subsistema ferroviário, sem que haja uma obrigação direta da União em aportar recursos.</w:t>
      </w:r>
    </w:p>
    <w:p w14:paraId="03564658" w14:textId="582B5945" w:rsidR="00A309A1"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Fundamentado na Lei nº 13.448/2017, o Terceiro Termo Aditivo ao contrato de concessão da Estrada de Ferro Vitória a Minas, concedida à VALE S/A, prevê a renovação antecipada de outorga e descreve, no Anexo 9, termos que disciplinam as condições de realização das Obrigações de Investimento assumidas pela Concessionária em projetos de titularidade da VALEC conforme a Lei nº 11.772/2008, envolvendo:</w:t>
      </w:r>
    </w:p>
    <w:p w14:paraId="476E9A2A" w14:textId="77777777" w:rsidR="00232874" w:rsidRPr="002E2B5B" w:rsidRDefault="00232874" w:rsidP="002E2B5B">
      <w:pPr>
        <w:pStyle w:val="PargrafodaLista"/>
        <w:widowControl w:val="0"/>
        <w:numPr>
          <w:ilvl w:val="0"/>
          <w:numId w:val="34"/>
        </w:numPr>
        <w:ind w:hanging="578"/>
        <w:jc w:val="both"/>
        <w:rPr>
          <w:rFonts w:ascii="Calibri" w:hAnsi="Calibri" w:cs="Calibri"/>
          <w:sz w:val="22"/>
          <w:szCs w:val="22"/>
        </w:rPr>
      </w:pPr>
      <w:r w:rsidRPr="002E2B5B">
        <w:rPr>
          <w:rFonts w:ascii="Calibri" w:hAnsi="Calibri" w:cs="Calibri"/>
          <w:sz w:val="22"/>
          <w:szCs w:val="22"/>
        </w:rPr>
        <w:t xml:space="preserve">A implantação da infraestrutura e superestrutura ferroviária de Trecho da Ferrovia de Integração Centro-Oeste (FICO), EF-354, compreendido entre os municípios de Água Boa/MT e Mara Rosa/GO; </w:t>
      </w:r>
    </w:p>
    <w:p w14:paraId="791D20D6" w14:textId="77777777" w:rsidR="00232874" w:rsidRPr="002E2B5B" w:rsidRDefault="00232874" w:rsidP="002E2B5B">
      <w:pPr>
        <w:pStyle w:val="PargrafodaLista"/>
        <w:widowControl w:val="0"/>
        <w:numPr>
          <w:ilvl w:val="0"/>
          <w:numId w:val="34"/>
        </w:numPr>
        <w:ind w:hanging="578"/>
        <w:jc w:val="both"/>
        <w:rPr>
          <w:rFonts w:ascii="Calibri" w:hAnsi="Calibri" w:cs="Calibri"/>
          <w:sz w:val="22"/>
          <w:szCs w:val="22"/>
        </w:rPr>
      </w:pPr>
      <w:r w:rsidRPr="002E2B5B">
        <w:rPr>
          <w:rFonts w:ascii="Calibri" w:hAnsi="Calibri" w:cs="Calibri"/>
          <w:sz w:val="22"/>
          <w:szCs w:val="22"/>
        </w:rPr>
        <w:t>A aquisição de Trilhos e Dormentes a serem incorporados no Projeto de Infraestrutura da Ferrovia Integração Oeste Leste (FIOL), EF – 334; e</w:t>
      </w:r>
    </w:p>
    <w:p w14:paraId="4416C50A" w14:textId="62F087DE" w:rsidR="00D4582D" w:rsidRPr="002E2B5B" w:rsidRDefault="00232874" w:rsidP="002E2B5B">
      <w:pPr>
        <w:pStyle w:val="PargrafodaLista"/>
        <w:widowControl w:val="0"/>
        <w:numPr>
          <w:ilvl w:val="0"/>
          <w:numId w:val="34"/>
        </w:numPr>
        <w:ind w:hanging="578"/>
        <w:jc w:val="both"/>
        <w:rPr>
          <w:rFonts w:ascii="Calibri" w:hAnsi="Calibri" w:cs="Calibri"/>
          <w:sz w:val="22"/>
          <w:szCs w:val="22"/>
        </w:rPr>
      </w:pPr>
      <w:r w:rsidRPr="002E2B5B">
        <w:rPr>
          <w:rFonts w:ascii="Calibri" w:hAnsi="Calibri" w:cs="Calibri"/>
          <w:sz w:val="22"/>
          <w:szCs w:val="22"/>
        </w:rPr>
        <w:t>Enquadramento do projeto FICO e FIOL no Regime Especial de Incentivo para o Desenvolvimento da Infraestrutura (REIDI).</w:t>
      </w:r>
    </w:p>
    <w:p w14:paraId="7FABD814" w14:textId="0993F8C8" w:rsidR="00D4582D"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No âmbito do Anexo 9 do Terceiro Termo Aditivo, assinado em 18 de dezembro de 2020, a </w:t>
      </w:r>
      <w:r w:rsidR="00B84648" w:rsidRPr="002E2B5B">
        <w:rPr>
          <w:rFonts w:ascii="Calibri" w:hAnsi="Calibri" w:cs="Calibri"/>
          <w:sz w:val="22"/>
          <w:szCs w:val="22"/>
          <w:shd w:val="clear" w:color="auto" w:fill="FFFFFF"/>
        </w:rPr>
        <w:t>VALEC,</w:t>
      </w:r>
      <w:r w:rsidRPr="002E2B5B">
        <w:rPr>
          <w:rFonts w:ascii="Calibri" w:hAnsi="Calibri" w:cs="Calibri"/>
          <w:sz w:val="22"/>
          <w:szCs w:val="22"/>
          <w:shd w:val="clear" w:color="auto" w:fill="FFFFFF"/>
        </w:rPr>
        <w:t xml:space="preserve"> na figura de Interveniente Anuente e titular dos Projetos de Infraestrutura da FICO e da FIOL, compromete</w:t>
      </w:r>
      <w:r w:rsidR="00B84648"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-se a requerer os enquadramentos dos Projetos junto ao Ministério da Infraestrutura, bem como as suas habilitações no regime do REIDI, regulado pela Lei nº 11.488</w:t>
      </w:r>
      <w:r w:rsidR="00750CA7">
        <w:rPr>
          <w:rFonts w:ascii="Calibri" w:hAnsi="Calibri" w:cs="Calibri"/>
          <w:sz w:val="22"/>
          <w:szCs w:val="22"/>
          <w:shd w:val="clear" w:color="auto" w:fill="FFFFFF"/>
        </w:rPr>
        <w:t>, de 15 de junho de 20</w:t>
      </w:r>
      <w:r w:rsidRPr="002E2B5B">
        <w:rPr>
          <w:rFonts w:ascii="Calibri" w:hAnsi="Calibri" w:cs="Calibri"/>
          <w:sz w:val="22"/>
          <w:szCs w:val="22"/>
          <w:shd w:val="clear" w:color="auto" w:fill="FFFFFF"/>
        </w:rPr>
        <w:t>07, perante a Secretaria da Receita Federal do Brasil.</w:t>
      </w:r>
    </w:p>
    <w:p w14:paraId="677ADFEB" w14:textId="002EEF2D" w:rsidR="00D4582D" w:rsidRPr="002E2B5B" w:rsidRDefault="00B8464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habilitação da VALEC no regime do REIDI para os Projetos FICO e FIOL foi realizada em 21 de junho de 2021, por meio dos Atos Declaratórios nº 107 e 108 da Secretaria Especial da Receita Federal do Brasil, conforme publicado no Diário Oficial da União em 24 de junho de 2021.</w:t>
      </w:r>
    </w:p>
    <w:p w14:paraId="39086CB3" w14:textId="52E6F49D" w:rsidR="007F779B"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w:t>
      </w:r>
      <w:r w:rsidR="00B84648"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compromete</w:t>
      </w:r>
      <w:r w:rsidR="00B84648"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-se, ainda, a participar dos contratos, aditivos contratuais e demais documentos competentes previstos na legislação do R</w:t>
      </w:r>
      <w:r w:rsidR="00B84648" w:rsidRPr="002E2B5B">
        <w:rPr>
          <w:rFonts w:ascii="Calibri" w:hAnsi="Calibri" w:cs="Calibri"/>
          <w:sz w:val="22"/>
          <w:szCs w:val="22"/>
          <w:shd w:val="clear" w:color="auto" w:fill="FFFFFF"/>
        </w:rPr>
        <w:t>EIDI</w:t>
      </w:r>
      <w:r w:rsidRPr="002E2B5B">
        <w:rPr>
          <w:rFonts w:ascii="Calibri" w:hAnsi="Calibri" w:cs="Calibri"/>
          <w:sz w:val="22"/>
          <w:szCs w:val="22"/>
          <w:shd w:val="clear" w:color="auto" w:fill="FFFFFF"/>
        </w:rPr>
        <w:t xml:space="preserve">, inclusive na posição de destinatária das obras de infraestrutura, dos trilhos e </w:t>
      </w:r>
      <w:r w:rsidRPr="002E2B5B">
        <w:rPr>
          <w:rFonts w:ascii="Calibri" w:hAnsi="Calibri" w:cs="Calibri"/>
          <w:sz w:val="22"/>
          <w:szCs w:val="22"/>
          <w:shd w:val="clear" w:color="auto" w:fill="FFFFFF"/>
        </w:rPr>
        <w:lastRenderedPageBreak/>
        <w:t xml:space="preserve">dormentes, com o fim único e exclusivo de expressar nesses instrumentos a sua concordância com a aquisição das obras de infraestrutura pelo Projeto de Infraestrutura da FICO e dos Trilhos e Dormentes pelo Projeto de Infraestrutura da FIOL elegíveis ao </w:t>
      </w:r>
      <w:r w:rsidR="00B84648" w:rsidRPr="002E2B5B">
        <w:rPr>
          <w:rFonts w:ascii="Calibri" w:hAnsi="Calibri" w:cs="Calibri"/>
          <w:sz w:val="22"/>
          <w:szCs w:val="22"/>
          <w:shd w:val="clear" w:color="auto" w:fill="FFFFFF"/>
        </w:rPr>
        <w:t>REIDI</w:t>
      </w:r>
      <w:r w:rsidRPr="002E2B5B">
        <w:rPr>
          <w:rFonts w:ascii="Calibri" w:hAnsi="Calibri" w:cs="Calibri"/>
          <w:sz w:val="22"/>
          <w:szCs w:val="22"/>
          <w:shd w:val="clear" w:color="auto" w:fill="FFFFFF"/>
        </w:rPr>
        <w:t xml:space="preserve"> e de restar como beneficiária das garantias contratuais perante os fornecedores dos Trilhos e Dormentes.</w:t>
      </w:r>
    </w:p>
    <w:p w14:paraId="187316E1" w14:textId="77777777" w:rsidR="00ED6D2E" w:rsidRPr="002E2B5B" w:rsidRDefault="00ED6D2E" w:rsidP="002E2B5B">
      <w:pPr>
        <w:autoSpaceDE w:val="0"/>
        <w:autoSpaceDN w:val="0"/>
        <w:adjustRightInd w:val="0"/>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V –</w:t>
      </w:r>
      <w:r w:rsidRPr="002E2B5B">
        <w:rPr>
          <w:rFonts w:ascii="Calibri" w:hAnsi="Calibri" w:cs="Calibri"/>
          <w:sz w:val="22"/>
          <w:szCs w:val="22"/>
          <w:shd w:val="clear" w:color="auto" w:fill="FFFFFF"/>
        </w:rPr>
        <w:t xml:space="preserve"> </w:t>
      </w:r>
      <w:r w:rsidRPr="002E2B5B">
        <w:rPr>
          <w:rFonts w:ascii="Calibri" w:hAnsi="Calibri" w:cs="Calibri"/>
          <w:b/>
          <w:sz w:val="22"/>
          <w:szCs w:val="22"/>
          <w:shd w:val="clear" w:color="auto" w:fill="FFFFFF"/>
        </w:rPr>
        <w:t>PERMISSÃO DE USO DE PÁTIOS</w:t>
      </w:r>
    </w:p>
    <w:p w14:paraId="36B124CA" w14:textId="77777777" w:rsidR="00E055C4" w:rsidRPr="002E2B5B" w:rsidRDefault="00E055C4" w:rsidP="00E055C4">
      <w:pPr>
        <w:autoSpaceDE w:val="0"/>
        <w:autoSpaceDN w:val="0"/>
        <w:adjustRightInd w:val="0"/>
        <w:jc w:val="both"/>
        <w:rPr>
          <w:rFonts w:ascii="Calibri" w:hAnsi="Calibri" w:cs="Calibri"/>
          <w:sz w:val="22"/>
          <w:szCs w:val="22"/>
          <w:shd w:val="clear" w:color="auto" w:fill="FFFFFF"/>
        </w:rPr>
      </w:pPr>
      <w:r w:rsidRPr="00E30017">
        <w:rPr>
          <w:rFonts w:ascii="Calibri" w:hAnsi="Calibri" w:cs="Calibri"/>
          <w:sz w:val="22"/>
          <w:szCs w:val="22"/>
          <w:shd w:val="clear" w:color="auto" w:fill="FFFFFF"/>
        </w:rPr>
        <w:t>A V</w:t>
      </w:r>
      <w:r>
        <w:rPr>
          <w:rFonts w:ascii="Calibri" w:hAnsi="Calibri" w:cs="Calibri"/>
          <w:sz w:val="22"/>
          <w:szCs w:val="22"/>
          <w:shd w:val="clear" w:color="auto" w:fill="FFFFFF"/>
        </w:rPr>
        <w:t>ALEC</w:t>
      </w:r>
      <w:r w:rsidRPr="00E30017">
        <w:rPr>
          <w:rFonts w:ascii="Calibri" w:hAnsi="Calibri" w:cs="Calibri"/>
          <w:sz w:val="22"/>
          <w:szCs w:val="22"/>
          <w:shd w:val="clear" w:color="auto" w:fill="FFFFFF"/>
        </w:rPr>
        <w:t xml:space="preserve"> também explora e fomenta o transporte ferroviário por meio de terminais de armazenamento e transbordo de cargas. Atualmente estão vigentes 17 (dezessete) instrumentos de outorga envolvendo terminais. A</w:t>
      </w:r>
      <w:r>
        <w:rPr>
          <w:rFonts w:ascii="Calibri" w:hAnsi="Calibri" w:cs="Calibri"/>
          <w:sz w:val="22"/>
          <w:szCs w:val="22"/>
          <w:shd w:val="clear" w:color="auto" w:fill="FFFFFF"/>
        </w:rPr>
        <w:t>s</w:t>
      </w:r>
      <w:r w:rsidRPr="00E30017">
        <w:rPr>
          <w:rFonts w:ascii="Calibri" w:hAnsi="Calibri" w:cs="Calibri"/>
          <w:sz w:val="22"/>
          <w:szCs w:val="22"/>
          <w:shd w:val="clear" w:color="auto" w:fill="FFFFFF"/>
        </w:rPr>
        <w:t xml:space="preserve"> localizaç</w:t>
      </w:r>
      <w:r>
        <w:rPr>
          <w:rFonts w:ascii="Calibri" w:hAnsi="Calibri" w:cs="Calibri"/>
          <w:sz w:val="22"/>
          <w:szCs w:val="22"/>
          <w:shd w:val="clear" w:color="auto" w:fill="FFFFFF"/>
        </w:rPr>
        <w:t xml:space="preserve">ões </w:t>
      </w:r>
      <w:r w:rsidRPr="00E30017">
        <w:rPr>
          <w:rFonts w:ascii="Calibri" w:hAnsi="Calibri" w:cs="Calibri"/>
          <w:sz w:val="22"/>
          <w:szCs w:val="22"/>
          <w:shd w:val="clear" w:color="auto" w:fill="FFFFFF"/>
        </w:rPr>
        <w:t xml:space="preserve">das áreas outorgadas estão assim dispostas: 5 (cinco) em Porto Franco/MA, 1 (um) em </w:t>
      </w:r>
      <w:proofErr w:type="spellStart"/>
      <w:r w:rsidRPr="00E30017">
        <w:rPr>
          <w:rFonts w:ascii="Calibri" w:hAnsi="Calibri" w:cs="Calibri"/>
          <w:sz w:val="22"/>
          <w:szCs w:val="22"/>
          <w:shd w:val="clear" w:color="auto" w:fill="FFFFFF"/>
        </w:rPr>
        <w:t>Palmeirante</w:t>
      </w:r>
      <w:proofErr w:type="spellEnd"/>
      <w:r w:rsidRPr="00E30017">
        <w:rPr>
          <w:rFonts w:ascii="Calibri" w:hAnsi="Calibri" w:cs="Calibri"/>
          <w:sz w:val="22"/>
          <w:szCs w:val="22"/>
          <w:shd w:val="clear" w:color="auto" w:fill="FFFFFF"/>
        </w:rPr>
        <w:t xml:space="preserve">/TO, 2 (dois) em Guaraí/TO, 7 (sete) em Porto Nacional/TO, 1 (um) em Gurupi/TO e 1 (um) em Uruaçu/GO. </w:t>
      </w:r>
      <w:r>
        <w:rPr>
          <w:rFonts w:ascii="Calibri" w:hAnsi="Calibri" w:cs="Calibri"/>
          <w:sz w:val="22"/>
          <w:szCs w:val="22"/>
          <w:shd w:val="clear" w:color="auto" w:fill="FFFFFF"/>
        </w:rPr>
        <w:t>D</w:t>
      </w:r>
      <w:r w:rsidRPr="00E30017">
        <w:rPr>
          <w:rFonts w:ascii="Calibri" w:hAnsi="Calibri" w:cs="Calibri"/>
          <w:sz w:val="22"/>
          <w:szCs w:val="22"/>
          <w:shd w:val="clear" w:color="auto" w:fill="FFFFFF"/>
        </w:rPr>
        <w:t>entre as outorgas</w:t>
      </w:r>
      <w:r>
        <w:rPr>
          <w:rFonts w:ascii="Calibri" w:hAnsi="Calibri" w:cs="Calibri"/>
          <w:sz w:val="22"/>
          <w:szCs w:val="22"/>
          <w:shd w:val="clear" w:color="auto" w:fill="FFFFFF"/>
        </w:rPr>
        <w:t xml:space="preserve"> estão:</w:t>
      </w:r>
      <w:r w:rsidRPr="00E30017">
        <w:rPr>
          <w:rFonts w:ascii="Calibri" w:hAnsi="Calibri" w:cs="Calibri"/>
          <w:sz w:val="22"/>
          <w:szCs w:val="22"/>
          <w:shd w:val="clear" w:color="auto" w:fill="FFFFFF"/>
        </w:rPr>
        <w:t xml:space="preserve"> Termo</w:t>
      </w:r>
      <w:r>
        <w:rPr>
          <w:rFonts w:ascii="Calibri" w:hAnsi="Calibri" w:cs="Calibri"/>
          <w:sz w:val="22"/>
          <w:szCs w:val="22"/>
          <w:shd w:val="clear" w:color="auto" w:fill="FFFFFF"/>
        </w:rPr>
        <w:t>s</w:t>
      </w:r>
      <w:r w:rsidRPr="00E30017">
        <w:rPr>
          <w:rFonts w:ascii="Calibri" w:hAnsi="Calibri" w:cs="Calibri"/>
          <w:sz w:val="22"/>
          <w:szCs w:val="22"/>
          <w:shd w:val="clear" w:color="auto" w:fill="FFFFFF"/>
        </w:rPr>
        <w:t xml:space="preserve"> de Autorização Precária de Uso, Termo</w:t>
      </w:r>
      <w:r>
        <w:rPr>
          <w:rFonts w:ascii="Calibri" w:hAnsi="Calibri" w:cs="Calibri"/>
          <w:sz w:val="22"/>
          <w:szCs w:val="22"/>
          <w:shd w:val="clear" w:color="auto" w:fill="FFFFFF"/>
        </w:rPr>
        <w:t>s</w:t>
      </w:r>
      <w:r w:rsidRPr="00E30017">
        <w:rPr>
          <w:rFonts w:ascii="Calibri" w:hAnsi="Calibri" w:cs="Calibri"/>
          <w:sz w:val="22"/>
          <w:szCs w:val="22"/>
          <w:shd w:val="clear" w:color="auto" w:fill="FFFFFF"/>
        </w:rPr>
        <w:t xml:space="preserve"> de Permissão de Uso, Contratos de Arrendamentos, Contratos de Permissões de Uso e Contratos de Concessões de Uso.</w:t>
      </w:r>
    </w:p>
    <w:p w14:paraId="241CF7E7" w14:textId="77777777" w:rsidR="001159E0" w:rsidRPr="002E2B5B" w:rsidRDefault="001159E0" w:rsidP="002E2B5B">
      <w:pPr>
        <w:autoSpaceDE w:val="0"/>
        <w:autoSpaceDN w:val="0"/>
        <w:adjustRightInd w:val="0"/>
        <w:jc w:val="both"/>
        <w:rPr>
          <w:rFonts w:ascii="Calibri" w:hAnsi="Calibri" w:cs="Calibri"/>
          <w:sz w:val="22"/>
          <w:szCs w:val="22"/>
          <w:shd w:val="clear" w:color="auto" w:fill="FFFFFF"/>
        </w:rPr>
      </w:pPr>
    </w:p>
    <w:p w14:paraId="49B922A3" w14:textId="120EABC2" w:rsidR="003772E3" w:rsidRPr="002E2B5B" w:rsidRDefault="003772E3" w:rsidP="002E2B5B">
      <w:pPr>
        <w:pStyle w:val="Ttulo4"/>
        <w:spacing w:line="240" w:lineRule="auto"/>
        <w:rPr>
          <w:rFonts w:ascii="Calibri" w:hAnsi="Calibri" w:cs="Calibri"/>
          <w:bCs w:val="0"/>
          <w:sz w:val="22"/>
          <w:szCs w:val="22"/>
        </w:rPr>
      </w:pPr>
      <w:r w:rsidRPr="002E2B5B">
        <w:rPr>
          <w:rFonts w:ascii="Calibri" w:hAnsi="Calibri" w:cs="Calibri"/>
          <w:bCs w:val="0"/>
          <w:sz w:val="22"/>
          <w:szCs w:val="22"/>
        </w:rPr>
        <w:t xml:space="preserve">NOTA 2 – </w:t>
      </w:r>
      <w:r w:rsidR="007E5CEC" w:rsidRPr="002E2B5B">
        <w:rPr>
          <w:rFonts w:ascii="Calibri" w:hAnsi="Calibri" w:cs="Calibri"/>
          <w:bCs w:val="0"/>
          <w:sz w:val="22"/>
          <w:szCs w:val="22"/>
        </w:rPr>
        <w:t>BASE DE PREPARAÇÃO</w:t>
      </w:r>
      <w:r w:rsidR="00CF73D2" w:rsidRPr="002E2B5B">
        <w:rPr>
          <w:rFonts w:ascii="Calibri" w:hAnsi="Calibri" w:cs="Calibri"/>
          <w:bCs w:val="0"/>
          <w:sz w:val="22"/>
          <w:szCs w:val="22"/>
        </w:rPr>
        <w:t xml:space="preserve"> DAS DEMONSTRAÇÕES E PRINCIPAIS PRÁTICAS CONTÁBEIS </w:t>
      </w:r>
    </w:p>
    <w:p w14:paraId="57DFF177" w14:textId="77777777" w:rsidR="009165D8" w:rsidRPr="002E2B5B" w:rsidRDefault="009165D8" w:rsidP="002E2B5B"/>
    <w:p w14:paraId="5E72AE3D" w14:textId="77777777" w:rsidR="00356063"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As demonstrações contábeis fundamentam-se de acordo </w:t>
      </w:r>
      <w:r w:rsidR="00A100E5" w:rsidRPr="002E2B5B">
        <w:rPr>
          <w:rFonts w:ascii="Calibri" w:hAnsi="Calibri" w:cs="Calibri"/>
          <w:sz w:val="22"/>
          <w:szCs w:val="22"/>
        </w:rPr>
        <w:t xml:space="preserve">com as </w:t>
      </w:r>
      <w:r w:rsidRPr="002E2B5B">
        <w:rPr>
          <w:rFonts w:ascii="Calibri" w:hAnsi="Calibri" w:cs="Calibri"/>
          <w:sz w:val="22"/>
          <w:szCs w:val="22"/>
        </w:rPr>
        <w:t>práticas</w:t>
      </w:r>
      <w:r w:rsidR="00A100E5" w:rsidRPr="002E2B5B">
        <w:rPr>
          <w:rFonts w:ascii="Calibri" w:hAnsi="Calibri" w:cs="Calibri"/>
          <w:sz w:val="22"/>
          <w:szCs w:val="22"/>
        </w:rPr>
        <w:t xml:space="preserve"> contábeis</w:t>
      </w:r>
      <w:r w:rsidRPr="002E2B5B">
        <w:rPr>
          <w:rFonts w:ascii="Calibri" w:hAnsi="Calibri" w:cs="Calibri"/>
          <w:sz w:val="22"/>
          <w:szCs w:val="22"/>
        </w:rPr>
        <w:t xml:space="preserve"> adotadas no Brasil</w:t>
      </w:r>
      <w:r w:rsidR="00B60EFF" w:rsidRPr="002E2B5B">
        <w:rPr>
          <w:rFonts w:ascii="Calibri" w:hAnsi="Calibri" w:cs="Calibri"/>
          <w:sz w:val="22"/>
          <w:szCs w:val="22"/>
        </w:rPr>
        <w:t xml:space="preserve">, </w:t>
      </w:r>
      <w:r w:rsidR="00A100E5" w:rsidRPr="002E2B5B">
        <w:rPr>
          <w:rFonts w:ascii="Calibri" w:hAnsi="Calibri" w:cs="Calibri"/>
          <w:sz w:val="22"/>
          <w:szCs w:val="22"/>
        </w:rPr>
        <w:t>por meio das</w:t>
      </w:r>
      <w:r w:rsidRPr="002E2B5B">
        <w:rPr>
          <w:rFonts w:ascii="Calibri" w:hAnsi="Calibri" w:cs="Calibri"/>
          <w:sz w:val="22"/>
          <w:szCs w:val="22"/>
        </w:rPr>
        <w:t xml:space="preserve"> Normas Brasileiras de Contabilidade expedidas pelo Conselho Federal de Contabilidade </w:t>
      </w:r>
      <w:r w:rsidR="00E73235" w:rsidRPr="002E2B5B">
        <w:rPr>
          <w:rFonts w:ascii="Calibri" w:hAnsi="Calibri" w:cs="Calibri"/>
          <w:sz w:val="22"/>
          <w:szCs w:val="22"/>
        </w:rPr>
        <w:t xml:space="preserve">- </w:t>
      </w:r>
      <w:r w:rsidRPr="002E2B5B">
        <w:rPr>
          <w:rFonts w:ascii="Calibri" w:hAnsi="Calibri" w:cs="Calibri"/>
          <w:sz w:val="22"/>
          <w:szCs w:val="22"/>
        </w:rPr>
        <w:t xml:space="preserve">CFC e os Pronunciamentos do Comitê de Pronunciamentos Contábeis </w:t>
      </w:r>
      <w:r w:rsidR="004B5BEE" w:rsidRPr="002E2B5B">
        <w:rPr>
          <w:rFonts w:ascii="Calibri" w:hAnsi="Calibri" w:cs="Calibri"/>
          <w:sz w:val="22"/>
          <w:szCs w:val="22"/>
        </w:rPr>
        <w:t>–</w:t>
      </w:r>
      <w:r w:rsidR="00E73235" w:rsidRPr="002E2B5B">
        <w:rPr>
          <w:rFonts w:ascii="Calibri" w:hAnsi="Calibri" w:cs="Calibri"/>
          <w:sz w:val="22"/>
          <w:szCs w:val="22"/>
        </w:rPr>
        <w:t xml:space="preserve"> </w:t>
      </w:r>
      <w:r w:rsidRPr="002E2B5B">
        <w:rPr>
          <w:rFonts w:ascii="Calibri" w:hAnsi="Calibri" w:cs="Calibri"/>
          <w:sz w:val="22"/>
          <w:szCs w:val="22"/>
        </w:rPr>
        <w:t>CPC</w:t>
      </w:r>
      <w:r w:rsidR="004B5BEE" w:rsidRPr="002E2B5B">
        <w:rPr>
          <w:rFonts w:ascii="Calibri" w:hAnsi="Calibri" w:cs="Calibri"/>
          <w:sz w:val="22"/>
          <w:szCs w:val="22"/>
        </w:rPr>
        <w:t>;</w:t>
      </w:r>
    </w:p>
    <w:p w14:paraId="709350FE" w14:textId="77777777" w:rsidR="00356063"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As demonstrações contábeis originam-se de fatos contábeis vinculados ao Registro pelo Valor Original e os saldos estão disponibilizados </w:t>
      </w:r>
      <w:r w:rsidR="00173EAD" w:rsidRPr="002E2B5B">
        <w:rPr>
          <w:rFonts w:ascii="Calibri" w:hAnsi="Calibri" w:cs="Calibri"/>
          <w:sz w:val="22"/>
          <w:szCs w:val="22"/>
        </w:rPr>
        <w:t>em unidade de Real (R$ 1)</w:t>
      </w:r>
      <w:r w:rsidRPr="002E2B5B">
        <w:rPr>
          <w:rFonts w:ascii="Calibri" w:hAnsi="Calibri" w:cs="Calibri"/>
          <w:sz w:val="22"/>
          <w:szCs w:val="22"/>
        </w:rPr>
        <w:t xml:space="preserve">, </w:t>
      </w:r>
      <w:r w:rsidR="00A100E5" w:rsidRPr="002E2B5B">
        <w:rPr>
          <w:rFonts w:ascii="Calibri" w:hAnsi="Calibri" w:cs="Calibri"/>
          <w:sz w:val="22"/>
          <w:szCs w:val="22"/>
        </w:rPr>
        <w:t xml:space="preserve">exceto quando indicado de outra forma, </w:t>
      </w:r>
      <w:r w:rsidRPr="002E2B5B">
        <w:rPr>
          <w:rFonts w:ascii="Calibri" w:hAnsi="Calibri" w:cs="Calibri"/>
          <w:sz w:val="22"/>
          <w:szCs w:val="22"/>
        </w:rPr>
        <w:t xml:space="preserve">sendo </w:t>
      </w:r>
      <w:r w:rsidR="008F7883" w:rsidRPr="002E2B5B">
        <w:rPr>
          <w:rFonts w:ascii="Calibri" w:hAnsi="Calibri" w:cs="Calibri"/>
          <w:sz w:val="22"/>
          <w:szCs w:val="22"/>
        </w:rPr>
        <w:t>o Real</w:t>
      </w:r>
      <w:r w:rsidRPr="002E2B5B">
        <w:rPr>
          <w:rFonts w:ascii="Calibri" w:hAnsi="Calibri" w:cs="Calibri"/>
          <w:sz w:val="22"/>
          <w:szCs w:val="22"/>
        </w:rPr>
        <w:t xml:space="preserve"> a moeda funcional e de apresentação da VALEC</w:t>
      </w:r>
      <w:r w:rsidR="004B5BEE" w:rsidRPr="002E2B5B">
        <w:rPr>
          <w:rFonts w:ascii="Calibri" w:hAnsi="Calibri" w:cs="Calibri"/>
          <w:sz w:val="22"/>
          <w:szCs w:val="22"/>
        </w:rPr>
        <w:t>;</w:t>
      </w:r>
    </w:p>
    <w:p w14:paraId="5E97239F" w14:textId="77777777" w:rsidR="00356063"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 VALEC integra o Sistema Integrado de Administração Financeira do Governo Federal - SIAFI, na modalidade total em relação ao orçamento, conforme disposto na Lei nº 4.320, de </w:t>
      </w:r>
      <w:r w:rsidR="0066652D" w:rsidRPr="002E2B5B">
        <w:rPr>
          <w:rFonts w:ascii="Calibri" w:hAnsi="Calibri" w:cs="Calibri"/>
          <w:sz w:val="22"/>
          <w:szCs w:val="22"/>
        </w:rPr>
        <w:t>17 de março de 1964</w:t>
      </w:r>
      <w:r w:rsidRPr="002E2B5B">
        <w:rPr>
          <w:rFonts w:ascii="Calibri" w:hAnsi="Calibri" w:cs="Calibri"/>
          <w:sz w:val="22"/>
          <w:szCs w:val="22"/>
        </w:rPr>
        <w:t xml:space="preserve"> e aspectos societários da Lei n° 6.404</w:t>
      </w:r>
      <w:r w:rsidR="00B9667A" w:rsidRPr="002E2B5B">
        <w:rPr>
          <w:rFonts w:ascii="Calibri" w:hAnsi="Calibri" w:cs="Calibri"/>
          <w:sz w:val="22"/>
          <w:szCs w:val="22"/>
        </w:rPr>
        <w:t>, de 15 de dezembro de 1976,</w:t>
      </w:r>
      <w:r w:rsidRPr="002E2B5B">
        <w:rPr>
          <w:rFonts w:ascii="Calibri" w:hAnsi="Calibri" w:cs="Calibri"/>
          <w:sz w:val="22"/>
          <w:szCs w:val="22"/>
        </w:rPr>
        <w:t xml:space="preserve"> em relação à apresentação das Demonstrações Contábeis, com as alterações promovidas pelas Leis </w:t>
      </w:r>
      <w:proofErr w:type="spellStart"/>
      <w:r w:rsidRPr="002E2B5B">
        <w:rPr>
          <w:rFonts w:ascii="Calibri" w:hAnsi="Calibri" w:cs="Calibri"/>
          <w:sz w:val="22"/>
          <w:szCs w:val="22"/>
        </w:rPr>
        <w:t>nºs</w:t>
      </w:r>
      <w:proofErr w:type="spellEnd"/>
      <w:r w:rsidRPr="002E2B5B">
        <w:rPr>
          <w:rFonts w:ascii="Calibri" w:hAnsi="Calibri" w:cs="Calibri"/>
          <w:sz w:val="22"/>
          <w:szCs w:val="22"/>
        </w:rPr>
        <w:t xml:space="preserve"> 11.638</w:t>
      </w:r>
      <w:r w:rsidR="00B9667A" w:rsidRPr="002E2B5B">
        <w:rPr>
          <w:rFonts w:ascii="Calibri" w:hAnsi="Calibri" w:cs="Calibri"/>
          <w:sz w:val="22"/>
          <w:szCs w:val="22"/>
        </w:rPr>
        <w:t>, de 28 de dezembro de 2007,</w:t>
      </w:r>
      <w:r w:rsidRPr="002E2B5B">
        <w:rPr>
          <w:rFonts w:ascii="Calibri" w:hAnsi="Calibri" w:cs="Calibri"/>
          <w:sz w:val="22"/>
          <w:szCs w:val="22"/>
        </w:rPr>
        <w:t xml:space="preserve"> e 11.941</w:t>
      </w:r>
      <w:r w:rsidR="00B9667A" w:rsidRPr="002E2B5B">
        <w:rPr>
          <w:rFonts w:ascii="Calibri" w:hAnsi="Calibri" w:cs="Calibri"/>
          <w:sz w:val="22"/>
          <w:szCs w:val="22"/>
        </w:rPr>
        <w:t>, de 27 de maio de 20</w:t>
      </w:r>
      <w:r w:rsidRPr="002E2B5B">
        <w:rPr>
          <w:rFonts w:ascii="Calibri" w:hAnsi="Calibri" w:cs="Calibri"/>
          <w:sz w:val="22"/>
          <w:szCs w:val="22"/>
        </w:rPr>
        <w:t>09;</w:t>
      </w:r>
    </w:p>
    <w:p w14:paraId="03B0B870" w14:textId="0020DA82" w:rsidR="00B80638" w:rsidRPr="0052005C" w:rsidRDefault="00356063" w:rsidP="00331A4D">
      <w:pPr>
        <w:numPr>
          <w:ilvl w:val="0"/>
          <w:numId w:val="32"/>
        </w:numPr>
        <w:spacing w:after="120"/>
        <w:ind w:left="714" w:hanging="357"/>
        <w:jc w:val="both"/>
        <w:rPr>
          <w:rFonts w:ascii="Calibri" w:hAnsi="Calibri" w:cs="Calibri"/>
          <w:sz w:val="22"/>
          <w:szCs w:val="22"/>
        </w:rPr>
      </w:pPr>
      <w:r w:rsidRPr="00B80638">
        <w:rPr>
          <w:rFonts w:ascii="Calibri" w:hAnsi="Calibri" w:cs="Calibri"/>
          <w:sz w:val="22"/>
          <w:szCs w:val="22"/>
        </w:rPr>
        <w:t xml:space="preserve">A autorização para a conclusão destas demonstrações contábeis foi dada pela </w:t>
      </w:r>
      <w:r w:rsidR="000B2E29" w:rsidRPr="00B80638">
        <w:rPr>
          <w:rFonts w:ascii="Calibri" w:hAnsi="Calibri" w:cs="Calibri"/>
          <w:sz w:val="22"/>
          <w:szCs w:val="22"/>
        </w:rPr>
        <w:t xml:space="preserve">Conselho de Administração </w:t>
      </w:r>
      <w:r w:rsidR="00DA1502" w:rsidRPr="0052005C">
        <w:rPr>
          <w:rFonts w:ascii="Calibri" w:hAnsi="Calibri" w:cs="Calibri"/>
          <w:sz w:val="22"/>
          <w:szCs w:val="22"/>
        </w:rPr>
        <w:t xml:space="preserve">em </w:t>
      </w:r>
      <w:r w:rsidR="0052005C" w:rsidRPr="0052005C">
        <w:rPr>
          <w:rFonts w:ascii="Calibri" w:hAnsi="Calibri" w:cs="Calibri"/>
          <w:sz w:val="22"/>
          <w:szCs w:val="22"/>
        </w:rPr>
        <w:t>15</w:t>
      </w:r>
      <w:r w:rsidR="00B80638" w:rsidRPr="0052005C">
        <w:rPr>
          <w:rFonts w:ascii="Calibri" w:hAnsi="Calibri" w:cs="Calibri"/>
          <w:sz w:val="22"/>
          <w:szCs w:val="22"/>
        </w:rPr>
        <w:t xml:space="preserve"> de dezembro de 2021.</w:t>
      </w:r>
    </w:p>
    <w:p w14:paraId="620D5DF1" w14:textId="159802D1" w:rsidR="00356063" w:rsidRPr="00B80638" w:rsidRDefault="00356063" w:rsidP="00331A4D">
      <w:pPr>
        <w:numPr>
          <w:ilvl w:val="0"/>
          <w:numId w:val="32"/>
        </w:numPr>
        <w:spacing w:after="120"/>
        <w:ind w:left="714" w:hanging="357"/>
        <w:jc w:val="both"/>
        <w:rPr>
          <w:rFonts w:ascii="Calibri" w:hAnsi="Calibri" w:cs="Calibri"/>
          <w:sz w:val="22"/>
          <w:szCs w:val="22"/>
        </w:rPr>
      </w:pPr>
      <w:r w:rsidRPr="00B80638">
        <w:rPr>
          <w:rFonts w:ascii="Calibri" w:hAnsi="Calibri" w:cs="Calibri"/>
          <w:sz w:val="22"/>
          <w:szCs w:val="22"/>
        </w:rPr>
        <w:t>As receitas e despesas são apropriadas pelo regime de competência, observando-se o critério de liquidez e natureza financeira, incluindo os efeitos das variações monetárias computados sobre ativos e passivos indexados;</w:t>
      </w:r>
    </w:p>
    <w:p w14:paraId="35D9C064" w14:textId="77777777" w:rsidR="0026417F"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Os ativos </w:t>
      </w:r>
      <w:r w:rsidR="00341FD7" w:rsidRPr="002E2B5B">
        <w:rPr>
          <w:rFonts w:ascii="Calibri" w:hAnsi="Calibri" w:cs="Calibri"/>
          <w:sz w:val="22"/>
          <w:szCs w:val="22"/>
        </w:rPr>
        <w:t>circulantes</w:t>
      </w:r>
      <w:r w:rsidR="0026417F" w:rsidRPr="002E2B5B">
        <w:rPr>
          <w:rFonts w:ascii="Calibri" w:hAnsi="Calibri" w:cs="Calibri"/>
          <w:sz w:val="22"/>
          <w:szCs w:val="22"/>
        </w:rPr>
        <w:t xml:space="preserve"> e realiz</w:t>
      </w:r>
      <w:r w:rsidR="00092D86" w:rsidRPr="002E2B5B">
        <w:rPr>
          <w:rFonts w:ascii="Calibri" w:hAnsi="Calibri" w:cs="Calibri"/>
          <w:sz w:val="22"/>
          <w:szCs w:val="22"/>
        </w:rPr>
        <w:t>áve</w:t>
      </w:r>
      <w:r w:rsidR="00464FF8" w:rsidRPr="002E2B5B">
        <w:rPr>
          <w:rFonts w:ascii="Calibri" w:hAnsi="Calibri" w:cs="Calibri"/>
          <w:sz w:val="22"/>
          <w:szCs w:val="22"/>
        </w:rPr>
        <w:t>is</w:t>
      </w:r>
      <w:r w:rsidR="00092D86" w:rsidRPr="002E2B5B">
        <w:rPr>
          <w:rFonts w:ascii="Calibri" w:hAnsi="Calibri" w:cs="Calibri"/>
          <w:sz w:val="22"/>
          <w:szCs w:val="22"/>
        </w:rPr>
        <w:t xml:space="preserve"> a longo prazo</w:t>
      </w:r>
      <w:r w:rsidR="00341FD7" w:rsidRPr="002E2B5B">
        <w:rPr>
          <w:rFonts w:ascii="Calibri" w:hAnsi="Calibri" w:cs="Calibri"/>
          <w:sz w:val="22"/>
          <w:szCs w:val="22"/>
        </w:rPr>
        <w:t xml:space="preserve"> </w:t>
      </w:r>
      <w:r w:rsidRPr="002E2B5B">
        <w:rPr>
          <w:rFonts w:ascii="Calibri" w:hAnsi="Calibri" w:cs="Calibri"/>
          <w:sz w:val="22"/>
          <w:szCs w:val="22"/>
        </w:rPr>
        <w:t>são demonstrados pelos valores de realização</w:t>
      </w:r>
      <w:r w:rsidR="00341FD7" w:rsidRPr="002E2B5B">
        <w:rPr>
          <w:rFonts w:ascii="Calibri" w:hAnsi="Calibri" w:cs="Calibri"/>
          <w:sz w:val="22"/>
          <w:szCs w:val="22"/>
        </w:rPr>
        <w:t xml:space="preserve"> e</w:t>
      </w:r>
      <w:r w:rsidRPr="002E2B5B">
        <w:rPr>
          <w:rFonts w:ascii="Calibri" w:hAnsi="Calibri" w:cs="Calibri"/>
          <w:sz w:val="22"/>
          <w:szCs w:val="22"/>
        </w:rPr>
        <w:t xml:space="preserve"> os passivos </w:t>
      </w:r>
      <w:r w:rsidR="00341FD7" w:rsidRPr="002E2B5B">
        <w:rPr>
          <w:rFonts w:ascii="Calibri" w:hAnsi="Calibri" w:cs="Calibri"/>
          <w:sz w:val="22"/>
          <w:szCs w:val="22"/>
        </w:rPr>
        <w:t>circulantes</w:t>
      </w:r>
      <w:r w:rsidR="00092D86" w:rsidRPr="002E2B5B">
        <w:rPr>
          <w:rFonts w:ascii="Calibri" w:hAnsi="Calibri" w:cs="Calibri"/>
          <w:sz w:val="22"/>
          <w:szCs w:val="22"/>
        </w:rPr>
        <w:t xml:space="preserve"> e não circulantes</w:t>
      </w:r>
      <w:r w:rsidR="00341FD7" w:rsidRPr="002E2B5B">
        <w:rPr>
          <w:rFonts w:ascii="Calibri" w:hAnsi="Calibri" w:cs="Calibri"/>
          <w:sz w:val="22"/>
          <w:szCs w:val="22"/>
        </w:rPr>
        <w:t xml:space="preserve">, </w:t>
      </w:r>
      <w:r w:rsidRPr="002E2B5B">
        <w:rPr>
          <w:rFonts w:ascii="Calibri" w:hAnsi="Calibri" w:cs="Calibri"/>
          <w:sz w:val="22"/>
          <w:szCs w:val="22"/>
        </w:rPr>
        <w:t>pelos valores conhecidos ou calculáveis, incluindo quando aplicáveis os rendimentos e/ou encargos correspondentes, calculados a índices ou taxas oficiais, bem como, os efeitos de ajustes de ativo para valor de mercado ou de realização</w:t>
      </w:r>
      <w:r w:rsidR="0026417F" w:rsidRPr="002E2B5B">
        <w:rPr>
          <w:rFonts w:ascii="Calibri" w:hAnsi="Calibri" w:cs="Calibri"/>
          <w:sz w:val="22"/>
          <w:szCs w:val="22"/>
        </w:rPr>
        <w:t>;</w:t>
      </w:r>
      <w:r w:rsidRPr="002E2B5B">
        <w:rPr>
          <w:rFonts w:ascii="Calibri" w:hAnsi="Calibri" w:cs="Calibri"/>
          <w:sz w:val="22"/>
          <w:szCs w:val="22"/>
        </w:rPr>
        <w:t xml:space="preserve"> </w:t>
      </w:r>
    </w:p>
    <w:p w14:paraId="7DB68DFF" w14:textId="3B8B8945" w:rsidR="00356063" w:rsidRPr="00B23D01" w:rsidRDefault="00356063"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O ativo imobilizado </w:t>
      </w:r>
      <w:r w:rsidR="009F6D22" w:rsidRPr="002E2B5B">
        <w:rPr>
          <w:rFonts w:ascii="Calibri" w:hAnsi="Calibri" w:cs="Calibri"/>
          <w:sz w:val="22"/>
          <w:szCs w:val="22"/>
        </w:rPr>
        <w:t>é</w:t>
      </w:r>
      <w:r w:rsidRPr="002E2B5B">
        <w:rPr>
          <w:rFonts w:ascii="Calibri" w:hAnsi="Calibri" w:cs="Calibri"/>
          <w:sz w:val="22"/>
          <w:szCs w:val="22"/>
        </w:rPr>
        <w:t xml:space="preserve"> reconhecid</w:t>
      </w:r>
      <w:r w:rsidR="009F6D22" w:rsidRPr="002E2B5B">
        <w:rPr>
          <w:rFonts w:ascii="Calibri" w:hAnsi="Calibri" w:cs="Calibri"/>
          <w:sz w:val="22"/>
          <w:szCs w:val="22"/>
        </w:rPr>
        <w:t>o</w:t>
      </w:r>
      <w:r w:rsidRPr="002E2B5B">
        <w:rPr>
          <w:rFonts w:ascii="Calibri" w:hAnsi="Calibri" w:cs="Calibri"/>
          <w:sz w:val="22"/>
          <w:szCs w:val="22"/>
        </w:rPr>
        <w:t xml:space="preserve"> pelo custo de aquisição deduzido das respectivas depreciações acumuladas, calculadas pelo método linear de acordo com a vida útil estimada dos bens, </w:t>
      </w:r>
      <w:r w:rsidRPr="00750CA7">
        <w:rPr>
          <w:rFonts w:ascii="Calibri" w:hAnsi="Calibri" w:cs="Calibri"/>
          <w:sz w:val="22"/>
          <w:szCs w:val="22"/>
        </w:rPr>
        <w:t xml:space="preserve">conforme </w:t>
      </w:r>
      <w:r w:rsidR="002E3C51" w:rsidRPr="00B23D01">
        <w:rPr>
          <w:rFonts w:ascii="Calibri" w:hAnsi="Calibri" w:cs="Calibri"/>
          <w:sz w:val="22"/>
          <w:szCs w:val="22"/>
        </w:rPr>
        <w:t xml:space="preserve">Nota </w:t>
      </w:r>
      <w:r w:rsidR="00750CA7" w:rsidRPr="00B23D01">
        <w:rPr>
          <w:rFonts w:ascii="Calibri" w:hAnsi="Calibri" w:cs="Calibri"/>
          <w:sz w:val="22"/>
          <w:szCs w:val="22"/>
        </w:rPr>
        <w:t>8</w:t>
      </w:r>
      <w:r w:rsidR="00F51287" w:rsidRPr="00B23D01">
        <w:rPr>
          <w:rFonts w:ascii="Calibri" w:hAnsi="Calibri" w:cs="Calibri"/>
          <w:sz w:val="22"/>
          <w:szCs w:val="22"/>
        </w:rPr>
        <w:t>-I</w:t>
      </w:r>
      <w:r w:rsidR="00882107" w:rsidRPr="00B23D01">
        <w:rPr>
          <w:rFonts w:ascii="Calibri" w:hAnsi="Calibri" w:cs="Calibri"/>
          <w:sz w:val="22"/>
          <w:szCs w:val="22"/>
        </w:rPr>
        <w:t>;</w:t>
      </w:r>
    </w:p>
    <w:p w14:paraId="5F726F63" w14:textId="344C803E" w:rsidR="00163A22" w:rsidRPr="00750CA7" w:rsidRDefault="00D45E93" w:rsidP="002E2B5B">
      <w:pPr>
        <w:numPr>
          <w:ilvl w:val="0"/>
          <w:numId w:val="32"/>
        </w:numPr>
        <w:autoSpaceDE w:val="0"/>
        <w:autoSpaceDN w:val="0"/>
        <w:spacing w:after="120"/>
        <w:ind w:left="714" w:hanging="357"/>
        <w:jc w:val="both"/>
        <w:rPr>
          <w:rFonts w:ascii="Calibri" w:hAnsi="Calibri" w:cs="Calibri"/>
          <w:sz w:val="22"/>
          <w:szCs w:val="22"/>
        </w:rPr>
      </w:pPr>
      <w:r w:rsidRPr="00750CA7">
        <w:rPr>
          <w:rFonts w:ascii="Calibri" w:hAnsi="Calibri" w:cs="Calibri"/>
          <w:sz w:val="22"/>
          <w:szCs w:val="22"/>
        </w:rPr>
        <w:t xml:space="preserve">Após análise do valor recuperável pela VALEC referente à Ferrovia Norte Sul já </w:t>
      </w:r>
      <w:proofErr w:type="spellStart"/>
      <w:r w:rsidRPr="00750CA7">
        <w:rPr>
          <w:rFonts w:ascii="Calibri" w:hAnsi="Calibri" w:cs="Calibri"/>
          <w:sz w:val="22"/>
          <w:szCs w:val="22"/>
        </w:rPr>
        <w:t>subconcedida</w:t>
      </w:r>
      <w:proofErr w:type="spellEnd"/>
      <w:r w:rsidRPr="00750CA7">
        <w:rPr>
          <w:rFonts w:ascii="Calibri" w:hAnsi="Calibri" w:cs="Calibri"/>
          <w:sz w:val="22"/>
          <w:szCs w:val="22"/>
        </w:rPr>
        <w:t xml:space="preserve"> pelo período de 30 anos, foi realizad</w:t>
      </w:r>
      <w:r w:rsidR="009F6D22" w:rsidRPr="00750CA7">
        <w:rPr>
          <w:rFonts w:ascii="Calibri" w:hAnsi="Calibri" w:cs="Calibri"/>
          <w:sz w:val="22"/>
          <w:szCs w:val="22"/>
        </w:rPr>
        <w:t>o</w:t>
      </w:r>
      <w:r w:rsidRPr="00750CA7">
        <w:rPr>
          <w:rFonts w:ascii="Calibri" w:hAnsi="Calibri" w:cs="Calibri"/>
          <w:sz w:val="22"/>
          <w:szCs w:val="22"/>
        </w:rPr>
        <w:t xml:space="preserve"> o reconhecimento d</w:t>
      </w:r>
      <w:r w:rsidR="00C47374" w:rsidRPr="00750CA7">
        <w:rPr>
          <w:rFonts w:ascii="Calibri" w:hAnsi="Calibri" w:cs="Calibri"/>
          <w:sz w:val="22"/>
          <w:szCs w:val="22"/>
        </w:rPr>
        <w:t xml:space="preserve">a provisão de perda ao valor recuperável </w:t>
      </w:r>
      <w:r w:rsidRPr="00750CA7">
        <w:rPr>
          <w:rFonts w:ascii="Calibri" w:hAnsi="Calibri" w:cs="Calibri"/>
          <w:sz w:val="22"/>
          <w:szCs w:val="22"/>
        </w:rPr>
        <w:t>no ativo imobilizado da empresa, em consonância com o CPC – 01 (R1) – Redução ao Valor Recuperável de Ativos</w:t>
      </w:r>
      <w:r w:rsidR="00750CA7" w:rsidRPr="00750CA7">
        <w:rPr>
          <w:rFonts w:ascii="Calibri" w:hAnsi="Calibri" w:cs="Calibri"/>
          <w:sz w:val="22"/>
          <w:szCs w:val="22"/>
        </w:rPr>
        <w:t>;</w:t>
      </w:r>
    </w:p>
    <w:p w14:paraId="44281DA1" w14:textId="4CE96756" w:rsidR="009F6D22" w:rsidRDefault="009F6D22" w:rsidP="002E2B5B">
      <w:pPr>
        <w:numPr>
          <w:ilvl w:val="0"/>
          <w:numId w:val="32"/>
        </w:numPr>
        <w:autoSpaceDE w:val="0"/>
        <w:autoSpaceDN w:val="0"/>
        <w:spacing w:after="120"/>
        <w:ind w:left="714" w:hanging="357"/>
        <w:jc w:val="both"/>
        <w:rPr>
          <w:rFonts w:ascii="Calibri" w:hAnsi="Calibri" w:cs="Calibri"/>
          <w:sz w:val="22"/>
          <w:szCs w:val="22"/>
        </w:rPr>
      </w:pPr>
      <w:r w:rsidRPr="00750CA7">
        <w:rPr>
          <w:rFonts w:ascii="Calibri" w:hAnsi="Calibri" w:cs="Calibri"/>
          <w:sz w:val="22"/>
          <w:szCs w:val="22"/>
        </w:rPr>
        <w:t xml:space="preserve">Após o Leilão para </w:t>
      </w:r>
      <w:proofErr w:type="spellStart"/>
      <w:r w:rsidRPr="00750CA7">
        <w:rPr>
          <w:rFonts w:ascii="Calibri" w:hAnsi="Calibri" w:cs="Calibri"/>
          <w:sz w:val="22"/>
          <w:szCs w:val="22"/>
        </w:rPr>
        <w:t>Subconcessão</w:t>
      </w:r>
      <w:proofErr w:type="spellEnd"/>
      <w:r w:rsidRPr="00750CA7">
        <w:rPr>
          <w:rFonts w:ascii="Calibri" w:hAnsi="Calibri" w:cs="Calibri"/>
          <w:sz w:val="22"/>
          <w:szCs w:val="22"/>
        </w:rPr>
        <w:t xml:space="preserve"> do Trecho da Ferrovia de Integração Oeste Leste, denominado FIOL I, foi realizada a análise do valor recuperável de ativos e reconhecida </w:t>
      </w:r>
      <w:r w:rsidR="00C47374" w:rsidRPr="00750CA7">
        <w:rPr>
          <w:rFonts w:ascii="Calibri" w:hAnsi="Calibri" w:cs="Calibri"/>
          <w:sz w:val="22"/>
          <w:szCs w:val="22"/>
        </w:rPr>
        <w:t xml:space="preserve">provisão de perda ao valor recuperável </w:t>
      </w:r>
      <w:r w:rsidRPr="00750CA7">
        <w:rPr>
          <w:rFonts w:ascii="Calibri" w:hAnsi="Calibri" w:cs="Calibri"/>
          <w:sz w:val="22"/>
          <w:szCs w:val="22"/>
        </w:rPr>
        <w:t>no ativo imobilizado da empresa, em consonância com o CPC – 01 (R1) – Redução ao Valor Recuperável de Ativos</w:t>
      </w:r>
      <w:r w:rsidR="00C47374" w:rsidRPr="00750CA7">
        <w:rPr>
          <w:rFonts w:ascii="Calibri" w:hAnsi="Calibri" w:cs="Calibri"/>
          <w:sz w:val="22"/>
          <w:szCs w:val="22"/>
        </w:rPr>
        <w:t>;</w:t>
      </w:r>
    </w:p>
    <w:p w14:paraId="67C10BA9" w14:textId="77777777" w:rsidR="00C2370F" w:rsidRPr="00750CA7" w:rsidRDefault="00C2370F" w:rsidP="00C2370F">
      <w:pPr>
        <w:numPr>
          <w:ilvl w:val="0"/>
          <w:numId w:val="32"/>
        </w:numPr>
        <w:autoSpaceDE w:val="0"/>
        <w:autoSpaceDN w:val="0"/>
        <w:spacing w:after="120"/>
        <w:ind w:left="714" w:hanging="357"/>
        <w:jc w:val="both"/>
        <w:rPr>
          <w:rFonts w:ascii="Calibri" w:hAnsi="Calibri" w:cs="Calibri"/>
          <w:sz w:val="22"/>
          <w:szCs w:val="22"/>
        </w:rPr>
      </w:pPr>
      <w:r>
        <w:rPr>
          <w:rFonts w:ascii="Calibri" w:hAnsi="Calibri" w:cs="Calibri"/>
          <w:sz w:val="22"/>
          <w:szCs w:val="22"/>
        </w:rPr>
        <w:t xml:space="preserve">As demonstrações contábeis de 2019 e 2020 foram aprovadas em Assembleia Geral Ordinária em agosto e outubro de 2021, respectivamente. Assim, os efeitos dos testes de recuperabilidade da Ferrovia Norte e Sul e da Ferrovia de Integração Oeste Leste foram reconhecidos ainda nas demonstrações de 2019 e 2020. Por </w:t>
      </w:r>
      <w:r>
        <w:rPr>
          <w:rFonts w:ascii="Calibri" w:hAnsi="Calibri" w:cs="Calibri"/>
          <w:sz w:val="22"/>
          <w:szCs w:val="22"/>
        </w:rPr>
        <w:lastRenderedPageBreak/>
        <w:t>ocasião do encerramento do exercício de 2021, serão efetuados novos testes de recuperabilidade e os respectivos efeitos serão reconhecidos nas demonstrações contábeis do exercício de 2021;</w:t>
      </w:r>
    </w:p>
    <w:p w14:paraId="312E39B1" w14:textId="77777777" w:rsidR="00C2370F" w:rsidRPr="00750CA7" w:rsidRDefault="00C2370F" w:rsidP="00C2370F">
      <w:pPr>
        <w:autoSpaceDE w:val="0"/>
        <w:autoSpaceDN w:val="0"/>
        <w:spacing w:after="120"/>
        <w:ind w:left="714"/>
        <w:jc w:val="both"/>
        <w:rPr>
          <w:rFonts w:ascii="Calibri" w:hAnsi="Calibri" w:cs="Calibri"/>
          <w:sz w:val="22"/>
          <w:szCs w:val="22"/>
        </w:rPr>
      </w:pPr>
    </w:p>
    <w:p w14:paraId="52057C35" w14:textId="77777777" w:rsidR="007508BF" w:rsidRPr="002E2B5B" w:rsidRDefault="007A1072"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O Pronunciamento Contábil CPC  06 (R2) introduziu um modelo único de contabilização de arrendamentos no balanço patrimonial para arrendatários. Um arrendatário reconhece um ativo de direito de uso que representa o seu direito de utilizar o ativo arrendado</w:t>
      </w:r>
      <w:r w:rsidR="00225A1A" w:rsidRPr="002E2B5B">
        <w:rPr>
          <w:rFonts w:ascii="Calibri" w:hAnsi="Calibri" w:cs="Calibri"/>
          <w:sz w:val="22"/>
          <w:szCs w:val="22"/>
        </w:rPr>
        <w:t>, o qual</w:t>
      </w:r>
      <w:r w:rsidR="007508BF" w:rsidRPr="002E2B5B">
        <w:rPr>
          <w:rFonts w:ascii="Calibri" w:hAnsi="Calibri" w:cs="Calibri"/>
          <w:sz w:val="22"/>
          <w:szCs w:val="22"/>
        </w:rPr>
        <w:t xml:space="preserve"> é reconhecido inicialmente pelo custo e</w:t>
      </w:r>
      <w:r w:rsidR="00225A1A" w:rsidRPr="002E2B5B">
        <w:rPr>
          <w:rFonts w:ascii="Calibri" w:hAnsi="Calibri" w:cs="Calibri"/>
          <w:sz w:val="22"/>
          <w:szCs w:val="22"/>
        </w:rPr>
        <w:t>,</w:t>
      </w:r>
      <w:r w:rsidR="007508BF" w:rsidRPr="002E2B5B">
        <w:rPr>
          <w:rFonts w:ascii="Calibri" w:hAnsi="Calibri" w:cs="Calibri"/>
          <w:sz w:val="22"/>
          <w:szCs w:val="22"/>
        </w:rPr>
        <w:t xml:space="preserve"> subsequentemente</w:t>
      </w:r>
      <w:r w:rsidR="00225A1A" w:rsidRPr="002E2B5B">
        <w:rPr>
          <w:rFonts w:ascii="Calibri" w:hAnsi="Calibri" w:cs="Calibri"/>
          <w:sz w:val="22"/>
          <w:szCs w:val="22"/>
        </w:rPr>
        <w:t>,</w:t>
      </w:r>
      <w:r w:rsidR="007508BF" w:rsidRPr="002E2B5B">
        <w:rPr>
          <w:rFonts w:ascii="Calibri" w:hAnsi="Calibri" w:cs="Calibri"/>
          <w:sz w:val="22"/>
          <w:szCs w:val="22"/>
        </w:rPr>
        <w:t xml:space="preserve"> pelo custo menos qualquer depreciação acumulada e ajustado pela taxa dos respectivos </w:t>
      </w:r>
      <w:r w:rsidR="00FF420C" w:rsidRPr="002E2B5B">
        <w:rPr>
          <w:rFonts w:ascii="Calibri" w:hAnsi="Calibri" w:cs="Calibri"/>
          <w:sz w:val="22"/>
          <w:szCs w:val="22"/>
        </w:rPr>
        <w:t>contratos; e</w:t>
      </w:r>
      <w:r w:rsidRPr="002E2B5B">
        <w:rPr>
          <w:rFonts w:ascii="Calibri" w:hAnsi="Calibri" w:cs="Calibri"/>
          <w:sz w:val="22"/>
          <w:szCs w:val="22"/>
        </w:rPr>
        <w:t xml:space="preserve"> um passivo de arrendamento que representa sua obrigação de efetuar pagamentos do arrendamento</w:t>
      </w:r>
      <w:r w:rsidR="007508BF" w:rsidRPr="002E2B5B">
        <w:rPr>
          <w:rFonts w:ascii="Calibri" w:hAnsi="Calibri" w:cs="Calibri"/>
          <w:sz w:val="22"/>
          <w:szCs w:val="22"/>
        </w:rPr>
        <w:t xml:space="preserve">, mensurado inicialmente </w:t>
      </w:r>
      <w:r w:rsidR="00225A1A" w:rsidRPr="002E2B5B">
        <w:rPr>
          <w:rFonts w:ascii="Calibri" w:hAnsi="Calibri" w:cs="Calibri"/>
          <w:sz w:val="22"/>
          <w:szCs w:val="22"/>
        </w:rPr>
        <w:t>pelo valor presente dos pagamentos.</w:t>
      </w:r>
      <w:r w:rsidRPr="002E2B5B">
        <w:rPr>
          <w:rFonts w:ascii="Calibri" w:hAnsi="Calibri" w:cs="Calibri"/>
          <w:sz w:val="22"/>
          <w:szCs w:val="22"/>
        </w:rPr>
        <w:t xml:space="preserve"> </w:t>
      </w:r>
      <w:r w:rsidR="007508BF" w:rsidRPr="002E2B5B">
        <w:rPr>
          <w:rFonts w:ascii="Calibri" w:hAnsi="Calibri" w:cs="Calibri"/>
          <w:sz w:val="22"/>
          <w:szCs w:val="22"/>
        </w:rPr>
        <w:t xml:space="preserve">O referido pronunciamento estabelece os princípios para o reconhecimento, mensuração, apresentação e divulgação de arrendamento e entrou em vigor em 01 de janeiro de 2019. </w:t>
      </w:r>
    </w:p>
    <w:p w14:paraId="377AEB79" w14:textId="53F12F12" w:rsidR="00356063" w:rsidRPr="00B23D01" w:rsidRDefault="00356063"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O ativo intangível composto por direito de uso e programas de software</w:t>
      </w:r>
      <w:r w:rsidR="00F34D29" w:rsidRPr="002E2B5B">
        <w:rPr>
          <w:rFonts w:ascii="Calibri" w:hAnsi="Calibri" w:cs="Calibri"/>
          <w:sz w:val="22"/>
          <w:szCs w:val="22"/>
        </w:rPr>
        <w:t xml:space="preserve">, conforme </w:t>
      </w:r>
      <w:r w:rsidR="002E3C51" w:rsidRPr="00B23D01">
        <w:rPr>
          <w:rFonts w:ascii="Calibri" w:hAnsi="Calibri" w:cs="Calibri"/>
          <w:sz w:val="22"/>
          <w:szCs w:val="22"/>
        </w:rPr>
        <w:t xml:space="preserve">Nota </w:t>
      </w:r>
      <w:r w:rsidR="00750CA7" w:rsidRPr="00B23D01">
        <w:rPr>
          <w:rFonts w:ascii="Calibri" w:hAnsi="Calibri" w:cs="Calibri"/>
          <w:sz w:val="22"/>
          <w:szCs w:val="22"/>
        </w:rPr>
        <w:t>9</w:t>
      </w:r>
      <w:r w:rsidRPr="00B23D01">
        <w:rPr>
          <w:rFonts w:ascii="Calibri" w:hAnsi="Calibri" w:cs="Calibri"/>
          <w:sz w:val="22"/>
          <w:szCs w:val="22"/>
        </w:rPr>
        <w:t>, é demonstrado pelo custo de aquisição deduzido das respectivas amortizações acumuladas, calculadas pelo método linear de acordo com a legislação e devem ser</w:t>
      </w:r>
      <w:r w:rsidR="000D74D4" w:rsidRPr="00B23D01">
        <w:rPr>
          <w:rFonts w:ascii="Calibri" w:hAnsi="Calibri" w:cs="Calibri"/>
          <w:sz w:val="22"/>
          <w:szCs w:val="22"/>
        </w:rPr>
        <w:t xml:space="preserve"> mantidas neste grupo até a </w:t>
      </w:r>
      <w:r w:rsidRPr="00B23D01">
        <w:rPr>
          <w:rFonts w:ascii="Calibri" w:hAnsi="Calibri" w:cs="Calibri"/>
          <w:sz w:val="22"/>
          <w:szCs w:val="22"/>
        </w:rPr>
        <w:t>efetiva baixa;</w:t>
      </w:r>
    </w:p>
    <w:p w14:paraId="01A86238" w14:textId="4B9C4FBE" w:rsidR="00356063" w:rsidRPr="002E2B5B" w:rsidRDefault="00356063" w:rsidP="002E2B5B">
      <w:pPr>
        <w:numPr>
          <w:ilvl w:val="0"/>
          <w:numId w:val="32"/>
        </w:numPr>
        <w:autoSpaceDE w:val="0"/>
        <w:autoSpaceDN w:val="0"/>
        <w:spacing w:after="120"/>
        <w:ind w:left="714" w:hanging="357"/>
        <w:jc w:val="both"/>
        <w:rPr>
          <w:rFonts w:ascii="Calibri" w:hAnsi="Calibri" w:cs="Calibri"/>
          <w:sz w:val="22"/>
          <w:szCs w:val="22"/>
        </w:rPr>
      </w:pPr>
      <w:r w:rsidRPr="00B23D01">
        <w:rPr>
          <w:rFonts w:ascii="Calibri" w:hAnsi="Calibri" w:cs="Calibri"/>
          <w:sz w:val="22"/>
          <w:szCs w:val="22"/>
        </w:rPr>
        <w:t xml:space="preserve">As provisões para contingências </w:t>
      </w:r>
      <w:r w:rsidR="000D74D4" w:rsidRPr="00B23D01">
        <w:rPr>
          <w:rFonts w:ascii="Calibri" w:hAnsi="Calibri" w:cs="Calibri"/>
          <w:sz w:val="22"/>
          <w:szCs w:val="22"/>
        </w:rPr>
        <w:t>são contabilizadas,</w:t>
      </w:r>
      <w:r w:rsidRPr="00B23D01">
        <w:rPr>
          <w:rFonts w:ascii="Calibri" w:hAnsi="Calibri" w:cs="Calibri"/>
          <w:sz w:val="22"/>
          <w:szCs w:val="22"/>
        </w:rPr>
        <w:t xml:space="preserve"> com base na </w:t>
      </w:r>
      <w:r w:rsidR="00341FD7" w:rsidRPr="00B23D01">
        <w:rPr>
          <w:rFonts w:ascii="Calibri" w:hAnsi="Calibri" w:cs="Calibri"/>
          <w:sz w:val="22"/>
          <w:szCs w:val="22"/>
        </w:rPr>
        <w:t xml:space="preserve">posição </w:t>
      </w:r>
      <w:r w:rsidRPr="00B23D01">
        <w:rPr>
          <w:rFonts w:ascii="Calibri" w:hAnsi="Calibri" w:cs="Calibri"/>
          <w:sz w:val="22"/>
          <w:szCs w:val="22"/>
        </w:rPr>
        <w:t xml:space="preserve">da </w:t>
      </w:r>
      <w:r w:rsidR="00FA0D6A" w:rsidRPr="00B23D01">
        <w:rPr>
          <w:rFonts w:ascii="Calibri" w:hAnsi="Calibri" w:cs="Calibri"/>
          <w:sz w:val="22"/>
          <w:szCs w:val="22"/>
        </w:rPr>
        <w:t>Procuradoria</w:t>
      </w:r>
      <w:r w:rsidRPr="00B23D01">
        <w:rPr>
          <w:rFonts w:ascii="Calibri" w:hAnsi="Calibri" w:cs="Calibri"/>
          <w:sz w:val="22"/>
          <w:szCs w:val="22"/>
        </w:rPr>
        <w:t xml:space="preserve"> Jurídica</w:t>
      </w:r>
      <w:r w:rsidR="00341FD7" w:rsidRPr="00B23D01">
        <w:rPr>
          <w:rFonts w:ascii="Calibri" w:hAnsi="Calibri" w:cs="Calibri"/>
          <w:sz w:val="22"/>
          <w:szCs w:val="22"/>
        </w:rPr>
        <w:t xml:space="preserve">, a qual é formulada </w:t>
      </w:r>
      <w:r w:rsidR="00412855" w:rsidRPr="00B23D01">
        <w:rPr>
          <w:rFonts w:ascii="Calibri" w:hAnsi="Calibri" w:cs="Calibri"/>
          <w:sz w:val="22"/>
          <w:szCs w:val="22"/>
        </w:rPr>
        <w:t>na análise técnica individual dos advogados</w:t>
      </w:r>
      <w:r w:rsidRPr="00B23D01">
        <w:rPr>
          <w:rFonts w:ascii="Calibri" w:hAnsi="Calibri" w:cs="Calibri"/>
          <w:sz w:val="22"/>
          <w:szCs w:val="22"/>
        </w:rPr>
        <w:t>, quando for considerado provável o risco de perda de uma ação judicial ou administrativa</w:t>
      </w:r>
      <w:r w:rsidR="00A548B5" w:rsidRPr="00B23D01">
        <w:rPr>
          <w:rFonts w:ascii="Calibri" w:hAnsi="Calibri" w:cs="Calibri"/>
          <w:sz w:val="22"/>
          <w:szCs w:val="22"/>
        </w:rPr>
        <w:t>,</w:t>
      </w:r>
      <w:r w:rsidRPr="00B23D01">
        <w:rPr>
          <w:rFonts w:ascii="Calibri" w:hAnsi="Calibri" w:cs="Calibri"/>
          <w:sz w:val="22"/>
          <w:szCs w:val="22"/>
        </w:rPr>
        <w:t xml:space="preserve"> e sempre que os montantes envolvidos forem mensuráveis com suficiente segurança</w:t>
      </w:r>
      <w:r w:rsidR="00860A37" w:rsidRPr="00B23D01">
        <w:rPr>
          <w:rFonts w:ascii="Calibri" w:hAnsi="Calibri" w:cs="Calibri"/>
          <w:sz w:val="22"/>
          <w:szCs w:val="22"/>
        </w:rPr>
        <w:t>, conforme Nota 1</w:t>
      </w:r>
      <w:r w:rsidR="00750CA7" w:rsidRPr="00B23D01">
        <w:rPr>
          <w:rFonts w:ascii="Calibri" w:hAnsi="Calibri" w:cs="Calibri"/>
          <w:sz w:val="22"/>
          <w:szCs w:val="22"/>
        </w:rPr>
        <w:t>1</w:t>
      </w:r>
      <w:r w:rsidR="00860A37" w:rsidRPr="00B23D01">
        <w:rPr>
          <w:rFonts w:ascii="Calibri" w:hAnsi="Calibri" w:cs="Calibri"/>
          <w:sz w:val="22"/>
          <w:szCs w:val="22"/>
        </w:rPr>
        <w:t>b</w:t>
      </w:r>
      <w:r w:rsidRPr="00B23D01">
        <w:rPr>
          <w:rFonts w:ascii="Calibri" w:hAnsi="Calibri" w:cs="Calibri"/>
          <w:sz w:val="22"/>
          <w:szCs w:val="22"/>
        </w:rPr>
        <w:t>. As provisões classificadas como perdas possíveis pela</w:t>
      </w:r>
      <w:r w:rsidRPr="002E2B5B">
        <w:rPr>
          <w:rFonts w:ascii="Calibri" w:hAnsi="Calibri" w:cs="Calibri"/>
          <w:sz w:val="22"/>
          <w:szCs w:val="22"/>
        </w:rPr>
        <w:t xml:space="preserve"> </w:t>
      </w:r>
      <w:r w:rsidR="00FA0D6A" w:rsidRPr="002E2B5B">
        <w:rPr>
          <w:rFonts w:ascii="Calibri" w:hAnsi="Calibri" w:cs="Calibri"/>
          <w:sz w:val="22"/>
          <w:szCs w:val="22"/>
        </w:rPr>
        <w:t>Procuradoria</w:t>
      </w:r>
      <w:r w:rsidRPr="002E2B5B">
        <w:rPr>
          <w:rFonts w:ascii="Calibri" w:hAnsi="Calibri" w:cs="Calibri"/>
          <w:sz w:val="22"/>
          <w:szCs w:val="22"/>
        </w:rPr>
        <w:t xml:space="preserve"> Jurídica </w:t>
      </w:r>
      <w:r w:rsidR="002F5633" w:rsidRPr="002E2B5B">
        <w:rPr>
          <w:rFonts w:ascii="Calibri" w:hAnsi="Calibri" w:cs="Calibri"/>
          <w:sz w:val="22"/>
          <w:szCs w:val="22"/>
        </w:rPr>
        <w:t xml:space="preserve">são </w:t>
      </w:r>
      <w:r w:rsidRPr="002E2B5B">
        <w:rPr>
          <w:rFonts w:ascii="Calibri" w:hAnsi="Calibri" w:cs="Calibri"/>
          <w:sz w:val="22"/>
          <w:szCs w:val="22"/>
        </w:rPr>
        <w:t xml:space="preserve">divulgadas com base na perda histórica, enquanto aquelas classificadas como perda remota não são passíveis de provisão </w:t>
      </w:r>
      <w:r w:rsidR="00DA710C" w:rsidRPr="002E2B5B">
        <w:rPr>
          <w:rFonts w:ascii="Calibri" w:hAnsi="Calibri" w:cs="Calibri"/>
          <w:sz w:val="22"/>
          <w:szCs w:val="22"/>
        </w:rPr>
        <w:t>e</w:t>
      </w:r>
      <w:r w:rsidR="00F510A3" w:rsidRPr="002E2B5B">
        <w:rPr>
          <w:rFonts w:ascii="Calibri" w:hAnsi="Calibri" w:cs="Calibri"/>
          <w:sz w:val="22"/>
          <w:szCs w:val="22"/>
        </w:rPr>
        <w:t xml:space="preserve"> divulgação;</w:t>
      </w:r>
    </w:p>
    <w:p w14:paraId="33CCA8FB" w14:textId="7DD16421" w:rsidR="004B5BEE" w:rsidRPr="002E2B5B" w:rsidRDefault="004B5BEE"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Ainda, a propósito das provisões para contingenciamento, cabe esclarecer que a dinâmica comentada na alínea </w:t>
      </w:r>
      <w:r w:rsidR="000703BF" w:rsidRPr="002E2B5B">
        <w:rPr>
          <w:rFonts w:ascii="Calibri" w:hAnsi="Calibri" w:cs="Calibri"/>
          <w:sz w:val="22"/>
          <w:szCs w:val="22"/>
        </w:rPr>
        <w:t>“</w:t>
      </w:r>
      <w:r w:rsidR="00C2370F">
        <w:rPr>
          <w:rFonts w:ascii="Calibri" w:hAnsi="Calibri" w:cs="Calibri"/>
          <w:sz w:val="22"/>
          <w:szCs w:val="22"/>
        </w:rPr>
        <w:t>m</w:t>
      </w:r>
      <w:r w:rsidR="000703BF" w:rsidRPr="002E2B5B">
        <w:rPr>
          <w:rFonts w:ascii="Calibri" w:hAnsi="Calibri" w:cs="Calibri"/>
          <w:sz w:val="22"/>
          <w:szCs w:val="22"/>
        </w:rPr>
        <w:t>”</w:t>
      </w:r>
      <w:r w:rsidRPr="002E2B5B">
        <w:rPr>
          <w:rFonts w:ascii="Calibri" w:hAnsi="Calibri" w:cs="Calibri"/>
          <w:sz w:val="22"/>
          <w:szCs w:val="22"/>
        </w:rPr>
        <w:t>, do ponto de vista da contabilidade, atende o disposto no CPC nº 25</w:t>
      </w:r>
      <w:r w:rsidR="000703BF" w:rsidRPr="002E2B5B">
        <w:rPr>
          <w:rFonts w:ascii="Calibri" w:hAnsi="Calibri" w:cs="Calibri"/>
          <w:sz w:val="22"/>
          <w:szCs w:val="22"/>
        </w:rPr>
        <w:t xml:space="preserve"> – Provisões, </w:t>
      </w:r>
      <w:r w:rsidR="00FA0D6A" w:rsidRPr="002E2B5B">
        <w:rPr>
          <w:rFonts w:ascii="Calibri" w:hAnsi="Calibri" w:cs="Calibri"/>
          <w:sz w:val="22"/>
          <w:szCs w:val="22"/>
        </w:rPr>
        <w:t>P</w:t>
      </w:r>
      <w:r w:rsidR="000703BF" w:rsidRPr="002E2B5B">
        <w:rPr>
          <w:rFonts w:ascii="Calibri" w:hAnsi="Calibri" w:cs="Calibri"/>
          <w:sz w:val="22"/>
          <w:szCs w:val="22"/>
        </w:rPr>
        <w:t>assivos Contingentes e Ativos Contingentes</w:t>
      </w:r>
      <w:r w:rsidR="00D4582D" w:rsidRPr="002E2B5B">
        <w:rPr>
          <w:rFonts w:ascii="Calibri" w:hAnsi="Calibri" w:cs="Calibri"/>
          <w:sz w:val="22"/>
          <w:szCs w:val="22"/>
        </w:rPr>
        <w:t>;</w:t>
      </w:r>
      <w:r w:rsidRPr="002E2B5B">
        <w:rPr>
          <w:rFonts w:ascii="Calibri" w:hAnsi="Calibri" w:cs="Calibri"/>
          <w:sz w:val="22"/>
          <w:szCs w:val="22"/>
        </w:rPr>
        <w:t xml:space="preserve"> </w:t>
      </w:r>
    </w:p>
    <w:p w14:paraId="4D7B6639" w14:textId="77777777" w:rsidR="006F2787" w:rsidRPr="002E2B5B" w:rsidRDefault="006F2787"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Ativos financeiros são avaliados pelo valor justo decorrentes do resultado</w:t>
      </w:r>
      <w:r w:rsidR="001B4C75" w:rsidRPr="002E2B5B">
        <w:rPr>
          <w:rFonts w:ascii="Calibri" w:hAnsi="Calibri" w:cs="Calibri"/>
          <w:sz w:val="22"/>
          <w:szCs w:val="22"/>
        </w:rPr>
        <w:t xml:space="preserve">. </w:t>
      </w:r>
      <w:r w:rsidR="0046500A" w:rsidRPr="002E2B5B">
        <w:rPr>
          <w:rFonts w:ascii="Calibri" w:hAnsi="Calibri" w:cs="Calibri"/>
          <w:sz w:val="22"/>
          <w:szCs w:val="22"/>
        </w:rPr>
        <w:t>Ao</w:t>
      </w:r>
      <w:r w:rsidR="00215A18" w:rsidRPr="002E2B5B">
        <w:rPr>
          <w:rFonts w:ascii="Calibri" w:hAnsi="Calibri" w:cs="Calibri"/>
          <w:sz w:val="22"/>
          <w:szCs w:val="22"/>
        </w:rPr>
        <w:t>s</w:t>
      </w:r>
      <w:r w:rsidRPr="002E2B5B">
        <w:rPr>
          <w:rFonts w:ascii="Calibri" w:hAnsi="Calibri" w:cs="Calibri"/>
          <w:sz w:val="22"/>
          <w:szCs w:val="22"/>
        </w:rPr>
        <w:t xml:space="preserve"> ativos financeiros presentes </w:t>
      </w:r>
      <w:r w:rsidR="00215A18" w:rsidRPr="002E2B5B">
        <w:rPr>
          <w:rFonts w:ascii="Calibri" w:hAnsi="Calibri" w:cs="Calibri"/>
          <w:sz w:val="22"/>
          <w:szCs w:val="22"/>
        </w:rPr>
        <w:t>nesta Companhia</w:t>
      </w:r>
      <w:r w:rsidRPr="002E2B5B">
        <w:rPr>
          <w:rFonts w:ascii="Calibri" w:hAnsi="Calibri" w:cs="Calibri"/>
          <w:sz w:val="22"/>
          <w:szCs w:val="22"/>
        </w:rPr>
        <w:t xml:space="preserve"> incluem-se os equivalentes de caixa, e os direitos creditórios contratuais a receber</w:t>
      </w:r>
      <w:r w:rsidR="00F07F27" w:rsidRPr="002E2B5B">
        <w:rPr>
          <w:rFonts w:ascii="Calibri" w:hAnsi="Calibri" w:cs="Calibri"/>
          <w:sz w:val="22"/>
          <w:szCs w:val="22"/>
        </w:rPr>
        <w:t>;</w:t>
      </w:r>
      <w:r w:rsidRPr="002E2B5B">
        <w:rPr>
          <w:rFonts w:ascii="Calibri" w:hAnsi="Calibri" w:cs="Calibri"/>
          <w:sz w:val="22"/>
          <w:szCs w:val="22"/>
        </w:rPr>
        <w:t xml:space="preserve"> </w:t>
      </w:r>
    </w:p>
    <w:p w14:paraId="120D712A" w14:textId="2DA0501E" w:rsidR="006F2787" w:rsidRPr="002E2B5B" w:rsidRDefault="006F2787"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 VALEC avalia durante o encerramento das demonstrações financeiras se transcorreu, em determinado intervalo, a desvalorização econômica (recuperação) do ativo financeiro ou do grupo de ativos financeiros. Terminantemente, considera-se não recuperável quando houver indicação de ausência de retomada do resultado de um ou mais eventos que tenham acontecido depois do reconhecimento inicial do ativo (um evento de perda incorrida) e essa perda tenha influência no fluxo de caixa estimado do ativo financeiro, ou do grupo de ativos financeiros, que possa ser razoavelmente presumida</w:t>
      </w:r>
      <w:r w:rsidR="00F07F27" w:rsidRPr="002E2B5B">
        <w:rPr>
          <w:rFonts w:ascii="Calibri" w:hAnsi="Calibri" w:cs="Calibri"/>
          <w:sz w:val="22"/>
          <w:szCs w:val="22"/>
        </w:rPr>
        <w:t>;</w:t>
      </w:r>
      <w:r w:rsidR="00FA0D6A" w:rsidRPr="002E2B5B">
        <w:rPr>
          <w:rFonts w:ascii="Calibri" w:hAnsi="Calibri" w:cs="Calibri"/>
          <w:sz w:val="22"/>
          <w:szCs w:val="22"/>
        </w:rPr>
        <w:t xml:space="preserve"> </w:t>
      </w:r>
      <w:r w:rsidR="00B80638">
        <w:rPr>
          <w:rFonts w:ascii="Calibri" w:hAnsi="Calibri" w:cs="Calibri"/>
          <w:sz w:val="22"/>
          <w:szCs w:val="22"/>
        </w:rPr>
        <w:t>e</w:t>
      </w:r>
    </w:p>
    <w:p w14:paraId="28BB08F7" w14:textId="39C3EC3B" w:rsidR="001B6529" w:rsidRDefault="006F2787"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As obrigações financeiras são avaliadas pelo valor justo, de maneira similar ao ativo financeiro. Por conseguinte, envolve as obrigações desta Companhia com terceiros interessados, das quais destacam-se os fornecedores de mercadorias e serviços, as obrigações trabalhistas e tributárias, entre outras</w:t>
      </w:r>
      <w:r w:rsidR="00B80638">
        <w:rPr>
          <w:rFonts w:ascii="Calibri" w:hAnsi="Calibri" w:cs="Calibri"/>
          <w:sz w:val="22"/>
          <w:szCs w:val="22"/>
        </w:rPr>
        <w:t>.</w:t>
      </w:r>
    </w:p>
    <w:p w14:paraId="2C4A5BF7" w14:textId="77777777" w:rsidR="00B80638" w:rsidRPr="002E2B5B" w:rsidRDefault="00B80638" w:rsidP="00B80638">
      <w:pPr>
        <w:autoSpaceDE w:val="0"/>
        <w:autoSpaceDN w:val="0"/>
        <w:spacing w:after="120"/>
        <w:ind w:left="714"/>
        <w:jc w:val="both"/>
        <w:rPr>
          <w:rFonts w:ascii="Calibri" w:hAnsi="Calibri" w:cs="Calibri"/>
          <w:sz w:val="22"/>
          <w:szCs w:val="22"/>
        </w:rPr>
      </w:pPr>
    </w:p>
    <w:p w14:paraId="65714187" w14:textId="4842C3BE" w:rsidR="00A66979" w:rsidRPr="002E2B5B" w:rsidRDefault="00D22F5E" w:rsidP="002E2B5B">
      <w:pPr>
        <w:jc w:val="both"/>
        <w:rPr>
          <w:rFonts w:ascii="Calibri" w:hAnsi="Calibri" w:cs="Calibri"/>
          <w:b/>
          <w:sz w:val="22"/>
          <w:szCs w:val="22"/>
        </w:rPr>
      </w:pPr>
      <w:r w:rsidRPr="002E2B5B">
        <w:rPr>
          <w:rFonts w:ascii="Calibri" w:hAnsi="Calibri" w:cs="Calibri"/>
          <w:b/>
          <w:sz w:val="22"/>
          <w:szCs w:val="22"/>
        </w:rPr>
        <w:t xml:space="preserve">NOTA </w:t>
      </w:r>
      <w:r w:rsidR="00E32899">
        <w:rPr>
          <w:rFonts w:ascii="Calibri" w:hAnsi="Calibri" w:cs="Calibri"/>
          <w:b/>
          <w:sz w:val="22"/>
          <w:szCs w:val="22"/>
        </w:rPr>
        <w:t>3</w:t>
      </w:r>
      <w:r w:rsidR="007F70B5" w:rsidRPr="002E2B5B">
        <w:rPr>
          <w:rFonts w:ascii="Calibri" w:hAnsi="Calibri" w:cs="Calibri"/>
          <w:b/>
          <w:sz w:val="22"/>
          <w:szCs w:val="22"/>
        </w:rPr>
        <w:t xml:space="preserve"> </w:t>
      </w:r>
      <w:r w:rsidR="006927EB" w:rsidRPr="002E2B5B">
        <w:rPr>
          <w:rFonts w:ascii="Calibri" w:hAnsi="Calibri" w:cs="Calibri"/>
          <w:b/>
          <w:sz w:val="22"/>
          <w:szCs w:val="22"/>
        </w:rPr>
        <w:t>–</w:t>
      </w:r>
      <w:r w:rsidR="007F70B5" w:rsidRPr="002E2B5B">
        <w:rPr>
          <w:rFonts w:ascii="Calibri" w:hAnsi="Calibri" w:cs="Calibri"/>
          <w:b/>
          <w:sz w:val="22"/>
          <w:szCs w:val="22"/>
        </w:rPr>
        <w:t xml:space="preserve"> </w:t>
      </w:r>
      <w:r w:rsidR="006927EB" w:rsidRPr="002E2B5B">
        <w:rPr>
          <w:rFonts w:ascii="Calibri" w:hAnsi="Calibri" w:cs="Calibri"/>
          <w:b/>
          <w:sz w:val="22"/>
          <w:szCs w:val="22"/>
        </w:rPr>
        <w:t xml:space="preserve">CAIXA E EQUIVALENTE DE CAIXA - </w:t>
      </w:r>
      <w:r w:rsidR="000643B0" w:rsidRPr="002E2B5B">
        <w:rPr>
          <w:rFonts w:ascii="Calibri" w:hAnsi="Calibri" w:cs="Calibri"/>
          <w:b/>
          <w:sz w:val="22"/>
          <w:szCs w:val="22"/>
        </w:rPr>
        <w:t xml:space="preserve">CONTA VINCULADA - </w:t>
      </w:r>
      <w:r w:rsidR="002069FD" w:rsidRPr="002E2B5B">
        <w:rPr>
          <w:rFonts w:ascii="Calibri" w:hAnsi="Calibri" w:cs="Calibri"/>
          <w:b/>
          <w:sz w:val="22"/>
          <w:szCs w:val="22"/>
        </w:rPr>
        <w:t>LIMITE DE SAQUE COM VINCULAÇÃO DE PAGAMENTO</w:t>
      </w:r>
      <w:r w:rsidR="00E50CF7" w:rsidRPr="002E2B5B">
        <w:rPr>
          <w:rFonts w:ascii="Calibri" w:hAnsi="Calibri" w:cs="Calibri"/>
          <w:b/>
          <w:sz w:val="22"/>
          <w:szCs w:val="22"/>
        </w:rPr>
        <w:t xml:space="preserve"> </w:t>
      </w:r>
    </w:p>
    <w:p w14:paraId="2D7FE9A0" w14:textId="77777777" w:rsidR="009165D8" w:rsidRPr="002E2B5B" w:rsidRDefault="009165D8" w:rsidP="002E2B5B">
      <w:pPr>
        <w:jc w:val="both"/>
        <w:rPr>
          <w:rFonts w:ascii="Calibri" w:hAnsi="Calibri" w:cs="Calibri"/>
          <w:b/>
          <w:sz w:val="22"/>
          <w:szCs w:val="22"/>
        </w:rPr>
      </w:pPr>
    </w:p>
    <w:p w14:paraId="1989F6D6" w14:textId="0F3E2E03" w:rsidR="00D4582D" w:rsidRPr="002E2B5B" w:rsidRDefault="000643B0" w:rsidP="002E2B5B">
      <w:pPr>
        <w:spacing w:after="120"/>
        <w:jc w:val="both"/>
        <w:rPr>
          <w:rFonts w:ascii="Calibri" w:hAnsi="Calibri" w:cs="Calibri"/>
          <w:sz w:val="22"/>
          <w:szCs w:val="22"/>
        </w:rPr>
      </w:pPr>
      <w:r w:rsidRPr="002E2B5B">
        <w:rPr>
          <w:rFonts w:ascii="Calibri" w:hAnsi="Calibri" w:cs="Calibri"/>
          <w:sz w:val="22"/>
          <w:szCs w:val="22"/>
        </w:rPr>
        <w:t>Ne</w:t>
      </w:r>
      <w:r w:rsidR="0041556E" w:rsidRPr="002E2B5B">
        <w:rPr>
          <w:rFonts w:ascii="Calibri" w:hAnsi="Calibri" w:cs="Calibri"/>
          <w:sz w:val="22"/>
          <w:szCs w:val="22"/>
        </w:rPr>
        <w:t>s</w:t>
      </w:r>
      <w:r w:rsidR="004F6D01" w:rsidRPr="002E2B5B">
        <w:rPr>
          <w:rFonts w:ascii="Calibri" w:hAnsi="Calibri" w:cs="Calibri"/>
          <w:sz w:val="22"/>
          <w:szCs w:val="22"/>
        </w:rPr>
        <w:t>t</w:t>
      </w:r>
      <w:r w:rsidR="0041556E" w:rsidRPr="002E2B5B">
        <w:rPr>
          <w:rFonts w:ascii="Calibri" w:hAnsi="Calibri" w:cs="Calibri"/>
          <w:sz w:val="22"/>
          <w:szCs w:val="22"/>
        </w:rPr>
        <w:t>a</w:t>
      </w:r>
      <w:r w:rsidR="006B4425" w:rsidRPr="002E2B5B">
        <w:rPr>
          <w:rFonts w:ascii="Calibri" w:hAnsi="Calibri" w:cs="Calibri"/>
          <w:sz w:val="22"/>
          <w:szCs w:val="22"/>
        </w:rPr>
        <w:t xml:space="preserve"> conta </w:t>
      </w:r>
      <w:r w:rsidRPr="002E2B5B">
        <w:rPr>
          <w:rFonts w:ascii="Calibri" w:hAnsi="Calibri" w:cs="Calibri"/>
          <w:sz w:val="22"/>
          <w:szCs w:val="22"/>
        </w:rPr>
        <w:t xml:space="preserve">é </w:t>
      </w:r>
      <w:r w:rsidR="006B4425" w:rsidRPr="002E2B5B">
        <w:rPr>
          <w:rFonts w:ascii="Calibri" w:hAnsi="Calibri" w:cs="Calibri"/>
          <w:sz w:val="22"/>
          <w:szCs w:val="22"/>
        </w:rPr>
        <w:t>registra</w:t>
      </w:r>
      <w:r w:rsidRPr="002E2B5B">
        <w:rPr>
          <w:rFonts w:ascii="Calibri" w:hAnsi="Calibri" w:cs="Calibri"/>
          <w:sz w:val="22"/>
          <w:szCs w:val="22"/>
        </w:rPr>
        <w:t>do</w:t>
      </w:r>
      <w:r w:rsidR="006B4425" w:rsidRPr="002E2B5B">
        <w:rPr>
          <w:rFonts w:ascii="Calibri" w:hAnsi="Calibri" w:cs="Calibri"/>
          <w:sz w:val="22"/>
          <w:szCs w:val="22"/>
        </w:rPr>
        <w:t xml:space="preserve"> o valor do</w:t>
      </w:r>
      <w:r w:rsidR="001F6377" w:rsidRPr="002E2B5B">
        <w:rPr>
          <w:rFonts w:ascii="Calibri" w:hAnsi="Calibri" w:cs="Calibri"/>
          <w:sz w:val="22"/>
          <w:szCs w:val="22"/>
        </w:rPr>
        <w:t xml:space="preserve"> limite de saque da Conta Única do Tesouro Nacional, estabelecido pelo órgão central de programação financeira, para at</w:t>
      </w:r>
      <w:r w:rsidR="00F63ADC" w:rsidRPr="002E2B5B">
        <w:rPr>
          <w:rFonts w:ascii="Calibri" w:hAnsi="Calibri" w:cs="Calibri"/>
          <w:sz w:val="22"/>
          <w:szCs w:val="22"/>
        </w:rPr>
        <w:t>ender as despesas com vinculações</w:t>
      </w:r>
      <w:r w:rsidR="001F6377" w:rsidRPr="002E2B5B">
        <w:rPr>
          <w:rFonts w:ascii="Calibri" w:hAnsi="Calibri" w:cs="Calibri"/>
          <w:sz w:val="22"/>
          <w:szCs w:val="22"/>
        </w:rPr>
        <w:t xml:space="preserve"> de pagamento</w:t>
      </w:r>
      <w:r w:rsidR="00F63ADC" w:rsidRPr="002E2B5B">
        <w:rPr>
          <w:rFonts w:ascii="Calibri" w:hAnsi="Calibri" w:cs="Calibri"/>
          <w:sz w:val="22"/>
          <w:szCs w:val="22"/>
        </w:rPr>
        <w:t>s</w:t>
      </w:r>
      <w:r w:rsidR="001F6377" w:rsidRPr="002E2B5B">
        <w:rPr>
          <w:rFonts w:ascii="Calibri" w:hAnsi="Calibri" w:cs="Calibri"/>
          <w:sz w:val="22"/>
          <w:szCs w:val="22"/>
        </w:rPr>
        <w:t xml:space="preserve"> divididas nas seguintes categorias:</w:t>
      </w:r>
    </w:p>
    <w:p w14:paraId="23026688" w14:textId="77777777" w:rsidR="00EE345F" w:rsidRPr="002E2B5B" w:rsidRDefault="00146DAB" w:rsidP="002E2B5B">
      <w:pPr>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Pessoal e Encargos Sociais</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141E08" w:rsidRPr="002E2B5B">
        <w:rPr>
          <w:rFonts w:ascii="Calibri" w:hAnsi="Calibri" w:cs="Calibri"/>
          <w:sz w:val="22"/>
          <w:szCs w:val="22"/>
        </w:rPr>
        <w:t xml:space="preserve"> </w:t>
      </w:r>
      <w:r w:rsidR="00D80B1F" w:rsidRPr="002E2B5B">
        <w:rPr>
          <w:rFonts w:ascii="Calibri" w:hAnsi="Calibri" w:cs="Calibri"/>
          <w:sz w:val="22"/>
          <w:szCs w:val="22"/>
        </w:rPr>
        <w:t>(</w:t>
      </w:r>
      <w:r w:rsidR="00141E08" w:rsidRPr="002E2B5B">
        <w:rPr>
          <w:rFonts w:ascii="Calibri" w:hAnsi="Calibri" w:cs="Calibri"/>
          <w:sz w:val="22"/>
          <w:szCs w:val="22"/>
        </w:rPr>
        <w:t>A</w:t>
      </w:r>
      <w:r w:rsidR="00D80B1F" w:rsidRPr="002E2B5B">
        <w:rPr>
          <w:rFonts w:ascii="Calibri" w:hAnsi="Calibri" w:cs="Calibri"/>
          <w:sz w:val="22"/>
          <w:szCs w:val="22"/>
        </w:rPr>
        <w:t>)</w:t>
      </w:r>
      <w:r w:rsidR="00EE345F" w:rsidRPr="002E2B5B">
        <w:rPr>
          <w:rFonts w:ascii="Calibri" w:hAnsi="Calibri" w:cs="Calibri"/>
          <w:sz w:val="22"/>
          <w:szCs w:val="22"/>
        </w:rPr>
        <w:t xml:space="preserve"> V</w:t>
      </w:r>
      <w:r w:rsidR="00D80B1F" w:rsidRPr="002E2B5B">
        <w:rPr>
          <w:rFonts w:ascii="Calibri" w:hAnsi="Calibri" w:cs="Calibri"/>
          <w:sz w:val="22"/>
          <w:szCs w:val="22"/>
        </w:rPr>
        <w:t>inculações:</w:t>
      </w:r>
      <w:r w:rsidR="00EE345F" w:rsidRPr="002E2B5B">
        <w:rPr>
          <w:rFonts w:ascii="Calibri" w:hAnsi="Calibri" w:cs="Calibri"/>
          <w:sz w:val="22"/>
          <w:szCs w:val="22"/>
        </w:rPr>
        <w:t xml:space="preserve"> 130,</w:t>
      </w:r>
      <w:r w:rsidR="009609C9" w:rsidRPr="002E2B5B">
        <w:rPr>
          <w:rFonts w:ascii="Calibri" w:hAnsi="Calibri" w:cs="Calibri"/>
          <w:sz w:val="22"/>
          <w:szCs w:val="22"/>
        </w:rPr>
        <w:t xml:space="preserve"> </w:t>
      </w:r>
      <w:r w:rsidR="00EE345F" w:rsidRPr="002E2B5B">
        <w:rPr>
          <w:rFonts w:ascii="Calibri" w:hAnsi="Calibri" w:cs="Calibri"/>
          <w:sz w:val="22"/>
          <w:szCs w:val="22"/>
        </w:rPr>
        <w:t>307,</w:t>
      </w:r>
      <w:r w:rsidR="009609C9" w:rsidRPr="002E2B5B">
        <w:rPr>
          <w:rFonts w:ascii="Calibri" w:hAnsi="Calibri" w:cs="Calibri"/>
          <w:sz w:val="22"/>
          <w:szCs w:val="22"/>
        </w:rPr>
        <w:t xml:space="preserve"> </w:t>
      </w:r>
      <w:r w:rsidR="00EE345F" w:rsidRPr="002E2B5B">
        <w:rPr>
          <w:rFonts w:ascii="Calibri" w:hAnsi="Calibri" w:cs="Calibri"/>
          <w:sz w:val="22"/>
          <w:szCs w:val="22"/>
        </w:rPr>
        <w:t>308,</w:t>
      </w:r>
      <w:r w:rsidR="009609C9" w:rsidRPr="002E2B5B">
        <w:rPr>
          <w:rFonts w:ascii="Calibri" w:hAnsi="Calibri" w:cs="Calibri"/>
          <w:sz w:val="22"/>
          <w:szCs w:val="22"/>
        </w:rPr>
        <w:t xml:space="preserve"> </w:t>
      </w:r>
      <w:r w:rsidR="00EE345F" w:rsidRPr="002E2B5B">
        <w:rPr>
          <w:rFonts w:ascii="Calibri" w:hAnsi="Calibri" w:cs="Calibri"/>
          <w:sz w:val="22"/>
          <w:szCs w:val="22"/>
        </w:rPr>
        <w:t>310</w:t>
      </w:r>
      <w:r w:rsidR="000643B0" w:rsidRPr="002E2B5B">
        <w:rPr>
          <w:rFonts w:ascii="Calibri" w:hAnsi="Calibri" w:cs="Calibri"/>
          <w:sz w:val="22"/>
          <w:szCs w:val="22"/>
        </w:rPr>
        <w:t>.</w:t>
      </w:r>
      <w:r w:rsidR="00EE345F" w:rsidRPr="002E2B5B">
        <w:rPr>
          <w:rFonts w:ascii="Calibri" w:hAnsi="Calibri" w:cs="Calibri"/>
          <w:sz w:val="22"/>
          <w:szCs w:val="22"/>
        </w:rPr>
        <w:t xml:space="preserve"> </w:t>
      </w:r>
    </w:p>
    <w:p w14:paraId="2E243684" w14:textId="77777777" w:rsidR="00141E08" w:rsidRPr="002E2B5B" w:rsidRDefault="00146DAB" w:rsidP="002E2B5B">
      <w:pPr>
        <w:ind w:left="708" w:right="-226" w:hanging="708"/>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Custeio/Investimento</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9609C9" w:rsidRPr="002E2B5B">
        <w:rPr>
          <w:rFonts w:ascii="Calibri" w:hAnsi="Calibri" w:cs="Calibri"/>
          <w:sz w:val="22"/>
          <w:szCs w:val="22"/>
        </w:rPr>
        <w:t xml:space="preserve"> </w:t>
      </w:r>
      <w:r w:rsidR="000643B0" w:rsidRPr="002E2B5B">
        <w:rPr>
          <w:rFonts w:ascii="Calibri" w:hAnsi="Calibri" w:cs="Calibri"/>
          <w:sz w:val="22"/>
          <w:szCs w:val="22"/>
        </w:rPr>
        <w:t>(</w:t>
      </w:r>
      <w:r w:rsidR="00141E08" w:rsidRPr="002E2B5B">
        <w:rPr>
          <w:rFonts w:ascii="Calibri" w:hAnsi="Calibri" w:cs="Calibri"/>
          <w:sz w:val="22"/>
          <w:szCs w:val="22"/>
        </w:rPr>
        <w:t>C</w:t>
      </w:r>
      <w:r w:rsidR="00D80B1F" w:rsidRPr="002E2B5B">
        <w:rPr>
          <w:rFonts w:ascii="Calibri" w:hAnsi="Calibri" w:cs="Calibri"/>
          <w:sz w:val="22"/>
          <w:szCs w:val="22"/>
        </w:rPr>
        <w:t>)</w:t>
      </w:r>
      <w:r w:rsidR="00EE345F" w:rsidRPr="002E2B5B">
        <w:rPr>
          <w:rFonts w:ascii="Calibri" w:hAnsi="Calibri" w:cs="Calibri"/>
          <w:sz w:val="22"/>
          <w:szCs w:val="22"/>
        </w:rPr>
        <w:t xml:space="preserve"> V</w:t>
      </w:r>
      <w:r w:rsidR="00D80B1F" w:rsidRPr="002E2B5B">
        <w:rPr>
          <w:rFonts w:ascii="Calibri" w:hAnsi="Calibri" w:cs="Calibri"/>
          <w:sz w:val="22"/>
          <w:szCs w:val="22"/>
        </w:rPr>
        <w:t>inculações:</w:t>
      </w:r>
      <w:r w:rsidR="00EE345F" w:rsidRPr="002E2B5B">
        <w:rPr>
          <w:rFonts w:ascii="Calibri" w:hAnsi="Calibri" w:cs="Calibri"/>
          <w:sz w:val="22"/>
          <w:szCs w:val="22"/>
        </w:rPr>
        <w:t xml:space="preserve"> </w:t>
      </w:r>
      <w:r w:rsidR="009B4B66" w:rsidRPr="002E2B5B">
        <w:rPr>
          <w:rFonts w:ascii="Calibri" w:hAnsi="Calibri" w:cs="Calibri"/>
          <w:sz w:val="22"/>
          <w:szCs w:val="22"/>
        </w:rPr>
        <w:t xml:space="preserve">340, </w:t>
      </w:r>
      <w:r w:rsidR="009609C9" w:rsidRPr="002E2B5B">
        <w:rPr>
          <w:rFonts w:ascii="Calibri" w:hAnsi="Calibri" w:cs="Calibri"/>
          <w:sz w:val="22"/>
          <w:szCs w:val="22"/>
        </w:rPr>
        <w:t>400,</w:t>
      </w:r>
      <w:r w:rsidR="004644A3" w:rsidRPr="002E2B5B">
        <w:rPr>
          <w:rFonts w:ascii="Calibri" w:hAnsi="Calibri" w:cs="Calibri"/>
          <w:sz w:val="22"/>
          <w:szCs w:val="22"/>
        </w:rPr>
        <w:t xml:space="preserve"> 404,</w:t>
      </w:r>
      <w:r w:rsidR="009B4B66" w:rsidRPr="002E2B5B">
        <w:rPr>
          <w:rFonts w:ascii="Calibri" w:hAnsi="Calibri" w:cs="Calibri"/>
          <w:sz w:val="22"/>
          <w:szCs w:val="22"/>
        </w:rPr>
        <w:t xml:space="preserve"> </w:t>
      </w:r>
      <w:r w:rsidR="00FA0D6A" w:rsidRPr="002E2B5B">
        <w:rPr>
          <w:rFonts w:ascii="Calibri" w:hAnsi="Calibri" w:cs="Calibri"/>
          <w:sz w:val="22"/>
          <w:szCs w:val="22"/>
        </w:rPr>
        <w:t xml:space="preserve">409, </w:t>
      </w:r>
      <w:r w:rsidR="009B4B66" w:rsidRPr="002E2B5B">
        <w:rPr>
          <w:rFonts w:ascii="Calibri" w:hAnsi="Calibri" w:cs="Calibri"/>
          <w:sz w:val="22"/>
          <w:szCs w:val="22"/>
        </w:rPr>
        <w:t>412,</w:t>
      </w:r>
      <w:r w:rsidR="009609C9" w:rsidRPr="002E2B5B">
        <w:rPr>
          <w:rFonts w:ascii="Calibri" w:hAnsi="Calibri" w:cs="Calibri"/>
          <w:sz w:val="22"/>
          <w:szCs w:val="22"/>
        </w:rPr>
        <w:t xml:space="preserve"> </w:t>
      </w:r>
      <w:r w:rsidR="00EE345F" w:rsidRPr="002E2B5B">
        <w:rPr>
          <w:rFonts w:ascii="Calibri" w:hAnsi="Calibri" w:cs="Calibri"/>
          <w:sz w:val="22"/>
          <w:szCs w:val="22"/>
        </w:rPr>
        <w:t>415,</w:t>
      </w:r>
      <w:r w:rsidR="009609C9" w:rsidRPr="002E2B5B">
        <w:rPr>
          <w:rFonts w:ascii="Calibri" w:hAnsi="Calibri" w:cs="Calibri"/>
          <w:sz w:val="22"/>
          <w:szCs w:val="22"/>
        </w:rPr>
        <w:t xml:space="preserve"> </w:t>
      </w:r>
      <w:r w:rsidR="002726DB" w:rsidRPr="002E2B5B">
        <w:rPr>
          <w:rFonts w:ascii="Calibri" w:hAnsi="Calibri" w:cs="Calibri"/>
          <w:sz w:val="22"/>
          <w:szCs w:val="22"/>
        </w:rPr>
        <w:t>50</w:t>
      </w:r>
      <w:r w:rsidR="00EE345F" w:rsidRPr="002E2B5B">
        <w:rPr>
          <w:rFonts w:ascii="Calibri" w:hAnsi="Calibri" w:cs="Calibri"/>
          <w:sz w:val="22"/>
          <w:szCs w:val="22"/>
        </w:rPr>
        <w:t>0</w:t>
      </w:r>
      <w:r w:rsidR="002726DB" w:rsidRPr="002E2B5B">
        <w:rPr>
          <w:rFonts w:ascii="Calibri" w:hAnsi="Calibri" w:cs="Calibri"/>
          <w:sz w:val="22"/>
          <w:szCs w:val="22"/>
        </w:rPr>
        <w:t>, 51</w:t>
      </w:r>
      <w:r w:rsidR="0064431B" w:rsidRPr="002E2B5B">
        <w:rPr>
          <w:rFonts w:ascii="Calibri" w:hAnsi="Calibri" w:cs="Calibri"/>
          <w:sz w:val="22"/>
          <w:szCs w:val="22"/>
        </w:rPr>
        <w:t xml:space="preserve">0, </w:t>
      </w:r>
      <w:r w:rsidR="00403538" w:rsidRPr="002E2B5B">
        <w:rPr>
          <w:rFonts w:ascii="Calibri" w:hAnsi="Calibri" w:cs="Calibri"/>
          <w:sz w:val="22"/>
          <w:szCs w:val="22"/>
        </w:rPr>
        <w:t xml:space="preserve">514, </w:t>
      </w:r>
      <w:r w:rsidR="0064431B" w:rsidRPr="002E2B5B">
        <w:rPr>
          <w:rFonts w:ascii="Calibri" w:hAnsi="Calibri" w:cs="Calibri"/>
          <w:sz w:val="22"/>
          <w:szCs w:val="22"/>
        </w:rPr>
        <w:t>551</w:t>
      </w:r>
      <w:r w:rsidR="000643B0" w:rsidRPr="002E2B5B">
        <w:rPr>
          <w:rFonts w:ascii="Calibri" w:hAnsi="Calibri" w:cs="Calibri"/>
          <w:sz w:val="22"/>
          <w:szCs w:val="22"/>
        </w:rPr>
        <w:t>.</w:t>
      </w:r>
    </w:p>
    <w:p w14:paraId="134FF875" w14:textId="5F77F271" w:rsidR="00D4582D" w:rsidRPr="002E2B5B" w:rsidRDefault="00146DAB" w:rsidP="002E2B5B">
      <w:pPr>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Investimentos (Obras)</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141E08" w:rsidRPr="002E2B5B">
        <w:rPr>
          <w:rFonts w:ascii="Calibri" w:hAnsi="Calibri" w:cs="Calibri"/>
          <w:sz w:val="22"/>
          <w:szCs w:val="22"/>
        </w:rPr>
        <w:t xml:space="preserve"> </w:t>
      </w:r>
      <w:r w:rsidR="000643B0" w:rsidRPr="002E2B5B">
        <w:rPr>
          <w:rFonts w:ascii="Calibri" w:hAnsi="Calibri" w:cs="Calibri"/>
          <w:sz w:val="22"/>
          <w:szCs w:val="22"/>
        </w:rPr>
        <w:t>(</w:t>
      </w:r>
      <w:r w:rsidR="00141E08" w:rsidRPr="002E2B5B">
        <w:rPr>
          <w:rFonts w:ascii="Calibri" w:hAnsi="Calibri" w:cs="Calibri"/>
          <w:sz w:val="22"/>
          <w:szCs w:val="22"/>
        </w:rPr>
        <w:t>D</w:t>
      </w:r>
      <w:r w:rsidR="00D80B1F" w:rsidRPr="002E2B5B">
        <w:rPr>
          <w:rFonts w:ascii="Calibri" w:hAnsi="Calibri" w:cs="Calibri"/>
          <w:sz w:val="22"/>
          <w:szCs w:val="22"/>
        </w:rPr>
        <w:t>) Vinculações:</w:t>
      </w:r>
      <w:r w:rsidR="00EE345F" w:rsidRPr="002E2B5B">
        <w:rPr>
          <w:rFonts w:ascii="Calibri" w:hAnsi="Calibri" w:cs="Calibri"/>
          <w:sz w:val="22"/>
          <w:szCs w:val="22"/>
        </w:rPr>
        <w:t xml:space="preserve"> – 400,</w:t>
      </w:r>
      <w:r w:rsidR="00F85376" w:rsidRPr="002E2B5B">
        <w:rPr>
          <w:rFonts w:ascii="Calibri" w:hAnsi="Calibri" w:cs="Calibri"/>
          <w:sz w:val="22"/>
          <w:szCs w:val="22"/>
        </w:rPr>
        <w:t xml:space="preserve"> </w:t>
      </w:r>
      <w:r w:rsidR="00EE345F" w:rsidRPr="002E2B5B">
        <w:rPr>
          <w:rFonts w:ascii="Calibri" w:hAnsi="Calibri" w:cs="Calibri"/>
          <w:sz w:val="22"/>
          <w:szCs w:val="22"/>
        </w:rPr>
        <w:t>415</w:t>
      </w:r>
      <w:r w:rsidR="0064431B" w:rsidRPr="002E2B5B">
        <w:rPr>
          <w:rFonts w:ascii="Calibri" w:hAnsi="Calibri" w:cs="Calibri"/>
          <w:sz w:val="22"/>
          <w:szCs w:val="22"/>
        </w:rPr>
        <w:t>, 500</w:t>
      </w:r>
      <w:r w:rsidR="000643B0" w:rsidRPr="002E2B5B">
        <w:rPr>
          <w:rFonts w:ascii="Calibri" w:hAnsi="Calibri" w:cs="Calibri"/>
          <w:sz w:val="22"/>
          <w:szCs w:val="22"/>
        </w:rPr>
        <w:t>.</w:t>
      </w:r>
    </w:p>
    <w:p w14:paraId="1E64F84E" w14:textId="680F8742" w:rsidR="00F376DC" w:rsidRDefault="00A63F68" w:rsidP="00F376DC">
      <w:pPr>
        <w:spacing w:after="120"/>
        <w:jc w:val="both"/>
        <w:rPr>
          <w:rFonts w:ascii="Calibri" w:hAnsi="Calibri" w:cs="Calibri"/>
          <w:sz w:val="22"/>
          <w:szCs w:val="22"/>
        </w:rPr>
      </w:pPr>
      <w:r w:rsidRPr="002E2B5B">
        <w:rPr>
          <w:rFonts w:ascii="Calibri" w:hAnsi="Calibri" w:cs="Calibri"/>
          <w:sz w:val="22"/>
          <w:szCs w:val="22"/>
        </w:rPr>
        <w:t xml:space="preserve">A conta </w:t>
      </w:r>
      <w:r w:rsidR="00D45F66" w:rsidRPr="002E2B5B">
        <w:rPr>
          <w:rFonts w:ascii="Calibri" w:hAnsi="Calibri" w:cs="Calibri"/>
          <w:sz w:val="22"/>
          <w:szCs w:val="22"/>
        </w:rPr>
        <w:t xml:space="preserve">Limite de Saque </w:t>
      </w:r>
      <w:r w:rsidR="00904E3E" w:rsidRPr="002E2B5B">
        <w:rPr>
          <w:rFonts w:ascii="Calibri" w:hAnsi="Calibri" w:cs="Calibri"/>
          <w:sz w:val="22"/>
          <w:szCs w:val="22"/>
        </w:rPr>
        <w:t xml:space="preserve">com Vinculação de Pagamento </w:t>
      </w:r>
      <w:r w:rsidR="00C50895" w:rsidRPr="002E2B5B">
        <w:rPr>
          <w:rFonts w:ascii="Calibri" w:hAnsi="Calibri" w:cs="Calibri"/>
          <w:sz w:val="22"/>
          <w:szCs w:val="22"/>
        </w:rPr>
        <w:t xml:space="preserve">registra o valor do limite de saque da Conta Única da União, estabelecido pelo órgão Central de Programação Financeira </w:t>
      </w:r>
      <w:r w:rsidR="00F67C01" w:rsidRPr="002E2B5B">
        <w:rPr>
          <w:rFonts w:ascii="Calibri" w:hAnsi="Calibri" w:cs="Calibri"/>
          <w:sz w:val="22"/>
          <w:szCs w:val="22"/>
        </w:rPr>
        <w:t xml:space="preserve">para atender às despesas com vinculação de pagamentos. </w:t>
      </w:r>
      <w:r w:rsidR="00F67C01" w:rsidRPr="002E2B5B">
        <w:rPr>
          <w:rFonts w:ascii="Calibri" w:hAnsi="Calibri" w:cs="Calibri"/>
          <w:sz w:val="22"/>
          <w:szCs w:val="22"/>
        </w:rPr>
        <w:lastRenderedPageBreak/>
        <w:t xml:space="preserve">Portanto, representa a </w:t>
      </w:r>
      <w:r w:rsidR="00904E3E" w:rsidRPr="002E2B5B">
        <w:rPr>
          <w:rFonts w:ascii="Calibri" w:hAnsi="Calibri" w:cs="Calibri"/>
          <w:sz w:val="22"/>
          <w:szCs w:val="22"/>
        </w:rPr>
        <w:t>conta</w:t>
      </w:r>
      <w:r w:rsidR="00F67C01" w:rsidRPr="002E2B5B">
        <w:rPr>
          <w:rFonts w:ascii="Calibri" w:hAnsi="Calibri" w:cs="Calibri"/>
          <w:sz w:val="22"/>
          <w:szCs w:val="22"/>
        </w:rPr>
        <w:t xml:space="preserve"> </w:t>
      </w:r>
      <w:r w:rsidR="00904E3E" w:rsidRPr="002E2B5B">
        <w:rPr>
          <w:rFonts w:ascii="Calibri" w:hAnsi="Calibri" w:cs="Calibri"/>
          <w:sz w:val="22"/>
          <w:szCs w:val="22"/>
        </w:rPr>
        <w:t xml:space="preserve">utilizada para movimentação financeira, na qual a Setorial Financeira do Ministério da Infraestrutura disponibiliza os recursos financeiros para pagamentos efetuados diariamente pela VALEC. Esta conta </w:t>
      </w:r>
      <w:r w:rsidR="00266AF3" w:rsidRPr="002E2B5B">
        <w:rPr>
          <w:rFonts w:ascii="Calibri" w:hAnsi="Calibri" w:cs="Calibri"/>
          <w:sz w:val="22"/>
          <w:szCs w:val="22"/>
        </w:rPr>
        <w:t xml:space="preserve">apresenta o seguinte saldo em </w:t>
      </w:r>
      <w:r w:rsidR="00CE6832">
        <w:rPr>
          <w:rFonts w:ascii="Calibri" w:hAnsi="Calibri" w:cs="Calibri"/>
          <w:sz w:val="22"/>
          <w:szCs w:val="22"/>
        </w:rPr>
        <w:t>30 de junho</w:t>
      </w:r>
      <w:r w:rsidR="00E14AA9">
        <w:rPr>
          <w:rFonts w:ascii="Calibri" w:hAnsi="Calibri" w:cs="Calibri"/>
          <w:sz w:val="22"/>
          <w:szCs w:val="22"/>
        </w:rPr>
        <w:t xml:space="preserve"> de 2021</w:t>
      </w:r>
      <w:r w:rsidRPr="002E2B5B">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1445"/>
        <w:gridCol w:w="5422"/>
        <w:gridCol w:w="249"/>
        <w:gridCol w:w="249"/>
        <w:gridCol w:w="249"/>
        <w:gridCol w:w="249"/>
        <w:gridCol w:w="1302"/>
        <w:gridCol w:w="1302"/>
      </w:tblGrid>
      <w:tr w:rsidR="00F376DC" w:rsidRPr="00F376DC" w14:paraId="495DCC45" w14:textId="77777777" w:rsidTr="00F376DC">
        <w:trPr>
          <w:trHeight w:hRule="exact" w:val="227"/>
        </w:trPr>
        <w:tc>
          <w:tcPr>
            <w:tcW w:w="690" w:type="pct"/>
            <w:tcBorders>
              <w:top w:val="nil"/>
              <w:left w:val="nil"/>
              <w:bottom w:val="single" w:sz="8" w:space="0" w:color="auto"/>
              <w:right w:val="nil"/>
            </w:tcBorders>
            <w:shd w:val="clear" w:color="000000" w:fill="FFFFFF"/>
            <w:noWrap/>
            <w:vAlign w:val="center"/>
            <w:hideMark/>
          </w:tcPr>
          <w:p w14:paraId="201FBCAD" w14:textId="77777777" w:rsidR="00F376DC" w:rsidRPr="00F376DC" w:rsidRDefault="00F376DC">
            <w:pPr>
              <w:jc w:val="center"/>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VINCULAÇÃO</w:t>
            </w:r>
          </w:p>
        </w:tc>
        <w:tc>
          <w:tcPr>
            <w:tcW w:w="2590" w:type="pct"/>
            <w:tcBorders>
              <w:top w:val="nil"/>
              <w:left w:val="nil"/>
              <w:bottom w:val="single" w:sz="8" w:space="0" w:color="auto"/>
              <w:right w:val="nil"/>
            </w:tcBorders>
            <w:shd w:val="clear" w:color="000000" w:fill="FFFFFF"/>
            <w:noWrap/>
            <w:vAlign w:val="center"/>
            <w:hideMark/>
          </w:tcPr>
          <w:p w14:paraId="7C9602E0" w14:textId="77777777" w:rsidR="00F376DC" w:rsidRPr="00F376DC" w:rsidRDefault="00F376DC">
            <w:pPr>
              <w:jc w:val="both"/>
              <w:rPr>
                <w:rFonts w:asciiTheme="minorHAnsi" w:hAnsiTheme="minorHAnsi" w:cstheme="minorHAnsi"/>
                <w:b/>
                <w:bCs/>
                <w:color w:val="000000"/>
                <w:sz w:val="16"/>
                <w:szCs w:val="16"/>
              </w:rPr>
            </w:pPr>
            <w:r w:rsidRPr="00F376DC">
              <w:rPr>
                <w:rFonts w:asciiTheme="minorHAnsi" w:hAnsiTheme="minorHAnsi" w:cstheme="minorHAnsi"/>
                <w:b/>
                <w:bCs/>
                <w:sz w:val="16"/>
                <w:szCs w:val="16"/>
              </w:rPr>
              <w:t xml:space="preserve"> DESCRIÇÃO DA VINCULAÇÃO</w:t>
            </w:r>
          </w:p>
        </w:tc>
        <w:tc>
          <w:tcPr>
            <w:tcW w:w="119" w:type="pct"/>
            <w:tcBorders>
              <w:top w:val="nil"/>
              <w:left w:val="nil"/>
              <w:bottom w:val="single" w:sz="8" w:space="0" w:color="auto"/>
              <w:right w:val="nil"/>
            </w:tcBorders>
            <w:shd w:val="clear" w:color="000000" w:fill="FFFFFF"/>
            <w:vAlign w:val="center"/>
            <w:hideMark/>
          </w:tcPr>
          <w:p w14:paraId="21F936E6"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70BBE234"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noWrap/>
            <w:vAlign w:val="center"/>
            <w:hideMark/>
          </w:tcPr>
          <w:p w14:paraId="72E1DE1F"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5E134791"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622" w:type="pct"/>
            <w:tcBorders>
              <w:top w:val="nil"/>
              <w:left w:val="nil"/>
              <w:bottom w:val="single" w:sz="8" w:space="0" w:color="auto"/>
              <w:right w:val="nil"/>
            </w:tcBorders>
            <w:shd w:val="clear" w:color="000000" w:fill="FFFFFF"/>
            <w:vAlign w:val="center"/>
            <w:hideMark/>
          </w:tcPr>
          <w:p w14:paraId="24AD6CB4"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sz w:val="16"/>
                <w:szCs w:val="16"/>
              </w:rPr>
              <w:t>30/06/2021</w:t>
            </w:r>
          </w:p>
        </w:tc>
        <w:tc>
          <w:tcPr>
            <w:tcW w:w="622" w:type="pct"/>
            <w:tcBorders>
              <w:top w:val="nil"/>
              <w:left w:val="nil"/>
              <w:bottom w:val="single" w:sz="8" w:space="0" w:color="auto"/>
              <w:right w:val="nil"/>
            </w:tcBorders>
            <w:shd w:val="clear" w:color="000000" w:fill="FFFFFF"/>
            <w:vAlign w:val="center"/>
            <w:hideMark/>
          </w:tcPr>
          <w:p w14:paraId="2C3005DD"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sz w:val="16"/>
                <w:szCs w:val="16"/>
              </w:rPr>
              <w:t>31/12/2020</w:t>
            </w:r>
          </w:p>
        </w:tc>
      </w:tr>
      <w:tr w:rsidR="00F376DC" w:rsidRPr="00F376DC" w14:paraId="3F909B15"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2E725CDE"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130</w:t>
            </w:r>
          </w:p>
        </w:tc>
        <w:tc>
          <w:tcPr>
            <w:tcW w:w="2590" w:type="pct"/>
            <w:tcBorders>
              <w:top w:val="nil"/>
              <w:left w:val="nil"/>
              <w:bottom w:val="nil"/>
              <w:right w:val="nil"/>
            </w:tcBorders>
            <w:shd w:val="clear" w:color="000000" w:fill="FFFFFF"/>
            <w:noWrap/>
            <w:vAlign w:val="center"/>
            <w:hideMark/>
          </w:tcPr>
          <w:p w14:paraId="74617667" w14:textId="77777777" w:rsidR="00F376DC" w:rsidRPr="00F376DC" w:rsidRDefault="00F376DC">
            <w:pPr>
              <w:rPr>
                <w:rFonts w:asciiTheme="minorHAnsi" w:hAnsiTheme="minorHAnsi" w:cstheme="minorHAnsi"/>
                <w:color w:val="000000"/>
                <w:sz w:val="16"/>
                <w:szCs w:val="16"/>
              </w:rPr>
            </w:pPr>
            <w:r w:rsidRPr="00F376DC">
              <w:rPr>
                <w:rFonts w:asciiTheme="minorHAnsi" w:hAnsiTheme="minorHAnsi" w:cstheme="minorHAnsi"/>
                <w:sz w:val="16"/>
                <w:szCs w:val="16"/>
              </w:rPr>
              <w:t xml:space="preserve">Pessoal-sentenças judiciais          </w:t>
            </w:r>
          </w:p>
        </w:tc>
        <w:tc>
          <w:tcPr>
            <w:tcW w:w="119" w:type="pct"/>
            <w:tcBorders>
              <w:top w:val="nil"/>
              <w:left w:val="nil"/>
              <w:bottom w:val="nil"/>
              <w:right w:val="nil"/>
            </w:tcBorders>
            <w:shd w:val="clear" w:color="auto" w:fill="auto"/>
            <w:vAlign w:val="center"/>
            <w:hideMark/>
          </w:tcPr>
          <w:p w14:paraId="5A0851BD" w14:textId="77777777" w:rsidR="00F376DC" w:rsidRPr="00F376DC" w:rsidRDefault="00F376DC">
            <w:pPr>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nil"/>
              <w:right w:val="nil"/>
            </w:tcBorders>
            <w:shd w:val="clear" w:color="auto" w:fill="auto"/>
            <w:vAlign w:val="center"/>
            <w:hideMark/>
          </w:tcPr>
          <w:p w14:paraId="0C34B779" w14:textId="77777777" w:rsidR="00F376DC" w:rsidRPr="00F376DC" w:rsidRDefault="00F376DC">
            <w:pPr>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nil"/>
              <w:right w:val="nil"/>
            </w:tcBorders>
            <w:shd w:val="clear" w:color="auto" w:fill="auto"/>
            <w:noWrap/>
            <w:vAlign w:val="center"/>
            <w:hideMark/>
          </w:tcPr>
          <w:p w14:paraId="5D6F6171" w14:textId="77777777" w:rsidR="00F376DC" w:rsidRPr="00F376DC" w:rsidRDefault="00F376DC">
            <w:pPr>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nil"/>
              <w:right w:val="nil"/>
            </w:tcBorders>
            <w:shd w:val="clear" w:color="auto" w:fill="auto"/>
            <w:vAlign w:val="center"/>
            <w:hideMark/>
          </w:tcPr>
          <w:p w14:paraId="14FA06A4" w14:textId="77777777" w:rsidR="00F376DC" w:rsidRPr="00F376DC" w:rsidRDefault="00F376DC">
            <w:pPr>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622" w:type="pct"/>
            <w:tcBorders>
              <w:top w:val="nil"/>
              <w:left w:val="nil"/>
              <w:bottom w:val="nil"/>
              <w:right w:val="nil"/>
            </w:tcBorders>
            <w:shd w:val="clear" w:color="auto" w:fill="auto"/>
            <w:vAlign w:val="center"/>
            <w:hideMark/>
          </w:tcPr>
          <w:p w14:paraId="56DD8C35"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140.484</w:t>
            </w:r>
          </w:p>
        </w:tc>
        <w:tc>
          <w:tcPr>
            <w:tcW w:w="622" w:type="pct"/>
            <w:tcBorders>
              <w:top w:val="nil"/>
              <w:left w:val="nil"/>
              <w:bottom w:val="nil"/>
              <w:right w:val="nil"/>
            </w:tcBorders>
            <w:shd w:val="clear" w:color="auto" w:fill="auto"/>
            <w:vAlign w:val="center"/>
            <w:hideMark/>
          </w:tcPr>
          <w:p w14:paraId="0C58A3CD"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r>
      <w:tr w:rsidR="00F376DC" w:rsidRPr="00F376DC" w14:paraId="4249FE26"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299A4388"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307</w:t>
            </w:r>
          </w:p>
        </w:tc>
        <w:tc>
          <w:tcPr>
            <w:tcW w:w="2590" w:type="pct"/>
            <w:tcBorders>
              <w:top w:val="nil"/>
              <w:left w:val="nil"/>
              <w:bottom w:val="nil"/>
              <w:right w:val="nil"/>
            </w:tcBorders>
            <w:shd w:val="clear" w:color="000000" w:fill="FFFFFF"/>
            <w:noWrap/>
            <w:vAlign w:val="center"/>
            <w:hideMark/>
          </w:tcPr>
          <w:p w14:paraId="1E1D7626"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Outros pag. pessoais - órgãos integrantes SIAPE</w:t>
            </w:r>
          </w:p>
        </w:tc>
        <w:tc>
          <w:tcPr>
            <w:tcW w:w="119" w:type="pct"/>
            <w:tcBorders>
              <w:top w:val="nil"/>
              <w:left w:val="nil"/>
              <w:bottom w:val="nil"/>
              <w:right w:val="nil"/>
            </w:tcBorders>
            <w:shd w:val="clear" w:color="auto" w:fill="auto"/>
            <w:vAlign w:val="center"/>
            <w:hideMark/>
          </w:tcPr>
          <w:p w14:paraId="6B4A5D0E"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1EE0C658"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3025D2F2"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61A5180"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AB56F32"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161.433</w:t>
            </w:r>
          </w:p>
        </w:tc>
        <w:tc>
          <w:tcPr>
            <w:tcW w:w="622" w:type="pct"/>
            <w:tcBorders>
              <w:top w:val="nil"/>
              <w:left w:val="nil"/>
              <w:bottom w:val="nil"/>
              <w:right w:val="nil"/>
            </w:tcBorders>
            <w:shd w:val="clear" w:color="auto" w:fill="auto"/>
            <w:vAlign w:val="center"/>
            <w:hideMark/>
          </w:tcPr>
          <w:p w14:paraId="0D77A6E3"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r>
      <w:tr w:rsidR="00F376DC" w:rsidRPr="00F376DC" w14:paraId="4D9A41E9"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2BA7CDAD"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308</w:t>
            </w:r>
          </w:p>
        </w:tc>
        <w:tc>
          <w:tcPr>
            <w:tcW w:w="2590" w:type="pct"/>
            <w:tcBorders>
              <w:top w:val="nil"/>
              <w:left w:val="nil"/>
              <w:bottom w:val="nil"/>
              <w:right w:val="nil"/>
            </w:tcBorders>
            <w:shd w:val="clear" w:color="000000" w:fill="FFFFFF"/>
            <w:noWrap/>
            <w:vAlign w:val="center"/>
            <w:hideMark/>
          </w:tcPr>
          <w:p w14:paraId="5F8A1F77"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Contribuição previdência fechada     </w:t>
            </w:r>
          </w:p>
        </w:tc>
        <w:tc>
          <w:tcPr>
            <w:tcW w:w="119" w:type="pct"/>
            <w:tcBorders>
              <w:top w:val="nil"/>
              <w:left w:val="nil"/>
              <w:bottom w:val="nil"/>
              <w:right w:val="nil"/>
            </w:tcBorders>
            <w:shd w:val="clear" w:color="auto" w:fill="auto"/>
            <w:vAlign w:val="center"/>
            <w:hideMark/>
          </w:tcPr>
          <w:p w14:paraId="50E60C38"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246FA114"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698342D9"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6BA85CB7"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34F9C92C"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87.874</w:t>
            </w:r>
          </w:p>
        </w:tc>
        <w:tc>
          <w:tcPr>
            <w:tcW w:w="622" w:type="pct"/>
            <w:tcBorders>
              <w:top w:val="nil"/>
              <w:left w:val="nil"/>
              <w:bottom w:val="nil"/>
              <w:right w:val="nil"/>
            </w:tcBorders>
            <w:shd w:val="clear" w:color="auto" w:fill="auto"/>
            <w:vAlign w:val="center"/>
            <w:hideMark/>
          </w:tcPr>
          <w:p w14:paraId="6DA77E04"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67.864</w:t>
            </w:r>
          </w:p>
        </w:tc>
      </w:tr>
      <w:tr w:rsidR="00F376DC" w:rsidRPr="00F376DC" w14:paraId="12635C70"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31DF5532"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310</w:t>
            </w:r>
          </w:p>
        </w:tc>
        <w:tc>
          <w:tcPr>
            <w:tcW w:w="2590" w:type="pct"/>
            <w:tcBorders>
              <w:top w:val="nil"/>
              <w:left w:val="nil"/>
              <w:bottom w:val="nil"/>
              <w:right w:val="nil"/>
            </w:tcBorders>
            <w:shd w:val="clear" w:color="000000" w:fill="FFFFFF"/>
            <w:noWrap/>
            <w:vAlign w:val="center"/>
            <w:hideMark/>
          </w:tcPr>
          <w:p w14:paraId="5FD438ED" w14:textId="77777777" w:rsidR="00F376DC" w:rsidRPr="00F376DC" w:rsidRDefault="00F376DC">
            <w:pPr>
              <w:rPr>
                <w:rFonts w:asciiTheme="minorHAnsi" w:hAnsiTheme="minorHAnsi" w:cstheme="minorHAnsi"/>
                <w:color w:val="000000"/>
                <w:sz w:val="16"/>
                <w:szCs w:val="16"/>
              </w:rPr>
            </w:pPr>
            <w:r w:rsidRPr="00F376DC">
              <w:rPr>
                <w:rFonts w:asciiTheme="minorHAnsi" w:hAnsiTheme="minorHAnsi" w:cstheme="minorHAnsi"/>
                <w:sz w:val="16"/>
                <w:szCs w:val="16"/>
              </w:rPr>
              <w:t xml:space="preserve">Pagamento pessoal                    </w:t>
            </w:r>
          </w:p>
        </w:tc>
        <w:tc>
          <w:tcPr>
            <w:tcW w:w="119" w:type="pct"/>
            <w:tcBorders>
              <w:top w:val="nil"/>
              <w:left w:val="nil"/>
              <w:bottom w:val="nil"/>
              <w:right w:val="nil"/>
            </w:tcBorders>
            <w:shd w:val="clear" w:color="auto" w:fill="auto"/>
            <w:vAlign w:val="center"/>
            <w:hideMark/>
          </w:tcPr>
          <w:p w14:paraId="6B98CD2A" w14:textId="77777777" w:rsidR="00F376DC" w:rsidRPr="00F376DC" w:rsidRDefault="00F376DC">
            <w:pPr>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6003A1C4" w14:textId="77777777" w:rsidR="00F376DC" w:rsidRPr="00F376DC" w:rsidRDefault="00F376DC">
            <w:pPr>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0661D06C" w14:textId="77777777" w:rsidR="00F376DC" w:rsidRPr="00F376DC" w:rsidRDefault="00F376DC">
            <w:pPr>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71856824" w14:textId="77777777" w:rsidR="00F376DC" w:rsidRPr="00F376DC" w:rsidRDefault="00F376DC">
            <w:pPr>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5F93407"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8.003.157</w:t>
            </w:r>
          </w:p>
        </w:tc>
        <w:tc>
          <w:tcPr>
            <w:tcW w:w="622" w:type="pct"/>
            <w:tcBorders>
              <w:top w:val="nil"/>
              <w:left w:val="nil"/>
              <w:bottom w:val="nil"/>
              <w:right w:val="nil"/>
            </w:tcBorders>
            <w:shd w:val="clear" w:color="auto" w:fill="auto"/>
            <w:vAlign w:val="center"/>
            <w:hideMark/>
          </w:tcPr>
          <w:p w14:paraId="644DA943"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5.957.149</w:t>
            </w:r>
          </w:p>
        </w:tc>
      </w:tr>
      <w:tr w:rsidR="00F376DC" w:rsidRPr="00F376DC" w14:paraId="612EA651"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08DDFA26"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340</w:t>
            </w:r>
          </w:p>
        </w:tc>
        <w:tc>
          <w:tcPr>
            <w:tcW w:w="2590" w:type="pct"/>
            <w:tcBorders>
              <w:top w:val="nil"/>
              <w:left w:val="nil"/>
              <w:bottom w:val="nil"/>
              <w:right w:val="nil"/>
            </w:tcBorders>
            <w:shd w:val="clear" w:color="000000" w:fill="FFFFFF"/>
            <w:noWrap/>
            <w:vAlign w:val="center"/>
            <w:hideMark/>
          </w:tcPr>
          <w:p w14:paraId="46D245E4"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Custeio sentenças judiciais</w:t>
            </w:r>
          </w:p>
        </w:tc>
        <w:tc>
          <w:tcPr>
            <w:tcW w:w="119" w:type="pct"/>
            <w:tcBorders>
              <w:top w:val="nil"/>
              <w:left w:val="nil"/>
              <w:bottom w:val="nil"/>
              <w:right w:val="nil"/>
            </w:tcBorders>
            <w:shd w:val="clear" w:color="auto" w:fill="auto"/>
            <w:vAlign w:val="center"/>
            <w:hideMark/>
          </w:tcPr>
          <w:p w14:paraId="0BD01D9D"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4A0CC516"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66F1A78B"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5FB5756E"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4F66F96B"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60.000,00</w:t>
            </w:r>
          </w:p>
        </w:tc>
        <w:tc>
          <w:tcPr>
            <w:tcW w:w="622" w:type="pct"/>
            <w:tcBorders>
              <w:top w:val="nil"/>
              <w:left w:val="nil"/>
              <w:bottom w:val="nil"/>
              <w:right w:val="nil"/>
            </w:tcBorders>
            <w:shd w:val="clear" w:color="auto" w:fill="auto"/>
            <w:vAlign w:val="center"/>
            <w:hideMark/>
          </w:tcPr>
          <w:p w14:paraId="3C7B4C66"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r>
      <w:tr w:rsidR="00F376DC" w:rsidRPr="00F376DC" w14:paraId="4E42868F"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55AF5348"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400</w:t>
            </w:r>
          </w:p>
        </w:tc>
        <w:tc>
          <w:tcPr>
            <w:tcW w:w="2590" w:type="pct"/>
            <w:tcBorders>
              <w:top w:val="nil"/>
              <w:left w:val="nil"/>
              <w:bottom w:val="nil"/>
              <w:right w:val="nil"/>
            </w:tcBorders>
            <w:shd w:val="clear" w:color="000000" w:fill="FFFFFF"/>
            <w:noWrap/>
            <w:vAlign w:val="center"/>
            <w:hideMark/>
          </w:tcPr>
          <w:p w14:paraId="421AD38A"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Custeio/invest. c/exigência de empenho  </w:t>
            </w:r>
          </w:p>
        </w:tc>
        <w:tc>
          <w:tcPr>
            <w:tcW w:w="119" w:type="pct"/>
            <w:tcBorders>
              <w:top w:val="nil"/>
              <w:left w:val="nil"/>
              <w:bottom w:val="nil"/>
              <w:right w:val="nil"/>
            </w:tcBorders>
            <w:shd w:val="clear" w:color="auto" w:fill="auto"/>
            <w:vAlign w:val="center"/>
            <w:hideMark/>
          </w:tcPr>
          <w:p w14:paraId="1A321B91"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0F5859A1"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4B7321B2"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1AE089F3"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3318F26A"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50.351.597</w:t>
            </w:r>
          </w:p>
        </w:tc>
        <w:tc>
          <w:tcPr>
            <w:tcW w:w="622" w:type="pct"/>
            <w:tcBorders>
              <w:top w:val="nil"/>
              <w:left w:val="nil"/>
              <w:bottom w:val="nil"/>
              <w:right w:val="nil"/>
            </w:tcBorders>
            <w:shd w:val="clear" w:color="auto" w:fill="auto"/>
            <w:vAlign w:val="center"/>
            <w:hideMark/>
          </w:tcPr>
          <w:p w14:paraId="5F189CC1"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18.147.951</w:t>
            </w:r>
          </w:p>
        </w:tc>
      </w:tr>
      <w:tr w:rsidR="00F376DC" w:rsidRPr="00F376DC" w14:paraId="111DCFD6"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6930EBBF"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404</w:t>
            </w:r>
          </w:p>
        </w:tc>
        <w:tc>
          <w:tcPr>
            <w:tcW w:w="2590" w:type="pct"/>
            <w:tcBorders>
              <w:top w:val="nil"/>
              <w:left w:val="nil"/>
              <w:bottom w:val="nil"/>
              <w:right w:val="nil"/>
            </w:tcBorders>
            <w:shd w:val="clear" w:color="000000" w:fill="FFFFFF"/>
            <w:noWrap/>
            <w:vAlign w:val="center"/>
            <w:hideMark/>
          </w:tcPr>
          <w:p w14:paraId="14D0E963"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Custeio/invest. outras emendas impositivas</w:t>
            </w:r>
          </w:p>
        </w:tc>
        <w:tc>
          <w:tcPr>
            <w:tcW w:w="119" w:type="pct"/>
            <w:tcBorders>
              <w:top w:val="nil"/>
              <w:left w:val="nil"/>
              <w:bottom w:val="nil"/>
              <w:right w:val="nil"/>
            </w:tcBorders>
            <w:shd w:val="clear" w:color="auto" w:fill="auto"/>
            <w:vAlign w:val="center"/>
            <w:hideMark/>
          </w:tcPr>
          <w:p w14:paraId="2D963D21"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77B3DD5F"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4A40832B"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27F4D3A0"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76677424"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c>
          <w:tcPr>
            <w:tcW w:w="622" w:type="pct"/>
            <w:tcBorders>
              <w:top w:val="nil"/>
              <w:left w:val="nil"/>
              <w:bottom w:val="nil"/>
              <w:right w:val="nil"/>
            </w:tcBorders>
            <w:shd w:val="clear" w:color="auto" w:fill="auto"/>
            <w:vAlign w:val="center"/>
            <w:hideMark/>
          </w:tcPr>
          <w:p w14:paraId="79DF932B"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r>
      <w:tr w:rsidR="00F376DC" w:rsidRPr="00F376DC" w14:paraId="6F9A85F8"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3FBAF7EB"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409</w:t>
            </w:r>
          </w:p>
        </w:tc>
        <w:tc>
          <w:tcPr>
            <w:tcW w:w="2590" w:type="pct"/>
            <w:tcBorders>
              <w:top w:val="nil"/>
              <w:left w:val="nil"/>
              <w:bottom w:val="nil"/>
              <w:right w:val="nil"/>
            </w:tcBorders>
            <w:shd w:val="clear" w:color="000000" w:fill="FFFFFF"/>
            <w:noWrap/>
            <w:vAlign w:val="center"/>
            <w:hideMark/>
          </w:tcPr>
          <w:p w14:paraId="02C5CE89"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Emendas Resultado EOF -9</w:t>
            </w:r>
          </w:p>
        </w:tc>
        <w:tc>
          <w:tcPr>
            <w:tcW w:w="119" w:type="pct"/>
            <w:tcBorders>
              <w:top w:val="nil"/>
              <w:left w:val="nil"/>
              <w:bottom w:val="nil"/>
              <w:right w:val="nil"/>
            </w:tcBorders>
            <w:shd w:val="clear" w:color="auto" w:fill="auto"/>
            <w:vAlign w:val="center"/>
            <w:hideMark/>
          </w:tcPr>
          <w:p w14:paraId="79912147"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4FB693E2"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A543605"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7BA92D63"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43F2B6C"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617.681</w:t>
            </w:r>
          </w:p>
        </w:tc>
        <w:tc>
          <w:tcPr>
            <w:tcW w:w="622" w:type="pct"/>
            <w:tcBorders>
              <w:top w:val="nil"/>
              <w:left w:val="nil"/>
              <w:bottom w:val="nil"/>
              <w:right w:val="nil"/>
            </w:tcBorders>
            <w:shd w:val="clear" w:color="auto" w:fill="auto"/>
            <w:vAlign w:val="center"/>
            <w:hideMark/>
          </w:tcPr>
          <w:p w14:paraId="26719CD6"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523.505</w:t>
            </w:r>
          </w:p>
        </w:tc>
      </w:tr>
      <w:tr w:rsidR="00F376DC" w:rsidRPr="00F376DC" w14:paraId="370CC9A2"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16127F32"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412</w:t>
            </w:r>
          </w:p>
        </w:tc>
        <w:tc>
          <w:tcPr>
            <w:tcW w:w="2590" w:type="pct"/>
            <w:tcBorders>
              <w:top w:val="nil"/>
              <w:left w:val="nil"/>
              <w:bottom w:val="nil"/>
              <w:right w:val="nil"/>
            </w:tcBorders>
            <w:shd w:val="clear" w:color="000000" w:fill="FFFFFF"/>
            <w:noWrap/>
            <w:vAlign w:val="center"/>
            <w:hideMark/>
          </w:tcPr>
          <w:p w14:paraId="5EA65DA1"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Pagamento de cartão de crédito</w:t>
            </w:r>
          </w:p>
        </w:tc>
        <w:tc>
          <w:tcPr>
            <w:tcW w:w="119" w:type="pct"/>
            <w:tcBorders>
              <w:top w:val="nil"/>
              <w:left w:val="nil"/>
              <w:bottom w:val="nil"/>
              <w:right w:val="nil"/>
            </w:tcBorders>
            <w:shd w:val="clear" w:color="auto" w:fill="auto"/>
            <w:vAlign w:val="center"/>
            <w:hideMark/>
          </w:tcPr>
          <w:p w14:paraId="2F62D9BB"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7E47B884"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07E9B23"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41258DE"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3EE81D9B"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c>
          <w:tcPr>
            <w:tcW w:w="622" w:type="pct"/>
            <w:tcBorders>
              <w:top w:val="nil"/>
              <w:left w:val="nil"/>
              <w:bottom w:val="nil"/>
              <w:right w:val="nil"/>
            </w:tcBorders>
            <w:shd w:val="clear" w:color="auto" w:fill="auto"/>
            <w:vAlign w:val="center"/>
            <w:hideMark/>
          </w:tcPr>
          <w:p w14:paraId="69C49ECB"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r>
      <w:tr w:rsidR="00F376DC" w:rsidRPr="00F376DC" w14:paraId="2310E141"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00A0174F"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415</w:t>
            </w:r>
          </w:p>
        </w:tc>
        <w:tc>
          <w:tcPr>
            <w:tcW w:w="2590" w:type="pct"/>
            <w:tcBorders>
              <w:top w:val="nil"/>
              <w:left w:val="nil"/>
              <w:bottom w:val="nil"/>
              <w:right w:val="nil"/>
            </w:tcBorders>
            <w:shd w:val="clear" w:color="000000" w:fill="FFFFFF"/>
            <w:noWrap/>
            <w:vAlign w:val="center"/>
            <w:hideMark/>
          </w:tcPr>
          <w:p w14:paraId="18AAE1CE"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Custeio/invest. projeto piloto </w:t>
            </w:r>
          </w:p>
        </w:tc>
        <w:tc>
          <w:tcPr>
            <w:tcW w:w="119" w:type="pct"/>
            <w:tcBorders>
              <w:top w:val="nil"/>
              <w:left w:val="nil"/>
              <w:bottom w:val="nil"/>
              <w:right w:val="nil"/>
            </w:tcBorders>
            <w:shd w:val="clear" w:color="auto" w:fill="auto"/>
            <w:vAlign w:val="center"/>
            <w:hideMark/>
          </w:tcPr>
          <w:p w14:paraId="6EA566D6"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5A6724A0"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41F5008A"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6F2295FB"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1CE0B4F3"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c>
          <w:tcPr>
            <w:tcW w:w="622" w:type="pct"/>
            <w:tcBorders>
              <w:top w:val="nil"/>
              <w:left w:val="nil"/>
              <w:bottom w:val="nil"/>
              <w:right w:val="nil"/>
            </w:tcBorders>
            <w:shd w:val="clear" w:color="auto" w:fill="auto"/>
            <w:vAlign w:val="center"/>
            <w:hideMark/>
          </w:tcPr>
          <w:p w14:paraId="738A7E01"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r>
      <w:tr w:rsidR="00F376DC" w:rsidRPr="00F376DC" w14:paraId="132D53B1"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599E3BE0"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500</w:t>
            </w:r>
          </w:p>
        </w:tc>
        <w:tc>
          <w:tcPr>
            <w:tcW w:w="2590" w:type="pct"/>
            <w:tcBorders>
              <w:top w:val="nil"/>
              <w:left w:val="nil"/>
              <w:bottom w:val="nil"/>
              <w:right w:val="nil"/>
            </w:tcBorders>
            <w:shd w:val="clear" w:color="000000" w:fill="FFFFFF"/>
            <w:noWrap/>
            <w:vAlign w:val="center"/>
            <w:hideMark/>
          </w:tcPr>
          <w:p w14:paraId="266BE23C"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Custeio e investimento</w:t>
            </w:r>
          </w:p>
        </w:tc>
        <w:tc>
          <w:tcPr>
            <w:tcW w:w="119" w:type="pct"/>
            <w:tcBorders>
              <w:top w:val="nil"/>
              <w:left w:val="nil"/>
              <w:bottom w:val="nil"/>
              <w:right w:val="nil"/>
            </w:tcBorders>
            <w:shd w:val="clear" w:color="auto" w:fill="auto"/>
            <w:vAlign w:val="center"/>
            <w:hideMark/>
          </w:tcPr>
          <w:p w14:paraId="13D2D3D1"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1A14BF5C"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8FDFC5F"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2C79B15"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E9554EA"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c>
          <w:tcPr>
            <w:tcW w:w="622" w:type="pct"/>
            <w:tcBorders>
              <w:top w:val="nil"/>
              <w:left w:val="nil"/>
              <w:bottom w:val="nil"/>
              <w:right w:val="nil"/>
            </w:tcBorders>
            <w:shd w:val="clear" w:color="auto" w:fill="auto"/>
            <w:vAlign w:val="center"/>
            <w:hideMark/>
          </w:tcPr>
          <w:p w14:paraId="31E75825"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7.322.036</w:t>
            </w:r>
          </w:p>
        </w:tc>
      </w:tr>
      <w:tr w:rsidR="00F376DC" w:rsidRPr="00F376DC" w14:paraId="0CD963FC"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4CF07562"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510</w:t>
            </w:r>
          </w:p>
        </w:tc>
        <w:tc>
          <w:tcPr>
            <w:tcW w:w="2590" w:type="pct"/>
            <w:tcBorders>
              <w:top w:val="nil"/>
              <w:left w:val="nil"/>
              <w:bottom w:val="nil"/>
              <w:right w:val="nil"/>
            </w:tcBorders>
            <w:shd w:val="clear" w:color="000000" w:fill="FFFFFF"/>
            <w:noWrap/>
            <w:vAlign w:val="center"/>
            <w:hideMark/>
          </w:tcPr>
          <w:p w14:paraId="3FD40067"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Custeio pgto. pessoal/auxílios        </w:t>
            </w:r>
          </w:p>
        </w:tc>
        <w:tc>
          <w:tcPr>
            <w:tcW w:w="119" w:type="pct"/>
            <w:tcBorders>
              <w:top w:val="nil"/>
              <w:left w:val="nil"/>
              <w:bottom w:val="nil"/>
              <w:right w:val="nil"/>
            </w:tcBorders>
            <w:shd w:val="clear" w:color="auto" w:fill="auto"/>
            <w:vAlign w:val="center"/>
            <w:hideMark/>
          </w:tcPr>
          <w:p w14:paraId="4320340D"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4579BF3F"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6AAABCA2"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3139082"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109B9628"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1.437.768</w:t>
            </w:r>
          </w:p>
        </w:tc>
        <w:tc>
          <w:tcPr>
            <w:tcW w:w="622" w:type="pct"/>
            <w:tcBorders>
              <w:top w:val="nil"/>
              <w:left w:val="nil"/>
              <w:bottom w:val="nil"/>
              <w:right w:val="nil"/>
            </w:tcBorders>
            <w:shd w:val="clear" w:color="auto" w:fill="auto"/>
            <w:vAlign w:val="center"/>
            <w:hideMark/>
          </w:tcPr>
          <w:p w14:paraId="3BDC4896"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288.786</w:t>
            </w:r>
          </w:p>
        </w:tc>
      </w:tr>
      <w:tr w:rsidR="00F376DC" w:rsidRPr="00F376DC" w14:paraId="147EEBAD"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0ADD6496"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514</w:t>
            </w:r>
          </w:p>
        </w:tc>
        <w:tc>
          <w:tcPr>
            <w:tcW w:w="2590" w:type="pct"/>
            <w:tcBorders>
              <w:top w:val="nil"/>
              <w:left w:val="nil"/>
              <w:bottom w:val="nil"/>
              <w:right w:val="nil"/>
            </w:tcBorders>
            <w:shd w:val="clear" w:color="000000" w:fill="FFFFFF"/>
            <w:noWrap/>
            <w:vAlign w:val="center"/>
            <w:hideMark/>
          </w:tcPr>
          <w:p w14:paraId="6A687E25"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Custeio Pagamento Pessoal/Auxílios- Resultado. Primário</w:t>
            </w:r>
          </w:p>
        </w:tc>
        <w:tc>
          <w:tcPr>
            <w:tcW w:w="119" w:type="pct"/>
            <w:tcBorders>
              <w:top w:val="nil"/>
              <w:left w:val="nil"/>
              <w:bottom w:val="nil"/>
              <w:right w:val="nil"/>
            </w:tcBorders>
            <w:shd w:val="clear" w:color="auto" w:fill="auto"/>
            <w:vAlign w:val="center"/>
            <w:hideMark/>
          </w:tcPr>
          <w:p w14:paraId="45BC3F5C"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61D7982B"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6F58B1B"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4E64A59"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01BF1360"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54.533</w:t>
            </w:r>
          </w:p>
        </w:tc>
        <w:tc>
          <w:tcPr>
            <w:tcW w:w="622" w:type="pct"/>
            <w:tcBorders>
              <w:top w:val="nil"/>
              <w:left w:val="nil"/>
              <w:bottom w:val="nil"/>
              <w:right w:val="nil"/>
            </w:tcBorders>
            <w:shd w:val="clear" w:color="auto" w:fill="auto"/>
            <w:vAlign w:val="center"/>
            <w:hideMark/>
          </w:tcPr>
          <w:p w14:paraId="1A56F197"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43.687</w:t>
            </w:r>
          </w:p>
        </w:tc>
      </w:tr>
      <w:tr w:rsidR="00F376DC" w:rsidRPr="00F376DC" w14:paraId="2D27A0B9" w14:textId="77777777" w:rsidTr="00F376DC">
        <w:trPr>
          <w:trHeight w:hRule="exact" w:val="227"/>
        </w:trPr>
        <w:tc>
          <w:tcPr>
            <w:tcW w:w="690" w:type="pct"/>
            <w:tcBorders>
              <w:top w:val="nil"/>
              <w:left w:val="nil"/>
              <w:bottom w:val="single" w:sz="8" w:space="0" w:color="auto"/>
              <w:right w:val="nil"/>
            </w:tcBorders>
            <w:shd w:val="clear" w:color="000000" w:fill="FFFFFF"/>
            <w:noWrap/>
            <w:vAlign w:val="center"/>
            <w:hideMark/>
          </w:tcPr>
          <w:p w14:paraId="642410B4"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551</w:t>
            </w:r>
          </w:p>
        </w:tc>
        <w:tc>
          <w:tcPr>
            <w:tcW w:w="2590" w:type="pct"/>
            <w:tcBorders>
              <w:top w:val="nil"/>
              <w:left w:val="nil"/>
              <w:bottom w:val="single" w:sz="8" w:space="0" w:color="auto"/>
              <w:right w:val="nil"/>
            </w:tcBorders>
            <w:shd w:val="clear" w:color="000000" w:fill="FFFFFF"/>
            <w:noWrap/>
            <w:vAlign w:val="center"/>
            <w:hideMark/>
          </w:tcPr>
          <w:p w14:paraId="56A1C6D2"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Restituição de receita administrada</w:t>
            </w:r>
          </w:p>
        </w:tc>
        <w:tc>
          <w:tcPr>
            <w:tcW w:w="119" w:type="pct"/>
            <w:tcBorders>
              <w:top w:val="nil"/>
              <w:left w:val="nil"/>
              <w:bottom w:val="single" w:sz="8" w:space="0" w:color="auto"/>
              <w:right w:val="nil"/>
            </w:tcBorders>
            <w:shd w:val="clear" w:color="auto" w:fill="auto"/>
            <w:vAlign w:val="center"/>
            <w:hideMark/>
          </w:tcPr>
          <w:p w14:paraId="175542AE"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single" w:sz="8" w:space="0" w:color="auto"/>
              <w:right w:val="nil"/>
            </w:tcBorders>
            <w:shd w:val="clear" w:color="auto" w:fill="auto"/>
            <w:vAlign w:val="center"/>
            <w:hideMark/>
          </w:tcPr>
          <w:p w14:paraId="3CEBBF43"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single" w:sz="8" w:space="0" w:color="auto"/>
              <w:right w:val="nil"/>
            </w:tcBorders>
            <w:shd w:val="clear" w:color="auto" w:fill="auto"/>
            <w:noWrap/>
            <w:vAlign w:val="center"/>
            <w:hideMark/>
          </w:tcPr>
          <w:p w14:paraId="3B155411"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single" w:sz="8" w:space="0" w:color="auto"/>
              <w:right w:val="nil"/>
            </w:tcBorders>
            <w:shd w:val="clear" w:color="auto" w:fill="auto"/>
            <w:vAlign w:val="center"/>
            <w:hideMark/>
          </w:tcPr>
          <w:p w14:paraId="3C46EB24"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622" w:type="pct"/>
            <w:tcBorders>
              <w:top w:val="nil"/>
              <w:left w:val="nil"/>
              <w:bottom w:val="single" w:sz="8" w:space="0" w:color="auto"/>
              <w:right w:val="nil"/>
            </w:tcBorders>
            <w:shd w:val="clear" w:color="auto" w:fill="auto"/>
            <w:vAlign w:val="center"/>
            <w:hideMark/>
          </w:tcPr>
          <w:p w14:paraId="07B78B30"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c>
          <w:tcPr>
            <w:tcW w:w="622" w:type="pct"/>
            <w:tcBorders>
              <w:top w:val="nil"/>
              <w:left w:val="nil"/>
              <w:bottom w:val="single" w:sz="8" w:space="0" w:color="auto"/>
              <w:right w:val="nil"/>
            </w:tcBorders>
            <w:shd w:val="clear" w:color="auto" w:fill="auto"/>
            <w:vAlign w:val="center"/>
            <w:hideMark/>
          </w:tcPr>
          <w:p w14:paraId="27637260"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r>
      <w:tr w:rsidR="00F376DC" w:rsidRPr="00F376DC" w14:paraId="712AE7E3" w14:textId="77777777" w:rsidTr="00F376DC">
        <w:trPr>
          <w:trHeight w:hRule="exact" w:val="227"/>
        </w:trPr>
        <w:tc>
          <w:tcPr>
            <w:tcW w:w="690" w:type="pct"/>
            <w:tcBorders>
              <w:top w:val="nil"/>
              <w:left w:val="nil"/>
              <w:bottom w:val="single" w:sz="8" w:space="0" w:color="auto"/>
              <w:right w:val="nil"/>
            </w:tcBorders>
            <w:shd w:val="clear" w:color="000000" w:fill="FFFFFF"/>
            <w:noWrap/>
            <w:vAlign w:val="center"/>
            <w:hideMark/>
          </w:tcPr>
          <w:p w14:paraId="644D967F" w14:textId="77777777" w:rsidR="00F376DC" w:rsidRPr="00F376DC" w:rsidRDefault="00F376DC">
            <w:pPr>
              <w:rPr>
                <w:rFonts w:asciiTheme="minorHAnsi" w:hAnsiTheme="minorHAnsi" w:cstheme="minorHAnsi"/>
                <w:b/>
                <w:bCs/>
                <w:color w:val="000000"/>
                <w:sz w:val="16"/>
                <w:szCs w:val="16"/>
              </w:rPr>
            </w:pPr>
            <w:r w:rsidRPr="00F376DC">
              <w:rPr>
                <w:rFonts w:asciiTheme="minorHAnsi" w:hAnsiTheme="minorHAnsi" w:cstheme="minorHAnsi"/>
                <w:b/>
                <w:bCs/>
                <w:sz w:val="16"/>
                <w:szCs w:val="16"/>
              </w:rPr>
              <w:t xml:space="preserve">          TOTAL </w:t>
            </w:r>
          </w:p>
        </w:tc>
        <w:tc>
          <w:tcPr>
            <w:tcW w:w="2590" w:type="pct"/>
            <w:tcBorders>
              <w:top w:val="nil"/>
              <w:left w:val="nil"/>
              <w:bottom w:val="single" w:sz="8" w:space="0" w:color="auto"/>
              <w:right w:val="nil"/>
            </w:tcBorders>
            <w:shd w:val="clear" w:color="000000" w:fill="FFFFFF"/>
            <w:noWrap/>
            <w:vAlign w:val="bottom"/>
            <w:hideMark/>
          </w:tcPr>
          <w:p w14:paraId="0F93764F" w14:textId="77777777" w:rsidR="00F376DC" w:rsidRPr="00F376DC" w:rsidRDefault="00F376DC">
            <w:pPr>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272E64F4"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39E3BD95"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noWrap/>
            <w:vAlign w:val="center"/>
            <w:hideMark/>
          </w:tcPr>
          <w:p w14:paraId="70ECC7E8"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46BDF3C3"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622" w:type="pct"/>
            <w:tcBorders>
              <w:top w:val="nil"/>
              <w:left w:val="nil"/>
              <w:bottom w:val="single" w:sz="8" w:space="0" w:color="auto"/>
              <w:right w:val="nil"/>
            </w:tcBorders>
            <w:shd w:val="clear" w:color="000000" w:fill="FFFFFF"/>
            <w:vAlign w:val="center"/>
            <w:hideMark/>
          </w:tcPr>
          <w:p w14:paraId="003D49A6"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sz w:val="16"/>
                <w:szCs w:val="16"/>
              </w:rPr>
              <w:t>60.914.526</w:t>
            </w:r>
          </w:p>
        </w:tc>
        <w:tc>
          <w:tcPr>
            <w:tcW w:w="622" w:type="pct"/>
            <w:tcBorders>
              <w:top w:val="nil"/>
              <w:left w:val="nil"/>
              <w:bottom w:val="single" w:sz="8" w:space="0" w:color="auto"/>
              <w:right w:val="nil"/>
            </w:tcBorders>
            <w:shd w:val="clear" w:color="000000" w:fill="FFFFFF"/>
            <w:vAlign w:val="center"/>
            <w:hideMark/>
          </w:tcPr>
          <w:p w14:paraId="4A3F158F"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sz w:val="16"/>
                <w:szCs w:val="16"/>
              </w:rPr>
              <w:t>32.350.978</w:t>
            </w:r>
          </w:p>
        </w:tc>
      </w:tr>
    </w:tbl>
    <w:p w14:paraId="17F70995" w14:textId="77777777" w:rsidR="00C2370F" w:rsidRDefault="00C2370F" w:rsidP="002E2B5B">
      <w:pPr>
        <w:rPr>
          <w:rFonts w:ascii="Calibri" w:hAnsi="Calibri" w:cs="Calibri"/>
          <w:b/>
          <w:sz w:val="22"/>
          <w:szCs w:val="22"/>
        </w:rPr>
      </w:pPr>
    </w:p>
    <w:p w14:paraId="26B8ACB0" w14:textId="64FB4E48" w:rsidR="0048519F" w:rsidRPr="002E2B5B" w:rsidRDefault="00D22F5E" w:rsidP="002E2B5B">
      <w:pPr>
        <w:rPr>
          <w:rFonts w:ascii="Calibri" w:hAnsi="Calibri" w:cs="Calibri"/>
          <w:b/>
          <w:sz w:val="22"/>
          <w:szCs w:val="22"/>
        </w:rPr>
      </w:pPr>
      <w:r w:rsidRPr="002E2B5B">
        <w:rPr>
          <w:rFonts w:ascii="Calibri" w:hAnsi="Calibri" w:cs="Calibri"/>
          <w:b/>
          <w:sz w:val="22"/>
          <w:szCs w:val="22"/>
        </w:rPr>
        <w:t xml:space="preserve">NOTA </w:t>
      </w:r>
      <w:r w:rsidR="00E32899">
        <w:rPr>
          <w:rFonts w:ascii="Calibri" w:hAnsi="Calibri" w:cs="Calibri"/>
          <w:b/>
          <w:sz w:val="22"/>
          <w:szCs w:val="22"/>
        </w:rPr>
        <w:t>4</w:t>
      </w:r>
      <w:r w:rsidR="000A7290" w:rsidRPr="002E2B5B">
        <w:rPr>
          <w:rFonts w:ascii="Calibri" w:hAnsi="Calibri" w:cs="Calibri"/>
          <w:b/>
          <w:sz w:val="22"/>
          <w:szCs w:val="22"/>
        </w:rPr>
        <w:t xml:space="preserve"> – </w:t>
      </w:r>
      <w:r w:rsidR="00865EDF" w:rsidRPr="002E2B5B">
        <w:rPr>
          <w:rFonts w:ascii="Calibri" w:hAnsi="Calibri" w:cs="Calibri"/>
          <w:b/>
          <w:sz w:val="22"/>
          <w:szCs w:val="22"/>
        </w:rPr>
        <w:t>DIREITO REALIZÁVEIS A CURTO PRAZO</w:t>
      </w:r>
    </w:p>
    <w:p w14:paraId="15C5A957" w14:textId="77777777" w:rsidR="00865EDF" w:rsidRPr="002E2B5B" w:rsidRDefault="00865EDF" w:rsidP="002E2B5B">
      <w:pPr>
        <w:rPr>
          <w:rFonts w:ascii="Calibri" w:hAnsi="Calibri" w:cs="Calibri"/>
          <w:b/>
          <w:sz w:val="22"/>
          <w:szCs w:val="22"/>
        </w:rPr>
      </w:pPr>
    </w:p>
    <w:p w14:paraId="5AFE3A6E" w14:textId="77777777" w:rsidR="009C50C2" w:rsidRPr="002E2B5B" w:rsidRDefault="009147A6" w:rsidP="002E2B5B">
      <w:pPr>
        <w:numPr>
          <w:ilvl w:val="0"/>
          <w:numId w:val="10"/>
        </w:numPr>
        <w:ind w:left="284" w:hanging="284"/>
        <w:rPr>
          <w:rFonts w:ascii="Calibri" w:hAnsi="Calibri" w:cs="Calibri"/>
          <w:b/>
          <w:sz w:val="22"/>
          <w:szCs w:val="22"/>
        </w:rPr>
      </w:pPr>
      <w:r w:rsidRPr="002E2B5B">
        <w:rPr>
          <w:rFonts w:ascii="Calibri" w:hAnsi="Calibri" w:cs="Calibri"/>
          <w:b/>
          <w:sz w:val="22"/>
          <w:szCs w:val="22"/>
        </w:rPr>
        <w:t>Adiantamentos Concedidos</w:t>
      </w:r>
    </w:p>
    <w:tbl>
      <w:tblPr>
        <w:tblW w:w="5001" w:type="pct"/>
        <w:tblCellMar>
          <w:left w:w="70" w:type="dxa"/>
          <w:right w:w="70" w:type="dxa"/>
        </w:tblCellMar>
        <w:tblLook w:val="04A0" w:firstRow="1" w:lastRow="0" w:firstColumn="1" w:lastColumn="0" w:noHBand="0" w:noVBand="1"/>
      </w:tblPr>
      <w:tblGrid>
        <w:gridCol w:w="3972"/>
        <w:gridCol w:w="888"/>
        <w:gridCol w:w="888"/>
        <w:gridCol w:w="678"/>
        <w:gridCol w:w="1059"/>
        <w:gridCol w:w="515"/>
        <w:gridCol w:w="1059"/>
        <w:gridCol w:w="459"/>
        <w:gridCol w:w="951"/>
      </w:tblGrid>
      <w:tr w:rsidR="00F57038" w:rsidRPr="002E2B5B" w14:paraId="167F7B80" w14:textId="77777777" w:rsidTr="00B23D01">
        <w:trPr>
          <w:trHeight w:hRule="exact" w:val="227"/>
        </w:trPr>
        <w:tc>
          <w:tcPr>
            <w:tcW w:w="1897" w:type="pct"/>
            <w:tcBorders>
              <w:top w:val="nil"/>
              <w:left w:val="nil"/>
              <w:bottom w:val="single" w:sz="8" w:space="0" w:color="auto"/>
              <w:right w:val="nil"/>
            </w:tcBorders>
            <w:shd w:val="clear" w:color="auto" w:fill="auto"/>
            <w:noWrap/>
            <w:vAlign w:val="center"/>
            <w:hideMark/>
          </w:tcPr>
          <w:p w14:paraId="66148745" w14:textId="77777777" w:rsidR="00F57038" w:rsidRPr="002E2B5B" w:rsidRDefault="00F57038" w:rsidP="00F57038">
            <w:pPr>
              <w:rPr>
                <w:rFonts w:ascii="Calibri" w:hAnsi="Calibri" w:cs="Calibri"/>
                <w:b/>
                <w:bCs/>
                <w:color w:val="000000"/>
                <w:sz w:val="16"/>
                <w:szCs w:val="16"/>
              </w:rPr>
            </w:pPr>
            <w:r w:rsidRPr="002E2B5B">
              <w:rPr>
                <w:rFonts w:ascii="Calibri" w:hAnsi="Calibri" w:cs="Calibri"/>
                <w:b/>
                <w:bCs/>
                <w:color w:val="000000"/>
                <w:sz w:val="16"/>
                <w:szCs w:val="16"/>
              </w:rPr>
              <w:t>ADIANTAMENTOS (RFFSA – GEIPOT – VALEC)</w:t>
            </w:r>
          </w:p>
        </w:tc>
        <w:tc>
          <w:tcPr>
            <w:tcW w:w="424" w:type="pct"/>
            <w:tcBorders>
              <w:top w:val="nil"/>
              <w:left w:val="nil"/>
              <w:bottom w:val="single" w:sz="8" w:space="0" w:color="auto"/>
              <w:right w:val="nil"/>
            </w:tcBorders>
            <w:shd w:val="clear" w:color="auto" w:fill="auto"/>
            <w:noWrap/>
            <w:vAlign w:val="bottom"/>
            <w:hideMark/>
          </w:tcPr>
          <w:p w14:paraId="3C963ED4"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24" w:type="pct"/>
            <w:tcBorders>
              <w:top w:val="nil"/>
              <w:left w:val="nil"/>
              <w:bottom w:val="single" w:sz="8" w:space="0" w:color="auto"/>
              <w:right w:val="nil"/>
            </w:tcBorders>
            <w:shd w:val="clear" w:color="auto" w:fill="auto"/>
            <w:noWrap/>
            <w:vAlign w:val="bottom"/>
            <w:hideMark/>
          </w:tcPr>
          <w:p w14:paraId="6AF51FE8"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324" w:type="pct"/>
            <w:tcBorders>
              <w:top w:val="nil"/>
              <w:left w:val="nil"/>
              <w:bottom w:val="single" w:sz="8" w:space="0" w:color="auto"/>
              <w:right w:val="nil"/>
            </w:tcBorders>
            <w:shd w:val="clear" w:color="auto" w:fill="auto"/>
            <w:vAlign w:val="center"/>
            <w:hideMark/>
          </w:tcPr>
          <w:p w14:paraId="58D5FFC4" w14:textId="77777777" w:rsidR="00F57038" w:rsidRPr="002E2B5B" w:rsidRDefault="00F57038" w:rsidP="00F57038">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506" w:type="pct"/>
            <w:tcBorders>
              <w:top w:val="nil"/>
              <w:left w:val="nil"/>
              <w:bottom w:val="single" w:sz="8" w:space="0" w:color="auto"/>
              <w:right w:val="nil"/>
            </w:tcBorders>
            <w:shd w:val="clear" w:color="auto" w:fill="auto"/>
            <w:noWrap/>
            <w:vAlign w:val="center"/>
          </w:tcPr>
          <w:p w14:paraId="24C1DF0B" w14:textId="77777777" w:rsidR="00F57038" w:rsidRPr="002E2B5B" w:rsidRDefault="00F57038" w:rsidP="00F57038">
            <w:pPr>
              <w:jc w:val="right"/>
              <w:rPr>
                <w:rFonts w:ascii="Calibri" w:hAnsi="Calibri" w:cs="Calibri"/>
                <w:b/>
                <w:bCs/>
                <w:color w:val="000000"/>
                <w:sz w:val="16"/>
                <w:szCs w:val="16"/>
              </w:rPr>
            </w:pPr>
          </w:p>
        </w:tc>
        <w:tc>
          <w:tcPr>
            <w:tcW w:w="246" w:type="pct"/>
            <w:tcBorders>
              <w:top w:val="nil"/>
              <w:left w:val="nil"/>
              <w:bottom w:val="single" w:sz="8" w:space="0" w:color="auto"/>
              <w:right w:val="nil"/>
            </w:tcBorders>
            <w:shd w:val="clear" w:color="auto" w:fill="auto"/>
            <w:noWrap/>
            <w:vAlign w:val="bottom"/>
            <w:hideMark/>
          </w:tcPr>
          <w:p w14:paraId="3C965E7F"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single" w:sz="8" w:space="0" w:color="auto"/>
              <w:right w:val="nil"/>
            </w:tcBorders>
            <w:shd w:val="clear" w:color="auto" w:fill="auto"/>
            <w:noWrap/>
            <w:vAlign w:val="center"/>
            <w:hideMark/>
          </w:tcPr>
          <w:p w14:paraId="6FB3FC22" w14:textId="04559B87" w:rsidR="00F57038" w:rsidRPr="002E2B5B" w:rsidRDefault="007D3C92" w:rsidP="00F57038">
            <w:pPr>
              <w:jc w:val="right"/>
              <w:rPr>
                <w:rFonts w:ascii="Calibri" w:hAnsi="Calibri" w:cs="Calibri"/>
                <w:b/>
                <w:bCs/>
                <w:color w:val="000000"/>
                <w:sz w:val="16"/>
                <w:szCs w:val="16"/>
              </w:rPr>
            </w:pPr>
            <w:r>
              <w:rPr>
                <w:rFonts w:ascii="Calibri" w:hAnsi="Calibri" w:cs="Calibri"/>
                <w:b/>
                <w:bCs/>
                <w:color w:val="000000"/>
                <w:sz w:val="16"/>
                <w:szCs w:val="16"/>
              </w:rPr>
              <w:t>30/06/2021</w:t>
            </w:r>
          </w:p>
        </w:tc>
        <w:tc>
          <w:tcPr>
            <w:tcW w:w="219" w:type="pct"/>
            <w:tcBorders>
              <w:top w:val="nil"/>
              <w:left w:val="nil"/>
              <w:bottom w:val="single" w:sz="8" w:space="0" w:color="auto"/>
              <w:right w:val="nil"/>
            </w:tcBorders>
            <w:shd w:val="clear" w:color="auto" w:fill="auto"/>
            <w:noWrap/>
            <w:vAlign w:val="bottom"/>
            <w:hideMark/>
          </w:tcPr>
          <w:p w14:paraId="66DCA7EC"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0D682B9E" w14:textId="2CCCDC20" w:rsidR="00F57038" w:rsidRPr="002E2B5B" w:rsidRDefault="00F57038" w:rsidP="00F57038">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r>
      <w:tr w:rsidR="00F57038" w:rsidRPr="002E2B5B" w14:paraId="6944C2F5" w14:textId="77777777" w:rsidTr="00B23D01">
        <w:trPr>
          <w:trHeight w:hRule="exact" w:val="227"/>
        </w:trPr>
        <w:tc>
          <w:tcPr>
            <w:tcW w:w="1897" w:type="pct"/>
            <w:tcBorders>
              <w:top w:val="nil"/>
              <w:left w:val="nil"/>
              <w:bottom w:val="nil"/>
              <w:right w:val="nil"/>
            </w:tcBorders>
            <w:shd w:val="clear" w:color="auto" w:fill="auto"/>
            <w:noWrap/>
            <w:vAlign w:val="center"/>
            <w:hideMark/>
          </w:tcPr>
          <w:p w14:paraId="33B1A44F"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ADIANTAMENTO DE 13º SALÁRIO</w:t>
            </w:r>
          </w:p>
        </w:tc>
        <w:tc>
          <w:tcPr>
            <w:tcW w:w="424" w:type="pct"/>
            <w:vMerge w:val="restart"/>
            <w:tcBorders>
              <w:top w:val="nil"/>
              <w:left w:val="nil"/>
              <w:bottom w:val="single" w:sz="8" w:space="0" w:color="000000"/>
              <w:right w:val="nil"/>
            </w:tcBorders>
            <w:shd w:val="clear" w:color="auto" w:fill="auto"/>
            <w:noWrap/>
            <w:vAlign w:val="bottom"/>
            <w:hideMark/>
          </w:tcPr>
          <w:p w14:paraId="40F93720"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24" w:type="pct"/>
            <w:vMerge w:val="restart"/>
            <w:tcBorders>
              <w:top w:val="nil"/>
              <w:left w:val="nil"/>
              <w:bottom w:val="single" w:sz="8" w:space="0" w:color="000000"/>
              <w:right w:val="nil"/>
            </w:tcBorders>
            <w:shd w:val="clear" w:color="auto" w:fill="auto"/>
            <w:noWrap/>
            <w:vAlign w:val="bottom"/>
            <w:hideMark/>
          </w:tcPr>
          <w:p w14:paraId="33C4AAF4"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324" w:type="pct"/>
            <w:vMerge w:val="restart"/>
            <w:tcBorders>
              <w:top w:val="nil"/>
              <w:left w:val="nil"/>
              <w:bottom w:val="single" w:sz="8" w:space="0" w:color="000000"/>
              <w:right w:val="nil"/>
            </w:tcBorders>
            <w:shd w:val="clear" w:color="auto" w:fill="auto"/>
            <w:vAlign w:val="center"/>
            <w:hideMark/>
          </w:tcPr>
          <w:p w14:paraId="1ADF34CD" w14:textId="77777777" w:rsidR="00F57038" w:rsidRPr="002E2B5B" w:rsidRDefault="00F57038" w:rsidP="00F57038">
            <w:pPr>
              <w:jc w:val="right"/>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nil"/>
              <w:right w:val="nil"/>
            </w:tcBorders>
            <w:shd w:val="clear" w:color="auto" w:fill="auto"/>
            <w:noWrap/>
            <w:vAlign w:val="center"/>
          </w:tcPr>
          <w:p w14:paraId="7FF94DFF" w14:textId="77777777" w:rsidR="00F57038" w:rsidRPr="002E2B5B" w:rsidRDefault="00F57038" w:rsidP="00F57038">
            <w:pPr>
              <w:jc w:val="right"/>
              <w:rPr>
                <w:rFonts w:ascii="Calibri" w:hAnsi="Calibri" w:cs="Calibri"/>
                <w:color w:val="000000"/>
                <w:sz w:val="16"/>
                <w:szCs w:val="16"/>
              </w:rPr>
            </w:pPr>
          </w:p>
        </w:tc>
        <w:tc>
          <w:tcPr>
            <w:tcW w:w="246" w:type="pct"/>
            <w:vMerge w:val="restart"/>
            <w:tcBorders>
              <w:top w:val="nil"/>
              <w:left w:val="nil"/>
              <w:bottom w:val="single" w:sz="8" w:space="0" w:color="000000"/>
              <w:right w:val="nil"/>
            </w:tcBorders>
            <w:shd w:val="clear" w:color="auto" w:fill="auto"/>
            <w:noWrap/>
            <w:vAlign w:val="bottom"/>
            <w:hideMark/>
          </w:tcPr>
          <w:p w14:paraId="1A323250"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nil"/>
              <w:right w:val="nil"/>
            </w:tcBorders>
            <w:shd w:val="clear" w:color="auto" w:fill="auto"/>
            <w:noWrap/>
            <w:vAlign w:val="center"/>
            <w:hideMark/>
          </w:tcPr>
          <w:p w14:paraId="12C0F883" w14:textId="347337D6" w:rsidR="00F57038" w:rsidRPr="002E2B5B" w:rsidRDefault="007D3C92" w:rsidP="00F57038">
            <w:pPr>
              <w:jc w:val="right"/>
              <w:rPr>
                <w:rFonts w:ascii="Calibri" w:hAnsi="Calibri" w:cs="Calibri"/>
                <w:color w:val="000000"/>
                <w:sz w:val="16"/>
                <w:szCs w:val="16"/>
              </w:rPr>
            </w:pPr>
            <w:r w:rsidRPr="007D3C92">
              <w:rPr>
                <w:rFonts w:ascii="Calibri" w:hAnsi="Calibri" w:cs="Calibri"/>
                <w:color w:val="000000"/>
                <w:sz w:val="16"/>
                <w:szCs w:val="16"/>
              </w:rPr>
              <w:t>3</w:t>
            </w:r>
            <w:r>
              <w:rPr>
                <w:rFonts w:ascii="Calibri" w:hAnsi="Calibri" w:cs="Calibri"/>
                <w:color w:val="000000"/>
                <w:sz w:val="16"/>
                <w:szCs w:val="16"/>
              </w:rPr>
              <w:t>.</w:t>
            </w:r>
            <w:r w:rsidRPr="007D3C92">
              <w:rPr>
                <w:rFonts w:ascii="Calibri" w:hAnsi="Calibri" w:cs="Calibri"/>
                <w:color w:val="000000"/>
                <w:sz w:val="16"/>
                <w:szCs w:val="16"/>
              </w:rPr>
              <w:t>030</w:t>
            </w:r>
            <w:r>
              <w:rPr>
                <w:rFonts w:ascii="Calibri" w:hAnsi="Calibri" w:cs="Calibri"/>
                <w:color w:val="000000"/>
                <w:sz w:val="16"/>
                <w:szCs w:val="16"/>
              </w:rPr>
              <w:t>.970</w:t>
            </w:r>
          </w:p>
        </w:tc>
        <w:tc>
          <w:tcPr>
            <w:tcW w:w="219" w:type="pct"/>
            <w:tcBorders>
              <w:top w:val="nil"/>
              <w:left w:val="nil"/>
              <w:bottom w:val="nil"/>
              <w:right w:val="nil"/>
            </w:tcBorders>
            <w:shd w:val="clear" w:color="auto" w:fill="auto"/>
            <w:noWrap/>
            <w:vAlign w:val="bottom"/>
            <w:hideMark/>
          </w:tcPr>
          <w:p w14:paraId="100A7E14"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nil"/>
              <w:right w:val="nil"/>
            </w:tcBorders>
            <w:vAlign w:val="center"/>
          </w:tcPr>
          <w:p w14:paraId="6078EE31" w14:textId="4A257837" w:rsidR="00F57038" w:rsidRPr="002E2B5B" w:rsidRDefault="00F57038" w:rsidP="00F57038">
            <w:pPr>
              <w:jc w:val="right"/>
              <w:rPr>
                <w:rFonts w:ascii="Calibri" w:hAnsi="Calibri" w:cs="Calibri"/>
                <w:color w:val="000000"/>
                <w:sz w:val="16"/>
                <w:szCs w:val="16"/>
              </w:rPr>
            </w:pPr>
            <w:r w:rsidRPr="002E2B5B">
              <w:rPr>
                <w:rFonts w:ascii="Calibri" w:hAnsi="Calibri" w:cs="Calibri"/>
                <w:color w:val="000000"/>
                <w:sz w:val="16"/>
                <w:szCs w:val="16"/>
              </w:rPr>
              <w:t>452.249</w:t>
            </w:r>
          </w:p>
        </w:tc>
      </w:tr>
      <w:tr w:rsidR="00F57038" w:rsidRPr="002E2B5B" w14:paraId="37FFBF3A" w14:textId="77777777" w:rsidTr="00B23D01">
        <w:trPr>
          <w:trHeight w:hRule="exact" w:val="227"/>
        </w:trPr>
        <w:tc>
          <w:tcPr>
            <w:tcW w:w="1897" w:type="pct"/>
            <w:tcBorders>
              <w:top w:val="nil"/>
              <w:left w:val="nil"/>
              <w:bottom w:val="single" w:sz="8" w:space="0" w:color="auto"/>
              <w:right w:val="nil"/>
            </w:tcBorders>
            <w:shd w:val="clear" w:color="auto" w:fill="auto"/>
            <w:noWrap/>
            <w:vAlign w:val="center"/>
            <w:hideMark/>
          </w:tcPr>
          <w:p w14:paraId="0DF82958"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ADIANTAMENTOS DE SALÁRIOS E ORDENADOS</w:t>
            </w:r>
          </w:p>
        </w:tc>
        <w:tc>
          <w:tcPr>
            <w:tcW w:w="424" w:type="pct"/>
            <w:vMerge/>
            <w:tcBorders>
              <w:top w:val="nil"/>
              <w:left w:val="nil"/>
              <w:bottom w:val="single" w:sz="8" w:space="0" w:color="000000"/>
              <w:right w:val="nil"/>
            </w:tcBorders>
            <w:vAlign w:val="center"/>
            <w:hideMark/>
          </w:tcPr>
          <w:p w14:paraId="0456BD82" w14:textId="77777777" w:rsidR="00F57038" w:rsidRPr="002E2B5B" w:rsidRDefault="00F57038" w:rsidP="00F57038">
            <w:pPr>
              <w:rPr>
                <w:rFonts w:ascii="Calibri" w:hAnsi="Calibri" w:cs="Calibri"/>
                <w:color w:val="000000"/>
                <w:sz w:val="16"/>
                <w:szCs w:val="16"/>
              </w:rPr>
            </w:pPr>
          </w:p>
        </w:tc>
        <w:tc>
          <w:tcPr>
            <w:tcW w:w="424" w:type="pct"/>
            <w:vMerge/>
            <w:tcBorders>
              <w:top w:val="nil"/>
              <w:left w:val="nil"/>
              <w:bottom w:val="single" w:sz="8" w:space="0" w:color="000000"/>
              <w:right w:val="nil"/>
            </w:tcBorders>
            <w:vAlign w:val="center"/>
            <w:hideMark/>
          </w:tcPr>
          <w:p w14:paraId="0EB0E1F9" w14:textId="77777777" w:rsidR="00F57038" w:rsidRPr="002E2B5B" w:rsidRDefault="00F57038" w:rsidP="00F57038">
            <w:pPr>
              <w:rPr>
                <w:rFonts w:ascii="Calibri" w:hAnsi="Calibri" w:cs="Calibri"/>
                <w:color w:val="000000"/>
                <w:sz w:val="16"/>
                <w:szCs w:val="16"/>
              </w:rPr>
            </w:pPr>
          </w:p>
        </w:tc>
        <w:tc>
          <w:tcPr>
            <w:tcW w:w="324" w:type="pct"/>
            <w:vMerge/>
            <w:tcBorders>
              <w:top w:val="nil"/>
              <w:left w:val="nil"/>
              <w:bottom w:val="single" w:sz="8" w:space="0" w:color="000000"/>
              <w:right w:val="nil"/>
            </w:tcBorders>
            <w:vAlign w:val="center"/>
            <w:hideMark/>
          </w:tcPr>
          <w:p w14:paraId="32D9B459" w14:textId="77777777" w:rsidR="00F57038" w:rsidRPr="002E2B5B" w:rsidRDefault="00F57038" w:rsidP="00F57038">
            <w:pPr>
              <w:rPr>
                <w:rFonts w:ascii="Calibri" w:hAnsi="Calibri" w:cs="Calibri"/>
                <w:color w:val="000000"/>
                <w:sz w:val="16"/>
                <w:szCs w:val="16"/>
              </w:rPr>
            </w:pPr>
          </w:p>
        </w:tc>
        <w:tc>
          <w:tcPr>
            <w:tcW w:w="506" w:type="pct"/>
            <w:tcBorders>
              <w:top w:val="nil"/>
              <w:left w:val="nil"/>
              <w:bottom w:val="single" w:sz="8" w:space="0" w:color="auto"/>
              <w:right w:val="nil"/>
            </w:tcBorders>
            <w:shd w:val="clear" w:color="auto" w:fill="auto"/>
            <w:noWrap/>
            <w:vAlign w:val="center"/>
          </w:tcPr>
          <w:p w14:paraId="64E87839" w14:textId="77777777" w:rsidR="00F57038" w:rsidRPr="002E2B5B" w:rsidRDefault="00F57038" w:rsidP="00F57038">
            <w:pPr>
              <w:jc w:val="right"/>
              <w:rPr>
                <w:rFonts w:ascii="Calibri" w:hAnsi="Calibri" w:cs="Calibri"/>
                <w:color w:val="000000"/>
                <w:sz w:val="16"/>
                <w:szCs w:val="16"/>
              </w:rPr>
            </w:pPr>
          </w:p>
        </w:tc>
        <w:tc>
          <w:tcPr>
            <w:tcW w:w="246" w:type="pct"/>
            <w:vMerge/>
            <w:tcBorders>
              <w:top w:val="nil"/>
              <w:left w:val="nil"/>
              <w:bottom w:val="single" w:sz="8" w:space="0" w:color="000000"/>
              <w:right w:val="nil"/>
            </w:tcBorders>
            <w:vAlign w:val="center"/>
            <w:hideMark/>
          </w:tcPr>
          <w:p w14:paraId="4558FDE5" w14:textId="77777777" w:rsidR="00F57038" w:rsidRPr="002E2B5B" w:rsidRDefault="00F57038" w:rsidP="00F57038">
            <w:pPr>
              <w:rPr>
                <w:rFonts w:ascii="Calibri" w:hAnsi="Calibri" w:cs="Calibri"/>
                <w:color w:val="000000"/>
                <w:sz w:val="16"/>
                <w:szCs w:val="16"/>
              </w:rPr>
            </w:pPr>
          </w:p>
        </w:tc>
        <w:tc>
          <w:tcPr>
            <w:tcW w:w="506" w:type="pct"/>
            <w:tcBorders>
              <w:top w:val="nil"/>
              <w:left w:val="nil"/>
              <w:bottom w:val="single" w:sz="8" w:space="0" w:color="auto"/>
              <w:right w:val="nil"/>
            </w:tcBorders>
            <w:shd w:val="clear" w:color="auto" w:fill="auto"/>
            <w:noWrap/>
            <w:vAlign w:val="center"/>
            <w:hideMark/>
          </w:tcPr>
          <w:p w14:paraId="02111635" w14:textId="7D734C82" w:rsidR="00F57038" w:rsidRPr="002E2B5B" w:rsidRDefault="007D3C92" w:rsidP="00F57038">
            <w:pPr>
              <w:jc w:val="right"/>
              <w:rPr>
                <w:rFonts w:ascii="Calibri" w:hAnsi="Calibri" w:cs="Calibri"/>
                <w:color w:val="000000"/>
                <w:sz w:val="16"/>
                <w:szCs w:val="16"/>
              </w:rPr>
            </w:pPr>
            <w:r>
              <w:rPr>
                <w:rFonts w:ascii="Calibri" w:hAnsi="Calibri" w:cs="Calibri"/>
                <w:color w:val="000000"/>
                <w:sz w:val="16"/>
                <w:szCs w:val="16"/>
              </w:rPr>
              <w:t>167.760</w:t>
            </w:r>
          </w:p>
        </w:tc>
        <w:tc>
          <w:tcPr>
            <w:tcW w:w="219" w:type="pct"/>
            <w:tcBorders>
              <w:top w:val="nil"/>
              <w:left w:val="nil"/>
              <w:bottom w:val="single" w:sz="8" w:space="0" w:color="auto"/>
              <w:right w:val="nil"/>
            </w:tcBorders>
            <w:shd w:val="clear" w:color="auto" w:fill="auto"/>
            <w:noWrap/>
            <w:vAlign w:val="bottom"/>
            <w:hideMark/>
          </w:tcPr>
          <w:p w14:paraId="648DA4D3"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0DC55E13" w14:textId="1A819F7D" w:rsidR="00F57038" w:rsidRPr="002E2B5B" w:rsidRDefault="00F57038" w:rsidP="00F57038">
            <w:pPr>
              <w:jc w:val="right"/>
              <w:rPr>
                <w:rFonts w:ascii="Calibri" w:hAnsi="Calibri" w:cs="Calibri"/>
                <w:color w:val="000000"/>
                <w:sz w:val="16"/>
                <w:szCs w:val="16"/>
              </w:rPr>
            </w:pPr>
            <w:r w:rsidRPr="002E2B5B">
              <w:rPr>
                <w:rFonts w:ascii="Calibri" w:hAnsi="Calibri" w:cs="Calibri"/>
                <w:color w:val="000000"/>
                <w:sz w:val="16"/>
                <w:szCs w:val="16"/>
              </w:rPr>
              <w:t>225.624</w:t>
            </w:r>
          </w:p>
        </w:tc>
      </w:tr>
      <w:tr w:rsidR="00F57038" w:rsidRPr="002E2B5B" w14:paraId="5CD7C3C0" w14:textId="77777777" w:rsidTr="00B23D01">
        <w:trPr>
          <w:trHeight w:hRule="exact" w:val="227"/>
        </w:trPr>
        <w:tc>
          <w:tcPr>
            <w:tcW w:w="1897" w:type="pct"/>
            <w:tcBorders>
              <w:top w:val="nil"/>
              <w:left w:val="nil"/>
              <w:bottom w:val="single" w:sz="8" w:space="0" w:color="auto"/>
              <w:right w:val="nil"/>
            </w:tcBorders>
            <w:shd w:val="clear" w:color="auto" w:fill="auto"/>
            <w:noWrap/>
            <w:vAlign w:val="center"/>
            <w:hideMark/>
          </w:tcPr>
          <w:p w14:paraId="6957F134" w14:textId="77777777" w:rsidR="00F57038" w:rsidRPr="002E2B5B" w:rsidRDefault="00F57038" w:rsidP="00F57038">
            <w:pPr>
              <w:rPr>
                <w:rFonts w:ascii="Calibri" w:hAnsi="Calibri" w:cs="Calibri"/>
                <w:b/>
                <w:bCs/>
                <w:color w:val="000000"/>
                <w:sz w:val="16"/>
                <w:szCs w:val="16"/>
              </w:rPr>
            </w:pPr>
            <w:r w:rsidRPr="002E2B5B">
              <w:rPr>
                <w:rFonts w:ascii="Calibri" w:hAnsi="Calibri" w:cs="Calibri"/>
                <w:b/>
                <w:bCs/>
                <w:color w:val="000000"/>
                <w:sz w:val="16"/>
                <w:szCs w:val="16"/>
              </w:rPr>
              <w:t>TOTAL GERAL DE ADIANTAMENTOS CONCEDIDOS</w:t>
            </w:r>
          </w:p>
        </w:tc>
        <w:tc>
          <w:tcPr>
            <w:tcW w:w="424" w:type="pct"/>
            <w:tcBorders>
              <w:top w:val="nil"/>
              <w:left w:val="nil"/>
              <w:bottom w:val="single" w:sz="8" w:space="0" w:color="auto"/>
              <w:right w:val="nil"/>
            </w:tcBorders>
            <w:shd w:val="clear" w:color="auto" w:fill="auto"/>
            <w:noWrap/>
            <w:vAlign w:val="bottom"/>
            <w:hideMark/>
          </w:tcPr>
          <w:p w14:paraId="6DCD4FA0"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24" w:type="pct"/>
            <w:tcBorders>
              <w:top w:val="nil"/>
              <w:left w:val="nil"/>
              <w:bottom w:val="single" w:sz="8" w:space="0" w:color="auto"/>
              <w:right w:val="nil"/>
            </w:tcBorders>
            <w:shd w:val="clear" w:color="auto" w:fill="auto"/>
            <w:noWrap/>
            <w:vAlign w:val="bottom"/>
            <w:hideMark/>
          </w:tcPr>
          <w:p w14:paraId="78749100"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324" w:type="pct"/>
            <w:tcBorders>
              <w:top w:val="nil"/>
              <w:left w:val="nil"/>
              <w:bottom w:val="single" w:sz="8" w:space="0" w:color="auto"/>
              <w:right w:val="nil"/>
            </w:tcBorders>
            <w:shd w:val="clear" w:color="auto" w:fill="auto"/>
            <w:vAlign w:val="center"/>
            <w:hideMark/>
          </w:tcPr>
          <w:p w14:paraId="2AEBB226" w14:textId="77777777" w:rsidR="00F57038" w:rsidRPr="002E2B5B" w:rsidRDefault="00F57038" w:rsidP="00F57038">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506" w:type="pct"/>
            <w:tcBorders>
              <w:top w:val="nil"/>
              <w:left w:val="nil"/>
              <w:bottom w:val="single" w:sz="8" w:space="0" w:color="auto"/>
              <w:right w:val="nil"/>
            </w:tcBorders>
            <w:shd w:val="clear" w:color="auto" w:fill="auto"/>
            <w:noWrap/>
            <w:vAlign w:val="center"/>
          </w:tcPr>
          <w:p w14:paraId="2F1E2D1A" w14:textId="77777777" w:rsidR="00F57038" w:rsidRPr="002E2B5B" w:rsidRDefault="00F57038" w:rsidP="00F57038">
            <w:pPr>
              <w:jc w:val="right"/>
              <w:rPr>
                <w:rFonts w:ascii="Calibri" w:hAnsi="Calibri" w:cs="Calibri"/>
                <w:b/>
                <w:bCs/>
                <w:color w:val="000000"/>
                <w:sz w:val="16"/>
                <w:szCs w:val="16"/>
              </w:rPr>
            </w:pPr>
          </w:p>
        </w:tc>
        <w:tc>
          <w:tcPr>
            <w:tcW w:w="246" w:type="pct"/>
            <w:tcBorders>
              <w:top w:val="nil"/>
              <w:left w:val="nil"/>
              <w:bottom w:val="single" w:sz="8" w:space="0" w:color="auto"/>
              <w:right w:val="nil"/>
            </w:tcBorders>
            <w:shd w:val="clear" w:color="auto" w:fill="auto"/>
            <w:noWrap/>
            <w:vAlign w:val="center"/>
            <w:hideMark/>
          </w:tcPr>
          <w:p w14:paraId="33B51B5C"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single" w:sz="8" w:space="0" w:color="auto"/>
              <w:right w:val="nil"/>
            </w:tcBorders>
            <w:shd w:val="clear" w:color="auto" w:fill="auto"/>
            <w:noWrap/>
            <w:vAlign w:val="center"/>
            <w:hideMark/>
          </w:tcPr>
          <w:p w14:paraId="45E754E4" w14:textId="3E4C17CE" w:rsidR="00F57038" w:rsidRPr="002E2B5B" w:rsidRDefault="007D3C92" w:rsidP="008765E1">
            <w:pPr>
              <w:jc w:val="right"/>
              <w:rPr>
                <w:rFonts w:ascii="Calibri" w:hAnsi="Calibri" w:cs="Calibri"/>
                <w:b/>
                <w:bCs/>
                <w:color w:val="000000"/>
                <w:sz w:val="16"/>
                <w:szCs w:val="16"/>
              </w:rPr>
            </w:pPr>
            <w:r>
              <w:rPr>
                <w:rFonts w:ascii="Calibri" w:hAnsi="Calibri" w:cs="Calibri"/>
                <w:b/>
                <w:bCs/>
                <w:color w:val="000000"/>
                <w:sz w:val="16"/>
                <w:szCs w:val="16"/>
              </w:rPr>
              <w:t>3.198.730</w:t>
            </w:r>
          </w:p>
        </w:tc>
        <w:tc>
          <w:tcPr>
            <w:tcW w:w="219" w:type="pct"/>
            <w:tcBorders>
              <w:top w:val="nil"/>
              <w:left w:val="nil"/>
              <w:bottom w:val="single" w:sz="8" w:space="0" w:color="auto"/>
              <w:right w:val="nil"/>
            </w:tcBorders>
            <w:shd w:val="clear" w:color="auto" w:fill="auto"/>
            <w:noWrap/>
            <w:vAlign w:val="bottom"/>
            <w:hideMark/>
          </w:tcPr>
          <w:p w14:paraId="56B078B5"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68AC3079" w14:textId="79D03927" w:rsidR="00F57038" w:rsidRPr="002E2B5B" w:rsidRDefault="00F57038" w:rsidP="00F57038">
            <w:pPr>
              <w:jc w:val="right"/>
              <w:rPr>
                <w:rFonts w:ascii="Calibri" w:hAnsi="Calibri" w:cs="Calibri"/>
                <w:b/>
                <w:bCs/>
                <w:color w:val="000000"/>
                <w:sz w:val="16"/>
                <w:szCs w:val="16"/>
              </w:rPr>
            </w:pPr>
            <w:r w:rsidRPr="002E2B5B">
              <w:rPr>
                <w:rFonts w:ascii="Calibri" w:hAnsi="Calibri" w:cs="Calibri"/>
                <w:b/>
                <w:bCs/>
                <w:color w:val="000000"/>
                <w:sz w:val="16"/>
                <w:szCs w:val="16"/>
              </w:rPr>
              <w:t>677.873</w:t>
            </w:r>
          </w:p>
        </w:tc>
      </w:tr>
    </w:tbl>
    <w:p w14:paraId="731F7859" w14:textId="5CB41857" w:rsidR="00C24287" w:rsidRPr="002E2B5B" w:rsidRDefault="00580D61" w:rsidP="002E2B5B">
      <w:pPr>
        <w:spacing w:after="120"/>
        <w:jc w:val="both"/>
        <w:rPr>
          <w:rFonts w:ascii="Calibri" w:hAnsi="Calibri" w:cs="Calibri"/>
          <w:sz w:val="22"/>
          <w:szCs w:val="22"/>
        </w:rPr>
      </w:pPr>
      <w:r w:rsidRPr="002E2B5B">
        <w:rPr>
          <w:rFonts w:ascii="Calibri" w:hAnsi="Calibri" w:cs="Calibri"/>
          <w:sz w:val="22"/>
          <w:szCs w:val="22"/>
        </w:rPr>
        <w:t xml:space="preserve">O saldo de R$ </w:t>
      </w:r>
      <w:r w:rsidR="007D3C92">
        <w:rPr>
          <w:rFonts w:ascii="Calibri" w:hAnsi="Calibri" w:cs="Calibri"/>
          <w:sz w:val="22"/>
          <w:szCs w:val="22"/>
        </w:rPr>
        <w:t>3,19</w:t>
      </w:r>
      <w:r w:rsidR="00736874">
        <w:rPr>
          <w:rFonts w:ascii="Calibri" w:hAnsi="Calibri" w:cs="Calibri"/>
          <w:sz w:val="22"/>
          <w:szCs w:val="22"/>
        </w:rPr>
        <w:t xml:space="preserve"> milh</w:t>
      </w:r>
      <w:r w:rsidR="007D3C92">
        <w:rPr>
          <w:rFonts w:ascii="Calibri" w:hAnsi="Calibri" w:cs="Calibri"/>
          <w:sz w:val="22"/>
          <w:szCs w:val="22"/>
        </w:rPr>
        <w:t>ões</w:t>
      </w:r>
      <w:r w:rsidR="00736874">
        <w:rPr>
          <w:rFonts w:ascii="Calibri" w:hAnsi="Calibri" w:cs="Calibri"/>
          <w:sz w:val="22"/>
          <w:szCs w:val="22"/>
        </w:rPr>
        <w:t>,</w:t>
      </w:r>
      <w:r w:rsidRPr="002E2B5B">
        <w:rPr>
          <w:rFonts w:ascii="Calibri" w:hAnsi="Calibri" w:cs="Calibri"/>
          <w:sz w:val="22"/>
          <w:szCs w:val="22"/>
        </w:rPr>
        <w:t xml:space="preserve"> em </w:t>
      </w:r>
      <w:r w:rsidR="007D3C92">
        <w:rPr>
          <w:rFonts w:ascii="Calibri" w:hAnsi="Calibri" w:cs="Calibri"/>
          <w:sz w:val="22"/>
          <w:szCs w:val="22"/>
        </w:rPr>
        <w:t>30 de junho</w:t>
      </w:r>
      <w:r w:rsidR="00DE2A36">
        <w:rPr>
          <w:rFonts w:ascii="Calibri" w:hAnsi="Calibri" w:cs="Calibri"/>
          <w:sz w:val="22"/>
          <w:szCs w:val="22"/>
        </w:rPr>
        <w:t xml:space="preserve"> de 2021</w:t>
      </w:r>
      <w:r w:rsidRPr="002E2B5B">
        <w:rPr>
          <w:rFonts w:ascii="Calibri" w:hAnsi="Calibri" w:cs="Calibri"/>
          <w:sz w:val="22"/>
          <w:szCs w:val="22"/>
        </w:rPr>
        <w:t>, refere-se a adiantamentos concedidos aos empregados da VALEC e das extintas empresas Rede Ferroviária Federal S/A – RFFSA e da Empresa Brasileira de Planejamento de Transportes – GEIPOT.</w:t>
      </w:r>
    </w:p>
    <w:p w14:paraId="0E071793" w14:textId="736D273D" w:rsidR="009165D8" w:rsidRPr="002E2B5B" w:rsidRDefault="00D725ED" w:rsidP="002E2B5B">
      <w:pPr>
        <w:spacing w:after="120"/>
        <w:jc w:val="both"/>
        <w:rPr>
          <w:rFonts w:ascii="Calibri" w:hAnsi="Calibri" w:cs="Calibri"/>
          <w:sz w:val="22"/>
          <w:szCs w:val="22"/>
        </w:rPr>
      </w:pPr>
      <w:r w:rsidRPr="002E2B5B">
        <w:rPr>
          <w:rFonts w:ascii="Calibri" w:hAnsi="Calibri" w:cs="Calibri"/>
          <w:sz w:val="22"/>
          <w:szCs w:val="22"/>
        </w:rPr>
        <w:t>Os provisionamentos das despesas com 13º salário e férias são efetuados e conciliados mensalmente. A VALEC paga metade do salário a título de adiantamento de 13º salário a seus empregados na Folha de Pagamento do mês de junho de cada ano, a fim de que o empregado receba no primeiro dia útil do mês de julho. No entanto, o empregado tem o direito de solicitar esse adiantamento na ocasião de férias quando gozadas de janeiro a junho.</w:t>
      </w:r>
    </w:p>
    <w:p w14:paraId="2D4A7BEF" w14:textId="076D3D9B" w:rsidR="00D4582D" w:rsidRPr="002E2B5B" w:rsidRDefault="00D725ED" w:rsidP="002E2B5B">
      <w:pPr>
        <w:spacing w:after="120"/>
        <w:jc w:val="both"/>
        <w:rPr>
          <w:rFonts w:ascii="Calibri" w:hAnsi="Calibri" w:cs="Calibri"/>
          <w:sz w:val="22"/>
          <w:szCs w:val="22"/>
        </w:rPr>
      </w:pPr>
      <w:r w:rsidRPr="002E2B5B">
        <w:rPr>
          <w:rFonts w:ascii="Calibri" w:hAnsi="Calibri" w:cs="Calibri"/>
          <w:sz w:val="22"/>
          <w:szCs w:val="22"/>
        </w:rPr>
        <w:t>Mediante conciliação mensal, o saldo da conta de adiantamento de 13º salário representa fielmente os valores devidamente adiantados, os quais serão descontados por ocasião da Folha de Pagamento do mês de novembro</w:t>
      </w:r>
      <w:r w:rsidR="00F51287" w:rsidRPr="002E2B5B">
        <w:rPr>
          <w:rFonts w:ascii="Calibri" w:hAnsi="Calibri" w:cs="Calibri"/>
          <w:sz w:val="22"/>
          <w:szCs w:val="22"/>
        </w:rPr>
        <w:t>,</w:t>
      </w:r>
      <w:r w:rsidRPr="002E2B5B">
        <w:rPr>
          <w:rFonts w:ascii="Calibri" w:hAnsi="Calibri" w:cs="Calibri"/>
          <w:sz w:val="22"/>
          <w:szCs w:val="22"/>
        </w:rPr>
        <w:t xml:space="preserve"> quando o 13º salário é integralmente pago. </w:t>
      </w:r>
    </w:p>
    <w:p w14:paraId="703156C7" w14:textId="04E1264C" w:rsidR="00FA0D6A" w:rsidRPr="002E2B5B" w:rsidRDefault="00D725ED" w:rsidP="002E2B5B">
      <w:pPr>
        <w:spacing w:after="120"/>
        <w:jc w:val="both"/>
        <w:rPr>
          <w:rFonts w:ascii="Calibri" w:hAnsi="Calibri" w:cs="Calibri"/>
          <w:sz w:val="22"/>
          <w:szCs w:val="22"/>
        </w:rPr>
      </w:pPr>
      <w:r w:rsidRPr="002E2B5B">
        <w:rPr>
          <w:rFonts w:ascii="Calibri" w:hAnsi="Calibri" w:cs="Calibri"/>
          <w:sz w:val="22"/>
          <w:szCs w:val="22"/>
        </w:rPr>
        <w:t>Os empregados da VALEC</w:t>
      </w:r>
      <w:r w:rsidR="0046500A" w:rsidRPr="002E2B5B">
        <w:rPr>
          <w:rFonts w:ascii="Calibri" w:hAnsi="Calibri" w:cs="Calibri"/>
          <w:sz w:val="22"/>
          <w:szCs w:val="22"/>
        </w:rPr>
        <w:t xml:space="preserve"> e das extintas empresas</w:t>
      </w:r>
      <w:r w:rsidRPr="002E2B5B">
        <w:rPr>
          <w:rFonts w:ascii="Calibri" w:hAnsi="Calibri" w:cs="Calibri"/>
          <w:sz w:val="22"/>
          <w:szCs w:val="22"/>
        </w:rPr>
        <w:t xml:space="preserve"> RFFSA e GEIPOT podem solicitar, na ocasião de suas férias, adiantamento salarial, o qual será restituído em até 6 (seis) parcelas mensais. </w:t>
      </w:r>
    </w:p>
    <w:p w14:paraId="2FDB058F" w14:textId="77777777" w:rsidR="009B313F" w:rsidRPr="002E2B5B" w:rsidRDefault="00660339" w:rsidP="002E2B5B">
      <w:pPr>
        <w:numPr>
          <w:ilvl w:val="0"/>
          <w:numId w:val="10"/>
        </w:numPr>
        <w:spacing w:after="120"/>
        <w:ind w:left="284" w:hanging="284"/>
        <w:jc w:val="both"/>
        <w:rPr>
          <w:rFonts w:ascii="Calibri" w:hAnsi="Calibri" w:cs="Calibri"/>
          <w:b/>
          <w:sz w:val="22"/>
          <w:szCs w:val="22"/>
        </w:rPr>
      </w:pPr>
      <w:r w:rsidRPr="002E2B5B">
        <w:rPr>
          <w:rFonts w:ascii="Calibri" w:hAnsi="Calibri" w:cs="Calibri"/>
          <w:b/>
          <w:sz w:val="22"/>
          <w:szCs w:val="22"/>
        </w:rPr>
        <w:t>Crédito</w:t>
      </w:r>
      <w:r w:rsidR="00FA0D6A" w:rsidRPr="002E2B5B">
        <w:rPr>
          <w:rFonts w:ascii="Calibri" w:hAnsi="Calibri" w:cs="Calibri"/>
          <w:b/>
          <w:sz w:val="22"/>
          <w:szCs w:val="22"/>
        </w:rPr>
        <w:t>s Tributários e</w:t>
      </w:r>
      <w:r w:rsidRPr="002E2B5B">
        <w:rPr>
          <w:rFonts w:ascii="Calibri" w:hAnsi="Calibri" w:cs="Calibri"/>
          <w:b/>
          <w:sz w:val="22"/>
          <w:szCs w:val="22"/>
        </w:rPr>
        <w:t xml:space="preserve"> Previdenciário a Compensar</w:t>
      </w:r>
      <w:r w:rsidR="00CD1E2F" w:rsidRPr="002E2B5B">
        <w:rPr>
          <w:rFonts w:ascii="Calibri" w:hAnsi="Calibri" w:cs="Calibri"/>
          <w:b/>
          <w:sz w:val="22"/>
          <w:szCs w:val="22"/>
        </w:rPr>
        <w:t xml:space="preserve"> </w:t>
      </w:r>
    </w:p>
    <w:p w14:paraId="0A86414A" w14:textId="429076F9" w:rsidR="009165D8" w:rsidRPr="002E2B5B" w:rsidRDefault="00766496" w:rsidP="002E2B5B">
      <w:pPr>
        <w:spacing w:after="120"/>
        <w:jc w:val="both"/>
        <w:rPr>
          <w:rFonts w:ascii="Calibri" w:hAnsi="Calibri" w:cs="Calibri"/>
          <w:bCs/>
          <w:sz w:val="22"/>
          <w:szCs w:val="22"/>
        </w:rPr>
      </w:pPr>
      <w:r w:rsidRPr="002E2B5B">
        <w:rPr>
          <w:rFonts w:ascii="Calibri" w:hAnsi="Calibri" w:cs="Calibri"/>
          <w:bCs/>
          <w:sz w:val="22"/>
          <w:szCs w:val="22"/>
        </w:rPr>
        <w:t xml:space="preserve">O saldo de créditos tributários e previdenciários a compensar em 31 de </w:t>
      </w:r>
      <w:r w:rsidR="00DE2A36">
        <w:rPr>
          <w:rFonts w:ascii="Calibri" w:hAnsi="Calibri" w:cs="Calibri"/>
          <w:bCs/>
          <w:sz w:val="22"/>
          <w:szCs w:val="22"/>
        </w:rPr>
        <w:t xml:space="preserve">março </w:t>
      </w:r>
      <w:r w:rsidRPr="002E2B5B">
        <w:rPr>
          <w:rFonts w:ascii="Calibri" w:hAnsi="Calibri" w:cs="Calibri"/>
          <w:bCs/>
          <w:sz w:val="22"/>
          <w:szCs w:val="22"/>
        </w:rPr>
        <w:t>de 202</w:t>
      </w:r>
      <w:r w:rsidR="00DE2A36">
        <w:rPr>
          <w:rFonts w:ascii="Calibri" w:hAnsi="Calibri" w:cs="Calibri"/>
          <w:bCs/>
          <w:sz w:val="22"/>
          <w:szCs w:val="22"/>
        </w:rPr>
        <w:t>1</w:t>
      </w:r>
      <w:r w:rsidRPr="002E2B5B">
        <w:rPr>
          <w:rFonts w:ascii="Calibri" w:hAnsi="Calibri" w:cs="Calibri"/>
          <w:bCs/>
          <w:sz w:val="22"/>
          <w:szCs w:val="22"/>
        </w:rPr>
        <w:t xml:space="preserve"> é de R$ 1,</w:t>
      </w:r>
      <w:r w:rsidR="00C4362E">
        <w:rPr>
          <w:rFonts w:ascii="Calibri" w:hAnsi="Calibri" w:cs="Calibri"/>
          <w:bCs/>
          <w:sz w:val="22"/>
          <w:szCs w:val="22"/>
        </w:rPr>
        <w:t>7</w:t>
      </w:r>
      <w:r w:rsidRPr="002E2B5B">
        <w:rPr>
          <w:rFonts w:ascii="Calibri" w:hAnsi="Calibri" w:cs="Calibri"/>
          <w:bCs/>
          <w:sz w:val="22"/>
          <w:szCs w:val="22"/>
        </w:rPr>
        <w:t xml:space="preserve"> milh</w:t>
      </w:r>
      <w:r w:rsidR="0092389C">
        <w:rPr>
          <w:rFonts w:ascii="Calibri" w:hAnsi="Calibri" w:cs="Calibri"/>
          <w:bCs/>
          <w:sz w:val="22"/>
          <w:szCs w:val="22"/>
        </w:rPr>
        <w:t>ão</w:t>
      </w:r>
      <w:r w:rsidRPr="002E2B5B">
        <w:rPr>
          <w:rFonts w:ascii="Calibri" w:hAnsi="Calibri" w:cs="Calibri"/>
          <w:bCs/>
          <w:sz w:val="22"/>
          <w:szCs w:val="22"/>
        </w:rPr>
        <w:t xml:space="preserve">, sendo R$ </w:t>
      </w:r>
      <w:r w:rsidR="00EB3378">
        <w:rPr>
          <w:rFonts w:ascii="Calibri" w:hAnsi="Calibri" w:cs="Calibri"/>
          <w:bCs/>
          <w:sz w:val="22"/>
          <w:szCs w:val="22"/>
        </w:rPr>
        <w:t>426</w:t>
      </w:r>
      <w:r w:rsidRPr="002E2B5B">
        <w:rPr>
          <w:rFonts w:ascii="Calibri" w:hAnsi="Calibri" w:cs="Calibri"/>
          <w:bCs/>
          <w:sz w:val="22"/>
          <w:szCs w:val="22"/>
        </w:rPr>
        <w:t xml:space="preserve"> mil </w:t>
      </w:r>
      <w:r w:rsidR="009705E6" w:rsidRPr="002E2B5B">
        <w:rPr>
          <w:rFonts w:ascii="Calibri" w:hAnsi="Calibri" w:cs="Calibri"/>
          <w:bCs/>
          <w:sz w:val="22"/>
          <w:szCs w:val="22"/>
        </w:rPr>
        <w:t>em</w:t>
      </w:r>
      <w:r w:rsidRPr="002E2B5B">
        <w:rPr>
          <w:rFonts w:ascii="Calibri" w:hAnsi="Calibri" w:cs="Calibri"/>
          <w:bCs/>
          <w:sz w:val="22"/>
          <w:szCs w:val="22"/>
        </w:rPr>
        <w:t xml:space="preserve"> tributos a compensar e R$ 1,</w:t>
      </w:r>
      <w:r w:rsidR="00434F88" w:rsidRPr="002E2B5B">
        <w:rPr>
          <w:rFonts w:ascii="Calibri" w:hAnsi="Calibri" w:cs="Calibri"/>
          <w:bCs/>
          <w:sz w:val="22"/>
          <w:szCs w:val="22"/>
        </w:rPr>
        <w:t>2</w:t>
      </w:r>
      <w:r w:rsidRPr="002E2B5B">
        <w:rPr>
          <w:rFonts w:ascii="Calibri" w:hAnsi="Calibri" w:cs="Calibri"/>
          <w:bCs/>
          <w:sz w:val="22"/>
          <w:szCs w:val="22"/>
        </w:rPr>
        <w:t xml:space="preserve"> milh</w:t>
      </w:r>
      <w:r w:rsidR="0092389C">
        <w:rPr>
          <w:rFonts w:ascii="Calibri" w:hAnsi="Calibri" w:cs="Calibri"/>
          <w:bCs/>
          <w:sz w:val="22"/>
          <w:szCs w:val="22"/>
        </w:rPr>
        <w:t>ão</w:t>
      </w:r>
      <w:r w:rsidRPr="002E2B5B">
        <w:rPr>
          <w:rFonts w:ascii="Calibri" w:hAnsi="Calibri" w:cs="Calibri"/>
          <w:bCs/>
          <w:sz w:val="22"/>
          <w:szCs w:val="22"/>
        </w:rPr>
        <w:t xml:space="preserve"> em créditos previdenciários.</w:t>
      </w:r>
    </w:p>
    <w:p w14:paraId="099DBF6D" w14:textId="77777777" w:rsidR="00FA0D6A" w:rsidRPr="002E2B5B" w:rsidRDefault="00FA0D6A" w:rsidP="002E2B5B">
      <w:pPr>
        <w:spacing w:after="120"/>
        <w:jc w:val="both"/>
        <w:rPr>
          <w:rFonts w:ascii="Calibri" w:hAnsi="Calibri" w:cs="Calibri"/>
          <w:b/>
          <w:sz w:val="22"/>
          <w:szCs w:val="22"/>
        </w:rPr>
      </w:pPr>
      <w:r w:rsidRPr="002E2B5B">
        <w:rPr>
          <w:rFonts w:ascii="Calibri" w:hAnsi="Calibri" w:cs="Calibri"/>
          <w:b/>
          <w:sz w:val="22"/>
          <w:szCs w:val="22"/>
        </w:rPr>
        <w:t xml:space="preserve">b.1) </w:t>
      </w:r>
      <w:r w:rsidR="00250E26" w:rsidRPr="002E2B5B">
        <w:rPr>
          <w:rFonts w:ascii="Calibri" w:hAnsi="Calibri" w:cs="Calibri"/>
          <w:b/>
          <w:sz w:val="22"/>
          <w:szCs w:val="22"/>
        </w:rPr>
        <w:t>Tributos</w:t>
      </w:r>
      <w:r w:rsidRPr="002E2B5B">
        <w:rPr>
          <w:rFonts w:ascii="Calibri" w:hAnsi="Calibri" w:cs="Calibri"/>
          <w:b/>
          <w:sz w:val="22"/>
          <w:szCs w:val="22"/>
        </w:rPr>
        <w:t xml:space="preserve"> a Compensar</w:t>
      </w:r>
    </w:p>
    <w:p w14:paraId="65CB6546" w14:textId="1A2BABA3" w:rsidR="00250E26" w:rsidRDefault="00250E26" w:rsidP="00F731F8">
      <w:pPr>
        <w:spacing w:after="120"/>
        <w:jc w:val="both"/>
        <w:rPr>
          <w:rFonts w:ascii="Calibri" w:hAnsi="Calibri" w:cs="Calibri"/>
          <w:sz w:val="22"/>
          <w:szCs w:val="22"/>
        </w:rPr>
      </w:pPr>
      <w:r w:rsidRPr="002E2B5B">
        <w:rPr>
          <w:rFonts w:ascii="Calibri" w:hAnsi="Calibri" w:cs="Calibri"/>
          <w:sz w:val="22"/>
          <w:szCs w:val="22"/>
        </w:rPr>
        <w:t>De acordo com o art. 1º da Lei</w:t>
      </w:r>
      <w:r w:rsidR="00750CA7">
        <w:rPr>
          <w:rFonts w:ascii="Calibri" w:hAnsi="Calibri" w:cs="Calibri"/>
          <w:sz w:val="22"/>
          <w:szCs w:val="22"/>
        </w:rPr>
        <w:t xml:space="preserve"> nº</w:t>
      </w:r>
      <w:r w:rsidRPr="002E2B5B">
        <w:rPr>
          <w:rFonts w:ascii="Calibri" w:hAnsi="Calibri" w:cs="Calibri"/>
          <w:sz w:val="22"/>
          <w:szCs w:val="22"/>
        </w:rPr>
        <w:t xml:space="preserve"> 10.637</w:t>
      </w:r>
      <w:r w:rsidR="00750CA7">
        <w:rPr>
          <w:rFonts w:ascii="Calibri" w:hAnsi="Calibri" w:cs="Calibri"/>
          <w:sz w:val="22"/>
          <w:szCs w:val="22"/>
        </w:rPr>
        <w:t xml:space="preserve">, de 30 de dezembro de </w:t>
      </w:r>
      <w:r w:rsidRPr="002E2B5B">
        <w:rPr>
          <w:rFonts w:ascii="Calibri" w:hAnsi="Calibri" w:cs="Calibri"/>
          <w:sz w:val="22"/>
          <w:szCs w:val="22"/>
        </w:rPr>
        <w:t>2002 e art. 1º da Lei</w:t>
      </w:r>
      <w:r w:rsidR="00750CA7">
        <w:rPr>
          <w:rFonts w:ascii="Calibri" w:hAnsi="Calibri" w:cs="Calibri"/>
          <w:sz w:val="22"/>
          <w:szCs w:val="22"/>
        </w:rPr>
        <w:t xml:space="preserve"> nº</w:t>
      </w:r>
      <w:r w:rsidRPr="002E2B5B">
        <w:rPr>
          <w:rFonts w:ascii="Calibri" w:hAnsi="Calibri" w:cs="Calibri"/>
          <w:sz w:val="22"/>
          <w:szCs w:val="22"/>
        </w:rPr>
        <w:t xml:space="preserve"> 10.833</w:t>
      </w:r>
      <w:r w:rsidR="00750CA7">
        <w:rPr>
          <w:rFonts w:ascii="Calibri" w:hAnsi="Calibri" w:cs="Calibri"/>
          <w:sz w:val="22"/>
          <w:szCs w:val="22"/>
        </w:rPr>
        <w:t xml:space="preserve">, de 29 de dezembro de </w:t>
      </w:r>
      <w:r w:rsidRPr="002E2B5B">
        <w:rPr>
          <w:rFonts w:ascii="Calibri" w:hAnsi="Calibri" w:cs="Calibri"/>
          <w:sz w:val="22"/>
          <w:szCs w:val="22"/>
        </w:rPr>
        <w:t xml:space="preserve">2003, a base de cálculo da apuração do PIS e da COFINS pelo regime não-cumulativo é o total das receitas auferidas no mês, excluídas as situações previstas em lei. As referidas leis, em seu art. 3º, preveem a possibilidade de aproveitamento de créditos de PIS (1,65%) e COFINS (7,6%) sobre “aluguéis de prédios, máquinas e equipamentos e energia elétrica ou térmica”. Assim, a </w:t>
      </w:r>
      <w:proofErr w:type="spellStart"/>
      <w:r w:rsidRPr="002E2B5B">
        <w:rPr>
          <w:rFonts w:ascii="Calibri" w:hAnsi="Calibri" w:cs="Calibri"/>
          <w:sz w:val="22"/>
          <w:szCs w:val="22"/>
        </w:rPr>
        <w:t>Valec</w:t>
      </w:r>
      <w:proofErr w:type="spellEnd"/>
      <w:r w:rsidRPr="002E2B5B">
        <w:rPr>
          <w:rFonts w:ascii="Calibri" w:hAnsi="Calibri" w:cs="Calibri"/>
          <w:sz w:val="22"/>
          <w:szCs w:val="22"/>
        </w:rPr>
        <w:t xml:space="preserve"> encerrou o </w:t>
      </w:r>
      <w:r w:rsidR="00F731F8">
        <w:rPr>
          <w:rFonts w:ascii="Calibri" w:hAnsi="Calibri" w:cs="Calibri"/>
          <w:sz w:val="22"/>
          <w:szCs w:val="22"/>
        </w:rPr>
        <w:t>2</w:t>
      </w:r>
      <w:r w:rsidR="00736874">
        <w:rPr>
          <w:rFonts w:ascii="Calibri" w:hAnsi="Calibri" w:cs="Calibri"/>
          <w:sz w:val="22"/>
          <w:szCs w:val="22"/>
        </w:rPr>
        <w:t>º trimestre de 2021</w:t>
      </w:r>
      <w:r w:rsidRPr="002E2B5B">
        <w:rPr>
          <w:rFonts w:ascii="Calibri" w:hAnsi="Calibri" w:cs="Calibri"/>
          <w:sz w:val="22"/>
          <w:szCs w:val="22"/>
        </w:rPr>
        <w:t xml:space="preserve"> com saldo de crédito de PIS de R$ </w:t>
      </w:r>
      <w:r w:rsidR="00F731F8">
        <w:rPr>
          <w:rFonts w:ascii="Calibri" w:hAnsi="Calibri" w:cs="Calibri"/>
          <w:sz w:val="22"/>
          <w:szCs w:val="22"/>
        </w:rPr>
        <w:t>107,7</w:t>
      </w:r>
      <w:r w:rsidRPr="002E2B5B">
        <w:rPr>
          <w:rFonts w:ascii="Calibri" w:hAnsi="Calibri" w:cs="Calibri"/>
          <w:sz w:val="22"/>
          <w:szCs w:val="22"/>
        </w:rPr>
        <w:t xml:space="preserve"> mil e COFINS de R$ </w:t>
      </w:r>
      <w:r w:rsidR="00F731F8">
        <w:rPr>
          <w:rFonts w:ascii="Calibri" w:hAnsi="Calibri" w:cs="Calibri"/>
          <w:sz w:val="22"/>
          <w:szCs w:val="22"/>
        </w:rPr>
        <w:t>491,3</w:t>
      </w:r>
      <w:r w:rsidRPr="002E2B5B">
        <w:rPr>
          <w:rFonts w:ascii="Calibri" w:hAnsi="Calibri" w:cs="Calibri"/>
          <w:sz w:val="22"/>
          <w:szCs w:val="22"/>
        </w:rPr>
        <w:t xml:space="preserve"> mil a serem utilizados em </w:t>
      </w:r>
      <w:r w:rsidR="0092389C">
        <w:rPr>
          <w:rFonts w:ascii="Calibri" w:hAnsi="Calibri" w:cs="Calibri"/>
          <w:sz w:val="22"/>
          <w:szCs w:val="22"/>
        </w:rPr>
        <w:t>períodos</w:t>
      </w:r>
      <w:r w:rsidRPr="002E2B5B">
        <w:rPr>
          <w:rFonts w:ascii="Calibri" w:hAnsi="Calibri" w:cs="Calibri"/>
          <w:sz w:val="22"/>
          <w:szCs w:val="22"/>
        </w:rPr>
        <w:t xml:space="preserve"> posteriores.</w:t>
      </w:r>
    </w:p>
    <w:tbl>
      <w:tblPr>
        <w:tblW w:w="5000" w:type="pct"/>
        <w:tblCellMar>
          <w:left w:w="70" w:type="dxa"/>
          <w:right w:w="70" w:type="dxa"/>
        </w:tblCellMar>
        <w:tblLook w:val="04A0" w:firstRow="1" w:lastRow="0" w:firstColumn="1" w:lastColumn="0" w:noHBand="0" w:noVBand="1"/>
      </w:tblPr>
      <w:tblGrid>
        <w:gridCol w:w="3127"/>
        <w:gridCol w:w="1836"/>
        <w:gridCol w:w="1836"/>
        <w:gridCol w:w="1836"/>
        <w:gridCol w:w="1832"/>
      </w:tblGrid>
      <w:tr w:rsidR="00F731F8" w14:paraId="07911491" w14:textId="77777777" w:rsidTr="00B23D01">
        <w:trPr>
          <w:trHeight w:hRule="exact" w:val="227"/>
        </w:trPr>
        <w:tc>
          <w:tcPr>
            <w:tcW w:w="1494" w:type="pct"/>
            <w:tcBorders>
              <w:top w:val="nil"/>
              <w:left w:val="nil"/>
              <w:bottom w:val="single" w:sz="8" w:space="0" w:color="auto"/>
              <w:right w:val="nil"/>
            </w:tcBorders>
            <w:shd w:val="clear" w:color="auto" w:fill="auto"/>
            <w:noWrap/>
            <w:vAlign w:val="center"/>
            <w:hideMark/>
          </w:tcPr>
          <w:p w14:paraId="609155A2" w14:textId="77777777" w:rsidR="00F731F8" w:rsidRDefault="00F731F8">
            <w:pPr>
              <w:rPr>
                <w:rFonts w:ascii="Calibri" w:hAnsi="Calibri" w:cs="Calibri"/>
                <w:b/>
                <w:bCs/>
                <w:color w:val="000000"/>
                <w:sz w:val="16"/>
                <w:szCs w:val="16"/>
              </w:rPr>
            </w:pPr>
            <w:r>
              <w:rPr>
                <w:rFonts w:ascii="Calibri" w:hAnsi="Calibri" w:cs="Calibri"/>
                <w:b/>
                <w:bCs/>
                <w:color w:val="000000"/>
                <w:sz w:val="16"/>
                <w:szCs w:val="16"/>
              </w:rPr>
              <w:lastRenderedPageBreak/>
              <w:t>TRIBUTOS A COMPENSAR</w:t>
            </w:r>
          </w:p>
        </w:tc>
        <w:tc>
          <w:tcPr>
            <w:tcW w:w="877" w:type="pct"/>
            <w:tcBorders>
              <w:top w:val="nil"/>
              <w:left w:val="nil"/>
              <w:bottom w:val="single" w:sz="8" w:space="0" w:color="auto"/>
              <w:right w:val="nil"/>
            </w:tcBorders>
            <w:shd w:val="clear" w:color="auto" w:fill="auto"/>
            <w:vAlign w:val="center"/>
            <w:hideMark/>
          </w:tcPr>
          <w:p w14:paraId="428F0E5B" w14:textId="77777777" w:rsidR="00F731F8" w:rsidRDefault="00F731F8">
            <w:pPr>
              <w:jc w:val="right"/>
              <w:rPr>
                <w:rFonts w:ascii="Calibri" w:hAnsi="Calibri" w:cs="Calibri"/>
                <w:b/>
                <w:bCs/>
                <w:color w:val="000000"/>
                <w:sz w:val="16"/>
                <w:szCs w:val="16"/>
              </w:rPr>
            </w:pPr>
            <w:r>
              <w:rPr>
                <w:rFonts w:ascii="Calibri" w:hAnsi="Calibri" w:cs="Calibri"/>
                <w:b/>
                <w:bCs/>
                <w:color w:val="000000"/>
                <w:sz w:val="16"/>
                <w:szCs w:val="16"/>
              </w:rPr>
              <w:t>Saldo em 31/12/2020</w:t>
            </w:r>
          </w:p>
        </w:tc>
        <w:tc>
          <w:tcPr>
            <w:tcW w:w="877" w:type="pct"/>
            <w:tcBorders>
              <w:top w:val="nil"/>
              <w:left w:val="nil"/>
              <w:bottom w:val="single" w:sz="8" w:space="0" w:color="auto"/>
              <w:right w:val="nil"/>
            </w:tcBorders>
            <w:shd w:val="clear" w:color="auto" w:fill="auto"/>
            <w:vAlign w:val="center"/>
            <w:hideMark/>
          </w:tcPr>
          <w:p w14:paraId="05267F1F" w14:textId="77777777" w:rsidR="00F731F8" w:rsidRDefault="00F731F8">
            <w:pPr>
              <w:jc w:val="right"/>
              <w:rPr>
                <w:rFonts w:ascii="Calibri" w:hAnsi="Calibri" w:cs="Calibri"/>
                <w:b/>
                <w:bCs/>
                <w:color w:val="000000"/>
                <w:sz w:val="16"/>
                <w:szCs w:val="16"/>
              </w:rPr>
            </w:pPr>
            <w:r>
              <w:rPr>
                <w:rFonts w:ascii="Calibri" w:hAnsi="Calibri" w:cs="Calibri"/>
                <w:b/>
                <w:bCs/>
                <w:color w:val="000000"/>
                <w:sz w:val="16"/>
                <w:szCs w:val="16"/>
              </w:rPr>
              <w:t>Ingresso</w:t>
            </w:r>
          </w:p>
        </w:tc>
        <w:tc>
          <w:tcPr>
            <w:tcW w:w="877" w:type="pct"/>
            <w:tcBorders>
              <w:top w:val="nil"/>
              <w:left w:val="nil"/>
              <w:bottom w:val="single" w:sz="8" w:space="0" w:color="auto"/>
              <w:right w:val="nil"/>
            </w:tcBorders>
            <w:shd w:val="clear" w:color="auto" w:fill="auto"/>
            <w:vAlign w:val="center"/>
            <w:hideMark/>
          </w:tcPr>
          <w:p w14:paraId="30E7755F" w14:textId="77777777" w:rsidR="00F731F8" w:rsidRDefault="00F731F8">
            <w:pPr>
              <w:jc w:val="right"/>
              <w:rPr>
                <w:rFonts w:ascii="Calibri" w:hAnsi="Calibri" w:cs="Calibri"/>
                <w:b/>
                <w:bCs/>
                <w:color w:val="000000"/>
                <w:sz w:val="16"/>
                <w:szCs w:val="16"/>
              </w:rPr>
            </w:pPr>
            <w:r>
              <w:rPr>
                <w:rFonts w:ascii="Calibri" w:hAnsi="Calibri" w:cs="Calibri"/>
                <w:b/>
                <w:bCs/>
                <w:color w:val="000000"/>
                <w:sz w:val="16"/>
                <w:szCs w:val="16"/>
              </w:rPr>
              <w:t>Baixa</w:t>
            </w:r>
          </w:p>
        </w:tc>
        <w:tc>
          <w:tcPr>
            <w:tcW w:w="877" w:type="pct"/>
            <w:tcBorders>
              <w:top w:val="nil"/>
              <w:left w:val="nil"/>
              <w:bottom w:val="single" w:sz="8" w:space="0" w:color="auto"/>
              <w:right w:val="nil"/>
            </w:tcBorders>
            <w:shd w:val="clear" w:color="auto" w:fill="auto"/>
            <w:vAlign w:val="center"/>
            <w:hideMark/>
          </w:tcPr>
          <w:p w14:paraId="3A8E7E53" w14:textId="77777777" w:rsidR="00F731F8" w:rsidRDefault="00F731F8">
            <w:pPr>
              <w:jc w:val="right"/>
              <w:rPr>
                <w:rFonts w:ascii="Calibri" w:hAnsi="Calibri" w:cs="Calibri"/>
                <w:b/>
                <w:bCs/>
                <w:color w:val="000000"/>
                <w:sz w:val="16"/>
                <w:szCs w:val="16"/>
              </w:rPr>
            </w:pPr>
            <w:r>
              <w:rPr>
                <w:rFonts w:ascii="Calibri" w:hAnsi="Calibri" w:cs="Calibri"/>
                <w:b/>
                <w:bCs/>
                <w:color w:val="000000"/>
                <w:sz w:val="16"/>
                <w:szCs w:val="16"/>
              </w:rPr>
              <w:t>Saldo em 30/06/2021</w:t>
            </w:r>
          </w:p>
        </w:tc>
      </w:tr>
      <w:tr w:rsidR="00F731F8" w14:paraId="50E3C179" w14:textId="77777777" w:rsidTr="00B23D01">
        <w:trPr>
          <w:trHeight w:hRule="exact" w:val="227"/>
        </w:trPr>
        <w:tc>
          <w:tcPr>
            <w:tcW w:w="1494" w:type="pct"/>
            <w:tcBorders>
              <w:top w:val="nil"/>
              <w:left w:val="nil"/>
              <w:bottom w:val="nil"/>
              <w:right w:val="nil"/>
            </w:tcBorders>
            <w:shd w:val="clear" w:color="auto" w:fill="auto"/>
            <w:noWrap/>
            <w:vAlign w:val="center"/>
            <w:hideMark/>
          </w:tcPr>
          <w:p w14:paraId="63CEAD0E" w14:textId="77777777" w:rsidR="00F731F8" w:rsidRDefault="00F731F8">
            <w:pPr>
              <w:rPr>
                <w:rFonts w:ascii="Calibri" w:hAnsi="Calibri" w:cs="Calibri"/>
                <w:color w:val="000000"/>
                <w:sz w:val="16"/>
                <w:szCs w:val="16"/>
              </w:rPr>
            </w:pPr>
            <w:r>
              <w:rPr>
                <w:rFonts w:ascii="Calibri" w:hAnsi="Calibri" w:cs="Calibri"/>
                <w:color w:val="000000"/>
                <w:sz w:val="16"/>
                <w:szCs w:val="16"/>
              </w:rPr>
              <w:t>COFINS a Compensar</w:t>
            </w:r>
          </w:p>
        </w:tc>
        <w:tc>
          <w:tcPr>
            <w:tcW w:w="877" w:type="pct"/>
            <w:tcBorders>
              <w:top w:val="nil"/>
              <w:left w:val="nil"/>
              <w:bottom w:val="nil"/>
              <w:right w:val="nil"/>
            </w:tcBorders>
            <w:shd w:val="clear" w:color="auto" w:fill="auto"/>
            <w:noWrap/>
            <w:vAlign w:val="center"/>
            <w:hideMark/>
          </w:tcPr>
          <w:p w14:paraId="0AD1DCA3"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325.576</w:t>
            </w:r>
          </w:p>
        </w:tc>
        <w:tc>
          <w:tcPr>
            <w:tcW w:w="877" w:type="pct"/>
            <w:tcBorders>
              <w:top w:val="nil"/>
              <w:left w:val="nil"/>
              <w:bottom w:val="nil"/>
              <w:right w:val="nil"/>
            </w:tcBorders>
            <w:shd w:val="clear" w:color="auto" w:fill="auto"/>
            <w:vAlign w:val="center"/>
            <w:hideMark/>
          </w:tcPr>
          <w:p w14:paraId="300A17EE"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165.779</w:t>
            </w:r>
          </w:p>
        </w:tc>
        <w:tc>
          <w:tcPr>
            <w:tcW w:w="877" w:type="pct"/>
            <w:tcBorders>
              <w:top w:val="nil"/>
              <w:left w:val="nil"/>
              <w:bottom w:val="nil"/>
              <w:right w:val="nil"/>
            </w:tcBorders>
            <w:shd w:val="clear" w:color="auto" w:fill="auto"/>
            <w:vAlign w:val="center"/>
            <w:hideMark/>
          </w:tcPr>
          <w:p w14:paraId="0E44E094"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w:t>
            </w:r>
          </w:p>
        </w:tc>
        <w:tc>
          <w:tcPr>
            <w:tcW w:w="877" w:type="pct"/>
            <w:tcBorders>
              <w:top w:val="nil"/>
              <w:left w:val="nil"/>
              <w:bottom w:val="nil"/>
              <w:right w:val="nil"/>
            </w:tcBorders>
            <w:shd w:val="clear" w:color="auto" w:fill="auto"/>
            <w:vAlign w:val="center"/>
            <w:hideMark/>
          </w:tcPr>
          <w:p w14:paraId="03683C73"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491.355</w:t>
            </w:r>
          </w:p>
        </w:tc>
      </w:tr>
      <w:tr w:rsidR="00F731F8" w14:paraId="16B46E6A" w14:textId="77777777" w:rsidTr="00B23D01">
        <w:trPr>
          <w:trHeight w:hRule="exact" w:val="227"/>
        </w:trPr>
        <w:tc>
          <w:tcPr>
            <w:tcW w:w="1494" w:type="pct"/>
            <w:tcBorders>
              <w:top w:val="nil"/>
              <w:left w:val="nil"/>
              <w:bottom w:val="nil"/>
              <w:right w:val="nil"/>
            </w:tcBorders>
            <w:shd w:val="clear" w:color="auto" w:fill="auto"/>
            <w:noWrap/>
            <w:vAlign w:val="center"/>
            <w:hideMark/>
          </w:tcPr>
          <w:p w14:paraId="4C82138D" w14:textId="77777777" w:rsidR="00F731F8" w:rsidRDefault="00F731F8">
            <w:pPr>
              <w:rPr>
                <w:rFonts w:ascii="Calibri" w:hAnsi="Calibri" w:cs="Calibri"/>
                <w:color w:val="000000"/>
                <w:sz w:val="16"/>
                <w:szCs w:val="16"/>
              </w:rPr>
            </w:pPr>
            <w:r>
              <w:rPr>
                <w:rFonts w:ascii="Calibri" w:hAnsi="Calibri" w:cs="Calibri"/>
                <w:color w:val="000000"/>
                <w:sz w:val="16"/>
                <w:szCs w:val="16"/>
              </w:rPr>
              <w:t>PIS a Compensar</w:t>
            </w:r>
          </w:p>
        </w:tc>
        <w:tc>
          <w:tcPr>
            <w:tcW w:w="877" w:type="pct"/>
            <w:tcBorders>
              <w:top w:val="nil"/>
              <w:left w:val="nil"/>
              <w:bottom w:val="nil"/>
              <w:right w:val="nil"/>
            </w:tcBorders>
            <w:shd w:val="clear" w:color="auto" w:fill="auto"/>
            <w:noWrap/>
            <w:vAlign w:val="center"/>
            <w:hideMark/>
          </w:tcPr>
          <w:p w14:paraId="3534E4D6"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70.937</w:t>
            </w:r>
          </w:p>
        </w:tc>
        <w:tc>
          <w:tcPr>
            <w:tcW w:w="877" w:type="pct"/>
            <w:tcBorders>
              <w:top w:val="nil"/>
              <w:left w:val="nil"/>
              <w:bottom w:val="nil"/>
              <w:right w:val="nil"/>
            </w:tcBorders>
            <w:shd w:val="clear" w:color="auto" w:fill="auto"/>
            <w:vAlign w:val="center"/>
            <w:hideMark/>
          </w:tcPr>
          <w:p w14:paraId="493BACB3"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36.830</w:t>
            </w:r>
          </w:p>
        </w:tc>
        <w:tc>
          <w:tcPr>
            <w:tcW w:w="877" w:type="pct"/>
            <w:tcBorders>
              <w:top w:val="nil"/>
              <w:left w:val="nil"/>
              <w:bottom w:val="nil"/>
              <w:right w:val="nil"/>
            </w:tcBorders>
            <w:shd w:val="clear" w:color="auto" w:fill="auto"/>
            <w:vAlign w:val="center"/>
            <w:hideMark/>
          </w:tcPr>
          <w:p w14:paraId="115D2965"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w:t>
            </w:r>
          </w:p>
        </w:tc>
        <w:tc>
          <w:tcPr>
            <w:tcW w:w="877" w:type="pct"/>
            <w:tcBorders>
              <w:top w:val="nil"/>
              <w:left w:val="nil"/>
              <w:bottom w:val="nil"/>
              <w:right w:val="nil"/>
            </w:tcBorders>
            <w:shd w:val="clear" w:color="auto" w:fill="auto"/>
            <w:vAlign w:val="center"/>
            <w:hideMark/>
          </w:tcPr>
          <w:p w14:paraId="3E09BD6A"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107.767</w:t>
            </w:r>
          </w:p>
        </w:tc>
      </w:tr>
      <w:tr w:rsidR="00F731F8" w14:paraId="35D510A1" w14:textId="77777777" w:rsidTr="00B23D01">
        <w:trPr>
          <w:trHeight w:hRule="exact" w:val="227"/>
        </w:trPr>
        <w:tc>
          <w:tcPr>
            <w:tcW w:w="1494" w:type="pct"/>
            <w:tcBorders>
              <w:top w:val="nil"/>
              <w:left w:val="nil"/>
              <w:bottom w:val="nil"/>
              <w:right w:val="nil"/>
            </w:tcBorders>
            <w:shd w:val="clear" w:color="auto" w:fill="auto"/>
            <w:noWrap/>
            <w:vAlign w:val="center"/>
            <w:hideMark/>
          </w:tcPr>
          <w:p w14:paraId="22FCA95C" w14:textId="77777777" w:rsidR="00F731F8" w:rsidRDefault="00F731F8">
            <w:pPr>
              <w:rPr>
                <w:rFonts w:ascii="Calibri" w:hAnsi="Calibri" w:cs="Calibri"/>
                <w:color w:val="000000"/>
                <w:sz w:val="16"/>
                <w:szCs w:val="16"/>
              </w:rPr>
            </w:pPr>
            <w:r>
              <w:rPr>
                <w:rFonts w:ascii="Calibri" w:hAnsi="Calibri" w:cs="Calibri"/>
                <w:color w:val="000000"/>
                <w:sz w:val="16"/>
                <w:szCs w:val="16"/>
              </w:rPr>
              <w:t>IRRF a Compensar</w:t>
            </w:r>
          </w:p>
        </w:tc>
        <w:tc>
          <w:tcPr>
            <w:tcW w:w="877" w:type="pct"/>
            <w:tcBorders>
              <w:top w:val="nil"/>
              <w:left w:val="nil"/>
              <w:bottom w:val="nil"/>
              <w:right w:val="nil"/>
            </w:tcBorders>
            <w:shd w:val="clear" w:color="auto" w:fill="auto"/>
            <w:noWrap/>
            <w:vAlign w:val="center"/>
            <w:hideMark/>
          </w:tcPr>
          <w:p w14:paraId="51F9E186"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134</w:t>
            </w:r>
          </w:p>
        </w:tc>
        <w:tc>
          <w:tcPr>
            <w:tcW w:w="877" w:type="pct"/>
            <w:tcBorders>
              <w:top w:val="nil"/>
              <w:left w:val="nil"/>
              <w:bottom w:val="nil"/>
              <w:right w:val="nil"/>
            </w:tcBorders>
            <w:shd w:val="clear" w:color="auto" w:fill="auto"/>
            <w:vAlign w:val="center"/>
            <w:hideMark/>
          </w:tcPr>
          <w:p w14:paraId="7A4DA6DF"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167</w:t>
            </w:r>
          </w:p>
        </w:tc>
        <w:tc>
          <w:tcPr>
            <w:tcW w:w="877" w:type="pct"/>
            <w:tcBorders>
              <w:top w:val="nil"/>
              <w:left w:val="nil"/>
              <w:bottom w:val="nil"/>
              <w:right w:val="nil"/>
            </w:tcBorders>
            <w:shd w:val="clear" w:color="auto" w:fill="auto"/>
            <w:vAlign w:val="center"/>
            <w:hideMark/>
          </w:tcPr>
          <w:p w14:paraId="1007A702" w14:textId="69092A90" w:rsidR="00F731F8" w:rsidRDefault="00F731F8">
            <w:pPr>
              <w:jc w:val="right"/>
              <w:rPr>
                <w:rFonts w:ascii="Calibri" w:hAnsi="Calibri" w:cs="Calibri"/>
                <w:color w:val="000000"/>
                <w:sz w:val="16"/>
                <w:szCs w:val="16"/>
              </w:rPr>
            </w:pPr>
            <w:r>
              <w:rPr>
                <w:rFonts w:ascii="Calibri" w:hAnsi="Calibri" w:cs="Calibri"/>
                <w:color w:val="000000"/>
                <w:sz w:val="16"/>
                <w:szCs w:val="16"/>
              </w:rPr>
              <w:t>(301)</w:t>
            </w:r>
          </w:p>
        </w:tc>
        <w:tc>
          <w:tcPr>
            <w:tcW w:w="877" w:type="pct"/>
            <w:tcBorders>
              <w:top w:val="nil"/>
              <w:left w:val="nil"/>
              <w:bottom w:val="nil"/>
              <w:right w:val="nil"/>
            </w:tcBorders>
            <w:shd w:val="clear" w:color="auto" w:fill="auto"/>
            <w:vAlign w:val="center"/>
            <w:hideMark/>
          </w:tcPr>
          <w:p w14:paraId="109EC415"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0</w:t>
            </w:r>
          </w:p>
        </w:tc>
      </w:tr>
      <w:tr w:rsidR="00F731F8" w14:paraId="62640809" w14:textId="77777777" w:rsidTr="00B23D01">
        <w:trPr>
          <w:trHeight w:hRule="exact" w:val="227"/>
        </w:trPr>
        <w:tc>
          <w:tcPr>
            <w:tcW w:w="1494" w:type="pct"/>
            <w:tcBorders>
              <w:top w:val="single" w:sz="8" w:space="0" w:color="auto"/>
              <w:left w:val="nil"/>
              <w:bottom w:val="single" w:sz="8" w:space="0" w:color="auto"/>
              <w:right w:val="nil"/>
            </w:tcBorders>
            <w:shd w:val="clear" w:color="auto" w:fill="auto"/>
            <w:noWrap/>
            <w:vAlign w:val="center"/>
            <w:hideMark/>
          </w:tcPr>
          <w:p w14:paraId="49EBB067" w14:textId="77777777" w:rsidR="00F731F8" w:rsidRDefault="00F731F8">
            <w:pPr>
              <w:jc w:val="center"/>
              <w:rPr>
                <w:rFonts w:ascii="Calibri" w:hAnsi="Calibri" w:cs="Calibri"/>
                <w:b/>
                <w:bCs/>
                <w:color w:val="000000"/>
                <w:sz w:val="16"/>
                <w:szCs w:val="16"/>
              </w:rPr>
            </w:pPr>
            <w:r>
              <w:rPr>
                <w:rFonts w:ascii="Calibri" w:hAnsi="Calibri" w:cs="Calibri"/>
                <w:b/>
                <w:bCs/>
                <w:color w:val="000000"/>
                <w:sz w:val="16"/>
                <w:szCs w:val="16"/>
              </w:rPr>
              <w:t>TOTAL</w:t>
            </w:r>
          </w:p>
        </w:tc>
        <w:tc>
          <w:tcPr>
            <w:tcW w:w="877" w:type="pct"/>
            <w:tcBorders>
              <w:top w:val="single" w:sz="8" w:space="0" w:color="auto"/>
              <w:left w:val="nil"/>
              <w:bottom w:val="single" w:sz="8" w:space="0" w:color="auto"/>
              <w:right w:val="nil"/>
            </w:tcBorders>
            <w:shd w:val="clear" w:color="auto" w:fill="auto"/>
            <w:noWrap/>
            <w:vAlign w:val="center"/>
            <w:hideMark/>
          </w:tcPr>
          <w:p w14:paraId="71DB36EE" w14:textId="77777777" w:rsidR="00F731F8" w:rsidRDefault="00F731F8">
            <w:pPr>
              <w:jc w:val="right"/>
              <w:rPr>
                <w:rFonts w:ascii="Calibri" w:hAnsi="Calibri" w:cs="Calibri"/>
                <w:b/>
                <w:bCs/>
                <w:color w:val="000000"/>
                <w:sz w:val="16"/>
                <w:szCs w:val="16"/>
              </w:rPr>
            </w:pPr>
            <w:r>
              <w:rPr>
                <w:rFonts w:ascii="Calibri" w:hAnsi="Calibri" w:cs="Calibri"/>
                <w:b/>
                <w:bCs/>
                <w:color w:val="000000"/>
                <w:sz w:val="16"/>
                <w:szCs w:val="16"/>
              </w:rPr>
              <w:t>396.647</w:t>
            </w:r>
          </w:p>
        </w:tc>
        <w:tc>
          <w:tcPr>
            <w:tcW w:w="877" w:type="pct"/>
            <w:tcBorders>
              <w:top w:val="single" w:sz="8" w:space="0" w:color="auto"/>
              <w:left w:val="nil"/>
              <w:bottom w:val="single" w:sz="8" w:space="0" w:color="auto"/>
              <w:right w:val="nil"/>
            </w:tcBorders>
            <w:shd w:val="clear" w:color="auto" w:fill="auto"/>
            <w:vAlign w:val="center"/>
            <w:hideMark/>
          </w:tcPr>
          <w:p w14:paraId="01D74EA9" w14:textId="77777777" w:rsidR="00F731F8" w:rsidRDefault="00F731F8">
            <w:pPr>
              <w:jc w:val="right"/>
              <w:rPr>
                <w:rFonts w:ascii="Calibri" w:hAnsi="Calibri" w:cs="Calibri"/>
                <w:b/>
                <w:bCs/>
                <w:color w:val="000000"/>
                <w:sz w:val="16"/>
                <w:szCs w:val="16"/>
              </w:rPr>
            </w:pPr>
            <w:r>
              <w:rPr>
                <w:rFonts w:ascii="Calibri" w:hAnsi="Calibri" w:cs="Calibri"/>
                <w:b/>
                <w:bCs/>
                <w:color w:val="000000"/>
                <w:sz w:val="16"/>
                <w:szCs w:val="16"/>
              </w:rPr>
              <w:t>202.776</w:t>
            </w:r>
          </w:p>
        </w:tc>
        <w:tc>
          <w:tcPr>
            <w:tcW w:w="877" w:type="pct"/>
            <w:tcBorders>
              <w:top w:val="single" w:sz="8" w:space="0" w:color="auto"/>
              <w:left w:val="nil"/>
              <w:bottom w:val="single" w:sz="8" w:space="0" w:color="auto"/>
              <w:right w:val="nil"/>
            </w:tcBorders>
            <w:shd w:val="clear" w:color="auto" w:fill="auto"/>
            <w:vAlign w:val="center"/>
            <w:hideMark/>
          </w:tcPr>
          <w:p w14:paraId="3BF16929" w14:textId="301750B5" w:rsidR="00F731F8" w:rsidRDefault="00F731F8">
            <w:pPr>
              <w:jc w:val="right"/>
              <w:rPr>
                <w:rFonts w:ascii="Calibri" w:hAnsi="Calibri" w:cs="Calibri"/>
                <w:b/>
                <w:bCs/>
                <w:color w:val="000000"/>
                <w:sz w:val="16"/>
                <w:szCs w:val="16"/>
              </w:rPr>
            </w:pPr>
            <w:r>
              <w:rPr>
                <w:rFonts w:ascii="Calibri" w:hAnsi="Calibri" w:cs="Calibri"/>
                <w:b/>
                <w:bCs/>
                <w:color w:val="000000"/>
                <w:sz w:val="16"/>
                <w:szCs w:val="16"/>
              </w:rPr>
              <w:t>(301)</w:t>
            </w:r>
          </w:p>
        </w:tc>
        <w:tc>
          <w:tcPr>
            <w:tcW w:w="877" w:type="pct"/>
            <w:tcBorders>
              <w:top w:val="single" w:sz="8" w:space="0" w:color="auto"/>
              <w:left w:val="nil"/>
              <w:bottom w:val="single" w:sz="8" w:space="0" w:color="auto"/>
              <w:right w:val="nil"/>
            </w:tcBorders>
            <w:shd w:val="clear" w:color="auto" w:fill="auto"/>
            <w:vAlign w:val="center"/>
            <w:hideMark/>
          </w:tcPr>
          <w:p w14:paraId="375C137A" w14:textId="77777777" w:rsidR="00F731F8" w:rsidRDefault="00F731F8">
            <w:pPr>
              <w:jc w:val="right"/>
              <w:rPr>
                <w:rFonts w:ascii="Calibri" w:hAnsi="Calibri" w:cs="Calibri"/>
                <w:b/>
                <w:bCs/>
                <w:color w:val="000000"/>
                <w:sz w:val="16"/>
                <w:szCs w:val="16"/>
              </w:rPr>
            </w:pPr>
            <w:r>
              <w:rPr>
                <w:rFonts w:ascii="Calibri" w:hAnsi="Calibri" w:cs="Calibri"/>
                <w:b/>
                <w:bCs/>
                <w:color w:val="000000"/>
                <w:sz w:val="16"/>
                <w:szCs w:val="16"/>
              </w:rPr>
              <w:t>599.122</w:t>
            </w:r>
          </w:p>
        </w:tc>
      </w:tr>
    </w:tbl>
    <w:p w14:paraId="46F909EB" w14:textId="77777777" w:rsidR="00FA0D6A" w:rsidRPr="002E2B5B" w:rsidRDefault="00FA0D6A" w:rsidP="002E2B5B">
      <w:pPr>
        <w:jc w:val="both"/>
        <w:rPr>
          <w:rFonts w:ascii="Calibri" w:hAnsi="Calibri" w:cs="Calibri"/>
          <w:b/>
          <w:sz w:val="22"/>
          <w:szCs w:val="22"/>
        </w:rPr>
      </w:pPr>
      <w:r w:rsidRPr="0092389C">
        <w:rPr>
          <w:rFonts w:ascii="Calibri" w:hAnsi="Calibri" w:cs="Calibri"/>
          <w:b/>
          <w:sz w:val="22"/>
          <w:szCs w:val="22"/>
        </w:rPr>
        <w:t>b.2) Crédito Previdenciário a Compensar</w:t>
      </w:r>
    </w:p>
    <w:p w14:paraId="2731CFF9" w14:textId="65A27785" w:rsidR="00FC6CF4" w:rsidRPr="002E2B5B" w:rsidRDefault="00404FDE" w:rsidP="002E2B5B">
      <w:pPr>
        <w:jc w:val="both"/>
        <w:rPr>
          <w:rFonts w:ascii="Calibri" w:hAnsi="Calibri" w:cs="Calibri"/>
          <w:b/>
          <w:sz w:val="22"/>
          <w:szCs w:val="22"/>
        </w:rPr>
      </w:pPr>
      <w:r w:rsidRPr="002E2B5B">
        <w:rPr>
          <w:rFonts w:ascii="Calibri" w:hAnsi="Calibri" w:cs="Calibri"/>
          <w:sz w:val="22"/>
          <w:szCs w:val="22"/>
        </w:rPr>
        <w:t xml:space="preserve">Os seguintes fatos e princípios foram determinantes como justificativa para apuração de créditos previdenciários: Índices FAP declarados em divergência ao que determina o Portal </w:t>
      </w:r>
      <w:proofErr w:type="spellStart"/>
      <w:r w:rsidRPr="002E2B5B">
        <w:rPr>
          <w:rFonts w:ascii="Calibri" w:hAnsi="Calibri" w:cs="Calibri"/>
          <w:sz w:val="22"/>
          <w:szCs w:val="22"/>
        </w:rPr>
        <w:t>FAPWeb</w:t>
      </w:r>
      <w:proofErr w:type="spellEnd"/>
      <w:r w:rsidRPr="002E2B5B">
        <w:rPr>
          <w:rFonts w:ascii="Calibri" w:hAnsi="Calibri" w:cs="Calibri"/>
          <w:sz w:val="22"/>
          <w:szCs w:val="22"/>
        </w:rPr>
        <w:t>; Atividades preponderantes declaradas em discordância com a real atividade exercida pelos funcionários de cada filial, conforme determina a Instrução Normativa 1.453</w:t>
      </w:r>
      <w:r w:rsidR="00A10351" w:rsidRPr="002E2B5B">
        <w:rPr>
          <w:rFonts w:ascii="Calibri" w:hAnsi="Calibri" w:cs="Calibri"/>
          <w:sz w:val="22"/>
          <w:szCs w:val="22"/>
        </w:rPr>
        <w:t xml:space="preserve">, de 24 de fevereiro de </w:t>
      </w:r>
      <w:r w:rsidRPr="002E2B5B">
        <w:rPr>
          <w:rFonts w:ascii="Calibri" w:hAnsi="Calibri" w:cs="Calibri"/>
          <w:sz w:val="22"/>
          <w:szCs w:val="22"/>
        </w:rPr>
        <w:t>2014</w:t>
      </w:r>
      <w:r w:rsidR="00A10351" w:rsidRPr="002E2B5B">
        <w:rPr>
          <w:rFonts w:ascii="Calibri" w:hAnsi="Calibri" w:cs="Calibri"/>
          <w:sz w:val="22"/>
          <w:szCs w:val="22"/>
        </w:rPr>
        <w:t>,</w:t>
      </w:r>
      <w:r w:rsidRPr="002E2B5B">
        <w:rPr>
          <w:rFonts w:ascii="Calibri" w:hAnsi="Calibri" w:cs="Calibri"/>
          <w:sz w:val="22"/>
          <w:szCs w:val="22"/>
        </w:rPr>
        <w:t xml:space="preserve"> e COSIT</w:t>
      </w:r>
      <w:r w:rsidR="00A10351" w:rsidRPr="002E2B5B">
        <w:rPr>
          <w:rFonts w:ascii="Calibri" w:hAnsi="Calibri" w:cs="Calibri"/>
          <w:sz w:val="22"/>
          <w:szCs w:val="22"/>
        </w:rPr>
        <w:t>, de 14 de junho de 2016</w:t>
      </w:r>
      <w:r w:rsidRPr="002E2B5B">
        <w:rPr>
          <w:rFonts w:ascii="Calibri" w:hAnsi="Calibri" w:cs="Calibri"/>
          <w:sz w:val="22"/>
          <w:szCs w:val="22"/>
        </w:rPr>
        <w:t>; Alíquota RAT declaradas em discordância com o determinado pelo Decreto 6.957</w:t>
      </w:r>
      <w:r w:rsidR="00A10351" w:rsidRPr="002E2B5B">
        <w:rPr>
          <w:rFonts w:ascii="Calibri" w:hAnsi="Calibri" w:cs="Calibri"/>
          <w:sz w:val="22"/>
          <w:szCs w:val="22"/>
        </w:rPr>
        <w:t>, de 09 de setembro de 2</w:t>
      </w:r>
      <w:r w:rsidRPr="002E2B5B">
        <w:rPr>
          <w:rFonts w:ascii="Calibri" w:hAnsi="Calibri" w:cs="Calibri"/>
          <w:sz w:val="22"/>
          <w:szCs w:val="22"/>
        </w:rPr>
        <w:t>009; Ausência de lançamento de desoneração em folha durante o período em que a mesma era obrigatória para o setor econômico da VALEC, conforme Lei</w:t>
      </w:r>
      <w:r w:rsidR="00214011">
        <w:rPr>
          <w:rFonts w:ascii="Calibri" w:hAnsi="Calibri" w:cs="Calibri"/>
          <w:sz w:val="22"/>
          <w:szCs w:val="22"/>
        </w:rPr>
        <w:t xml:space="preserve"> nº</w:t>
      </w:r>
      <w:r w:rsidRPr="002E2B5B">
        <w:rPr>
          <w:rFonts w:ascii="Calibri" w:hAnsi="Calibri" w:cs="Calibri"/>
          <w:sz w:val="22"/>
          <w:szCs w:val="22"/>
        </w:rPr>
        <w:t xml:space="preserve"> 12.546</w:t>
      </w:r>
      <w:r w:rsidR="00A10351" w:rsidRPr="002E2B5B">
        <w:rPr>
          <w:rFonts w:ascii="Calibri" w:hAnsi="Calibri" w:cs="Calibri"/>
          <w:sz w:val="22"/>
          <w:szCs w:val="22"/>
        </w:rPr>
        <w:t xml:space="preserve">, de 14 de dezembro de </w:t>
      </w:r>
      <w:r w:rsidRPr="002E2B5B">
        <w:rPr>
          <w:rFonts w:ascii="Calibri" w:hAnsi="Calibri" w:cs="Calibri"/>
          <w:sz w:val="22"/>
          <w:szCs w:val="22"/>
        </w:rPr>
        <w:t>2011</w:t>
      </w:r>
      <w:r w:rsidR="00A10351" w:rsidRPr="002E2B5B">
        <w:rPr>
          <w:rFonts w:ascii="Calibri" w:hAnsi="Calibri" w:cs="Calibri"/>
          <w:sz w:val="22"/>
          <w:szCs w:val="22"/>
        </w:rPr>
        <w:t>,</w:t>
      </w:r>
      <w:r w:rsidRPr="002E2B5B">
        <w:rPr>
          <w:rFonts w:ascii="Calibri" w:hAnsi="Calibri" w:cs="Calibri"/>
          <w:sz w:val="22"/>
          <w:szCs w:val="22"/>
        </w:rPr>
        <w:t xml:space="preserve"> e posteriores alterações; e Ausência de pagamento de DARF CPRB no período em que a mesma era obrigatória para o setor econômico da VALEC, conforme </w:t>
      </w:r>
      <w:r w:rsidR="00A10351" w:rsidRPr="002E2B5B">
        <w:rPr>
          <w:rFonts w:ascii="Calibri" w:hAnsi="Calibri" w:cs="Calibri"/>
          <w:sz w:val="22"/>
          <w:szCs w:val="22"/>
        </w:rPr>
        <w:t>Lei</w:t>
      </w:r>
      <w:r w:rsidR="00214011">
        <w:rPr>
          <w:rFonts w:ascii="Calibri" w:hAnsi="Calibri" w:cs="Calibri"/>
          <w:sz w:val="22"/>
          <w:szCs w:val="22"/>
        </w:rPr>
        <w:t xml:space="preserve"> nº</w:t>
      </w:r>
      <w:r w:rsidR="00A10351" w:rsidRPr="002E2B5B">
        <w:rPr>
          <w:rFonts w:ascii="Calibri" w:hAnsi="Calibri" w:cs="Calibri"/>
          <w:sz w:val="22"/>
          <w:szCs w:val="22"/>
        </w:rPr>
        <w:t xml:space="preserve"> 12.546, de 14 de dezembro de 2011, </w:t>
      </w:r>
      <w:r w:rsidRPr="002E2B5B">
        <w:rPr>
          <w:rFonts w:ascii="Calibri" w:hAnsi="Calibri" w:cs="Calibri"/>
          <w:sz w:val="22"/>
          <w:szCs w:val="22"/>
        </w:rPr>
        <w:t>e posteriores alterações.</w:t>
      </w:r>
    </w:p>
    <w:tbl>
      <w:tblPr>
        <w:tblW w:w="5000" w:type="pct"/>
        <w:tblCellMar>
          <w:left w:w="70" w:type="dxa"/>
          <w:right w:w="70" w:type="dxa"/>
        </w:tblCellMar>
        <w:tblLook w:val="04A0" w:firstRow="1" w:lastRow="0" w:firstColumn="1" w:lastColumn="0" w:noHBand="0" w:noVBand="1"/>
      </w:tblPr>
      <w:tblGrid>
        <w:gridCol w:w="5471"/>
        <w:gridCol w:w="710"/>
        <w:gridCol w:w="283"/>
        <w:gridCol w:w="1834"/>
        <w:gridCol w:w="1991"/>
        <w:gridCol w:w="178"/>
      </w:tblGrid>
      <w:tr w:rsidR="004C6C47" w:rsidRPr="002E2B5B" w14:paraId="333AE8D4" w14:textId="77777777" w:rsidTr="00FF1438">
        <w:trPr>
          <w:trHeight w:val="255"/>
        </w:trPr>
        <w:tc>
          <w:tcPr>
            <w:tcW w:w="2614" w:type="pct"/>
            <w:tcBorders>
              <w:top w:val="nil"/>
              <w:left w:val="nil"/>
              <w:bottom w:val="single" w:sz="4" w:space="0" w:color="auto"/>
              <w:right w:val="nil"/>
            </w:tcBorders>
            <w:shd w:val="clear" w:color="auto" w:fill="auto"/>
            <w:noWrap/>
            <w:vAlign w:val="bottom"/>
            <w:hideMark/>
          </w:tcPr>
          <w:p w14:paraId="1CEE3169" w14:textId="77777777" w:rsidR="00FF1438" w:rsidRPr="002E2B5B" w:rsidRDefault="00FF1438" w:rsidP="002E2B5B">
            <w:pPr>
              <w:rPr>
                <w:rFonts w:ascii="Calibri" w:hAnsi="Calibri" w:cs="Calibri"/>
                <w:b/>
                <w:bCs/>
                <w:sz w:val="16"/>
                <w:szCs w:val="16"/>
              </w:rPr>
            </w:pPr>
            <w:r w:rsidRPr="002E2B5B">
              <w:rPr>
                <w:rFonts w:ascii="Calibri" w:hAnsi="Calibri" w:cs="Calibri"/>
                <w:b/>
                <w:bCs/>
                <w:sz w:val="16"/>
                <w:szCs w:val="16"/>
              </w:rPr>
              <w:t>CRÉDITO PREVIDENCIÁRIO</w:t>
            </w:r>
          </w:p>
        </w:tc>
        <w:tc>
          <w:tcPr>
            <w:tcW w:w="339" w:type="pct"/>
            <w:tcBorders>
              <w:top w:val="nil"/>
              <w:left w:val="nil"/>
              <w:bottom w:val="single" w:sz="4" w:space="0" w:color="auto"/>
              <w:right w:val="nil"/>
            </w:tcBorders>
            <w:shd w:val="clear" w:color="auto" w:fill="auto"/>
            <w:noWrap/>
            <w:vAlign w:val="bottom"/>
            <w:hideMark/>
          </w:tcPr>
          <w:p w14:paraId="78EA5425" w14:textId="77777777" w:rsidR="00FF1438" w:rsidRPr="002E2B5B" w:rsidRDefault="00FF1438" w:rsidP="002E2B5B">
            <w:pPr>
              <w:jc w:val="center"/>
              <w:rPr>
                <w:rFonts w:ascii="Calibri" w:hAnsi="Calibri" w:cs="Calibri"/>
                <w:b/>
                <w:bCs/>
                <w:sz w:val="16"/>
                <w:szCs w:val="16"/>
              </w:rPr>
            </w:pPr>
          </w:p>
        </w:tc>
        <w:tc>
          <w:tcPr>
            <w:tcW w:w="135" w:type="pct"/>
            <w:tcBorders>
              <w:top w:val="nil"/>
              <w:left w:val="nil"/>
              <w:bottom w:val="single" w:sz="4" w:space="0" w:color="auto"/>
              <w:right w:val="nil"/>
            </w:tcBorders>
            <w:shd w:val="clear" w:color="auto" w:fill="auto"/>
            <w:noWrap/>
            <w:vAlign w:val="bottom"/>
            <w:hideMark/>
          </w:tcPr>
          <w:p w14:paraId="50AB08D3" w14:textId="77777777" w:rsidR="00FF1438" w:rsidRPr="002E2B5B" w:rsidRDefault="00FF1438" w:rsidP="002E2B5B">
            <w:pPr>
              <w:jc w:val="center"/>
              <w:rPr>
                <w:rFonts w:ascii="Calibri" w:hAnsi="Calibri" w:cs="Calibri"/>
                <w:b/>
                <w:bCs/>
                <w:sz w:val="16"/>
                <w:szCs w:val="16"/>
              </w:rPr>
            </w:pPr>
          </w:p>
        </w:tc>
        <w:tc>
          <w:tcPr>
            <w:tcW w:w="876" w:type="pct"/>
            <w:tcBorders>
              <w:top w:val="nil"/>
              <w:left w:val="nil"/>
              <w:bottom w:val="single" w:sz="4" w:space="0" w:color="auto"/>
              <w:right w:val="nil"/>
            </w:tcBorders>
          </w:tcPr>
          <w:p w14:paraId="4C7E6A62" w14:textId="77777777" w:rsidR="00FF1438" w:rsidRPr="002E2B5B" w:rsidRDefault="00FF1438" w:rsidP="002E2B5B">
            <w:pPr>
              <w:jc w:val="right"/>
              <w:rPr>
                <w:rFonts w:ascii="Calibri" w:hAnsi="Calibri" w:cs="Calibri"/>
                <w:b/>
                <w:bCs/>
                <w:sz w:val="16"/>
                <w:szCs w:val="16"/>
              </w:rPr>
            </w:pPr>
          </w:p>
        </w:tc>
        <w:tc>
          <w:tcPr>
            <w:tcW w:w="951" w:type="pct"/>
            <w:tcBorders>
              <w:top w:val="nil"/>
              <w:left w:val="nil"/>
              <w:bottom w:val="single" w:sz="4" w:space="0" w:color="auto"/>
              <w:right w:val="nil"/>
            </w:tcBorders>
            <w:shd w:val="clear" w:color="auto" w:fill="auto"/>
            <w:noWrap/>
            <w:vAlign w:val="bottom"/>
          </w:tcPr>
          <w:p w14:paraId="28C40260" w14:textId="77777777" w:rsidR="00FF1438" w:rsidRPr="002E2B5B" w:rsidRDefault="00FF1438" w:rsidP="002E2B5B">
            <w:pPr>
              <w:jc w:val="right"/>
              <w:rPr>
                <w:rFonts w:ascii="Calibri" w:hAnsi="Calibri" w:cs="Calibri"/>
                <w:b/>
                <w:bCs/>
                <w:sz w:val="16"/>
                <w:szCs w:val="16"/>
              </w:rPr>
            </w:pPr>
          </w:p>
        </w:tc>
        <w:tc>
          <w:tcPr>
            <w:tcW w:w="85" w:type="pct"/>
            <w:tcBorders>
              <w:top w:val="nil"/>
              <w:left w:val="nil"/>
              <w:bottom w:val="single" w:sz="4" w:space="0" w:color="auto"/>
              <w:right w:val="nil"/>
            </w:tcBorders>
            <w:shd w:val="clear" w:color="auto" w:fill="auto"/>
            <w:noWrap/>
            <w:vAlign w:val="bottom"/>
            <w:hideMark/>
          </w:tcPr>
          <w:p w14:paraId="029BEF60" w14:textId="77777777" w:rsidR="00FF1438" w:rsidRPr="002E2B5B" w:rsidRDefault="00FF1438" w:rsidP="002E2B5B">
            <w:pPr>
              <w:jc w:val="center"/>
              <w:rPr>
                <w:rFonts w:ascii="Calibri" w:hAnsi="Calibri" w:cs="Calibri"/>
                <w:b/>
                <w:bCs/>
                <w:sz w:val="16"/>
                <w:szCs w:val="16"/>
              </w:rPr>
            </w:pPr>
          </w:p>
        </w:tc>
      </w:tr>
      <w:tr w:rsidR="004C6C47" w:rsidRPr="002E2B5B" w14:paraId="1EA050EC" w14:textId="77777777" w:rsidTr="00526F70">
        <w:trPr>
          <w:trHeight w:val="317"/>
        </w:trPr>
        <w:tc>
          <w:tcPr>
            <w:tcW w:w="2614" w:type="pct"/>
            <w:tcBorders>
              <w:top w:val="nil"/>
              <w:left w:val="nil"/>
              <w:right w:val="nil"/>
            </w:tcBorders>
            <w:shd w:val="clear" w:color="auto" w:fill="auto"/>
            <w:noWrap/>
            <w:vAlign w:val="bottom"/>
            <w:hideMark/>
          </w:tcPr>
          <w:p w14:paraId="7602D446" w14:textId="77777777" w:rsidR="00FF1438" w:rsidRPr="002E2B5B" w:rsidRDefault="00FF1438" w:rsidP="002E2B5B">
            <w:pPr>
              <w:rPr>
                <w:rFonts w:ascii="Calibri" w:hAnsi="Calibri" w:cs="Calibri"/>
                <w:sz w:val="16"/>
                <w:szCs w:val="16"/>
              </w:rPr>
            </w:pPr>
            <w:r w:rsidRPr="002E2B5B">
              <w:rPr>
                <w:rFonts w:ascii="Calibri" w:hAnsi="Calibri" w:cs="Calibri"/>
                <w:sz w:val="16"/>
                <w:szCs w:val="16"/>
              </w:rPr>
              <w:t>Crédito Previdenciário</w:t>
            </w:r>
          </w:p>
        </w:tc>
        <w:tc>
          <w:tcPr>
            <w:tcW w:w="339" w:type="pct"/>
            <w:tcBorders>
              <w:top w:val="nil"/>
              <w:left w:val="nil"/>
              <w:right w:val="nil"/>
            </w:tcBorders>
            <w:shd w:val="clear" w:color="auto" w:fill="auto"/>
            <w:noWrap/>
            <w:vAlign w:val="bottom"/>
            <w:hideMark/>
          </w:tcPr>
          <w:p w14:paraId="6596684E" w14:textId="77777777" w:rsidR="00FF1438" w:rsidRPr="002E2B5B" w:rsidRDefault="00FF1438" w:rsidP="002E2B5B">
            <w:pPr>
              <w:rPr>
                <w:rFonts w:ascii="Calibri" w:hAnsi="Calibri" w:cs="Calibri"/>
                <w:sz w:val="16"/>
                <w:szCs w:val="16"/>
              </w:rPr>
            </w:pPr>
          </w:p>
        </w:tc>
        <w:tc>
          <w:tcPr>
            <w:tcW w:w="135" w:type="pct"/>
            <w:tcBorders>
              <w:top w:val="nil"/>
              <w:left w:val="nil"/>
              <w:right w:val="nil"/>
            </w:tcBorders>
            <w:shd w:val="clear" w:color="auto" w:fill="auto"/>
            <w:noWrap/>
            <w:vAlign w:val="bottom"/>
            <w:hideMark/>
          </w:tcPr>
          <w:p w14:paraId="562C614F" w14:textId="77777777" w:rsidR="00FF1438" w:rsidRPr="002E2B5B" w:rsidRDefault="00FF1438" w:rsidP="002E2B5B">
            <w:pPr>
              <w:rPr>
                <w:rFonts w:ascii="Calibri" w:hAnsi="Calibri" w:cs="Calibri"/>
                <w:b/>
                <w:bCs/>
                <w:sz w:val="16"/>
                <w:szCs w:val="16"/>
              </w:rPr>
            </w:pPr>
          </w:p>
        </w:tc>
        <w:tc>
          <w:tcPr>
            <w:tcW w:w="876" w:type="pct"/>
            <w:tcBorders>
              <w:top w:val="nil"/>
              <w:left w:val="nil"/>
              <w:right w:val="nil"/>
            </w:tcBorders>
          </w:tcPr>
          <w:p w14:paraId="7F9DFFE4" w14:textId="77777777" w:rsidR="00FF1438" w:rsidRPr="002E2B5B" w:rsidRDefault="00FF1438" w:rsidP="002E2B5B">
            <w:pPr>
              <w:jc w:val="right"/>
              <w:rPr>
                <w:rFonts w:ascii="Calibri" w:hAnsi="Calibri" w:cs="Calibri"/>
                <w:sz w:val="16"/>
                <w:szCs w:val="16"/>
              </w:rPr>
            </w:pPr>
          </w:p>
        </w:tc>
        <w:tc>
          <w:tcPr>
            <w:tcW w:w="951" w:type="pct"/>
            <w:tcBorders>
              <w:top w:val="nil"/>
              <w:left w:val="nil"/>
              <w:right w:val="nil"/>
            </w:tcBorders>
            <w:shd w:val="clear" w:color="auto" w:fill="auto"/>
            <w:noWrap/>
            <w:hideMark/>
          </w:tcPr>
          <w:p w14:paraId="6B6ED91E" w14:textId="77777777" w:rsidR="00FF1438" w:rsidRPr="002E2B5B" w:rsidRDefault="00FF1438" w:rsidP="002E2B5B">
            <w:pPr>
              <w:jc w:val="right"/>
              <w:rPr>
                <w:rFonts w:ascii="Calibri" w:hAnsi="Calibri" w:cs="Calibri"/>
                <w:sz w:val="16"/>
                <w:szCs w:val="16"/>
              </w:rPr>
            </w:pPr>
            <w:r w:rsidRPr="002E2B5B">
              <w:rPr>
                <w:rFonts w:ascii="Calibri" w:hAnsi="Calibri" w:cs="Calibri"/>
                <w:sz w:val="16"/>
                <w:szCs w:val="16"/>
              </w:rPr>
              <w:t xml:space="preserve">        54.285.136 </w:t>
            </w:r>
          </w:p>
        </w:tc>
        <w:tc>
          <w:tcPr>
            <w:tcW w:w="85" w:type="pct"/>
            <w:tcBorders>
              <w:top w:val="nil"/>
              <w:left w:val="nil"/>
              <w:right w:val="nil"/>
            </w:tcBorders>
            <w:shd w:val="clear" w:color="auto" w:fill="auto"/>
            <w:noWrap/>
            <w:vAlign w:val="bottom"/>
            <w:hideMark/>
          </w:tcPr>
          <w:p w14:paraId="168C4784" w14:textId="77777777" w:rsidR="00FF1438" w:rsidRPr="002E2B5B" w:rsidRDefault="00FF1438" w:rsidP="002E2B5B">
            <w:pPr>
              <w:rPr>
                <w:rFonts w:ascii="Calibri" w:hAnsi="Calibri" w:cs="Calibri"/>
                <w:sz w:val="16"/>
                <w:szCs w:val="16"/>
              </w:rPr>
            </w:pPr>
          </w:p>
        </w:tc>
      </w:tr>
      <w:tr w:rsidR="004C6C47" w:rsidRPr="002E2B5B" w14:paraId="346477AA" w14:textId="77777777" w:rsidTr="00C535B0">
        <w:trPr>
          <w:trHeight w:val="255"/>
        </w:trPr>
        <w:tc>
          <w:tcPr>
            <w:tcW w:w="2614" w:type="pct"/>
            <w:tcBorders>
              <w:top w:val="nil"/>
              <w:left w:val="nil"/>
              <w:right w:val="nil"/>
            </w:tcBorders>
            <w:shd w:val="clear" w:color="auto" w:fill="auto"/>
            <w:noWrap/>
            <w:vAlign w:val="bottom"/>
            <w:hideMark/>
          </w:tcPr>
          <w:p w14:paraId="074D2988" w14:textId="77777777" w:rsidR="00FF1438" w:rsidRPr="002E2B5B" w:rsidRDefault="00FF1438" w:rsidP="002E2B5B">
            <w:pPr>
              <w:rPr>
                <w:rFonts w:ascii="Calibri" w:hAnsi="Calibri" w:cs="Calibri"/>
                <w:sz w:val="16"/>
                <w:szCs w:val="16"/>
              </w:rPr>
            </w:pPr>
            <w:r w:rsidRPr="002E2B5B">
              <w:rPr>
                <w:rFonts w:ascii="Calibri" w:hAnsi="Calibri" w:cs="Calibri"/>
                <w:sz w:val="16"/>
                <w:szCs w:val="16"/>
              </w:rPr>
              <w:t>Crédito Compensado em 2018</w:t>
            </w:r>
          </w:p>
        </w:tc>
        <w:tc>
          <w:tcPr>
            <w:tcW w:w="339" w:type="pct"/>
            <w:tcBorders>
              <w:top w:val="nil"/>
              <w:left w:val="nil"/>
              <w:right w:val="nil"/>
            </w:tcBorders>
            <w:shd w:val="clear" w:color="auto" w:fill="auto"/>
            <w:noWrap/>
            <w:vAlign w:val="bottom"/>
            <w:hideMark/>
          </w:tcPr>
          <w:p w14:paraId="363EF7EF" w14:textId="77777777" w:rsidR="00FF1438" w:rsidRPr="002E2B5B" w:rsidRDefault="00FF1438" w:rsidP="002E2B5B">
            <w:pPr>
              <w:rPr>
                <w:rFonts w:ascii="Calibri" w:hAnsi="Calibri" w:cs="Calibri"/>
                <w:sz w:val="16"/>
                <w:szCs w:val="16"/>
              </w:rPr>
            </w:pPr>
          </w:p>
        </w:tc>
        <w:tc>
          <w:tcPr>
            <w:tcW w:w="135" w:type="pct"/>
            <w:tcBorders>
              <w:top w:val="nil"/>
              <w:left w:val="nil"/>
              <w:right w:val="nil"/>
            </w:tcBorders>
            <w:shd w:val="clear" w:color="auto" w:fill="auto"/>
            <w:noWrap/>
            <w:vAlign w:val="bottom"/>
            <w:hideMark/>
          </w:tcPr>
          <w:p w14:paraId="28BA6823" w14:textId="77777777" w:rsidR="00FF1438" w:rsidRPr="002E2B5B" w:rsidRDefault="00FF1438" w:rsidP="002E2B5B">
            <w:pPr>
              <w:rPr>
                <w:rFonts w:ascii="Calibri" w:hAnsi="Calibri" w:cs="Calibri"/>
                <w:sz w:val="16"/>
                <w:szCs w:val="16"/>
              </w:rPr>
            </w:pPr>
          </w:p>
        </w:tc>
        <w:tc>
          <w:tcPr>
            <w:tcW w:w="876" w:type="pct"/>
            <w:tcBorders>
              <w:top w:val="nil"/>
              <w:left w:val="nil"/>
              <w:right w:val="nil"/>
            </w:tcBorders>
          </w:tcPr>
          <w:p w14:paraId="1239D82A" w14:textId="77777777" w:rsidR="00FF1438" w:rsidRPr="002E2B5B" w:rsidRDefault="00FF1438" w:rsidP="002E2B5B">
            <w:pPr>
              <w:jc w:val="right"/>
              <w:rPr>
                <w:rFonts w:ascii="Calibri" w:hAnsi="Calibri" w:cs="Calibri"/>
                <w:sz w:val="16"/>
                <w:szCs w:val="16"/>
              </w:rPr>
            </w:pPr>
          </w:p>
        </w:tc>
        <w:tc>
          <w:tcPr>
            <w:tcW w:w="951" w:type="pct"/>
            <w:tcBorders>
              <w:top w:val="nil"/>
              <w:left w:val="nil"/>
              <w:right w:val="nil"/>
            </w:tcBorders>
            <w:shd w:val="clear" w:color="auto" w:fill="auto"/>
            <w:noWrap/>
          </w:tcPr>
          <w:p w14:paraId="502687BE" w14:textId="77777777" w:rsidR="00FF1438" w:rsidRPr="002E2B5B" w:rsidRDefault="00B41017" w:rsidP="002E2B5B">
            <w:pPr>
              <w:jc w:val="right"/>
              <w:rPr>
                <w:rFonts w:ascii="Calibri" w:hAnsi="Calibri" w:cs="Calibri"/>
                <w:sz w:val="16"/>
                <w:szCs w:val="16"/>
              </w:rPr>
            </w:pPr>
            <w:r w:rsidRPr="002E2B5B">
              <w:rPr>
                <w:rFonts w:ascii="Calibri" w:hAnsi="Calibri" w:cs="Calibri"/>
                <w:sz w:val="16"/>
                <w:szCs w:val="16"/>
              </w:rPr>
              <w:t xml:space="preserve"> </w:t>
            </w:r>
            <w:r w:rsidR="00FF1438" w:rsidRPr="002E2B5B">
              <w:rPr>
                <w:rFonts w:ascii="Calibri" w:hAnsi="Calibri" w:cs="Calibri"/>
                <w:sz w:val="16"/>
                <w:szCs w:val="16"/>
              </w:rPr>
              <w:t xml:space="preserve">            </w:t>
            </w:r>
            <w:r w:rsidRPr="002E2B5B">
              <w:rPr>
                <w:rFonts w:ascii="Calibri" w:hAnsi="Calibri" w:cs="Calibri"/>
                <w:sz w:val="16"/>
                <w:szCs w:val="16"/>
              </w:rPr>
              <w:t xml:space="preserve"> </w:t>
            </w:r>
            <w:r w:rsidR="00FF1438" w:rsidRPr="002E2B5B">
              <w:rPr>
                <w:rFonts w:ascii="Calibri" w:hAnsi="Calibri" w:cs="Calibri"/>
                <w:sz w:val="16"/>
                <w:szCs w:val="16"/>
              </w:rPr>
              <w:t>(26.966.503)</w:t>
            </w:r>
          </w:p>
        </w:tc>
        <w:tc>
          <w:tcPr>
            <w:tcW w:w="85" w:type="pct"/>
            <w:tcBorders>
              <w:top w:val="nil"/>
              <w:left w:val="nil"/>
              <w:right w:val="nil"/>
            </w:tcBorders>
            <w:shd w:val="clear" w:color="auto" w:fill="auto"/>
            <w:noWrap/>
            <w:vAlign w:val="bottom"/>
            <w:hideMark/>
          </w:tcPr>
          <w:p w14:paraId="71325E9C" w14:textId="77777777" w:rsidR="00FF1438" w:rsidRPr="002E2B5B" w:rsidRDefault="00FF1438" w:rsidP="002E2B5B">
            <w:pPr>
              <w:rPr>
                <w:rFonts w:ascii="Calibri" w:hAnsi="Calibri" w:cs="Calibri"/>
                <w:sz w:val="16"/>
                <w:szCs w:val="16"/>
              </w:rPr>
            </w:pPr>
          </w:p>
        </w:tc>
      </w:tr>
      <w:tr w:rsidR="004C6C47" w:rsidRPr="002E2B5B" w14:paraId="76603E63" w14:textId="77777777" w:rsidTr="0002343B">
        <w:trPr>
          <w:trHeight w:val="255"/>
        </w:trPr>
        <w:tc>
          <w:tcPr>
            <w:tcW w:w="2614" w:type="pct"/>
            <w:tcBorders>
              <w:left w:val="nil"/>
              <w:right w:val="nil"/>
            </w:tcBorders>
            <w:shd w:val="clear" w:color="auto" w:fill="auto"/>
            <w:noWrap/>
            <w:vAlign w:val="bottom"/>
          </w:tcPr>
          <w:p w14:paraId="0D4F8B4E" w14:textId="77777777" w:rsidR="00FF1438" w:rsidRPr="002E2B5B" w:rsidRDefault="00FF1438" w:rsidP="002E2B5B">
            <w:pPr>
              <w:rPr>
                <w:rFonts w:ascii="Calibri" w:hAnsi="Calibri" w:cs="Calibri"/>
                <w:sz w:val="16"/>
                <w:szCs w:val="16"/>
              </w:rPr>
            </w:pPr>
            <w:r w:rsidRPr="002E2B5B">
              <w:rPr>
                <w:rFonts w:ascii="Calibri" w:hAnsi="Calibri" w:cs="Calibri"/>
                <w:sz w:val="16"/>
                <w:szCs w:val="16"/>
              </w:rPr>
              <w:t xml:space="preserve">Crédito Compensado </w:t>
            </w:r>
            <w:r w:rsidR="00CD3248" w:rsidRPr="002E2B5B">
              <w:rPr>
                <w:rFonts w:ascii="Calibri" w:hAnsi="Calibri" w:cs="Calibri"/>
                <w:sz w:val="16"/>
                <w:szCs w:val="16"/>
              </w:rPr>
              <w:t xml:space="preserve">em </w:t>
            </w:r>
            <w:r w:rsidRPr="002E2B5B">
              <w:rPr>
                <w:rFonts w:ascii="Calibri" w:hAnsi="Calibri" w:cs="Calibri"/>
                <w:sz w:val="16"/>
                <w:szCs w:val="16"/>
              </w:rPr>
              <w:t>2019</w:t>
            </w:r>
          </w:p>
        </w:tc>
        <w:tc>
          <w:tcPr>
            <w:tcW w:w="339" w:type="pct"/>
            <w:tcBorders>
              <w:left w:val="nil"/>
              <w:right w:val="nil"/>
            </w:tcBorders>
            <w:shd w:val="clear" w:color="auto" w:fill="auto"/>
            <w:noWrap/>
            <w:vAlign w:val="bottom"/>
          </w:tcPr>
          <w:p w14:paraId="3F9FDAF2" w14:textId="77777777" w:rsidR="00FF1438" w:rsidRPr="002E2B5B" w:rsidRDefault="00FF1438" w:rsidP="002E2B5B">
            <w:pPr>
              <w:rPr>
                <w:rFonts w:ascii="Calibri" w:hAnsi="Calibri" w:cs="Calibri"/>
                <w:sz w:val="16"/>
                <w:szCs w:val="16"/>
              </w:rPr>
            </w:pPr>
          </w:p>
        </w:tc>
        <w:tc>
          <w:tcPr>
            <w:tcW w:w="135" w:type="pct"/>
            <w:tcBorders>
              <w:left w:val="nil"/>
              <w:right w:val="nil"/>
            </w:tcBorders>
            <w:shd w:val="clear" w:color="auto" w:fill="auto"/>
            <w:noWrap/>
            <w:vAlign w:val="bottom"/>
          </w:tcPr>
          <w:p w14:paraId="729F44D0" w14:textId="77777777" w:rsidR="00FF1438" w:rsidRPr="002E2B5B" w:rsidRDefault="00FF1438" w:rsidP="002E2B5B">
            <w:pPr>
              <w:rPr>
                <w:rFonts w:ascii="Calibri" w:hAnsi="Calibri" w:cs="Calibri"/>
                <w:sz w:val="16"/>
                <w:szCs w:val="16"/>
              </w:rPr>
            </w:pPr>
          </w:p>
        </w:tc>
        <w:tc>
          <w:tcPr>
            <w:tcW w:w="876" w:type="pct"/>
            <w:tcBorders>
              <w:left w:val="nil"/>
              <w:right w:val="nil"/>
            </w:tcBorders>
            <w:vAlign w:val="bottom"/>
          </w:tcPr>
          <w:p w14:paraId="631FC3AA" w14:textId="77777777" w:rsidR="00FF1438" w:rsidRPr="002E2B5B" w:rsidRDefault="00FF1438" w:rsidP="002E2B5B">
            <w:pPr>
              <w:jc w:val="right"/>
              <w:rPr>
                <w:rFonts w:ascii="Calibri" w:hAnsi="Calibri" w:cs="Calibri"/>
                <w:sz w:val="16"/>
                <w:szCs w:val="16"/>
              </w:rPr>
            </w:pPr>
          </w:p>
        </w:tc>
        <w:tc>
          <w:tcPr>
            <w:tcW w:w="951" w:type="pct"/>
            <w:tcBorders>
              <w:left w:val="nil"/>
              <w:right w:val="nil"/>
            </w:tcBorders>
            <w:shd w:val="clear" w:color="auto" w:fill="auto"/>
            <w:noWrap/>
            <w:vAlign w:val="bottom"/>
          </w:tcPr>
          <w:p w14:paraId="54A2445F" w14:textId="77777777" w:rsidR="00FF1438" w:rsidRPr="002E2B5B" w:rsidRDefault="00FF1438" w:rsidP="002E2B5B">
            <w:pPr>
              <w:jc w:val="right"/>
              <w:rPr>
                <w:rFonts w:ascii="Calibri" w:hAnsi="Calibri" w:cs="Calibri"/>
                <w:sz w:val="16"/>
                <w:szCs w:val="16"/>
              </w:rPr>
            </w:pPr>
            <w:r w:rsidRPr="002E2B5B">
              <w:rPr>
                <w:rFonts w:ascii="Calibri" w:hAnsi="Calibri" w:cs="Calibri"/>
                <w:sz w:val="16"/>
                <w:szCs w:val="16"/>
              </w:rPr>
              <w:t>(</w:t>
            </w:r>
            <w:r w:rsidR="00CD3248" w:rsidRPr="002E2B5B">
              <w:rPr>
                <w:rFonts w:ascii="Calibri" w:hAnsi="Calibri" w:cs="Calibri"/>
                <w:sz w:val="16"/>
                <w:szCs w:val="16"/>
              </w:rPr>
              <w:t>9.477.108</w:t>
            </w:r>
            <w:r w:rsidRPr="002E2B5B">
              <w:rPr>
                <w:rFonts w:ascii="Calibri" w:hAnsi="Calibri" w:cs="Calibri"/>
                <w:sz w:val="16"/>
                <w:szCs w:val="16"/>
              </w:rPr>
              <w:t>)</w:t>
            </w:r>
          </w:p>
        </w:tc>
        <w:tc>
          <w:tcPr>
            <w:tcW w:w="85" w:type="pct"/>
            <w:tcBorders>
              <w:left w:val="nil"/>
              <w:right w:val="nil"/>
            </w:tcBorders>
            <w:shd w:val="clear" w:color="auto" w:fill="auto"/>
            <w:noWrap/>
            <w:vAlign w:val="bottom"/>
          </w:tcPr>
          <w:p w14:paraId="7025D4C3" w14:textId="77777777" w:rsidR="00FF1438" w:rsidRPr="002E2B5B" w:rsidRDefault="00FF1438" w:rsidP="002E2B5B">
            <w:pPr>
              <w:rPr>
                <w:rFonts w:ascii="Calibri" w:hAnsi="Calibri" w:cs="Calibri"/>
                <w:b/>
                <w:sz w:val="16"/>
                <w:szCs w:val="16"/>
              </w:rPr>
            </w:pPr>
          </w:p>
        </w:tc>
      </w:tr>
      <w:tr w:rsidR="004C6C47" w:rsidRPr="002E2B5B" w14:paraId="15C0BFFD" w14:textId="77777777" w:rsidTr="0002343B">
        <w:trPr>
          <w:trHeight w:val="255"/>
        </w:trPr>
        <w:tc>
          <w:tcPr>
            <w:tcW w:w="2614" w:type="pct"/>
            <w:tcBorders>
              <w:left w:val="nil"/>
              <w:right w:val="nil"/>
            </w:tcBorders>
            <w:shd w:val="clear" w:color="auto" w:fill="auto"/>
            <w:noWrap/>
            <w:vAlign w:val="center"/>
          </w:tcPr>
          <w:p w14:paraId="65465E6A" w14:textId="77777777" w:rsidR="00B8368E" w:rsidRPr="002E2B5B" w:rsidRDefault="00B8368E" w:rsidP="002E2B5B">
            <w:pPr>
              <w:rPr>
                <w:rFonts w:ascii="Calibri" w:hAnsi="Calibri" w:cs="Calibri"/>
                <w:sz w:val="16"/>
                <w:szCs w:val="16"/>
              </w:rPr>
            </w:pPr>
            <w:r w:rsidRPr="002E2B5B">
              <w:rPr>
                <w:rFonts w:ascii="Calibri" w:hAnsi="Calibri" w:cs="Calibri"/>
                <w:sz w:val="16"/>
                <w:szCs w:val="16"/>
              </w:rPr>
              <w:t xml:space="preserve">Reconhecimento </w:t>
            </w:r>
            <w:r w:rsidR="00CD3248" w:rsidRPr="002E2B5B">
              <w:rPr>
                <w:rFonts w:ascii="Calibri" w:hAnsi="Calibri" w:cs="Calibri"/>
                <w:sz w:val="16"/>
                <w:szCs w:val="16"/>
              </w:rPr>
              <w:t>de Crédito em 2019</w:t>
            </w:r>
          </w:p>
        </w:tc>
        <w:tc>
          <w:tcPr>
            <w:tcW w:w="339" w:type="pct"/>
            <w:tcBorders>
              <w:left w:val="nil"/>
              <w:right w:val="nil"/>
            </w:tcBorders>
            <w:shd w:val="clear" w:color="auto" w:fill="auto"/>
            <w:noWrap/>
            <w:vAlign w:val="bottom"/>
          </w:tcPr>
          <w:p w14:paraId="57A0EB7D" w14:textId="77777777" w:rsidR="00B8368E" w:rsidRPr="002E2B5B" w:rsidRDefault="00B8368E" w:rsidP="002E2B5B">
            <w:pPr>
              <w:rPr>
                <w:rFonts w:ascii="Calibri" w:hAnsi="Calibri" w:cs="Calibri"/>
                <w:sz w:val="16"/>
                <w:szCs w:val="16"/>
              </w:rPr>
            </w:pPr>
          </w:p>
        </w:tc>
        <w:tc>
          <w:tcPr>
            <w:tcW w:w="135" w:type="pct"/>
            <w:tcBorders>
              <w:left w:val="nil"/>
              <w:right w:val="nil"/>
            </w:tcBorders>
            <w:shd w:val="clear" w:color="auto" w:fill="auto"/>
            <w:noWrap/>
            <w:vAlign w:val="bottom"/>
          </w:tcPr>
          <w:p w14:paraId="5376F23A" w14:textId="77777777" w:rsidR="00B8368E" w:rsidRPr="002E2B5B" w:rsidRDefault="00B8368E" w:rsidP="002E2B5B">
            <w:pPr>
              <w:rPr>
                <w:rFonts w:ascii="Calibri" w:hAnsi="Calibri" w:cs="Calibri"/>
                <w:sz w:val="16"/>
                <w:szCs w:val="16"/>
              </w:rPr>
            </w:pPr>
          </w:p>
        </w:tc>
        <w:tc>
          <w:tcPr>
            <w:tcW w:w="876" w:type="pct"/>
            <w:tcBorders>
              <w:left w:val="nil"/>
              <w:right w:val="nil"/>
            </w:tcBorders>
            <w:vAlign w:val="bottom"/>
          </w:tcPr>
          <w:p w14:paraId="1537706B" w14:textId="77777777" w:rsidR="00B8368E" w:rsidRPr="002E2B5B" w:rsidRDefault="00B8368E" w:rsidP="002E2B5B">
            <w:pPr>
              <w:jc w:val="right"/>
              <w:rPr>
                <w:rFonts w:ascii="Calibri" w:hAnsi="Calibri" w:cs="Calibri"/>
                <w:sz w:val="16"/>
                <w:szCs w:val="16"/>
              </w:rPr>
            </w:pPr>
          </w:p>
        </w:tc>
        <w:tc>
          <w:tcPr>
            <w:tcW w:w="951" w:type="pct"/>
            <w:tcBorders>
              <w:left w:val="nil"/>
              <w:right w:val="nil"/>
            </w:tcBorders>
            <w:shd w:val="clear" w:color="auto" w:fill="auto"/>
            <w:noWrap/>
            <w:vAlign w:val="bottom"/>
          </w:tcPr>
          <w:p w14:paraId="0AE06814" w14:textId="77777777" w:rsidR="00B8368E" w:rsidRPr="002E2B5B" w:rsidRDefault="00CD3248" w:rsidP="002E2B5B">
            <w:pPr>
              <w:jc w:val="right"/>
              <w:rPr>
                <w:rFonts w:ascii="Calibri" w:hAnsi="Calibri" w:cs="Calibri"/>
                <w:sz w:val="16"/>
                <w:szCs w:val="16"/>
              </w:rPr>
            </w:pPr>
            <w:r w:rsidRPr="002E2B5B">
              <w:rPr>
                <w:rFonts w:ascii="Calibri" w:hAnsi="Calibri" w:cs="Calibri"/>
                <w:sz w:val="16"/>
                <w:szCs w:val="16"/>
              </w:rPr>
              <w:t>16.61</w:t>
            </w:r>
            <w:r w:rsidR="00F51287" w:rsidRPr="002E2B5B">
              <w:rPr>
                <w:rFonts w:ascii="Calibri" w:hAnsi="Calibri" w:cs="Calibri"/>
                <w:sz w:val="16"/>
                <w:szCs w:val="16"/>
              </w:rPr>
              <w:t>3</w:t>
            </w:r>
          </w:p>
        </w:tc>
        <w:tc>
          <w:tcPr>
            <w:tcW w:w="85" w:type="pct"/>
            <w:tcBorders>
              <w:left w:val="nil"/>
              <w:right w:val="nil"/>
            </w:tcBorders>
            <w:shd w:val="clear" w:color="auto" w:fill="auto"/>
            <w:noWrap/>
            <w:vAlign w:val="bottom"/>
          </w:tcPr>
          <w:p w14:paraId="5E058B60" w14:textId="77777777" w:rsidR="00B8368E" w:rsidRPr="002E2B5B" w:rsidRDefault="00B8368E" w:rsidP="002E2B5B">
            <w:pPr>
              <w:rPr>
                <w:rFonts w:ascii="Calibri" w:hAnsi="Calibri" w:cs="Calibri"/>
                <w:b/>
                <w:sz w:val="16"/>
                <w:szCs w:val="16"/>
              </w:rPr>
            </w:pPr>
          </w:p>
        </w:tc>
      </w:tr>
      <w:tr w:rsidR="004C6C47" w:rsidRPr="002E2B5B" w14:paraId="7DAA8D08" w14:textId="77777777" w:rsidTr="0002343B">
        <w:trPr>
          <w:trHeight w:val="255"/>
        </w:trPr>
        <w:tc>
          <w:tcPr>
            <w:tcW w:w="2614" w:type="pct"/>
            <w:tcBorders>
              <w:left w:val="nil"/>
              <w:bottom w:val="single" w:sz="4" w:space="0" w:color="auto"/>
              <w:right w:val="nil"/>
            </w:tcBorders>
            <w:shd w:val="clear" w:color="auto" w:fill="auto"/>
            <w:noWrap/>
            <w:vAlign w:val="center"/>
          </w:tcPr>
          <w:p w14:paraId="1E9205C8" w14:textId="77777777" w:rsidR="0002343B" w:rsidRPr="002E2B5B" w:rsidRDefault="0002343B" w:rsidP="002E2B5B">
            <w:pPr>
              <w:rPr>
                <w:rFonts w:ascii="Calibri" w:hAnsi="Calibri" w:cs="Calibri"/>
                <w:sz w:val="16"/>
                <w:szCs w:val="16"/>
              </w:rPr>
            </w:pPr>
            <w:r w:rsidRPr="002E2B5B">
              <w:rPr>
                <w:rFonts w:ascii="Calibri" w:hAnsi="Calibri" w:cs="Calibri"/>
                <w:sz w:val="16"/>
                <w:szCs w:val="16"/>
              </w:rPr>
              <w:t>Baixa por prescrição no 4º trimestre / 2020</w:t>
            </w:r>
          </w:p>
        </w:tc>
        <w:tc>
          <w:tcPr>
            <w:tcW w:w="339" w:type="pct"/>
            <w:tcBorders>
              <w:left w:val="nil"/>
              <w:bottom w:val="single" w:sz="4" w:space="0" w:color="auto"/>
              <w:right w:val="nil"/>
            </w:tcBorders>
            <w:shd w:val="clear" w:color="auto" w:fill="auto"/>
            <w:noWrap/>
            <w:vAlign w:val="bottom"/>
          </w:tcPr>
          <w:p w14:paraId="62F49E53" w14:textId="77777777" w:rsidR="0002343B" w:rsidRPr="002E2B5B" w:rsidRDefault="0002343B" w:rsidP="002E2B5B">
            <w:pPr>
              <w:rPr>
                <w:rFonts w:ascii="Calibri" w:hAnsi="Calibri" w:cs="Calibri"/>
                <w:sz w:val="16"/>
                <w:szCs w:val="16"/>
              </w:rPr>
            </w:pPr>
          </w:p>
        </w:tc>
        <w:tc>
          <w:tcPr>
            <w:tcW w:w="135" w:type="pct"/>
            <w:tcBorders>
              <w:left w:val="nil"/>
              <w:bottom w:val="single" w:sz="4" w:space="0" w:color="auto"/>
              <w:right w:val="nil"/>
            </w:tcBorders>
            <w:shd w:val="clear" w:color="auto" w:fill="auto"/>
            <w:noWrap/>
            <w:vAlign w:val="bottom"/>
          </w:tcPr>
          <w:p w14:paraId="5D6AB9BB" w14:textId="77777777" w:rsidR="0002343B" w:rsidRPr="002E2B5B" w:rsidRDefault="0002343B" w:rsidP="002E2B5B">
            <w:pPr>
              <w:rPr>
                <w:rFonts w:ascii="Calibri" w:hAnsi="Calibri" w:cs="Calibri"/>
                <w:sz w:val="16"/>
                <w:szCs w:val="16"/>
              </w:rPr>
            </w:pPr>
          </w:p>
        </w:tc>
        <w:tc>
          <w:tcPr>
            <w:tcW w:w="876" w:type="pct"/>
            <w:tcBorders>
              <w:left w:val="nil"/>
              <w:bottom w:val="single" w:sz="4" w:space="0" w:color="auto"/>
              <w:right w:val="nil"/>
            </w:tcBorders>
            <w:vAlign w:val="bottom"/>
          </w:tcPr>
          <w:p w14:paraId="62642422" w14:textId="77777777" w:rsidR="0002343B" w:rsidRPr="002E2B5B" w:rsidRDefault="0002343B" w:rsidP="002E2B5B">
            <w:pPr>
              <w:jc w:val="right"/>
              <w:rPr>
                <w:rFonts w:ascii="Calibri" w:hAnsi="Calibri" w:cs="Calibri"/>
                <w:sz w:val="16"/>
                <w:szCs w:val="16"/>
              </w:rPr>
            </w:pPr>
          </w:p>
        </w:tc>
        <w:tc>
          <w:tcPr>
            <w:tcW w:w="951" w:type="pct"/>
            <w:tcBorders>
              <w:left w:val="nil"/>
              <w:bottom w:val="single" w:sz="4" w:space="0" w:color="auto"/>
              <w:right w:val="nil"/>
            </w:tcBorders>
            <w:shd w:val="clear" w:color="auto" w:fill="auto"/>
            <w:noWrap/>
            <w:vAlign w:val="bottom"/>
          </w:tcPr>
          <w:p w14:paraId="36CB0717" w14:textId="77777777" w:rsidR="0002343B" w:rsidRPr="002E2B5B" w:rsidRDefault="0002343B" w:rsidP="002E2B5B">
            <w:pPr>
              <w:jc w:val="right"/>
              <w:rPr>
                <w:rFonts w:ascii="Calibri" w:hAnsi="Calibri" w:cs="Calibri"/>
                <w:sz w:val="16"/>
                <w:szCs w:val="16"/>
              </w:rPr>
            </w:pPr>
            <w:r w:rsidRPr="002E2B5B">
              <w:rPr>
                <w:rFonts w:ascii="Calibri" w:hAnsi="Calibri" w:cs="Calibri"/>
                <w:sz w:val="16"/>
                <w:szCs w:val="16"/>
              </w:rPr>
              <w:t>(16.171.756,85)</w:t>
            </w:r>
          </w:p>
        </w:tc>
        <w:tc>
          <w:tcPr>
            <w:tcW w:w="85" w:type="pct"/>
            <w:tcBorders>
              <w:left w:val="nil"/>
              <w:bottom w:val="single" w:sz="4" w:space="0" w:color="auto"/>
              <w:right w:val="nil"/>
            </w:tcBorders>
            <w:shd w:val="clear" w:color="auto" w:fill="auto"/>
            <w:noWrap/>
            <w:vAlign w:val="bottom"/>
          </w:tcPr>
          <w:p w14:paraId="25DBD5EC" w14:textId="77777777" w:rsidR="0002343B" w:rsidRPr="002E2B5B" w:rsidRDefault="0002343B" w:rsidP="002E2B5B">
            <w:pPr>
              <w:rPr>
                <w:rFonts w:ascii="Calibri" w:hAnsi="Calibri" w:cs="Calibri"/>
                <w:b/>
                <w:sz w:val="16"/>
                <w:szCs w:val="16"/>
              </w:rPr>
            </w:pPr>
          </w:p>
        </w:tc>
      </w:tr>
      <w:tr w:rsidR="004C6C47" w:rsidRPr="002E2B5B" w14:paraId="7B161F4E" w14:textId="77777777" w:rsidTr="0002343B">
        <w:trPr>
          <w:trHeight w:val="255"/>
        </w:trPr>
        <w:tc>
          <w:tcPr>
            <w:tcW w:w="2614" w:type="pct"/>
            <w:tcBorders>
              <w:top w:val="single" w:sz="4" w:space="0" w:color="auto"/>
              <w:left w:val="nil"/>
              <w:bottom w:val="single" w:sz="4" w:space="0" w:color="auto"/>
              <w:right w:val="nil"/>
            </w:tcBorders>
            <w:shd w:val="clear" w:color="auto" w:fill="auto"/>
            <w:noWrap/>
            <w:vAlign w:val="bottom"/>
            <w:hideMark/>
          </w:tcPr>
          <w:p w14:paraId="12F164FE" w14:textId="77777777" w:rsidR="00C535B0" w:rsidRPr="002E2B5B" w:rsidRDefault="00C535B0" w:rsidP="002E2B5B">
            <w:pPr>
              <w:rPr>
                <w:rFonts w:ascii="Calibri" w:hAnsi="Calibri" w:cs="Calibri"/>
                <w:b/>
                <w:sz w:val="16"/>
                <w:szCs w:val="16"/>
              </w:rPr>
            </w:pPr>
            <w:r w:rsidRPr="002E2B5B">
              <w:rPr>
                <w:rFonts w:ascii="Calibri" w:hAnsi="Calibri" w:cs="Calibri"/>
                <w:b/>
                <w:sz w:val="16"/>
                <w:szCs w:val="16"/>
              </w:rPr>
              <w:t>SALDO DE CRÉDITO PREVIDENCIÁRIO EM 3</w:t>
            </w:r>
            <w:r w:rsidR="00B31412" w:rsidRPr="002E2B5B">
              <w:rPr>
                <w:rFonts w:ascii="Calibri" w:hAnsi="Calibri" w:cs="Calibri"/>
                <w:b/>
                <w:sz w:val="16"/>
                <w:szCs w:val="16"/>
              </w:rPr>
              <w:t>1</w:t>
            </w:r>
            <w:r w:rsidRPr="002E2B5B">
              <w:rPr>
                <w:rFonts w:ascii="Calibri" w:hAnsi="Calibri" w:cs="Calibri"/>
                <w:b/>
                <w:sz w:val="16"/>
                <w:szCs w:val="16"/>
              </w:rPr>
              <w:t>/</w:t>
            </w:r>
            <w:r w:rsidR="00B31412" w:rsidRPr="002E2B5B">
              <w:rPr>
                <w:rFonts w:ascii="Calibri" w:hAnsi="Calibri" w:cs="Calibri"/>
                <w:b/>
                <w:sz w:val="16"/>
                <w:szCs w:val="16"/>
              </w:rPr>
              <w:t>12</w:t>
            </w:r>
            <w:r w:rsidRPr="002E2B5B">
              <w:rPr>
                <w:rFonts w:ascii="Calibri" w:hAnsi="Calibri" w:cs="Calibri"/>
                <w:b/>
                <w:sz w:val="16"/>
                <w:szCs w:val="16"/>
              </w:rPr>
              <w:t>/20</w:t>
            </w:r>
            <w:r w:rsidR="0002343B" w:rsidRPr="002E2B5B">
              <w:rPr>
                <w:rFonts w:ascii="Calibri" w:hAnsi="Calibri" w:cs="Calibri"/>
                <w:b/>
                <w:sz w:val="16"/>
                <w:szCs w:val="16"/>
              </w:rPr>
              <w:t>20</w:t>
            </w:r>
          </w:p>
        </w:tc>
        <w:tc>
          <w:tcPr>
            <w:tcW w:w="339" w:type="pct"/>
            <w:tcBorders>
              <w:top w:val="single" w:sz="4" w:space="0" w:color="auto"/>
              <w:left w:val="nil"/>
              <w:bottom w:val="single" w:sz="4" w:space="0" w:color="auto"/>
              <w:right w:val="nil"/>
            </w:tcBorders>
            <w:shd w:val="clear" w:color="auto" w:fill="auto"/>
            <w:noWrap/>
            <w:vAlign w:val="bottom"/>
            <w:hideMark/>
          </w:tcPr>
          <w:p w14:paraId="51BC2C21" w14:textId="77777777" w:rsidR="00C535B0" w:rsidRPr="002E2B5B" w:rsidRDefault="00C535B0"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hideMark/>
          </w:tcPr>
          <w:p w14:paraId="3AF5CF3F" w14:textId="77777777" w:rsidR="00C535B0" w:rsidRPr="002E2B5B" w:rsidRDefault="00C535B0"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031C74E3" w14:textId="77777777" w:rsidR="00C535B0" w:rsidRPr="002E2B5B" w:rsidRDefault="00C535B0"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hideMark/>
          </w:tcPr>
          <w:p w14:paraId="75BCE980" w14:textId="77777777" w:rsidR="00C535B0" w:rsidRPr="002E2B5B" w:rsidRDefault="0002343B" w:rsidP="002E2B5B">
            <w:pPr>
              <w:jc w:val="right"/>
              <w:rPr>
                <w:rFonts w:ascii="Calibri" w:hAnsi="Calibri" w:cs="Calibri"/>
                <w:b/>
                <w:sz w:val="16"/>
                <w:szCs w:val="16"/>
              </w:rPr>
            </w:pPr>
            <w:r w:rsidRPr="002E2B5B">
              <w:rPr>
                <w:rFonts w:ascii="Calibri" w:hAnsi="Calibri" w:cs="Calibri"/>
                <w:b/>
                <w:sz w:val="16"/>
                <w:szCs w:val="16"/>
              </w:rPr>
              <w:t>1.686.381</w:t>
            </w:r>
          </w:p>
        </w:tc>
        <w:tc>
          <w:tcPr>
            <w:tcW w:w="85" w:type="pct"/>
            <w:tcBorders>
              <w:top w:val="single" w:sz="4" w:space="0" w:color="auto"/>
              <w:left w:val="nil"/>
              <w:bottom w:val="single" w:sz="4" w:space="0" w:color="auto"/>
              <w:right w:val="nil"/>
            </w:tcBorders>
            <w:shd w:val="clear" w:color="auto" w:fill="auto"/>
            <w:noWrap/>
            <w:vAlign w:val="bottom"/>
            <w:hideMark/>
          </w:tcPr>
          <w:p w14:paraId="6B56C6D1" w14:textId="77777777" w:rsidR="00C535B0" w:rsidRPr="002E2B5B" w:rsidRDefault="00C535B0" w:rsidP="002E2B5B">
            <w:pPr>
              <w:rPr>
                <w:rFonts w:ascii="Calibri" w:hAnsi="Calibri" w:cs="Calibri"/>
                <w:b/>
                <w:sz w:val="16"/>
                <w:szCs w:val="16"/>
              </w:rPr>
            </w:pPr>
          </w:p>
        </w:tc>
      </w:tr>
      <w:tr w:rsidR="004C6C47" w:rsidRPr="002E2B5B" w14:paraId="00B6C5DC" w14:textId="77777777" w:rsidTr="00FF1438">
        <w:trPr>
          <w:trHeight w:val="255"/>
        </w:trPr>
        <w:tc>
          <w:tcPr>
            <w:tcW w:w="2614" w:type="pct"/>
            <w:tcBorders>
              <w:top w:val="single" w:sz="4" w:space="0" w:color="auto"/>
              <w:left w:val="nil"/>
              <w:bottom w:val="single" w:sz="4" w:space="0" w:color="auto"/>
              <w:right w:val="nil"/>
            </w:tcBorders>
            <w:shd w:val="clear" w:color="auto" w:fill="auto"/>
            <w:noWrap/>
            <w:vAlign w:val="bottom"/>
          </w:tcPr>
          <w:p w14:paraId="1ABBFC62" w14:textId="77777777" w:rsidR="001F541A" w:rsidRPr="002E2B5B" w:rsidRDefault="001F541A" w:rsidP="002E2B5B">
            <w:pPr>
              <w:rPr>
                <w:rFonts w:ascii="Calibri" w:hAnsi="Calibri" w:cs="Calibri"/>
                <w:b/>
                <w:sz w:val="16"/>
                <w:szCs w:val="16"/>
              </w:rPr>
            </w:pPr>
            <w:r w:rsidRPr="002E2B5B">
              <w:rPr>
                <w:rFonts w:ascii="Calibri" w:hAnsi="Calibri" w:cs="Calibri"/>
                <w:b/>
                <w:sz w:val="16"/>
                <w:szCs w:val="16"/>
              </w:rPr>
              <w:t xml:space="preserve">CRÉDITO PRESCRITO EM 2021 (Até </w:t>
            </w:r>
            <w:proofErr w:type="spellStart"/>
            <w:r w:rsidR="004C6C47" w:rsidRPr="002E2B5B">
              <w:rPr>
                <w:rFonts w:ascii="Calibri" w:hAnsi="Calibri" w:cs="Calibri"/>
                <w:b/>
                <w:sz w:val="16"/>
                <w:szCs w:val="16"/>
              </w:rPr>
              <w:t>Abr</w:t>
            </w:r>
            <w:proofErr w:type="spellEnd"/>
            <w:r w:rsidRPr="002E2B5B">
              <w:rPr>
                <w:rFonts w:ascii="Calibri" w:hAnsi="Calibri" w:cs="Calibri"/>
                <w:b/>
                <w:sz w:val="16"/>
                <w:szCs w:val="16"/>
              </w:rPr>
              <w:t>/2021)</w:t>
            </w:r>
            <w:r w:rsidR="004C6C47" w:rsidRPr="002E2B5B">
              <w:rPr>
                <w:rFonts w:ascii="Calibri" w:hAnsi="Calibri" w:cs="Calibri"/>
                <w:b/>
                <w:sz w:val="16"/>
                <w:szCs w:val="16"/>
              </w:rPr>
              <w:t xml:space="preserve"> RECONHECIDO NAS DFS DE 2019</w:t>
            </w:r>
          </w:p>
        </w:tc>
        <w:tc>
          <w:tcPr>
            <w:tcW w:w="339" w:type="pct"/>
            <w:tcBorders>
              <w:top w:val="single" w:sz="4" w:space="0" w:color="auto"/>
              <w:left w:val="nil"/>
              <w:bottom w:val="single" w:sz="4" w:space="0" w:color="auto"/>
              <w:right w:val="nil"/>
            </w:tcBorders>
            <w:shd w:val="clear" w:color="auto" w:fill="auto"/>
            <w:noWrap/>
            <w:vAlign w:val="bottom"/>
          </w:tcPr>
          <w:p w14:paraId="38CDF79F" w14:textId="77777777" w:rsidR="001F541A" w:rsidRPr="002E2B5B" w:rsidRDefault="001F541A"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50A15532" w14:textId="77777777" w:rsidR="001F541A" w:rsidRPr="002E2B5B" w:rsidRDefault="001F541A"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584E2F1D" w14:textId="77777777" w:rsidR="001F541A" w:rsidRPr="002E2B5B" w:rsidRDefault="001F541A"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4A723E1B" w14:textId="77777777" w:rsidR="001F541A" w:rsidRPr="002E2B5B" w:rsidRDefault="001F541A" w:rsidP="002E2B5B">
            <w:pPr>
              <w:jc w:val="right"/>
              <w:rPr>
                <w:rFonts w:ascii="Calibri" w:hAnsi="Calibri" w:cs="Calibri"/>
                <w:b/>
                <w:sz w:val="16"/>
                <w:szCs w:val="16"/>
              </w:rPr>
            </w:pPr>
            <w:r w:rsidRPr="002E2B5B">
              <w:rPr>
                <w:rFonts w:ascii="Calibri" w:hAnsi="Calibri" w:cs="Calibri"/>
                <w:b/>
                <w:sz w:val="16"/>
                <w:szCs w:val="16"/>
              </w:rPr>
              <w:t>(</w:t>
            </w:r>
            <w:r w:rsidR="004C6C47" w:rsidRPr="002E2B5B">
              <w:rPr>
                <w:rFonts w:ascii="Calibri" w:hAnsi="Calibri" w:cs="Calibri"/>
                <w:b/>
                <w:sz w:val="16"/>
                <w:szCs w:val="16"/>
              </w:rPr>
              <w:t>271.209</w:t>
            </w:r>
            <w:r w:rsidRPr="002E2B5B">
              <w:rPr>
                <w:rFonts w:ascii="Calibri" w:hAnsi="Calibri" w:cs="Calibri"/>
                <w:b/>
                <w:sz w:val="16"/>
                <w:szCs w:val="16"/>
              </w:rPr>
              <w:t>)</w:t>
            </w:r>
          </w:p>
        </w:tc>
        <w:tc>
          <w:tcPr>
            <w:tcW w:w="85" w:type="pct"/>
            <w:tcBorders>
              <w:top w:val="single" w:sz="4" w:space="0" w:color="auto"/>
              <w:left w:val="nil"/>
              <w:bottom w:val="single" w:sz="4" w:space="0" w:color="auto"/>
              <w:right w:val="nil"/>
            </w:tcBorders>
            <w:shd w:val="clear" w:color="auto" w:fill="auto"/>
            <w:noWrap/>
            <w:vAlign w:val="bottom"/>
          </w:tcPr>
          <w:p w14:paraId="1BC57218" w14:textId="77777777" w:rsidR="001F541A" w:rsidRPr="002E2B5B" w:rsidRDefault="001F541A" w:rsidP="002E2B5B">
            <w:pPr>
              <w:rPr>
                <w:rFonts w:ascii="Calibri" w:hAnsi="Calibri" w:cs="Calibri"/>
                <w:b/>
                <w:sz w:val="16"/>
                <w:szCs w:val="16"/>
              </w:rPr>
            </w:pPr>
          </w:p>
        </w:tc>
      </w:tr>
      <w:tr w:rsidR="004C6C47" w:rsidRPr="002E2B5B" w14:paraId="2AB44943" w14:textId="77777777" w:rsidTr="00FF1438">
        <w:trPr>
          <w:trHeight w:val="255"/>
        </w:trPr>
        <w:tc>
          <w:tcPr>
            <w:tcW w:w="2614" w:type="pct"/>
            <w:tcBorders>
              <w:top w:val="single" w:sz="4" w:space="0" w:color="auto"/>
              <w:left w:val="nil"/>
              <w:bottom w:val="single" w:sz="4" w:space="0" w:color="auto"/>
              <w:right w:val="nil"/>
            </w:tcBorders>
            <w:shd w:val="clear" w:color="auto" w:fill="auto"/>
            <w:noWrap/>
            <w:vAlign w:val="bottom"/>
          </w:tcPr>
          <w:p w14:paraId="7ED132CE" w14:textId="77777777" w:rsidR="004C6C47" w:rsidRPr="002E2B5B" w:rsidRDefault="004C6C47" w:rsidP="002E2B5B">
            <w:pPr>
              <w:rPr>
                <w:rFonts w:ascii="Calibri" w:hAnsi="Calibri" w:cs="Calibri"/>
                <w:b/>
                <w:sz w:val="16"/>
                <w:szCs w:val="16"/>
              </w:rPr>
            </w:pPr>
            <w:r w:rsidRPr="002E2B5B">
              <w:rPr>
                <w:rFonts w:ascii="Calibri" w:hAnsi="Calibri" w:cs="Calibri"/>
                <w:b/>
                <w:sz w:val="16"/>
                <w:szCs w:val="16"/>
              </w:rPr>
              <w:t xml:space="preserve">CRÉDITO PRESCRITO EM 2021 (Até </w:t>
            </w:r>
            <w:proofErr w:type="spellStart"/>
            <w:r w:rsidRPr="002E2B5B">
              <w:rPr>
                <w:rFonts w:ascii="Calibri" w:hAnsi="Calibri" w:cs="Calibri"/>
                <w:b/>
                <w:sz w:val="16"/>
                <w:szCs w:val="16"/>
              </w:rPr>
              <w:t>jun</w:t>
            </w:r>
            <w:proofErr w:type="spellEnd"/>
            <w:r w:rsidRPr="002E2B5B">
              <w:rPr>
                <w:rFonts w:ascii="Calibri" w:hAnsi="Calibri" w:cs="Calibri"/>
                <w:b/>
                <w:sz w:val="16"/>
                <w:szCs w:val="16"/>
              </w:rPr>
              <w:t>/2021) RECONHECIDO NAS DFS DE 2020</w:t>
            </w:r>
          </w:p>
        </w:tc>
        <w:tc>
          <w:tcPr>
            <w:tcW w:w="339" w:type="pct"/>
            <w:tcBorders>
              <w:top w:val="single" w:sz="4" w:space="0" w:color="auto"/>
              <w:left w:val="nil"/>
              <w:bottom w:val="single" w:sz="4" w:space="0" w:color="auto"/>
              <w:right w:val="nil"/>
            </w:tcBorders>
            <w:shd w:val="clear" w:color="auto" w:fill="auto"/>
            <w:noWrap/>
            <w:vAlign w:val="bottom"/>
          </w:tcPr>
          <w:p w14:paraId="3A96F748" w14:textId="77777777" w:rsidR="004C6C47" w:rsidRPr="002E2B5B" w:rsidRDefault="004C6C47"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4C99607E" w14:textId="77777777" w:rsidR="004C6C47" w:rsidRPr="002E2B5B" w:rsidRDefault="004C6C47"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3317ABB9" w14:textId="77777777" w:rsidR="004C6C47" w:rsidRPr="002E2B5B" w:rsidRDefault="004C6C47"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2E23ABE7" w14:textId="77777777" w:rsidR="004C6C47" w:rsidRPr="002E2B5B" w:rsidRDefault="004C6C47" w:rsidP="002E2B5B">
            <w:pPr>
              <w:jc w:val="right"/>
              <w:rPr>
                <w:rFonts w:ascii="Calibri" w:hAnsi="Calibri" w:cs="Calibri"/>
                <w:b/>
                <w:sz w:val="16"/>
                <w:szCs w:val="16"/>
              </w:rPr>
            </w:pPr>
            <w:r w:rsidRPr="002E2B5B">
              <w:rPr>
                <w:rFonts w:ascii="Calibri" w:hAnsi="Calibri" w:cs="Calibri"/>
                <w:b/>
                <w:sz w:val="16"/>
                <w:szCs w:val="16"/>
              </w:rPr>
              <w:t>(132.239)</w:t>
            </w:r>
          </w:p>
        </w:tc>
        <w:tc>
          <w:tcPr>
            <w:tcW w:w="85" w:type="pct"/>
            <w:tcBorders>
              <w:top w:val="single" w:sz="4" w:space="0" w:color="auto"/>
              <w:left w:val="nil"/>
              <w:bottom w:val="single" w:sz="4" w:space="0" w:color="auto"/>
              <w:right w:val="nil"/>
            </w:tcBorders>
            <w:shd w:val="clear" w:color="auto" w:fill="auto"/>
            <w:noWrap/>
            <w:vAlign w:val="bottom"/>
          </w:tcPr>
          <w:p w14:paraId="298692A3" w14:textId="77777777" w:rsidR="004C6C47" w:rsidRPr="002E2B5B" w:rsidRDefault="004C6C47" w:rsidP="002E2B5B">
            <w:pPr>
              <w:rPr>
                <w:rFonts w:ascii="Calibri" w:hAnsi="Calibri" w:cs="Calibri"/>
                <w:b/>
                <w:sz w:val="16"/>
                <w:szCs w:val="16"/>
              </w:rPr>
            </w:pPr>
          </w:p>
        </w:tc>
      </w:tr>
      <w:tr w:rsidR="004C6C47" w:rsidRPr="002E2B5B" w14:paraId="465FE58D" w14:textId="77777777" w:rsidTr="00FF1438">
        <w:trPr>
          <w:trHeight w:val="255"/>
        </w:trPr>
        <w:tc>
          <w:tcPr>
            <w:tcW w:w="2614" w:type="pct"/>
            <w:tcBorders>
              <w:top w:val="single" w:sz="4" w:space="0" w:color="auto"/>
              <w:left w:val="nil"/>
              <w:bottom w:val="single" w:sz="4" w:space="0" w:color="auto"/>
              <w:right w:val="nil"/>
            </w:tcBorders>
            <w:shd w:val="clear" w:color="auto" w:fill="auto"/>
            <w:noWrap/>
            <w:vAlign w:val="bottom"/>
          </w:tcPr>
          <w:p w14:paraId="616B6535" w14:textId="77777777" w:rsidR="001F541A" w:rsidRPr="002E2B5B" w:rsidRDefault="001F541A" w:rsidP="002E2B5B">
            <w:pPr>
              <w:rPr>
                <w:rFonts w:ascii="Calibri" w:hAnsi="Calibri" w:cs="Calibri"/>
                <w:b/>
                <w:sz w:val="16"/>
                <w:szCs w:val="16"/>
              </w:rPr>
            </w:pPr>
            <w:r w:rsidRPr="002E2B5B">
              <w:rPr>
                <w:rFonts w:ascii="Calibri" w:hAnsi="Calibri" w:cs="Calibri"/>
                <w:b/>
                <w:sz w:val="16"/>
                <w:szCs w:val="16"/>
              </w:rPr>
              <w:t xml:space="preserve">SALDO DE CRÉDITO PREVIDENCIÁRIO EM </w:t>
            </w:r>
            <w:r w:rsidR="00EF6D44" w:rsidRPr="002E2B5B">
              <w:rPr>
                <w:rFonts w:ascii="Calibri" w:hAnsi="Calibri" w:cs="Calibri"/>
                <w:b/>
                <w:sz w:val="16"/>
                <w:szCs w:val="16"/>
              </w:rPr>
              <w:t>JUNHO</w:t>
            </w:r>
            <w:r w:rsidRPr="002E2B5B">
              <w:rPr>
                <w:rFonts w:ascii="Calibri" w:hAnsi="Calibri" w:cs="Calibri"/>
                <w:b/>
                <w:sz w:val="16"/>
                <w:szCs w:val="16"/>
              </w:rPr>
              <w:t>/2021</w:t>
            </w:r>
          </w:p>
        </w:tc>
        <w:tc>
          <w:tcPr>
            <w:tcW w:w="339" w:type="pct"/>
            <w:tcBorders>
              <w:top w:val="single" w:sz="4" w:space="0" w:color="auto"/>
              <w:left w:val="nil"/>
              <w:bottom w:val="single" w:sz="4" w:space="0" w:color="auto"/>
              <w:right w:val="nil"/>
            </w:tcBorders>
            <w:shd w:val="clear" w:color="auto" w:fill="auto"/>
            <w:noWrap/>
            <w:vAlign w:val="bottom"/>
          </w:tcPr>
          <w:p w14:paraId="7016823C" w14:textId="77777777" w:rsidR="001F541A" w:rsidRPr="002E2B5B" w:rsidRDefault="001F541A"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2A8F2BCA" w14:textId="77777777" w:rsidR="001F541A" w:rsidRPr="002E2B5B" w:rsidRDefault="001F541A"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518F9EC0" w14:textId="77777777" w:rsidR="001F541A" w:rsidRPr="002E2B5B" w:rsidRDefault="001F541A"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0DCA18B3" w14:textId="77777777" w:rsidR="001F541A" w:rsidRPr="002E2B5B" w:rsidRDefault="004C6C47" w:rsidP="002E2B5B">
            <w:pPr>
              <w:jc w:val="right"/>
              <w:rPr>
                <w:rFonts w:ascii="Calibri" w:hAnsi="Calibri" w:cs="Calibri"/>
                <w:b/>
                <w:sz w:val="16"/>
                <w:szCs w:val="16"/>
              </w:rPr>
            </w:pPr>
            <w:r w:rsidRPr="002E2B5B">
              <w:rPr>
                <w:rFonts w:ascii="Calibri" w:hAnsi="Calibri" w:cs="Calibri"/>
                <w:b/>
                <w:sz w:val="16"/>
                <w:szCs w:val="16"/>
              </w:rPr>
              <w:t>1.282.933</w:t>
            </w:r>
          </w:p>
        </w:tc>
        <w:tc>
          <w:tcPr>
            <w:tcW w:w="85" w:type="pct"/>
            <w:tcBorders>
              <w:top w:val="single" w:sz="4" w:space="0" w:color="auto"/>
              <w:left w:val="nil"/>
              <w:bottom w:val="single" w:sz="4" w:space="0" w:color="auto"/>
              <w:right w:val="nil"/>
            </w:tcBorders>
            <w:shd w:val="clear" w:color="auto" w:fill="auto"/>
            <w:noWrap/>
            <w:vAlign w:val="bottom"/>
          </w:tcPr>
          <w:p w14:paraId="1D22428D" w14:textId="77777777" w:rsidR="001F541A" w:rsidRPr="002E2B5B" w:rsidRDefault="001F541A" w:rsidP="002E2B5B">
            <w:pPr>
              <w:rPr>
                <w:rFonts w:ascii="Calibri" w:hAnsi="Calibri" w:cs="Calibri"/>
                <w:b/>
                <w:sz w:val="16"/>
                <w:szCs w:val="16"/>
              </w:rPr>
            </w:pPr>
          </w:p>
        </w:tc>
      </w:tr>
    </w:tbl>
    <w:p w14:paraId="750FF746" w14:textId="77777777" w:rsidR="00D52821" w:rsidRPr="002E2B5B" w:rsidRDefault="00D52821" w:rsidP="002E2B5B">
      <w:pPr>
        <w:jc w:val="both"/>
        <w:rPr>
          <w:rFonts w:ascii="Calibri" w:hAnsi="Calibri" w:cs="Calibri"/>
          <w:sz w:val="22"/>
          <w:szCs w:val="22"/>
        </w:rPr>
      </w:pPr>
    </w:p>
    <w:p w14:paraId="4C29FD13" w14:textId="7B376268" w:rsidR="00D52821" w:rsidRPr="002E2B5B" w:rsidRDefault="00404FDE" w:rsidP="00C2370F">
      <w:pPr>
        <w:spacing w:after="120"/>
        <w:jc w:val="both"/>
        <w:rPr>
          <w:rFonts w:ascii="Calibri" w:hAnsi="Calibri" w:cs="Calibri"/>
          <w:sz w:val="22"/>
          <w:szCs w:val="22"/>
        </w:rPr>
      </w:pPr>
      <w:r w:rsidRPr="002E2B5B">
        <w:rPr>
          <w:rFonts w:ascii="Calibri" w:hAnsi="Calibri" w:cs="Calibri"/>
          <w:sz w:val="22"/>
          <w:szCs w:val="22"/>
        </w:rPr>
        <w:t>Os créditos previdenciários est</w:t>
      </w:r>
      <w:r w:rsidR="0052637A" w:rsidRPr="002E2B5B">
        <w:rPr>
          <w:rFonts w:ascii="Calibri" w:hAnsi="Calibri" w:cs="Calibri"/>
          <w:sz w:val="22"/>
          <w:szCs w:val="22"/>
        </w:rPr>
        <w:t>ão</w:t>
      </w:r>
      <w:r w:rsidR="00C535B0" w:rsidRPr="002E2B5B">
        <w:rPr>
          <w:rFonts w:ascii="Calibri" w:hAnsi="Calibri" w:cs="Calibri"/>
          <w:sz w:val="22"/>
          <w:szCs w:val="22"/>
        </w:rPr>
        <w:t xml:space="preserve"> </w:t>
      </w:r>
      <w:r w:rsidRPr="002E2B5B">
        <w:rPr>
          <w:rFonts w:ascii="Calibri" w:hAnsi="Calibri" w:cs="Calibri"/>
          <w:sz w:val="22"/>
          <w:szCs w:val="22"/>
        </w:rPr>
        <w:t>sendo compensados nas guias de pagamentos do INSS referentes às folhas de pagamentos da VALEC e das extintas empresas Rede Ferroviária Federal S/A – RFFSA e Empresa Brasileira de Planejamento de Transportes – GEIPOT</w:t>
      </w:r>
      <w:r w:rsidR="0052637A" w:rsidRPr="002E2B5B">
        <w:rPr>
          <w:rFonts w:ascii="Calibri" w:hAnsi="Calibri" w:cs="Calibri"/>
          <w:sz w:val="22"/>
          <w:szCs w:val="22"/>
        </w:rPr>
        <w:t>.</w:t>
      </w:r>
    </w:p>
    <w:p w14:paraId="5C350B96" w14:textId="16C72259" w:rsidR="00F0767F" w:rsidRPr="002E2B5B" w:rsidRDefault="005D16F5" w:rsidP="00C2370F">
      <w:pPr>
        <w:spacing w:after="120"/>
        <w:jc w:val="both"/>
        <w:rPr>
          <w:rFonts w:ascii="Calibri" w:hAnsi="Calibri" w:cs="Calibri"/>
          <w:sz w:val="22"/>
          <w:szCs w:val="22"/>
        </w:rPr>
      </w:pPr>
      <w:r w:rsidRPr="002E2B5B">
        <w:rPr>
          <w:rFonts w:ascii="Calibri" w:hAnsi="Calibri" w:cs="Calibri"/>
          <w:sz w:val="22"/>
          <w:szCs w:val="22"/>
        </w:rPr>
        <w:t xml:space="preserve">No final do segundo trimestre de 2019, </w:t>
      </w:r>
      <w:r w:rsidR="0034767A" w:rsidRPr="002E2B5B">
        <w:rPr>
          <w:rFonts w:ascii="Calibri" w:hAnsi="Calibri" w:cs="Calibri"/>
          <w:sz w:val="22"/>
          <w:szCs w:val="22"/>
        </w:rPr>
        <w:t>houve a suspensão das compensações de créditos previdenciários</w:t>
      </w:r>
      <w:r w:rsidR="007B012F" w:rsidRPr="002E2B5B">
        <w:rPr>
          <w:rFonts w:ascii="Calibri" w:hAnsi="Calibri" w:cs="Calibri"/>
          <w:sz w:val="22"/>
          <w:szCs w:val="22"/>
        </w:rPr>
        <w:t>, para aguardar a homologação por parte da Receita Federal do Brasil referente aos créditos já compensados</w:t>
      </w:r>
      <w:r w:rsidR="00C625D2" w:rsidRPr="002E2B5B">
        <w:rPr>
          <w:rFonts w:ascii="Calibri" w:hAnsi="Calibri" w:cs="Calibri"/>
          <w:sz w:val="22"/>
          <w:szCs w:val="22"/>
        </w:rPr>
        <w:t>, visto que, caso a Receita Federal do Brasil negue provimento à demanda, a VALEC deverá pagar com juros e multas todos os encargos que já foram compensados.</w:t>
      </w:r>
      <w:r w:rsidR="00F0767F" w:rsidRPr="002E2B5B">
        <w:rPr>
          <w:rFonts w:ascii="Calibri" w:hAnsi="Calibri" w:cs="Calibri"/>
          <w:sz w:val="22"/>
          <w:szCs w:val="22"/>
        </w:rPr>
        <w:t xml:space="preserve"> </w:t>
      </w:r>
    </w:p>
    <w:p w14:paraId="010C22C4" w14:textId="77730759" w:rsidR="009165D8" w:rsidRPr="002E2B5B" w:rsidRDefault="0002343B" w:rsidP="00C2370F">
      <w:pPr>
        <w:spacing w:after="120"/>
        <w:jc w:val="both"/>
        <w:rPr>
          <w:rFonts w:ascii="Calibri" w:hAnsi="Calibri" w:cs="Calibri"/>
          <w:sz w:val="22"/>
          <w:szCs w:val="22"/>
        </w:rPr>
      </w:pPr>
      <w:r w:rsidRPr="002E2B5B">
        <w:rPr>
          <w:rFonts w:ascii="Calibri" w:hAnsi="Calibri" w:cs="Calibri"/>
          <w:sz w:val="22"/>
          <w:szCs w:val="22"/>
        </w:rPr>
        <w:t>Em dezembro de 2020, após consulta à Superintendência de Gestão de Pessoas (SUGEP), verificou-se que seria necessário realizar uma baixa por prescrição do direito a recuperar no valor de R$ 16 milhões do saldo de INSS A COMPENSAR, restando como saldo a compensar o valor de R$ R$ 1,6 milh</w:t>
      </w:r>
      <w:r w:rsidR="0092389C">
        <w:rPr>
          <w:rFonts w:ascii="Calibri" w:hAnsi="Calibri" w:cs="Calibri"/>
          <w:sz w:val="22"/>
          <w:szCs w:val="22"/>
        </w:rPr>
        <w:t>ão</w:t>
      </w:r>
      <w:r w:rsidRPr="002E2B5B">
        <w:rPr>
          <w:rFonts w:ascii="Calibri" w:hAnsi="Calibri" w:cs="Calibri"/>
          <w:sz w:val="22"/>
          <w:szCs w:val="22"/>
        </w:rPr>
        <w:t xml:space="preserve">, </w:t>
      </w:r>
      <w:r w:rsidR="00EF6D44" w:rsidRPr="002E2B5B">
        <w:rPr>
          <w:rFonts w:ascii="Calibri" w:hAnsi="Calibri" w:cs="Calibri"/>
          <w:sz w:val="22"/>
          <w:szCs w:val="22"/>
        </w:rPr>
        <w:t>os quais irão prescrever no exercício de</w:t>
      </w:r>
      <w:r w:rsidRPr="002E2B5B">
        <w:rPr>
          <w:rFonts w:ascii="Calibri" w:hAnsi="Calibri" w:cs="Calibri"/>
          <w:sz w:val="22"/>
          <w:szCs w:val="22"/>
        </w:rPr>
        <w:t xml:space="preserve"> 2021.</w:t>
      </w:r>
    </w:p>
    <w:p w14:paraId="7FC032BF" w14:textId="34D7CC76" w:rsidR="009165D8" w:rsidRPr="002E2B5B" w:rsidRDefault="00896BCC" w:rsidP="002E2B5B">
      <w:pPr>
        <w:spacing w:after="120"/>
        <w:jc w:val="both"/>
        <w:rPr>
          <w:rFonts w:ascii="Calibri" w:hAnsi="Calibri" w:cs="Calibri"/>
          <w:sz w:val="22"/>
          <w:szCs w:val="22"/>
        </w:rPr>
      </w:pPr>
      <w:r w:rsidRPr="002E2B5B">
        <w:rPr>
          <w:rFonts w:ascii="Calibri" w:hAnsi="Calibri" w:cs="Calibri"/>
          <w:sz w:val="22"/>
          <w:szCs w:val="22"/>
        </w:rPr>
        <w:t xml:space="preserve">Segundo o Comitê de Pronunciamentos Contábeis – CPC 24 – Eventos Subsequentes – aprovado pelo Conselho Federal de Contabilidade – NBC TG 24 (R1), evento subsequente ao período a que se referem as demonstrações contábeis é aquele evento, favorável ou desfavorável, que ocorre entre a data final do período a que se referem as demonstrações contábeis e a data na qual é autorizada a emissão dessas demonstrações. Portanto, devido à posição da Diretoria de suspender a compensação dos créditos previdenciários enquanto não haja homologação por parte da Receita Federal do Brasil, as prescrições dos créditos ocorridas até </w:t>
      </w:r>
      <w:r w:rsidR="00AF2A84" w:rsidRPr="002E2B5B">
        <w:rPr>
          <w:rFonts w:ascii="Calibri" w:hAnsi="Calibri" w:cs="Calibri"/>
          <w:sz w:val="22"/>
          <w:szCs w:val="22"/>
        </w:rPr>
        <w:t>junho/2021</w:t>
      </w:r>
      <w:r w:rsidRPr="002E2B5B">
        <w:rPr>
          <w:rFonts w:ascii="Calibri" w:hAnsi="Calibri" w:cs="Calibri"/>
          <w:sz w:val="22"/>
          <w:szCs w:val="22"/>
        </w:rPr>
        <w:t xml:space="preserve"> foram aqui consideradas.</w:t>
      </w:r>
    </w:p>
    <w:p w14:paraId="7C1E00B9" w14:textId="77777777" w:rsidR="002D346E" w:rsidRPr="002E2B5B" w:rsidRDefault="0002316D" w:rsidP="002E2B5B">
      <w:pPr>
        <w:numPr>
          <w:ilvl w:val="0"/>
          <w:numId w:val="10"/>
        </w:numPr>
        <w:spacing w:after="120"/>
        <w:ind w:left="284" w:hanging="284"/>
        <w:rPr>
          <w:rFonts w:ascii="Calibri" w:hAnsi="Calibri" w:cs="Calibri"/>
          <w:b/>
          <w:sz w:val="22"/>
          <w:szCs w:val="22"/>
        </w:rPr>
      </w:pPr>
      <w:r w:rsidRPr="002E2B5B">
        <w:rPr>
          <w:rFonts w:ascii="Calibri" w:hAnsi="Calibri" w:cs="Calibri"/>
          <w:b/>
          <w:sz w:val="22"/>
          <w:szCs w:val="22"/>
        </w:rPr>
        <w:t xml:space="preserve">Outros </w:t>
      </w:r>
      <w:r w:rsidR="007D119D" w:rsidRPr="002E2B5B">
        <w:rPr>
          <w:rFonts w:ascii="Calibri" w:hAnsi="Calibri" w:cs="Calibri"/>
          <w:b/>
          <w:sz w:val="22"/>
          <w:szCs w:val="22"/>
        </w:rPr>
        <w:t>Créditos</w:t>
      </w:r>
      <w:r w:rsidR="00580D61" w:rsidRPr="002E2B5B">
        <w:rPr>
          <w:rFonts w:ascii="Calibri" w:hAnsi="Calibri" w:cs="Calibri"/>
          <w:b/>
          <w:sz w:val="22"/>
          <w:szCs w:val="22"/>
        </w:rPr>
        <w:t xml:space="preserve"> a receber</w:t>
      </w:r>
    </w:p>
    <w:p w14:paraId="28EC8953" w14:textId="76B44691" w:rsidR="009165D8" w:rsidRDefault="007D119D" w:rsidP="002E2B5B">
      <w:pPr>
        <w:spacing w:after="120"/>
        <w:jc w:val="both"/>
        <w:rPr>
          <w:rFonts w:ascii="Calibri" w:hAnsi="Calibri" w:cs="Calibri"/>
          <w:sz w:val="22"/>
          <w:szCs w:val="22"/>
        </w:rPr>
      </w:pPr>
      <w:r w:rsidRPr="002E2B5B">
        <w:rPr>
          <w:rFonts w:ascii="Calibri" w:hAnsi="Calibri" w:cs="Calibri"/>
          <w:sz w:val="22"/>
          <w:szCs w:val="22"/>
        </w:rPr>
        <w:t xml:space="preserve">Outros créditos compreendem </w:t>
      </w:r>
      <w:r w:rsidR="005D27D4" w:rsidRPr="002E2B5B">
        <w:rPr>
          <w:rFonts w:ascii="Calibri" w:hAnsi="Calibri" w:cs="Calibri"/>
          <w:sz w:val="22"/>
          <w:szCs w:val="22"/>
        </w:rPr>
        <w:t xml:space="preserve">os </w:t>
      </w:r>
      <w:r w:rsidRPr="002E2B5B">
        <w:rPr>
          <w:rFonts w:ascii="Calibri" w:hAnsi="Calibri" w:cs="Calibri"/>
          <w:sz w:val="22"/>
          <w:szCs w:val="22"/>
        </w:rPr>
        <w:t>Termos de</w:t>
      </w:r>
      <w:r w:rsidR="003771D4" w:rsidRPr="002E2B5B">
        <w:rPr>
          <w:rFonts w:ascii="Calibri" w:hAnsi="Calibri" w:cs="Calibri"/>
          <w:sz w:val="22"/>
          <w:szCs w:val="22"/>
        </w:rPr>
        <w:t xml:space="preserve"> Execução Descentralizada</w:t>
      </w:r>
      <w:r w:rsidR="00580D61" w:rsidRPr="002E2B5B">
        <w:rPr>
          <w:rFonts w:ascii="Calibri" w:hAnsi="Calibri" w:cs="Calibri"/>
          <w:sz w:val="22"/>
          <w:szCs w:val="22"/>
        </w:rPr>
        <w:t xml:space="preserve"> a comprovar</w:t>
      </w:r>
      <w:r w:rsidR="005D27D4" w:rsidRPr="002E2B5B">
        <w:rPr>
          <w:rFonts w:ascii="Calibri" w:hAnsi="Calibri" w:cs="Calibri"/>
          <w:sz w:val="22"/>
          <w:szCs w:val="22"/>
        </w:rPr>
        <w:t xml:space="preserve"> e </w:t>
      </w:r>
      <w:r w:rsidR="0002316D" w:rsidRPr="002E2B5B">
        <w:rPr>
          <w:rFonts w:ascii="Calibri" w:hAnsi="Calibri" w:cs="Calibri"/>
          <w:sz w:val="22"/>
          <w:szCs w:val="22"/>
        </w:rPr>
        <w:t xml:space="preserve">os </w:t>
      </w:r>
      <w:r w:rsidR="005D27D4" w:rsidRPr="002E2B5B">
        <w:rPr>
          <w:rFonts w:ascii="Calibri" w:hAnsi="Calibri" w:cs="Calibri"/>
          <w:sz w:val="22"/>
          <w:szCs w:val="22"/>
        </w:rPr>
        <w:t>créditos a receber de fornecedores:</w:t>
      </w:r>
    </w:p>
    <w:p w14:paraId="7D042E0B" w14:textId="2467687D" w:rsidR="00810F1C" w:rsidRDefault="00810F1C" w:rsidP="002E2B5B">
      <w:pPr>
        <w:spacing w:after="120"/>
        <w:jc w:val="both"/>
        <w:rPr>
          <w:rFonts w:ascii="Calibri" w:hAnsi="Calibri" w:cs="Calibri"/>
          <w:sz w:val="22"/>
          <w:szCs w:val="22"/>
        </w:rPr>
      </w:pPr>
    </w:p>
    <w:p w14:paraId="2E204D11" w14:textId="77777777" w:rsidR="00810F1C" w:rsidRPr="002E2B5B" w:rsidRDefault="00810F1C" w:rsidP="002E2B5B">
      <w:pPr>
        <w:spacing w:after="120"/>
        <w:jc w:val="both"/>
        <w:rPr>
          <w:rFonts w:ascii="Calibri" w:hAnsi="Calibri" w:cs="Calibri"/>
          <w:sz w:val="22"/>
          <w:szCs w:val="22"/>
        </w:rPr>
      </w:pPr>
    </w:p>
    <w:p w14:paraId="4AD83B51" w14:textId="155CF90A" w:rsidR="00B22FF7" w:rsidRPr="002E2B5B" w:rsidRDefault="002339ED" w:rsidP="002E2B5B">
      <w:pPr>
        <w:spacing w:after="120"/>
        <w:jc w:val="both"/>
        <w:rPr>
          <w:rFonts w:ascii="Calibri" w:hAnsi="Calibri" w:cs="Calibri"/>
          <w:b/>
          <w:sz w:val="22"/>
          <w:szCs w:val="22"/>
        </w:rPr>
      </w:pPr>
      <w:r w:rsidRPr="002E2B5B">
        <w:rPr>
          <w:rFonts w:ascii="Calibri" w:hAnsi="Calibri" w:cs="Calibri"/>
          <w:b/>
          <w:sz w:val="22"/>
          <w:szCs w:val="22"/>
        </w:rPr>
        <w:lastRenderedPageBreak/>
        <w:t>c</w:t>
      </w:r>
      <w:r w:rsidR="0002316D" w:rsidRPr="002E2B5B">
        <w:rPr>
          <w:rFonts w:ascii="Calibri" w:hAnsi="Calibri" w:cs="Calibri"/>
          <w:b/>
          <w:sz w:val="22"/>
          <w:szCs w:val="22"/>
        </w:rPr>
        <w:t>.1</w:t>
      </w:r>
      <w:r w:rsidR="007D119D" w:rsidRPr="002E2B5B">
        <w:rPr>
          <w:rFonts w:ascii="Calibri" w:hAnsi="Calibri" w:cs="Calibri"/>
          <w:b/>
          <w:sz w:val="22"/>
          <w:szCs w:val="22"/>
        </w:rPr>
        <w:t xml:space="preserve">) Termos de </w:t>
      </w:r>
      <w:r w:rsidR="00B22FF7" w:rsidRPr="002E2B5B">
        <w:rPr>
          <w:rFonts w:ascii="Calibri" w:hAnsi="Calibri" w:cs="Calibri"/>
          <w:b/>
          <w:sz w:val="22"/>
          <w:szCs w:val="22"/>
        </w:rPr>
        <w:t xml:space="preserve">Execução Descentralizada </w:t>
      </w:r>
      <w:r w:rsidR="007D119D" w:rsidRPr="002E2B5B">
        <w:rPr>
          <w:rFonts w:ascii="Calibri" w:hAnsi="Calibri" w:cs="Calibri"/>
          <w:b/>
          <w:sz w:val="22"/>
          <w:szCs w:val="22"/>
        </w:rPr>
        <w:t>a comprovar:</w:t>
      </w:r>
    </w:p>
    <w:p w14:paraId="646874A8" w14:textId="62E72A4A" w:rsidR="003771D4" w:rsidRDefault="009705E6" w:rsidP="002E2B5B">
      <w:pPr>
        <w:spacing w:after="120"/>
        <w:jc w:val="both"/>
        <w:rPr>
          <w:rFonts w:ascii="Calibri" w:hAnsi="Calibri" w:cs="Calibri"/>
          <w:sz w:val="22"/>
          <w:szCs w:val="22"/>
        </w:rPr>
      </w:pPr>
      <w:r w:rsidRPr="002E2B5B">
        <w:rPr>
          <w:rFonts w:ascii="Calibri" w:hAnsi="Calibri" w:cs="Calibri"/>
          <w:sz w:val="22"/>
          <w:szCs w:val="22"/>
        </w:rPr>
        <w:t xml:space="preserve">Os </w:t>
      </w:r>
      <w:r w:rsidR="003771D4" w:rsidRPr="002E2B5B">
        <w:rPr>
          <w:rFonts w:ascii="Calibri" w:hAnsi="Calibri" w:cs="Calibri"/>
          <w:sz w:val="22"/>
          <w:szCs w:val="22"/>
        </w:rPr>
        <w:t xml:space="preserve">Termos </w:t>
      </w:r>
      <w:r w:rsidRPr="002E2B5B">
        <w:rPr>
          <w:rFonts w:ascii="Calibri" w:hAnsi="Calibri" w:cs="Calibri"/>
          <w:sz w:val="22"/>
          <w:szCs w:val="22"/>
        </w:rPr>
        <w:t xml:space="preserve">de Execução Descentralizada </w:t>
      </w:r>
      <w:r w:rsidR="003771D4" w:rsidRPr="002E2B5B">
        <w:rPr>
          <w:rFonts w:ascii="Calibri" w:hAnsi="Calibri" w:cs="Calibri"/>
          <w:sz w:val="22"/>
          <w:szCs w:val="22"/>
        </w:rPr>
        <w:t>celebrados entre a VALEC e órgãos vinculados à União para execução de serviços de interesse desta empresa</w:t>
      </w:r>
      <w:r w:rsidRPr="002E2B5B">
        <w:rPr>
          <w:rFonts w:ascii="Calibri" w:hAnsi="Calibri" w:cs="Calibri"/>
          <w:sz w:val="22"/>
          <w:szCs w:val="22"/>
        </w:rPr>
        <w:t xml:space="preserve">, com valor a comprovar em </w:t>
      </w:r>
      <w:r w:rsidR="008227CE">
        <w:rPr>
          <w:rFonts w:ascii="Calibri" w:hAnsi="Calibri" w:cs="Calibri"/>
          <w:sz w:val="22"/>
          <w:szCs w:val="22"/>
        </w:rPr>
        <w:t>30 de junho</w:t>
      </w:r>
      <w:r w:rsidR="00DF4449">
        <w:rPr>
          <w:rFonts w:ascii="Calibri" w:hAnsi="Calibri" w:cs="Calibri"/>
          <w:sz w:val="22"/>
          <w:szCs w:val="22"/>
        </w:rPr>
        <w:t xml:space="preserve"> </w:t>
      </w:r>
      <w:r w:rsidRPr="002E2B5B">
        <w:rPr>
          <w:rFonts w:ascii="Calibri" w:hAnsi="Calibri" w:cs="Calibri"/>
          <w:sz w:val="22"/>
          <w:szCs w:val="22"/>
        </w:rPr>
        <w:t>de 202</w:t>
      </w:r>
      <w:r w:rsidR="00DF4449">
        <w:rPr>
          <w:rFonts w:ascii="Calibri" w:hAnsi="Calibri" w:cs="Calibri"/>
          <w:sz w:val="22"/>
          <w:szCs w:val="22"/>
        </w:rPr>
        <w:t>1</w:t>
      </w:r>
      <w:r w:rsidRPr="002E2B5B">
        <w:rPr>
          <w:rFonts w:ascii="Calibri" w:hAnsi="Calibri" w:cs="Calibri"/>
          <w:sz w:val="22"/>
          <w:szCs w:val="22"/>
        </w:rPr>
        <w:t>, são:</w:t>
      </w:r>
    </w:p>
    <w:tbl>
      <w:tblPr>
        <w:tblW w:w="5000" w:type="pct"/>
        <w:shd w:val="clear" w:color="auto" w:fill="FFFFFF"/>
        <w:tblCellMar>
          <w:left w:w="0" w:type="dxa"/>
          <w:right w:w="0" w:type="dxa"/>
        </w:tblCellMar>
        <w:tblLook w:val="04A0" w:firstRow="1" w:lastRow="0" w:firstColumn="1" w:lastColumn="0" w:noHBand="0" w:noVBand="1"/>
      </w:tblPr>
      <w:tblGrid>
        <w:gridCol w:w="2172"/>
        <w:gridCol w:w="1842"/>
        <w:gridCol w:w="2347"/>
        <w:gridCol w:w="2054"/>
        <w:gridCol w:w="2052"/>
      </w:tblGrid>
      <w:tr w:rsidR="000F149C" w:rsidRPr="002E2B5B" w14:paraId="2CC5B25F" w14:textId="77777777" w:rsidTr="00B23D01">
        <w:trPr>
          <w:trHeight w:hRule="exact" w:val="227"/>
        </w:trPr>
        <w:tc>
          <w:tcPr>
            <w:tcW w:w="1038" w:type="pct"/>
            <w:tcBorders>
              <w:bottom w:val="single" w:sz="8" w:space="0" w:color="000000"/>
            </w:tcBorders>
            <w:shd w:val="clear" w:color="auto" w:fill="FFFFFF"/>
            <w:noWrap/>
            <w:tcMar>
              <w:top w:w="15" w:type="dxa"/>
              <w:left w:w="15" w:type="dxa"/>
              <w:bottom w:w="0" w:type="dxa"/>
              <w:right w:w="15" w:type="dxa"/>
            </w:tcMar>
            <w:vAlign w:val="bottom"/>
            <w:hideMark/>
          </w:tcPr>
          <w:p w14:paraId="1D4A1605" w14:textId="77777777" w:rsidR="000F149C" w:rsidRPr="002E2B5B" w:rsidRDefault="000F149C" w:rsidP="002E2B5B">
            <w:pPr>
              <w:jc w:val="center"/>
              <w:rPr>
                <w:rFonts w:ascii="Calibri" w:hAnsi="Calibri" w:cs="Calibri"/>
                <w:b/>
                <w:bCs/>
                <w:sz w:val="16"/>
                <w:szCs w:val="16"/>
              </w:rPr>
            </w:pPr>
            <w:r w:rsidRPr="002E2B5B">
              <w:rPr>
                <w:rFonts w:ascii="Calibri" w:hAnsi="Calibri" w:cs="Calibri"/>
                <w:b/>
                <w:bCs/>
                <w:sz w:val="16"/>
                <w:szCs w:val="16"/>
              </w:rPr>
              <w:t>N° TED</w:t>
            </w:r>
          </w:p>
        </w:tc>
        <w:tc>
          <w:tcPr>
            <w:tcW w:w="880" w:type="pct"/>
            <w:tcBorders>
              <w:bottom w:val="single" w:sz="8" w:space="0" w:color="000000"/>
            </w:tcBorders>
            <w:shd w:val="clear" w:color="auto" w:fill="FFFFFF"/>
            <w:noWrap/>
            <w:tcMar>
              <w:top w:w="15" w:type="dxa"/>
              <w:left w:w="15" w:type="dxa"/>
              <w:bottom w:w="0" w:type="dxa"/>
              <w:right w:w="15" w:type="dxa"/>
            </w:tcMar>
            <w:vAlign w:val="bottom"/>
            <w:hideMark/>
          </w:tcPr>
          <w:p w14:paraId="3E3B8FA3" w14:textId="77777777" w:rsidR="000F149C" w:rsidRPr="002E2B5B" w:rsidRDefault="000F149C" w:rsidP="002E2B5B">
            <w:pPr>
              <w:jc w:val="center"/>
              <w:rPr>
                <w:rFonts w:ascii="Calibri" w:hAnsi="Calibri" w:cs="Calibri"/>
                <w:b/>
                <w:bCs/>
                <w:sz w:val="16"/>
                <w:szCs w:val="16"/>
              </w:rPr>
            </w:pPr>
            <w:r w:rsidRPr="002E2B5B">
              <w:rPr>
                <w:rFonts w:ascii="Calibri" w:hAnsi="Calibri" w:cs="Calibri"/>
                <w:b/>
                <w:bCs/>
                <w:sz w:val="16"/>
                <w:szCs w:val="16"/>
              </w:rPr>
              <w:t>SIAFI</w:t>
            </w:r>
          </w:p>
        </w:tc>
        <w:tc>
          <w:tcPr>
            <w:tcW w:w="1121" w:type="pct"/>
            <w:tcBorders>
              <w:bottom w:val="single" w:sz="8" w:space="0" w:color="000000"/>
            </w:tcBorders>
            <w:shd w:val="clear" w:color="auto" w:fill="FFFFFF"/>
            <w:noWrap/>
            <w:tcMar>
              <w:top w:w="15" w:type="dxa"/>
              <w:left w:w="15" w:type="dxa"/>
              <w:bottom w:w="0" w:type="dxa"/>
              <w:right w:w="15" w:type="dxa"/>
            </w:tcMar>
            <w:vAlign w:val="bottom"/>
            <w:hideMark/>
          </w:tcPr>
          <w:p w14:paraId="0E02478B" w14:textId="77777777" w:rsidR="000F149C" w:rsidRPr="002E2B5B" w:rsidRDefault="000F149C" w:rsidP="002E2B5B">
            <w:pPr>
              <w:jc w:val="center"/>
              <w:rPr>
                <w:rFonts w:ascii="Calibri" w:hAnsi="Calibri" w:cs="Calibri"/>
                <w:b/>
                <w:bCs/>
                <w:sz w:val="16"/>
                <w:szCs w:val="16"/>
              </w:rPr>
            </w:pPr>
            <w:r w:rsidRPr="002E2B5B">
              <w:rPr>
                <w:rFonts w:ascii="Calibri" w:hAnsi="Calibri" w:cs="Calibri"/>
                <w:b/>
                <w:bCs/>
                <w:sz w:val="16"/>
                <w:szCs w:val="16"/>
              </w:rPr>
              <w:t>ÓRGÃO</w:t>
            </w:r>
          </w:p>
        </w:tc>
        <w:tc>
          <w:tcPr>
            <w:tcW w:w="981" w:type="pct"/>
            <w:tcBorders>
              <w:bottom w:val="single" w:sz="8" w:space="0" w:color="000000"/>
            </w:tcBorders>
            <w:shd w:val="clear" w:color="auto" w:fill="FFFFFF"/>
            <w:vAlign w:val="bottom"/>
          </w:tcPr>
          <w:p w14:paraId="087F657C" w14:textId="77777777" w:rsidR="000F149C" w:rsidRPr="002E2B5B" w:rsidRDefault="000F149C" w:rsidP="002E2B5B">
            <w:pPr>
              <w:jc w:val="center"/>
              <w:rPr>
                <w:rFonts w:ascii="Calibri" w:hAnsi="Calibri" w:cs="Calibri"/>
                <w:b/>
                <w:bCs/>
                <w:sz w:val="16"/>
                <w:szCs w:val="16"/>
              </w:rPr>
            </w:pPr>
            <w:r w:rsidRPr="002E2B5B">
              <w:rPr>
                <w:rFonts w:ascii="Calibri" w:hAnsi="Calibri" w:cs="Calibri"/>
                <w:b/>
                <w:bCs/>
                <w:sz w:val="16"/>
                <w:szCs w:val="16"/>
              </w:rPr>
              <w:t>VIGÊNCIA</w:t>
            </w:r>
          </w:p>
        </w:tc>
        <w:tc>
          <w:tcPr>
            <w:tcW w:w="980" w:type="pct"/>
            <w:tcBorders>
              <w:bottom w:val="single" w:sz="8" w:space="0" w:color="000000"/>
            </w:tcBorders>
            <w:shd w:val="clear" w:color="auto" w:fill="FFFFFF"/>
            <w:noWrap/>
            <w:tcMar>
              <w:top w:w="15" w:type="dxa"/>
              <w:left w:w="15" w:type="dxa"/>
              <w:bottom w:w="0" w:type="dxa"/>
              <w:right w:w="15" w:type="dxa"/>
            </w:tcMar>
            <w:vAlign w:val="bottom"/>
            <w:hideMark/>
          </w:tcPr>
          <w:p w14:paraId="1A64EC30" w14:textId="77777777" w:rsidR="000F149C" w:rsidRPr="002E2B5B" w:rsidRDefault="000F149C" w:rsidP="002E2B5B">
            <w:pPr>
              <w:jc w:val="right"/>
              <w:rPr>
                <w:rFonts w:ascii="Calibri" w:hAnsi="Calibri" w:cs="Calibri"/>
                <w:b/>
                <w:bCs/>
                <w:sz w:val="16"/>
                <w:szCs w:val="16"/>
              </w:rPr>
            </w:pPr>
            <w:r w:rsidRPr="002E2B5B">
              <w:rPr>
                <w:rFonts w:ascii="Calibri" w:hAnsi="Calibri" w:cs="Calibri"/>
                <w:b/>
                <w:bCs/>
                <w:sz w:val="16"/>
                <w:szCs w:val="16"/>
              </w:rPr>
              <w:t>VALOR</w:t>
            </w:r>
            <w:r w:rsidR="009705E6" w:rsidRPr="002E2B5B">
              <w:rPr>
                <w:rFonts w:ascii="Calibri" w:hAnsi="Calibri" w:cs="Calibri"/>
                <w:b/>
                <w:bCs/>
                <w:sz w:val="16"/>
                <w:szCs w:val="16"/>
              </w:rPr>
              <w:t xml:space="preserve"> A COMPROVAR</w:t>
            </w:r>
          </w:p>
        </w:tc>
      </w:tr>
      <w:tr w:rsidR="00FF00FD" w:rsidRPr="002E2B5B" w14:paraId="749B781F"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4312F9AF" w14:textId="77777777" w:rsidR="00FF00FD" w:rsidRPr="00214011" w:rsidRDefault="00FF00FD" w:rsidP="002E2B5B">
            <w:pPr>
              <w:jc w:val="center"/>
              <w:rPr>
                <w:rFonts w:ascii="Calibri" w:hAnsi="Calibri" w:cs="Calibri"/>
                <w:sz w:val="16"/>
                <w:szCs w:val="16"/>
              </w:rPr>
            </w:pPr>
            <w:r w:rsidRPr="00214011">
              <w:rPr>
                <w:rFonts w:ascii="Calibri" w:hAnsi="Calibri" w:cs="Calibri"/>
                <w:sz w:val="16"/>
                <w:szCs w:val="16"/>
              </w:rPr>
              <w:t>003/2013</w:t>
            </w:r>
          </w:p>
        </w:tc>
        <w:tc>
          <w:tcPr>
            <w:tcW w:w="880" w:type="pct"/>
            <w:shd w:val="clear" w:color="auto" w:fill="FFFFFF"/>
            <w:noWrap/>
            <w:tcMar>
              <w:top w:w="15" w:type="dxa"/>
              <w:left w:w="15" w:type="dxa"/>
              <w:bottom w:w="0" w:type="dxa"/>
              <w:right w:w="15" w:type="dxa"/>
            </w:tcMar>
            <w:vAlign w:val="bottom"/>
          </w:tcPr>
          <w:p w14:paraId="4A018E7B" w14:textId="77777777" w:rsidR="00FF00FD" w:rsidRPr="00214011" w:rsidRDefault="00FF00FD" w:rsidP="002E2B5B">
            <w:pPr>
              <w:jc w:val="center"/>
              <w:rPr>
                <w:rFonts w:ascii="Calibri" w:hAnsi="Calibri" w:cs="Calibri"/>
                <w:sz w:val="16"/>
                <w:szCs w:val="16"/>
              </w:rPr>
            </w:pPr>
            <w:r w:rsidRPr="00214011">
              <w:rPr>
                <w:rFonts w:ascii="Calibri" w:hAnsi="Calibri" w:cs="Calibri"/>
                <w:sz w:val="16"/>
                <w:szCs w:val="16"/>
              </w:rPr>
              <w:t>690654</w:t>
            </w:r>
          </w:p>
        </w:tc>
        <w:tc>
          <w:tcPr>
            <w:tcW w:w="1121" w:type="pct"/>
            <w:shd w:val="clear" w:color="auto" w:fill="FFFFFF"/>
            <w:noWrap/>
            <w:tcMar>
              <w:top w:w="15" w:type="dxa"/>
              <w:left w:w="15" w:type="dxa"/>
              <w:bottom w:w="0" w:type="dxa"/>
              <w:right w:w="15" w:type="dxa"/>
            </w:tcMar>
            <w:vAlign w:val="bottom"/>
          </w:tcPr>
          <w:p w14:paraId="38C3F1B4" w14:textId="77777777" w:rsidR="00FF00FD" w:rsidRPr="00214011" w:rsidRDefault="00FF00FD" w:rsidP="002E2B5B">
            <w:pPr>
              <w:jc w:val="center"/>
              <w:rPr>
                <w:rFonts w:ascii="Calibri" w:hAnsi="Calibri" w:cs="Calibri"/>
                <w:sz w:val="16"/>
                <w:szCs w:val="16"/>
              </w:rPr>
            </w:pPr>
            <w:r w:rsidRPr="00214011">
              <w:rPr>
                <w:rFonts w:ascii="Calibri" w:hAnsi="Calibri" w:cs="Calibri"/>
                <w:sz w:val="16"/>
                <w:szCs w:val="16"/>
              </w:rPr>
              <w:t>CBTU</w:t>
            </w:r>
          </w:p>
        </w:tc>
        <w:tc>
          <w:tcPr>
            <w:tcW w:w="981" w:type="pct"/>
            <w:shd w:val="clear" w:color="auto" w:fill="FFFFFF"/>
            <w:vAlign w:val="bottom"/>
          </w:tcPr>
          <w:p w14:paraId="501C6B3E" w14:textId="77777777" w:rsidR="00FF00FD" w:rsidRPr="00214011" w:rsidRDefault="00FF00FD" w:rsidP="002E2B5B">
            <w:pPr>
              <w:jc w:val="center"/>
              <w:rPr>
                <w:rFonts w:ascii="Calibri" w:hAnsi="Calibri" w:cs="Calibri"/>
                <w:sz w:val="16"/>
                <w:szCs w:val="16"/>
              </w:rPr>
            </w:pPr>
            <w:r w:rsidRPr="00214011">
              <w:rPr>
                <w:rFonts w:ascii="Calibri" w:hAnsi="Calibri" w:cs="Calibri"/>
                <w:sz w:val="16"/>
                <w:szCs w:val="16"/>
              </w:rPr>
              <w:t>28.03.2021</w:t>
            </w:r>
          </w:p>
        </w:tc>
        <w:tc>
          <w:tcPr>
            <w:tcW w:w="980" w:type="pct"/>
            <w:shd w:val="clear" w:color="auto" w:fill="FFFFFF"/>
            <w:noWrap/>
            <w:tcMar>
              <w:top w:w="15" w:type="dxa"/>
              <w:left w:w="15" w:type="dxa"/>
              <w:bottom w:w="0" w:type="dxa"/>
              <w:right w:w="15" w:type="dxa"/>
            </w:tcMar>
            <w:vAlign w:val="bottom"/>
          </w:tcPr>
          <w:p w14:paraId="6D4B1618" w14:textId="77777777" w:rsidR="00FF00FD" w:rsidRPr="00214011" w:rsidRDefault="00FF00FD" w:rsidP="002E2B5B">
            <w:pPr>
              <w:jc w:val="right"/>
              <w:rPr>
                <w:rFonts w:ascii="Calibri" w:hAnsi="Calibri" w:cs="Calibri"/>
                <w:sz w:val="16"/>
                <w:szCs w:val="16"/>
              </w:rPr>
            </w:pPr>
            <w:r w:rsidRPr="00214011">
              <w:rPr>
                <w:rFonts w:ascii="Calibri" w:hAnsi="Calibri" w:cs="Calibri"/>
                <w:sz w:val="16"/>
                <w:szCs w:val="16"/>
              </w:rPr>
              <w:t>71.948</w:t>
            </w:r>
          </w:p>
        </w:tc>
      </w:tr>
      <w:tr w:rsidR="00FF00FD" w:rsidRPr="00DF4449" w14:paraId="2C39C1BA"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0D81F709" w14:textId="77777777" w:rsidR="00FF00FD" w:rsidRPr="00790DCE" w:rsidRDefault="00FF00FD" w:rsidP="002E2B5B">
            <w:pPr>
              <w:jc w:val="center"/>
              <w:rPr>
                <w:rFonts w:ascii="Calibri" w:hAnsi="Calibri" w:cs="Calibri"/>
                <w:sz w:val="16"/>
                <w:szCs w:val="16"/>
              </w:rPr>
            </w:pPr>
            <w:r w:rsidRPr="00790DCE">
              <w:rPr>
                <w:rFonts w:ascii="Calibri" w:hAnsi="Calibri" w:cs="Calibri"/>
                <w:sz w:val="16"/>
                <w:szCs w:val="16"/>
              </w:rPr>
              <w:t>001/2019</w:t>
            </w:r>
          </w:p>
        </w:tc>
        <w:tc>
          <w:tcPr>
            <w:tcW w:w="880" w:type="pct"/>
            <w:shd w:val="clear" w:color="auto" w:fill="FFFFFF"/>
            <w:noWrap/>
            <w:tcMar>
              <w:top w:w="15" w:type="dxa"/>
              <w:left w:w="15" w:type="dxa"/>
              <w:bottom w:w="0" w:type="dxa"/>
              <w:right w:w="15" w:type="dxa"/>
            </w:tcMar>
            <w:vAlign w:val="bottom"/>
          </w:tcPr>
          <w:p w14:paraId="4DEEDADA" w14:textId="77777777" w:rsidR="00FF00FD" w:rsidRPr="00790DCE" w:rsidRDefault="00FF00FD" w:rsidP="002E2B5B">
            <w:pPr>
              <w:jc w:val="center"/>
              <w:rPr>
                <w:rFonts w:ascii="Calibri" w:hAnsi="Calibri" w:cs="Calibri"/>
                <w:sz w:val="16"/>
                <w:szCs w:val="16"/>
              </w:rPr>
            </w:pPr>
            <w:r w:rsidRPr="00790DCE">
              <w:rPr>
                <w:rFonts w:ascii="Calibri" w:hAnsi="Calibri" w:cs="Calibri"/>
                <w:sz w:val="16"/>
                <w:szCs w:val="16"/>
              </w:rPr>
              <w:t>699154</w:t>
            </w:r>
          </w:p>
        </w:tc>
        <w:tc>
          <w:tcPr>
            <w:tcW w:w="1121" w:type="pct"/>
            <w:shd w:val="clear" w:color="auto" w:fill="FFFFFF"/>
            <w:noWrap/>
            <w:tcMar>
              <w:top w:w="15" w:type="dxa"/>
              <w:left w:w="15" w:type="dxa"/>
              <w:bottom w:w="0" w:type="dxa"/>
              <w:right w:w="15" w:type="dxa"/>
            </w:tcMar>
            <w:vAlign w:val="bottom"/>
          </w:tcPr>
          <w:p w14:paraId="5F4EBB14" w14:textId="77777777" w:rsidR="00FF00FD" w:rsidRPr="00790DCE" w:rsidRDefault="00FF00FD" w:rsidP="002E2B5B">
            <w:pPr>
              <w:jc w:val="center"/>
              <w:rPr>
                <w:rFonts w:ascii="Calibri" w:hAnsi="Calibri" w:cs="Calibri"/>
                <w:sz w:val="16"/>
                <w:szCs w:val="16"/>
              </w:rPr>
            </w:pPr>
            <w:r w:rsidRPr="00790DCE">
              <w:rPr>
                <w:rFonts w:ascii="Calibri" w:hAnsi="Calibri" w:cs="Calibri"/>
                <w:sz w:val="16"/>
                <w:szCs w:val="16"/>
              </w:rPr>
              <w:t>ME/RJ</w:t>
            </w:r>
          </w:p>
        </w:tc>
        <w:tc>
          <w:tcPr>
            <w:tcW w:w="981" w:type="pct"/>
            <w:shd w:val="clear" w:color="auto" w:fill="FFFFFF"/>
            <w:vAlign w:val="bottom"/>
          </w:tcPr>
          <w:p w14:paraId="6A6BDEF5" w14:textId="77777777" w:rsidR="00FF00FD" w:rsidRPr="00790DCE" w:rsidRDefault="00FF00FD" w:rsidP="002E2B5B">
            <w:pPr>
              <w:jc w:val="center"/>
              <w:rPr>
                <w:rFonts w:ascii="Calibri" w:hAnsi="Calibri" w:cs="Calibri"/>
                <w:sz w:val="16"/>
                <w:szCs w:val="16"/>
              </w:rPr>
            </w:pPr>
            <w:r w:rsidRPr="00790DCE">
              <w:rPr>
                <w:rFonts w:ascii="Calibri" w:hAnsi="Calibri" w:cs="Calibri"/>
                <w:sz w:val="16"/>
                <w:szCs w:val="16"/>
              </w:rPr>
              <w:t>09.12.2020</w:t>
            </w:r>
          </w:p>
        </w:tc>
        <w:tc>
          <w:tcPr>
            <w:tcW w:w="980" w:type="pct"/>
            <w:shd w:val="clear" w:color="auto" w:fill="FFFFFF"/>
            <w:noWrap/>
            <w:tcMar>
              <w:top w:w="15" w:type="dxa"/>
              <w:left w:w="15" w:type="dxa"/>
              <w:bottom w:w="0" w:type="dxa"/>
              <w:right w:w="15" w:type="dxa"/>
            </w:tcMar>
            <w:vAlign w:val="bottom"/>
          </w:tcPr>
          <w:p w14:paraId="47553E09" w14:textId="77777777" w:rsidR="00FF00FD" w:rsidRPr="00790DCE" w:rsidRDefault="00FF00FD" w:rsidP="002E2B5B">
            <w:pPr>
              <w:jc w:val="right"/>
              <w:rPr>
                <w:rFonts w:ascii="Calibri" w:hAnsi="Calibri" w:cs="Calibri"/>
                <w:sz w:val="16"/>
                <w:szCs w:val="16"/>
              </w:rPr>
            </w:pPr>
            <w:r w:rsidRPr="00790DCE">
              <w:rPr>
                <w:rFonts w:ascii="Calibri" w:hAnsi="Calibri" w:cs="Calibri"/>
                <w:sz w:val="16"/>
                <w:szCs w:val="16"/>
              </w:rPr>
              <w:t>0</w:t>
            </w:r>
          </w:p>
        </w:tc>
      </w:tr>
      <w:tr w:rsidR="00FF00FD" w:rsidRPr="002E2B5B" w14:paraId="29BB2DBF" w14:textId="77777777" w:rsidTr="00B23D01">
        <w:trPr>
          <w:trHeight w:hRule="exact" w:val="227"/>
        </w:trPr>
        <w:tc>
          <w:tcPr>
            <w:tcW w:w="1038" w:type="pct"/>
            <w:shd w:val="clear" w:color="auto" w:fill="FFFFFF"/>
            <w:noWrap/>
            <w:tcMar>
              <w:top w:w="15" w:type="dxa"/>
              <w:left w:w="15" w:type="dxa"/>
              <w:bottom w:w="0" w:type="dxa"/>
              <w:right w:w="15" w:type="dxa"/>
            </w:tcMar>
            <w:vAlign w:val="bottom"/>
            <w:hideMark/>
          </w:tcPr>
          <w:p w14:paraId="3EC9C9F9"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001/2020</w:t>
            </w:r>
          </w:p>
        </w:tc>
        <w:tc>
          <w:tcPr>
            <w:tcW w:w="880" w:type="pct"/>
            <w:shd w:val="clear" w:color="auto" w:fill="FFFFFF"/>
            <w:noWrap/>
            <w:tcMar>
              <w:top w:w="15" w:type="dxa"/>
              <w:left w:w="15" w:type="dxa"/>
              <w:bottom w:w="0" w:type="dxa"/>
              <w:right w:w="15" w:type="dxa"/>
            </w:tcMar>
            <w:vAlign w:val="bottom"/>
            <w:hideMark/>
          </w:tcPr>
          <w:p w14:paraId="5E562148"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1AABOM</w:t>
            </w:r>
          </w:p>
        </w:tc>
        <w:tc>
          <w:tcPr>
            <w:tcW w:w="1121" w:type="pct"/>
            <w:shd w:val="clear" w:color="auto" w:fill="FFFFFF"/>
            <w:noWrap/>
            <w:tcMar>
              <w:top w:w="15" w:type="dxa"/>
              <w:left w:w="15" w:type="dxa"/>
              <w:bottom w:w="0" w:type="dxa"/>
              <w:right w:w="15" w:type="dxa"/>
            </w:tcMar>
            <w:vAlign w:val="bottom"/>
            <w:hideMark/>
          </w:tcPr>
          <w:p w14:paraId="2947C078"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EXÉRCITO</w:t>
            </w:r>
          </w:p>
        </w:tc>
        <w:tc>
          <w:tcPr>
            <w:tcW w:w="981" w:type="pct"/>
            <w:shd w:val="clear" w:color="auto" w:fill="FFFFFF"/>
            <w:vAlign w:val="bottom"/>
          </w:tcPr>
          <w:p w14:paraId="40AF71FE"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28.09.2023</w:t>
            </w:r>
          </w:p>
        </w:tc>
        <w:tc>
          <w:tcPr>
            <w:tcW w:w="980" w:type="pct"/>
            <w:shd w:val="clear" w:color="auto" w:fill="FFFFFF"/>
            <w:noWrap/>
            <w:tcMar>
              <w:top w:w="15" w:type="dxa"/>
              <w:left w:w="15" w:type="dxa"/>
              <w:bottom w:w="0" w:type="dxa"/>
              <w:right w:w="15" w:type="dxa"/>
            </w:tcMar>
            <w:vAlign w:val="bottom"/>
            <w:hideMark/>
          </w:tcPr>
          <w:p w14:paraId="25B4F22B" w14:textId="77777777" w:rsidR="00FF00FD" w:rsidRPr="002E2B5B" w:rsidRDefault="00FF00FD" w:rsidP="002E2B5B">
            <w:pPr>
              <w:jc w:val="right"/>
              <w:rPr>
                <w:rFonts w:ascii="Calibri" w:hAnsi="Calibri" w:cs="Calibri"/>
                <w:sz w:val="16"/>
                <w:szCs w:val="16"/>
              </w:rPr>
            </w:pPr>
            <w:r w:rsidRPr="002E2B5B">
              <w:rPr>
                <w:rFonts w:ascii="Calibri" w:hAnsi="Calibri" w:cs="Calibri"/>
                <w:sz w:val="16"/>
                <w:szCs w:val="16"/>
              </w:rPr>
              <w:t>5.000.000</w:t>
            </w:r>
          </w:p>
        </w:tc>
      </w:tr>
      <w:tr w:rsidR="00497DA1" w:rsidRPr="002E2B5B" w14:paraId="237FD0DD"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0CD6AEDD"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002/2020</w:t>
            </w:r>
          </w:p>
        </w:tc>
        <w:tc>
          <w:tcPr>
            <w:tcW w:w="880" w:type="pct"/>
            <w:shd w:val="clear" w:color="auto" w:fill="FFFFFF"/>
            <w:noWrap/>
            <w:tcMar>
              <w:top w:w="15" w:type="dxa"/>
              <w:left w:w="15" w:type="dxa"/>
              <w:bottom w:w="0" w:type="dxa"/>
              <w:right w:w="15" w:type="dxa"/>
            </w:tcMar>
            <w:vAlign w:val="bottom"/>
          </w:tcPr>
          <w:p w14:paraId="22FF09C9" w14:textId="77777777" w:rsidR="00497DA1" w:rsidRPr="002E2B5B" w:rsidRDefault="00231782" w:rsidP="002E2B5B">
            <w:pPr>
              <w:jc w:val="center"/>
              <w:rPr>
                <w:rFonts w:ascii="Calibri" w:hAnsi="Calibri" w:cs="Calibri"/>
                <w:sz w:val="16"/>
                <w:szCs w:val="16"/>
              </w:rPr>
            </w:pPr>
            <w:r w:rsidRPr="002E2B5B">
              <w:rPr>
                <w:rFonts w:ascii="Calibri" w:hAnsi="Calibri" w:cs="Calibri"/>
                <w:sz w:val="16"/>
                <w:szCs w:val="16"/>
              </w:rPr>
              <w:t>1AADXR</w:t>
            </w:r>
          </w:p>
        </w:tc>
        <w:tc>
          <w:tcPr>
            <w:tcW w:w="1121" w:type="pct"/>
            <w:shd w:val="clear" w:color="auto" w:fill="FFFFFF"/>
            <w:noWrap/>
            <w:tcMar>
              <w:top w:w="15" w:type="dxa"/>
              <w:left w:w="15" w:type="dxa"/>
              <w:bottom w:w="0" w:type="dxa"/>
              <w:right w:w="15" w:type="dxa"/>
            </w:tcMar>
            <w:vAlign w:val="bottom"/>
          </w:tcPr>
          <w:p w14:paraId="2D273205"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UnB</w:t>
            </w:r>
          </w:p>
        </w:tc>
        <w:tc>
          <w:tcPr>
            <w:tcW w:w="981" w:type="pct"/>
            <w:shd w:val="clear" w:color="auto" w:fill="FFFFFF"/>
            <w:vAlign w:val="bottom"/>
          </w:tcPr>
          <w:p w14:paraId="53B6C707"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22.12.2021</w:t>
            </w:r>
          </w:p>
        </w:tc>
        <w:tc>
          <w:tcPr>
            <w:tcW w:w="980" w:type="pct"/>
            <w:shd w:val="clear" w:color="auto" w:fill="FFFFFF"/>
            <w:noWrap/>
            <w:tcMar>
              <w:top w:w="15" w:type="dxa"/>
              <w:left w:w="15" w:type="dxa"/>
              <w:bottom w:w="0" w:type="dxa"/>
              <w:right w:w="15" w:type="dxa"/>
            </w:tcMar>
            <w:vAlign w:val="bottom"/>
          </w:tcPr>
          <w:p w14:paraId="25FE2FE3" w14:textId="77777777" w:rsidR="00497DA1" w:rsidRPr="002E2B5B" w:rsidRDefault="00497DA1" w:rsidP="002E2B5B">
            <w:pPr>
              <w:jc w:val="right"/>
              <w:rPr>
                <w:rFonts w:ascii="Calibri" w:hAnsi="Calibri" w:cs="Calibri"/>
                <w:sz w:val="16"/>
                <w:szCs w:val="16"/>
              </w:rPr>
            </w:pPr>
            <w:r w:rsidRPr="002E2B5B">
              <w:rPr>
                <w:rFonts w:ascii="Calibri" w:hAnsi="Calibri" w:cs="Calibri"/>
                <w:sz w:val="16"/>
                <w:szCs w:val="16"/>
              </w:rPr>
              <w:t>0</w:t>
            </w:r>
          </w:p>
        </w:tc>
      </w:tr>
      <w:tr w:rsidR="00497DA1" w:rsidRPr="002E2B5B" w14:paraId="6ED3B5B9" w14:textId="77777777" w:rsidTr="00B23D01">
        <w:trPr>
          <w:trHeight w:hRule="exact" w:val="227"/>
        </w:trPr>
        <w:tc>
          <w:tcPr>
            <w:tcW w:w="1038" w:type="pct"/>
            <w:tcBorders>
              <w:bottom w:val="single" w:sz="8" w:space="0" w:color="000000"/>
            </w:tcBorders>
            <w:shd w:val="clear" w:color="auto" w:fill="FFFFFF"/>
            <w:noWrap/>
            <w:tcMar>
              <w:top w:w="15" w:type="dxa"/>
              <w:left w:w="15" w:type="dxa"/>
              <w:bottom w:w="0" w:type="dxa"/>
              <w:right w:w="15" w:type="dxa"/>
            </w:tcMar>
            <w:vAlign w:val="bottom"/>
          </w:tcPr>
          <w:p w14:paraId="797C6701"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003/2020</w:t>
            </w:r>
          </w:p>
        </w:tc>
        <w:tc>
          <w:tcPr>
            <w:tcW w:w="880" w:type="pct"/>
            <w:tcBorders>
              <w:bottom w:val="single" w:sz="8" w:space="0" w:color="000000"/>
            </w:tcBorders>
            <w:shd w:val="clear" w:color="auto" w:fill="FFFFFF"/>
            <w:noWrap/>
            <w:tcMar>
              <w:top w:w="15" w:type="dxa"/>
              <w:left w:w="15" w:type="dxa"/>
              <w:bottom w:w="0" w:type="dxa"/>
              <w:right w:w="15" w:type="dxa"/>
            </w:tcMar>
            <w:vAlign w:val="bottom"/>
          </w:tcPr>
          <w:p w14:paraId="34887E76" w14:textId="77777777" w:rsidR="00497DA1" w:rsidRPr="002E2B5B" w:rsidRDefault="00231782" w:rsidP="002E2B5B">
            <w:pPr>
              <w:jc w:val="center"/>
              <w:rPr>
                <w:rFonts w:ascii="Calibri" w:hAnsi="Calibri" w:cs="Calibri"/>
                <w:sz w:val="16"/>
                <w:szCs w:val="16"/>
              </w:rPr>
            </w:pPr>
            <w:r w:rsidRPr="002E2B5B">
              <w:rPr>
                <w:rFonts w:ascii="Calibri" w:hAnsi="Calibri" w:cs="Calibri"/>
                <w:sz w:val="16"/>
                <w:szCs w:val="16"/>
              </w:rPr>
              <w:t>1AADXS</w:t>
            </w:r>
          </w:p>
        </w:tc>
        <w:tc>
          <w:tcPr>
            <w:tcW w:w="1121" w:type="pct"/>
            <w:tcBorders>
              <w:bottom w:val="single" w:sz="8" w:space="0" w:color="000000"/>
            </w:tcBorders>
            <w:shd w:val="clear" w:color="auto" w:fill="FFFFFF"/>
            <w:noWrap/>
            <w:tcMar>
              <w:top w:w="15" w:type="dxa"/>
              <w:left w:w="15" w:type="dxa"/>
              <w:bottom w:w="0" w:type="dxa"/>
              <w:right w:w="15" w:type="dxa"/>
            </w:tcMar>
            <w:vAlign w:val="bottom"/>
          </w:tcPr>
          <w:p w14:paraId="73683A53"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UnB</w:t>
            </w:r>
          </w:p>
        </w:tc>
        <w:tc>
          <w:tcPr>
            <w:tcW w:w="981" w:type="pct"/>
            <w:tcBorders>
              <w:bottom w:val="single" w:sz="8" w:space="0" w:color="000000"/>
            </w:tcBorders>
            <w:shd w:val="clear" w:color="auto" w:fill="FFFFFF"/>
            <w:vAlign w:val="bottom"/>
          </w:tcPr>
          <w:p w14:paraId="00926A9B"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17.03.2022</w:t>
            </w:r>
          </w:p>
        </w:tc>
        <w:tc>
          <w:tcPr>
            <w:tcW w:w="980" w:type="pct"/>
            <w:tcBorders>
              <w:bottom w:val="single" w:sz="8" w:space="0" w:color="000000"/>
            </w:tcBorders>
            <w:shd w:val="clear" w:color="auto" w:fill="FFFFFF"/>
            <w:noWrap/>
            <w:tcMar>
              <w:top w:w="15" w:type="dxa"/>
              <w:left w:w="15" w:type="dxa"/>
              <w:bottom w:w="0" w:type="dxa"/>
              <w:right w:w="15" w:type="dxa"/>
            </w:tcMar>
            <w:vAlign w:val="bottom"/>
          </w:tcPr>
          <w:p w14:paraId="0C1077E1" w14:textId="50673711" w:rsidR="00497DA1" w:rsidRPr="002E2B5B" w:rsidRDefault="00AF1BAD" w:rsidP="002E2B5B">
            <w:pPr>
              <w:jc w:val="right"/>
              <w:rPr>
                <w:rFonts w:ascii="Calibri" w:hAnsi="Calibri" w:cs="Calibri"/>
                <w:sz w:val="16"/>
                <w:szCs w:val="16"/>
              </w:rPr>
            </w:pPr>
            <w:r>
              <w:rPr>
                <w:rFonts w:ascii="Calibri" w:hAnsi="Calibri" w:cs="Calibri"/>
                <w:sz w:val="16"/>
                <w:szCs w:val="16"/>
              </w:rPr>
              <w:t>300.000,00</w:t>
            </w:r>
          </w:p>
        </w:tc>
      </w:tr>
      <w:tr w:rsidR="00FF00FD" w:rsidRPr="002E2B5B" w14:paraId="1D27B4C9" w14:textId="77777777" w:rsidTr="00B23D01">
        <w:trPr>
          <w:trHeight w:hRule="exact" w:val="227"/>
        </w:trPr>
        <w:tc>
          <w:tcPr>
            <w:tcW w:w="1038" w:type="pct"/>
            <w:tcBorders>
              <w:top w:val="single" w:sz="8" w:space="0" w:color="000000"/>
              <w:bottom w:val="single" w:sz="8" w:space="0" w:color="000000"/>
            </w:tcBorders>
            <w:shd w:val="clear" w:color="auto" w:fill="FFFFFF"/>
            <w:noWrap/>
            <w:tcMar>
              <w:top w:w="15" w:type="dxa"/>
              <w:left w:w="15" w:type="dxa"/>
              <w:bottom w:w="0" w:type="dxa"/>
              <w:right w:w="15" w:type="dxa"/>
            </w:tcMar>
            <w:vAlign w:val="bottom"/>
          </w:tcPr>
          <w:p w14:paraId="4AEF6E62" w14:textId="097D547C" w:rsidR="00FF00FD" w:rsidRPr="002E2B5B" w:rsidRDefault="00FF00FD" w:rsidP="002E2B5B">
            <w:pPr>
              <w:jc w:val="center"/>
              <w:rPr>
                <w:rFonts w:ascii="Calibri" w:hAnsi="Calibri" w:cs="Calibri"/>
                <w:b/>
                <w:sz w:val="16"/>
                <w:szCs w:val="16"/>
              </w:rPr>
            </w:pPr>
            <w:r w:rsidRPr="002E2B5B">
              <w:rPr>
                <w:rFonts w:ascii="Calibri" w:hAnsi="Calibri" w:cs="Calibri"/>
                <w:b/>
                <w:sz w:val="16"/>
                <w:szCs w:val="16"/>
              </w:rPr>
              <w:t xml:space="preserve">TOTAL EM </w:t>
            </w:r>
            <w:r w:rsidR="00AF1BAD">
              <w:rPr>
                <w:rFonts w:ascii="Calibri" w:hAnsi="Calibri" w:cs="Calibri"/>
                <w:b/>
                <w:sz w:val="16"/>
                <w:szCs w:val="16"/>
              </w:rPr>
              <w:t>30/06</w:t>
            </w:r>
            <w:r w:rsidR="00DF4449">
              <w:rPr>
                <w:rFonts w:ascii="Calibri" w:hAnsi="Calibri" w:cs="Calibri"/>
                <w:b/>
                <w:sz w:val="16"/>
                <w:szCs w:val="16"/>
              </w:rPr>
              <w:t>/</w:t>
            </w:r>
            <w:r w:rsidRPr="002E2B5B">
              <w:rPr>
                <w:rFonts w:ascii="Calibri" w:hAnsi="Calibri" w:cs="Calibri"/>
                <w:b/>
                <w:sz w:val="16"/>
                <w:szCs w:val="16"/>
              </w:rPr>
              <w:t>202</w:t>
            </w:r>
            <w:r w:rsidR="00DF4449">
              <w:rPr>
                <w:rFonts w:ascii="Calibri" w:hAnsi="Calibri" w:cs="Calibri"/>
                <w:b/>
                <w:sz w:val="16"/>
                <w:szCs w:val="16"/>
              </w:rPr>
              <w:t>1</w:t>
            </w:r>
          </w:p>
        </w:tc>
        <w:tc>
          <w:tcPr>
            <w:tcW w:w="880" w:type="pct"/>
            <w:tcBorders>
              <w:top w:val="single" w:sz="8" w:space="0" w:color="000000"/>
              <w:bottom w:val="single" w:sz="8" w:space="0" w:color="000000"/>
            </w:tcBorders>
            <w:shd w:val="clear" w:color="auto" w:fill="FFFFFF"/>
            <w:noWrap/>
            <w:tcMar>
              <w:top w:w="15" w:type="dxa"/>
              <w:left w:w="15" w:type="dxa"/>
              <w:bottom w:w="0" w:type="dxa"/>
              <w:right w:w="15" w:type="dxa"/>
            </w:tcMar>
            <w:vAlign w:val="bottom"/>
          </w:tcPr>
          <w:p w14:paraId="5E6A84AF" w14:textId="77777777" w:rsidR="00FF00FD" w:rsidRPr="002E2B5B" w:rsidRDefault="00FF00FD" w:rsidP="002E2B5B">
            <w:pPr>
              <w:jc w:val="center"/>
              <w:rPr>
                <w:rFonts w:ascii="Calibri" w:hAnsi="Calibri" w:cs="Calibri"/>
                <w:b/>
                <w:sz w:val="16"/>
                <w:szCs w:val="16"/>
              </w:rPr>
            </w:pPr>
          </w:p>
        </w:tc>
        <w:tc>
          <w:tcPr>
            <w:tcW w:w="1121" w:type="pct"/>
            <w:tcBorders>
              <w:top w:val="single" w:sz="8" w:space="0" w:color="000000"/>
              <w:bottom w:val="single" w:sz="8" w:space="0" w:color="000000"/>
            </w:tcBorders>
            <w:shd w:val="clear" w:color="auto" w:fill="FFFFFF"/>
            <w:noWrap/>
            <w:tcMar>
              <w:top w:w="15" w:type="dxa"/>
              <w:left w:w="15" w:type="dxa"/>
              <w:bottom w:w="0" w:type="dxa"/>
              <w:right w:w="15" w:type="dxa"/>
            </w:tcMar>
            <w:vAlign w:val="bottom"/>
          </w:tcPr>
          <w:p w14:paraId="37711AAC" w14:textId="77777777" w:rsidR="00FF00FD" w:rsidRPr="002E2B5B" w:rsidRDefault="00FF00FD" w:rsidP="002E2B5B">
            <w:pPr>
              <w:jc w:val="center"/>
              <w:rPr>
                <w:rFonts w:ascii="Calibri" w:hAnsi="Calibri" w:cs="Calibri"/>
                <w:b/>
                <w:sz w:val="16"/>
                <w:szCs w:val="16"/>
              </w:rPr>
            </w:pPr>
          </w:p>
        </w:tc>
        <w:tc>
          <w:tcPr>
            <w:tcW w:w="981" w:type="pct"/>
            <w:tcBorders>
              <w:top w:val="single" w:sz="8" w:space="0" w:color="000000"/>
              <w:bottom w:val="single" w:sz="4" w:space="0" w:color="auto"/>
            </w:tcBorders>
            <w:shd w:val="clear" w:color="auto" w:fill="FFFFFF"/>
          </w:tcPr>
          <w:p w14:paraId="0918FDF2" w14:textId="77777777" w:rsidR="00FF00FD" w:rsidRPr="002E2B5B" w:rsidRDefault="00FF00FD" w:rsidP="002E2B5B">
            <w:pPr>
              <w:jc w:val="center"/>
              <w:rPr>
                <w:rFonts w:ascii="Calibri" w:hAnsi="Calibri" w:cs="Calibri"/>
                <w:b/>
                <w:sz w:val="16"/>
                <w:szCs w:val="16"/>
              </w:rPr>
            </w:pPr>
          </w:p>
        </w:tc>
        <w:tc>
          <w:tcPr>
            <w:tcW w:w="980" w:type="pct"/>
            <w:tcBorders>
              <w:top w:val="single" w:sz="8" w:space="0" w:color="000000"/>
              <w:bottom w:val="single" w:sz="4" w:space="0" w:color="auto"/>
            </w:tcBorders>
            <w:shd w:val="clear" w:color="auto" w:fill="FFFFFF"/>
            <w:noWrap/>
            <w:tcMar>
              <w:top w:w="15" w:type="dxa"/>
              <w:left w:w="15" w:type="dxa"/>
              <w:bottom w:w="0" w:type="dxa"/>
              <w:right w:w="15" w:type="dxa"/>
            </w:tcMar>
            <w:vAlign w:val="bottom"/>
          </w:tcPr>
          <w:p w14:paraId="1ED2EF01" w14:textId="132CC7C3" w:rsidR="00FF00FD" w:rsidRPr="002E2B5B" w:rsidRDefault="00AF1BAD" w:rsidP="002E2B5B">
            <w:pPr>
              <w:jc w:val="right"/>
              <w:rPr>
                <w:rFonts w:ascii="Calibri" w:hAnsi="Calibri" w:cs="Calibri"/>
                <w:b/>
                <w:sz w:val="16"/>
                <w:szCs w:val="16"/>
              </w:rPr>
            </w:pPr>
            <w:r>
              <w:rPr>
                <w:rFonts w:ascii="Calibri" w:hAnsi="Calibri" w:cs="Calibri"/>
                <w:b/>
                <w:sz w:val="16"/>
                <w:szCs w:val="16"/>
              </w:rPr>
              <w:t>5.371.948</w:t>
            </w:r>
          </w:p>
        </w:tc>
      </w:tr>
    </w:tbl>
    <w:p w14:paraId="174F3812" w14:textId="77777777" w:rsidR="00D918FB" w:rsidRPr="002E2B5B" w:rsidRDefault="00FF1438" w:rsidP="002E2B5B">
      <w:pPr>
        <w:jc w:val="both"/>
        <w:rPr>
          <w:rFonts w:ascii="Calibri" w:hAnsi="Calibri" w:cs="Calibri"/>
          <w:bCs/>
          <w:color w:val="FF0000"/>
          <w:sz w:val="22"/>
          <w:szCs w:val="22"/>
        </w:rPr>
      </w:pPr>
      <w:r w:rsidRPr="002E2B5B">
        <w:rPr>
          <w:rFonts w:ascii="Calibri" w:hAnsi="Calibri" w:cs="Calibri"/>
          <w:bCs/>
          <w:color w:val="FF0000"/>
          <w:sz w:val="22"/>
          <w:szCs w:val="22"/>
        </w:rPr>
        <w:t xml:space="preserve"> </w:t>
      </w:r>
    </w:p>
    <w:p w14:paraId="5526D517" w14:textId="24C34AB2" w:rsidR="00FF00FD" w:rsidRPr="00214011"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002/2013, celebrado entre a VALEC e a Universidade Federal do Recôncavo da Bahia - UFRB, cujo objeto é a prospecção e salvamento de fósseis e educação patrimonial na área de influência da Ferrovia de Integração Oeste-Leste (FIOL). </w:t>
      </w:r>
      <w:r w:rsidR="00790DCE">
        <w:rPr>
          <w:rFonts w:ascii="Calibri" w:hAnsi="Calibri" w:cs="Calibri"/>
          <w:color w:val="201F1E"/>
          <w:sz w:val="22"/>
          <w:szCs w:val="22"/>
        </w:rPr>
        <w:t xml:space="preserve">No 1º trimestre de 2021, houve a prestação </w:t>
      </w:r>
      <w:r w:rsidR="00790DCE" w:rsidRPr="00214011">
        <w:rPr>
          <w:rFonts w:ascii="Calibri" w:hAnsi="Calibri" w:cs="Calibri"/>
          <w:color w:val="201F1E"/>
          <w:sz w:val="22"/>
          <w:szCs w:val="22"/>
        </w:rPr>
        <w:t>de contas, no valor de R$ 570 mil. O TED foi devidamente</w:t>
      </w:r>
      <w:r w:rsidR="001E42E9" w:rsidRPr="00214011">
        <w:rPr>
          <w:rFonts w:ascii="Calibri" w:hAnsi="Calibri" w:cs="Calibri"/>
          <w:color w:val="201F1E"/>
          <w:sz w:val="22"/>
          <w:szCs w:val="22"/>
        </w:rPr>
        <w:t xml:space="preserve"> concluído</w:t>
      </w:r>
      <w:r w:rsidR="006912C4" w:rsidRPr="00214011">
        <w:rPr>
          <w:rFonts w:ascii="Calibri" w:hAnsi="Calibri" w:cs="Calibri"/>
          <w:color w:val="201F1E"/>
          <w:sz w:val="22"/>
          <w:szCs w:val="22"/>
        </w:rPr>
        <w:t>;</w:t>
      </w:r>
      <w:r w:rsidRPr="00214011">
        <w:rPr>
          <w:rFonts w:ascii="Calibri" w:hAnsi="Calibri" w:cs="Calibri"/>
          <w:color w:val="201F1E"/>
          <w:sz w:val="22"/>
          <w:szCs w:val="22"/>
        </w:rPr>
        <w:t> </w:t>
      </w:r>
    </w:p>
    <w:p w14:paraId="4DC9C94B" w14:textId="5732336E" w:rsidR="00FF00FD" w:rsidRPr="00214011"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14011">
        <w:rPr>
          <w:rFonts w:ascii="Calibri" w:hAnsi="Calibri" w:cs="Calibri"/>
          <w:color w:val="201F1E"/>
          <w:sz w:val="22"/>
          <w:szCs w:val="22"/>
        </w:rPr>
        <w:t>Termo de Execução Descentralizada n°. 003/2013, celebrado entre a VALEC e a CIA Brasileira de Trens Urbanos-CBTU, cujo objeto é o disciplinamento do uso compartilhado das áreas de uso comum voltadas à administração, segurança, controle e fiscalização do Edifício Renato Azevedo Feio, situado na praça Procópio Ferreira-RJ, bem como o rateio das correlatas despesas. Compartilha</w:t>
      </w:r>
      <w:r w:rsidR="00E70FA9" w:rsidRPr="00214011">
        <w:rPr>
          <w:rFonts w:ascii="Calibri" w:hAnsi="Calibri" w:cs="Calibri"/>
          <w:color w:val="201F1E"/>
          <w:sz w:val="22"/>
          <w:szCs w:val="22"/>
        </w:rPr>
        <w:t>m</w:t>
      </w:r>
      <w:r w:rsidRPr="00214011">
        <w:rPr>
          <w:rFonts w:ascii="Calibri" w:hAnsi="Calibri" w:cs="Calibri"/>
          <w:color w:val="201F1E"/>
          <w:sz w:val="22"/>
          <w:szCs w:val="22"/>
        </w:rPr>
        <w:t xml:space="preserve"> o uso das dependências os seguintes órgãos e entidades partícipes: Inventariança-RFFSA, CBTU, VALEC e AGU, que são representados, oportunamente, nas assembleias por servidores formalmente nomeados pelas respectivas direções. Com vigência até 28 de março de 2021</w:t>
      </w:r>
      <w:r w:rsidR="00214011" w:rsidRPr="00214011">
        <w:rPr>
          <w:rFonts w:ascii="Calibri" w:hAnsi="Calibri" w:cs="Calibri"/>
          <w:color w:val="201F1E"/>
          <w:sz w:val="22"/>
          <w:szCs w:val="22"/>
        </w:rPr>
        <w:t>, e prestação de contas em andamento;</w:t>
      </w:r>
    </w:p>
    <w:p w14:paraId="513C1857" w14:textId="1D748506"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14011">
        <w:rPr>
          <w:rFonts w:ascii="Calibri" w:hAnsi="Calibri" w:cs="Calibri"/>
          <w:color w:val="201F1E"/>
          <w:sz w:val="22"/>
          <w:szCs w:val="22"/>
        </w:rPr>
        <w:t>Termo de Execução Descentralizada n°. 001/2014, celebrado entre a VALEC e a Universidade</w:t>
      </w:r>
      <w:r w:rsidRPr="002E2B5B">
        <w:rPr>
          <w:rFonts w:ascii="Calibri" w:hAnsi="Calibri" w:cs="Calibri"/>
          <w:color w:val="201F1E"/>
          <w:sz w:val="22"/>
          <w:szCs w:val="22"/>
        </w:rPr>
        <w:t xml:space="preserve"> Federal do Rio Grande do Sul -UFRGS, cujo objeto é executar a avaliação mecânico metalúrgica de 242.490 (duzentos e quarenta e dois mil, quatrocentos e noventa) toneladas de trilhos ferroviários a serem adquiridos pela V</w:t>
      </w:r>
      <w:r w:rsidR="009705E6" w:rsidRPr="002E2B5B">
        <w:rPr>
          <w:rFonts w:ascii="Calibri" w:hAnsi="Calibri" w:cs="Calibri"/>
          <w:color w:val="201F1E"/>
          <w:sz w:val="22"/>
          <w:szCs w:val="22"/>
        </w:rPr>
        <w:t>ALEC</w:t>
      </w:r>
      <w:r w:rsidRPr="002E2B5B">
        <w:rPr>
          <w:rFonts w:ascii="Calibri" w:hAnsi="Calibri" w:cs="Calibri"/>
          <w:color w:val="201F1E"/>
          <w:sz w:val="22"/>
          <w:szCs w:val="22"/>
        </w:rPr>
        <w:t xml:space="preserve"> Engenharia, Construções e Ferrovias s.a. A VALEC requereu junto à Advocacia Geral da União, em dezembro de 2019, a instauração do procedimento conciliatório com a finalidade de dirimir a controvérsia com a Universidade do Rio Grande do Sul- UFRS, no que diz respeito à prestação de contas O processo de conciliação na Câmara de Conciliação e Arbitragem da Administração Federal – CCAF</w:t>
      </w:r>
      <w:r w:rsidR="001E42E9">
        <w:rPr>
          <w:rFonts w:ascii="Calibri" w:hAnsi="Calibri" w:cs="Calibri"/>
          <w:color w:val="201F1E"/>
          <w:sz w:val="22"/>
          <w:szCs w:val="22"/>
        </w:rPr>
        <w:t xml:space="preserve"> </w:t>
      </w:r>
      <w:r w:rsidR="00BB1EC8">
        <w:rPr>
          <w:rFonts w:ascii="Calibri" w:hAnsi="Calibri" w:cs="Calibri"/>
          <w:color w:val="201F1E"/>
          <w:sz w:val="22"/>
          <w:szCs w:val="22"/>
        </w:rPr>
        <w:t xml:space="preserve">foi concluído em </w:t>
      </w:r>
      <w:r w:rsidR="001E42E9">
        <w:rPr>
          <w:rFonts w:ascii="Calibri" w:hAnsi="Calibri" w:cs="Calibri"/>
          <w:color w:val="201F1E"/>
          <w:sz w:val="22"/>
          <w:szCs w:val="22"/>
        </w:rPr>
        <w:t>junho de 2021</w:t>
      </w:r>
      <w:r w:rsidR="006912C4" w:rsidRPr="002E2B5B">
        <w:rPr>
          <w:rFonts w:ascii="Calibri" w:hAnsi="Calibri" w:cs="Calibri"/>
          <w:color w:val="201F1E"/>
          <w:sz w:val="22"/>
          <w:szCs w:val="22"/>
        </w:rPr>
        <w:t>;</w:t>
      </w:r>
      <w:r w:rsidRPr="002E2B5B">
        <w:rPr>
          <w:rFonts w:ascii="Calibri" w:hAnsi="Calibri" w:cs="Calibri"/>
          <w:color w:val="201F1E"/>
          <w:sz w:val="22"/>
          <w:szCs w:val="22"/>
        </w:rPr>
        <w:t xml:space="preserve">  </w:t>
      </w:r>
    </w:p>
    <w:p w14:paraId="576C299D" w14:textId="51E46CE0"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002/2017, celebrado entre a VALEC e a Universidade Federal do Pará – UFPA, cujo objeto é mapear as competências institucionais e individuais da VALEC</w:t>
      </w:r>
      <w:r w:rsidR="00F04A10" w:rsidRPr="002E2B5B">
        <w:rPr>
          <w:rFonts w:ascii="Calibri" w:hAnsi="Calibri" w:cs="Calibri"/>
          <w:color w:val="201F1E"/>
          <w:sz w:val="22"/>
          <w:szCs w:val="22"/>
        </w:rPr>
        <w:t>,</w:t>
      </w:r>
      <w:r w:rsidRPr="002E2B5B">
        <w:rPr>
          <w:rFonts w:ascii="Calibri" w:hAnsi="Calibri" w:cs="Calibri"/>
          <w:color w:val="201F1E"/>
          <w:sz w:val="22"/>
          <w:szCs w:val="22"/>
        </w:rPr>
        <w:t xml:space="preserve"> com vistas a desenvolver as competências qualitativas e quantitativas no âmbito da perspectiva da gestão de pessoas, prevista no mapa estratégico institucional. Com vigência até 12 de dezembro de 2020, </w:t>
      </w:r>
      <w:r w:rsidR="001E42E9">
        <w:rPr>
          <w:rFonts w:ascii="Calibri" w:hAnsi="Calibri" w:cs="Calibri"/>
          <w:color w:val="201F1E"/>
          <w:sz w:val="22"/>
          <w:szCs w:val="22"/>
        </w:rPr>
        <w:t>o</w:t>
      </w:r>
      <w:r w:rsidRPr="002E2B5B">
        <w:rPr>
          <w:rFonts w:ascii="Calibri" w:hAnsi="Calibri" w:cs="Calibri"/>
          <w:color w:val="201F1E"/>
          <w:sz w:val="22"/>
          <w:szCs w:val="22"/>
        </w:rPr>
        <w:t xml:space="preserve"> processo de prestação de contas</w:t>
      </w:r>
      <w:r w:rsidR="001E42E9">
        <w:rPr>
          <w:rFonts w:ascii="Calibri" w:hAnsi="Calibri" w:cs="Calibri"/>
          <w:color w:val="201F1E"/>
          <w:sz w:val="22"/>
          <w:szCs w:val="22"/>
        </w:rPr>
        <w:t xml:space="preserve"> foi concluído em abril de 2021</w:t>
      </w:r>
      <w:r w:rsidR="006912C4" w:rsidRPr="002E2B5B">
        <w:rPr>
          <w:rFonts w:ascii="Calibri" w:hAnsi="Calibri" w:cs="Calibri"/>
          <w:color w:val="201F1E"/>
          <w:sz w:val="22"/>
          <w:szCs w:val="22"/>
        </w:rPr>
        <w:t>;</w:t>
      </w:r>
    </w:p>
    <w:p w14:paraId="6B854DE4" w14:textId="51BBB4CD" w:rsidR="00FF00FD" w:rsidRPr="00790DCE"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790DCE">
        <w:rPr>
          <w:rFonts w:ascii="Calibri" w:hAnsi="Calibri" w:cs="Calibri"/>
          <w:color w:val="201F1E"/>
          <w:sz w:val="22"/>
          <w:szCs w:val="22"/>
        </w:rPr>
        <w:t>Termo de Execução Descentralizada n°. 001/2019, celebrado entre a VALEC e Superintendência Regional Administrativa do Ministério da Economia</w:t>
      </w:r>
      <w:r w:rsidR="00951F84">
        <w:rPr>
          <w:rFonts w:ascii="Calibri" w:hAnsi="Calibri" w:cs="Calibri"/>
          <w:color w:val="201F1E"/>
          <w:sz w:val="22"/>
          <w:szCs w:val="22"/>
        </w:rPr>
        <w:t xml:space="preserve"> </w:t>
      </w:r>
      <w:r w:rsidRPr="00790DCE">
        <w:rPr>
          <w:rFonts w:ascii="Calibri" w:hAnsi="Calibri" w:cs="Calibri"/>
          <w:color w:val="201F1E"/>
          <w:sz w:val="22"/>
          <w:szCs w:val="22"/>
        </w:rPr>
        <w:t>-</w:t>
      </w:r>
      <w:r w:rsidR="00951F84">
        <w:rPr>
          <w:rFonts w:ascii="Calibri" w:hAnsi="Calibri" w:cs="Calibri"/>
          <w:color w:val="201F1E"/>
          <w:sz w:val="22"/>
          <w:szCs w:val="22"/>
        </w:rPr>
        <w:t xml:space="preserve"> </w:t>
      </w:r>
      <w:r w:rsidRPr="00790DCE">
        <w:rPr>
          <w:rFonts w:ascii="Calibri" w:hAnsi="Calibri" w:cs="Calibri"/>
          <w:color w:val="201F1E"/>
          <w:sz w:val="22"/>
          <w:szCs w:val="22"/>
        </w:rPr>
        <w:t xml:space="preserve">Rio de Janeiro, cujo objeto é rateio de despesas administrativas relativas </w:t>
      </w:r>
      <w:r w:rsidR="00731BB6" w:rsidRPr="00790DCE">
        <w:rPr>
          <w:rFonts w:ascii="Calibri" w:hAnsi="Calibri" w:cs="Calibri"/>
          <w:color w:val="201F1E"/>
          <w:sz w:val="22"/>
          <w:szCs w:val="22"/>
        </w:rPr>
        <w:t>à</w:t>
      </w:r>
      <w:r w:rsidRPr="00790DCE">
        <w:rPr>
          <w:rFonts w:ascii="Calibri" w:hAnsi="Calibri" w:cs="Calibri"/>
          <w:color w:val="201F1E"/>
          <w:sz w:val="22"/>
          <w:szCs w:val="22"/>
        </w:rPr>
        <w:t xml:space="preserve"> área ocupada pela V</w:t>
      </w:r>
      <w:r w:rsidR="009705E6" w:rsidRPr="00790DCE">
        <w:rPr>
          <w:rFonts w:ascii="Calibri" w:hAnsi="Calibri" w:cs="Calibri"/>
          <w:color w:val="201F1E"/>
          <w:sz w:val="22"/>
          <w:szCs w:val="22"/>
        </w:rPr>
        <w:t>ALEC</w:t>
      </w:r>
      <w:r w:rsidRPr="00790DCE">
        <w:rPr>
          <w:rFonts w:ascii="Calibri" w:hAnsi="Calibri" w:cs="Calibri"/>
          <w:color w:val="201F1E"/>
          <w:sz w:val="22"/>
          <w:szCs w:val="22"/>
        </w:rPr>
        <w:t xml:space="preserve"> situada a sala 1.112 do Palácio da Fazenda/RJ, bem como ajustar forma de ressarcimento ao Ministério da Economia das despesas proporcionais correspondentes a área ocupada. Com vigência até 09 de dezembro de 2020, </w:t>
      </w:r>
      <w:r w:rsidR="001E42E9">
        <w:rPr>
          <w:rFonts w:ascii="Calibri" w:hAnsi="Calibri" w:cs="Calibri"/>
          <w:color w:val="201F1E"/>
          <w:sz w:val="22"/>
          <w:szCs w:val="22"/>
        </w:rPr>
        <w:t>a</w:t>
      </w:r>
      <w:r w:rsidRPr="00790DCE">
        <w:rPr>
          <w:rFonts w:ascii="Calibri" w:hAnsi="Calibri" w:cs="Calibri"/>
          <w:color w:val="201F1E"/>
          <w:sz w:val="22"/>
          <w:szCs w:val="22"/>
        </w:rPr>
        <w:t xml:space="preserve"> prestação de contas</w:t>
      </w:r>
      <w:r w:rsidR="001E42E9">
        <w:rPr>
          <w:rFonts w:ascii="Calibri" w:hAnsi="Calibri" w:cs="Calibri"/>
          <w:color w:val="201F1E"/>
          <w:sz w:val="22"/>
          <w:szCs w:val="22"/>
        </w:rPr>
        <w:t xml:space="preserve"> foi concluída em abril de 2021</w:t>
      </w:r>
      <w:r w:rsidR="006912C4" w:rsidRPr="00790DCE">
        <w:rPr>
          <w:rFonts w:ascii="Calibri" w:hAnsi="Calibri" w:cs="Calibri"/>
          <w:color w:val="201F1E"/>
          <w:sz w:val="22"/>
          <w:szCs w:val="22"/>
        </w:rPr>
        <w:t>;</w:t>
      </w:r>
    </w:p>
    <w:p w14:paraId="740A0635" w14:textId="02BB1E3D"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001/2020 celebrado entre a V</w:t>
      </w:r>
      <w:r w:rsidR="009705E6" w:rsidRPr="002E2B5B">
        <w:rPr>
          <w:rFonts w:ascii="Calibri" w:hAnsi="Calibri" w:cs="Calibri"/>
          <w:color w:val="201F1E"/>
          <w:sz w:val="22"/>
          <w:szCs w:val="22"/>
        </w:rPr>
        <w:t>ALEC</w:t>
      </w:r>
      <w:r w:rsidRPr="002E2B5B">
        <w:rPr>
          <w:rFonts w:ascii="Calibri" w:hAnsi="Calibri" w:cs="Calibri"/>
          <w:color w:val="201F1E"/>
          <w:sz w:val="22"/>
          <w:szCs w:val="22"/>
        </w:rPr>
        <w:t xml:space="preserve"> e o Exército Brasileiro, cujo objeto é a execução de obras remanescentes do </w:t>
      </w:r>
      <w:proofErr w:type="spellStart"/>
      <w:r w:rsidRPr="002E2B5B">
        <w:rPr>
          <w:rFonts w:ascii="Calibri" w:hAnsi="Calibri" w:cs="Calibri"/>
          <w:color w:val="201F1E"/>
          <w:sz w:val="22"/>
          <w:szCs w:val="22"/>
        </w:rPr>
        <w:t>sub-trecho</w:t>
      </w:r>
      <w:proofErr w:type="spellEnd"/>
      <w:r w:rsidRPr="002E2B5B">
        <w:rPr>
          <w:rFonts w:ascii="Calibri" w:hAnsi="Calibri" w:cs="Calibri"/>
          <w:color w:val="201F1E"/>
          <w:sz w:val="22"/>
          <w:szCs w:val="22"/>
        </w:rPr>
        <w:t xml:space="preserve"> da Ferrovia de Integração Oeste Leste - FIOL, compreendido entre Ilhéus/BA a Barreiras/BA </w:t>
      </w:r>
      <w:proofErr w:type="spellStart"/>
      <w:r w:rsidRPr="002E2B5B">
        <w:rPr>
          <w:rFonts w:ascii="Calibri" w:hAnsi="Calibri" w:cs="Calibri"/>
          <w:color w:val="201F1E"/>
          <w:sz w:val="22"/>
          <w:szCs w:val="22"/>
        </w:rPr>
        <w:t>sub-trecho</w:t>
      </w:r>
      <w:proofErr w:type="spellEnd"/>
      <w:r w:rsidRPr="002E2B5B">
        <w:rPr>
          <w:rFonts w:ascii="Calibri" w:hAnsi="Calibri" w:cs="Calibri"/>
          <w:color w:val="201F1E"/>
          <w:sz w:val="22"/>
          <w:szCs w:val="22"/>
        </w:rPr>
        <w:t xml:space="preserve"> Caetité/BA e Barreiras-BA, referente ao lote 06f - até o início da ponte sobre o rio São Francisco, numa extensão de 18,34km. Com vigência até 08 de setembro de 2023</w:t>
      </w:r>
      <w:r w:rsidR="006912C4" w:rsidRPr="002E2B5B">
        <w:rPr>
          <w:rFonts w:ascii="Calibri" w:hAnsi="Calibri" w:cs="Calibri"/>
          <w:color w:val="201F1E"/>
          <w:sz w:val="22"/>
          <w:szCs w:val="22"/>
        </w:rPr>
        <w:t>;</w:t>
      </w:r>
    </w:p>
    <w:p w14:paraId="3F9D0C20" w14:textId="6A9E1E03"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lastRenderedPageBreak/>
        <w:t>Termo de Execução Descentralizada n°. 002/2020, celebrado entre a VALEC e a Universidade de Brasília, cujo objeto é a avaliação de metodologias desenvolvidas pela VALEC por meio das Notas técnicas Nº 57/2019 (Metodologia de Ensaio de Deformação Permanente do Lastro do Lote 5S da Ferrovia Norte Sul Extensão Sul) e Nº58/2019 (Metodologia de Ensaio de Deformação Permanente do Lastro do Lote 4S da Ferrovia Norte Sul Extensão Sul), bem como, estudar e compreender a vida útil de britas de lastros por meio de ensaios e por avaliações mediante métodos numéricos avançados. Com vigência até 22 de dezembro de 2021</w:t>
      </w:r>
      <w:r w:rsidR="006912C4" w:rsidRPr="002E2B5B">
        <w:rPr>
          <w:rFonts w:ascii="Calibri" w:hAnsi="Calibri" w:cs="Calibri"/>
          <w:color w:val="201F1E"/>
          <w:sz w:val="22"/>
          <w:szCs w:val="22"/>
        </w:rPr>
        <w:t>; e</w:t>
      </w:r>
    </w:p>
    <w:p w14:paraId="038D1693" w14:textId="0B1BF84D" w:rsidR="00374FB9" w:rsidRDefault="00FF00FD" w:rsidP="002E2B5B">
      <w:pPr>
        <w:pStyle w:val="PargrafodaLista"/>
        <w:widowControl w:val="0"/>
        <w:numPr>
          <w:ilvl w:val="0"/>
          <w:numId w:val="33"/>
        </w:numPr>
        <w:tabs>
          <w:tab w:val="left" w:pos="709"/>
        </w:tabs>
        <w:spacing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003/2020, celebrado entre a VALEC e a Universidade de Brasília, cujo objeto é o desenvolvimento do modelo mental BIM de forma que os profissionais e pessoas fiquem preparadas para trabalharem de maneira integrada junto com tecnologias GIS, onde todos interagem ao mesmo tempo, conectados, com a possibilidade de falar com qualquer membro da equipe quando necessário, trocando informações e compartilhando de forma ostensiva informações, com o desenvolvimento de novas metodologias de integração de softwares. Com vigência até 17 de março de 2022.</w:t>
      </w:r>
    </w:p>
    <w:p w14:paraId="4B11500E" w14:textId="77777777" w:rsidR="00790DCE" w:rsidRPr="002E2B5B" w:rsidRDefault="00790DCE" w:rsidP="00790DCE">
      <w:pPr>
        <w:pStyle w:val="PargrafodaLista"/>
        <w:widowControl w:val="0"/>
        <w:tabs>
          <w:tab w:val="left" w:pos="709"/>
        </w:tabs>
        <w:spacing w:line="276" w:lineRule="auto"/>
        <w:ind w:left="714"/>
        <w:jc w:val="both"/>
        <w:rPr>
          <w:rFonts w:ascii="Calibri" w:hAnsi="Calibri" w:cs="Calibri"/>
          <w:color w:val="201F1E"/>
          <w:sz w:val="22"/>
          <w:szCs w:val="22"/>
        </w:rPr>
      </w:pPr>
    </w:p>
    <w:p w14:paraId="3D965338" w14:textId="7F4EAE99" w:rsidR="00F30406" w:rsidRPr="002E2B5B" w:rsidRDefault="002339ED" w:rsidP="002E2B5B">
      <w:pPr>
        <w:jc w:val="both"/>
        <w:rPr>
          <w:rFonts w:ascii="Calibri" w:hAnsi="Calibri" w:cs="Calibri"/>
          <w:b/>
          <w:sz w:val="22"/>
          <w:szCs w:val="22"/>
        </w:rPr>
      </w:pPr>
      <w:r w:rsidRPr="002E2B5B">
        <w:rPr>
          <w:rFonts w:ascii="Calibri" w:hAnsi="Calibri" w:cs="Calibri"/>
          <w:b/>
          <w:sz w:val="22"/>
          <w:szCs w:val="22"/>
        </w:rPr>
        <w:t>c</w:t>
      </w:r>
      <w:r w:rsidR="0002316D" w:rsidRPr="002E2B5B">
        <w:rPr>
          <w:rFonts w:ascii="Calibri" w:hAnsi="Calibri" w:cs="Calibri"/>
          <w:b/>
          <w:sz w:val="22"/>
          <w:szCs w:val="22"/>
        </w:rPr>
        <w:t>.2</w:t>
      </w:r>
      <w:r w:rsidR="005D27D4" w:rsidRPr="002E2B5B">
        <w:rPr>
          <w:rFonts w:ascii="Calibri" w:hAnsi="Calibri" w:cs="Calibri"/>
          <w:b/>
          <w:sz w:val="22"/>
          <w:szCs w:val="22"/>
        </w:rPr>
        <w:t>)</w:t>
      </w:r>
      <w:r w:rsidR="005D27D4" w:rsidRPr="002E2B5B">
        <w:rPr>
          <w:rFonts w:ascii="Calibri" w:hAnsi="Calibri" w:cs="Calibri"/>
          <w:sz w:val="22"/>
          <w:szCs w:val="22"/>
        </w:rPr>
        <w:t xml:space="preserve"> </w:t>
      </w:r>
      <w:r w:rsidR="005D27D4" w:rsidRPr="002E2B5B">
        <w:rPr>
          <w:rFonts w:ascii="Calibri" w:hAnsi="Calibri" w:cs="Calibri"/>
          <w:b/>
          <w:sz w:val="22"/>
          <w:szCs w:val="22"/>
        </w:rPr>
        <w:t xml:space="preserve">Créditos </w:t>
      </w:r>
      <w:r w:rsidR="0002316D" w:rsidRPr="002E2B5B">
        <w:rPr>
          <w:rFonts w:ascii="Calibri" w:hAnsi="Calibri" w:cs="Calibri"/>
          <w:b/>
          <w:sz w:val="22"/>
          <w:szCs w:val="22"/>
        </w:rPr>
        <w:t>a Receber</w:t>
      </w:r>
    </w:p>
    <w:p w14:paraId="098F9600" w14:textId="74D4F8C7" w:rsidR="00BF485B" w:rsidRPr="002E2B5B" w:rsidRDefault="00F30406" w:rsidP="002E2B5B">
      <w:pPr>
        <w:jc w:val="both"/>
        <w:rPr>
          <w:rFonts w:ascii="Calibri" w:hAnsi="Calibri" w:cs="Calibri"/>
          <w:sz w:val="22"/>
          <w:szCs w:val="22"/>
        </w:rPr>
      </w:pPr>
      <w:bookmarkStart w:id="0" w:name="_Hlk34327011"/>
      <w:r w:rsidRPr="002E2B5B">
        <w:rPr>
          <w:rFonts w:ascii="Calibri" w:hAnsi="Calibri" w:cs="Calibri"/>
          <w:sz w:val="22"/>
          <w:szCs w:val="22"/>
        </w:rPr>
        <w:t>Os créditos a receber referem-se à</w:t>
      </w:r>
      <w:r w:rsidR="00DD5B67" w:rsidRPr="002E2B5B">
        <w:rPr>
          <w:rFonts w:ascii="Calibri" w:hAnsi="Calibri" w:cs="Calibri"/>
          <w:sz w:val="22"/>
          <w:szCs w:val="22"/>
        </w:rPr>
        <w:t>s multas compensatórias previstas em contratos, as quais a V</w:t>
      </w:r>
      <w:r w:rsidR="00920ED9" w:rsidRPr="002E2B5B">
        <w:rPr>
          <w:rFonts w:ascii="Calibri" w:hAnsi="Calibri" w:cs="Calibri"/>
          <w:sz w:val="22"/>
          <w:szCs w:val="22"/>
        </w:rPr>
        <w:t>ALEC</w:t>
      </w:r>
      <w:r w:rsidR="00DD5B67" w:rsidRPr="002E2B5B">
        <w:rPr>
          <w:rFonts w:ascii="Calibri" w:hAnsi="Calibri" w:cs="Calibri"/>
          <w:sz w:val="22"/>
          <w:szCs w:val="22"/>
        </w:rPr>
        <w:t xml:space="preserve"> aplicou a contratos de fornecedores e que estão sendo cobradas por meio </w:t>
      </w:r>
      <w:r w:rsidRPr="002E2B5B">
        <w:rPr>
          <w:rFonts w:ascii="Calibri" w:hAnsi="Calibri" w:cs="Calibri"/>
          <w:sz w:val="22"/>
          <w:szCs w:val="22"/>
        </w:rPr>
        <w:t>de processos administrativos,</w:t>
      </w:r>
      <w:r w:rsidR="00475112" w:rsidRPr="002E2B5B">
        <w:rPr>
          <w:rFonts w:ascii="Calibri" w:hAnsi="Calibri" w:cs="Calibri"/>
          <w:sz w:val="22"/>
          <w:szCs w:val="22"/>
        </w:rPr>
        <w:t xml:space="preserve"> em decisões </w:t>
      </w:r>
      <w:r w:rsidR="001743C1" w:rsidRPr="002E2B5B">
        <w:rPr>
          <w:rFonts w:ascii="Calibri" w:hAnsi="Calibri" w:cs="Calibri"/>
          <w:sz w:val="22"/>
          <w:szCs w:val="22"/>
        </w:rPr>
        <w:t>originárias</w:t>
      </w:r>
      <w:r w:rsidR="00475112" w:rsidRPr="002E2B5B">
        <w:rPr>
          <w:rFonts w:ascii="Calibri" w:hAnsi="Calibri" w:cs="Calibri"/>
          <w:sz w:val="22"/>
          <w:szCs w:val="22"/>
        </w:rPr>
        <w:t xml:space="preserve"> das Diretoria</w:t>
      </w:r>
      <w:bookmarkEnd w:id="0"/>
      <w:r w:rsidR="00024A86" w:rsidRPr="002E2B5B">
        <w:rPr>
          <w:rFonts w:ascii="Calibri" w:hAnsi="Calibri" w:cs="Calibri"/>
          <w:sz w:val="22"/>
          <w:szCs w:val="22"/>
        </w:rPr>
        <w:t>.</w:t>
      </w:r>
    </w:p>
    <w:tbl>
      <w:tblPr>
        <w:tblW w:w="5140" w:type="pct"/>
        <w:tblCellMar>
          <w:left w:w="70" w:type="dxa"/>
          <w:right w:w="70" w:type="dxa"/>
        </w:tblCellMar>
        <w:tblLook w:val="04A0" w:firstRow="1" w:lastRow="0" w:firstColumn="1" w:lastColumn="0" w:noHBand="0" w:noVBand="1"/>
      </w:tblPr>
      <w:tblGrid>
        <w:gridCol w:w="4452"/>
        <w:gridCol w:w="773"/>
        <w:gridCol w:w="183"/>
        <w:gridCol w:w="325"/>
        <w:gridCol w:w="1463"/>
        <w:gridCol w:w="2081"/>
        <w:gridCol w:w="224"/>
        <w:gridCol w:w="1039"/>
        <w:gridCol w:w="220"/>
      </w:tblGrid>
      <w:tr w:rsidR="005D27D4" w:rsidRPr="00C34E8D" w14:paraId="355B2A1A" w14:textId="77777777" w:rsidTr="00B23D01">
        <w:trPr>
          <w:gridAfter w:val="1"/>
          <w:wAfter w:w="102" w:type="pct"/>
          <w:trHeight w:hRule="exact" w:val="227"/>
        </w:trPr>
        <w:tc>
          <w:tcPr>
            <w:tcW w:w="2069" w:type="pct"/>
            <w:tcBorders>
              <w:top w:val="nil"/>
              <w:left w:val="nil"/>
              <w:bottom w:val="single" w:sz="4" w:space="0" w:color="auto"/>
              <w:right w:val="nil"/>
            </w:tcBorders>
            <w:shd w:val="clear" w:color="auto" w:fill="auto"/>
            <w:noWrap/>
            <w:vAlign w:val="bottom"/>
            <w:hideMark/>
          </w:tcPr>
          <w:p w14:paraId="5CFFC5BA" w14:textId="77777777" w:rsidR="005D27D4" w:rsidRPr="00C34E8D" w:rsidRDefault="005D27D4" w:rsidP="002E2B5B">
            <w:pPr>
              <w:rPr>
                <w:rFonts w:ascii="Calibri" w:hAnsi="Calibri" w:cs="Calibri"/>
                <w:b/>
                <w:bCs/>
                <w:sz w:val="16"/>
                <w:szCs w:val="16"/>
              </w:rPr>
            </w:pPr>
            <w:r w:rsidRPr="00C34E8D">
              <w:rPr>
                <w:rFonts w:ascii="Calibri" w:hAnsi="Calibri" w:cs="Calibri"/>
                <w:b/>
                <w:bCs/>
                <w:sz w:val="16"/>
                <w:szCs w:val="16"/>
              </w:rPr>
              <w:t>OUTROS CRÉDITOS A RECEBER</w:t>
            </w:r>
          </w:p>
        </w:tc>
        <w:tc>
          <w:tcPr>
            <w:tcW w:w="359" w:type="pct"/>
            <w:tcBorders>
              <w:top w:val="nil"/>
              <w:left w:val="nil"/>
              <w:bottom w:val="single" w:sz="4" w:space="0" w:color="auto"/>
              <w:right w:val="nil"/>
            </w:tcBorders>
            <w:shd w:val="clear" w:color="auto" w:fill="auto"/>
            <w:noWrap/>
            <w:vAlign w:val="bottom"/>
            <w:hideMark/>
          </w:tcPr>
          <w:p w14:paraId="5B5156FF" w14:textId="77777777" w:rsidR="005D27D4" w:rsidRPr="00C34E8D" w:rsidRDefault="005D27D4" w:rsidP="002E2B5B">
            <w:pPr>
              <w:jc w:val="center"/>
              <w:rPr>
                <w:rFonts w:ascii="Calibri" w:hAnsi="Calibri" w:cs="Calibri"/>
                <w:b/>
                <w:bCs/>
                <w:sz w:val="16"/>
                <w:szCs w:val="16"/>
              </w:rPr>
            </w:pPr>
          </w:p>
        </w:tc>
        <w:tc>
          <w:tcPr>
            <w:tcW w:w="85" w:type="pct"/>
            <w:tcBorders>
              <w:top w:val="nil"/>
              <w:left w:val="nil"/>
              <w:bottom w:val="single" w:sz="4" w:space="0" w:color="auto"/>
              <w:right w:val="nil"/>
            </w:tcBorders>
            <w:shd w:val="clear" w:color="auto" w:fill="auto"/>
            <w:noWrap/>
            <w:vAlign w:val="bottom"/>
            <w:hideMark/>
          </w:tcPr>
          <w:p w14:paraId="5A835A17" w14:textId="77777777" w:rsidR="005D27D4" w:rsidRPr="00C34E8D" w:rsidRDefault="005D27D4" w:rsidP="002E2B5B">
            <w:pPr>
              <w:jc w:val="center"/>
              <w:rPr>
                <w:rFonts w:ascii="Calibri" w:hAnsi="Calibri" w:cs="Calibri"/>
                <w:b/>
                <w:bCs/>
                <w:sz w:val="16"/>
                <w:szCs w:val="16"/>
              </w:rPr>
            </w:pPr>
          </w:p>
        </w:tc>
        <w:tc>
          <w:tcPr>
            <w:tcW w:w="151" w:type="pct"/>
            <w:tcBorders>
              <w:top w:val="nil"/>
              <w:left w:val="nil"/>
              <w:bottom w:val="single" w:sz="4" w:space="0" w:color="auto"/>
              <w:right w:val="nil"/>
            </w:tcBorders>
          </w:tcPr>
          <w:p w14:paraId="7C23FBF1" w14:textId="77777777" w:rsidR="005D27D4" w:rsidRPr="00C34E8D" w:rsidRDefault="005D27D4" w:rsidP="002E2B5B">
            <w:pPr>
              <w:jc w:val="right"/>
              <w:rPr>
                <w:rFonts w:ascii="Calibri" w:hAnsi="Calibri" w:cs="Calibri"/>
                <w:b/>
                <w:bCs/>
                <w:sz w:val="16"/>
                <w:szCs w:val="16"/>
              </w:rPr>
            </w:pPr>
          </w:p>
        </w:tc>
        <w:tc>
          <w:tcPr>
            <w:tcW w:w="680" w:type="pct"/>
            <w:tcBorders>
              <w:top w:val="nil"/>
              <w:left w:val="nil"/>
              <w:bottom w:val="single" w:sz="4" w:space="0" w:color="auto"/>
              <w:right w:val="nil"/>
            </w:tcBorders>
            <w:shd w:val="clear" w:color="auto" w:fill="auto"/>
            <w:noWrap/>
            <w:vAlign w:val="bottom"/>
          </w:tcPr>
          <w:p w14:paraId="0B8559B8" w14:textId="77777777" w:rsidR="005D27D4" w:rsidRPr="00C34E8D" w:rsidRDefault="005D27D4" w:rsidP="002E2B5B">
            <w:pPr>
              <w:jc w:val="right"/>
              <w:rPr>
                <w:rFonts w:ascii="Calibri" w:hAnsi="Calibri" w:cs="Calibri"/>
                <w:b/>
                <w:bCs/>
                <w:sz w:val="16"/>
                <w:szCs w:val="16"/>
              </w:rPr>
            </w:pPr>
            <w:r w:rsidRPr="00C34E8D">
              <w:rPr>
                <w:rFonts w:ascii="Calibri" w:hAnsi="Calibri" w:cs="Calibri"/>
                <w:b/>
                <w:bCs/>
                <w:sz w:val="16"/>
                <w:szCs w:val="16"/>
              </w:rPr>
              <w:t>CONTRATO</w:t>
            </w:r>
          </w:p>
        </w:tc>
        <w:tc>
          <w:tcPr>
            <w:tcW w:w="967" w:type="pct"/>
            <w:tcBorders>
              <w:top w:val="nil"/>
              <w:left w:val="nil"/>
              <w:bottom w:val="single" w:sz="4" w:space="0" w:color="auto"/>
              <w:right w:val="nil"/>
            </w:tcBorders>
          </w:tcPr>
          <w:p w14:paraId="547FA332" w14:textId="77777777" w:rsidR="00B23D01" w:rsidRPr="00C34E8D" w:rsidRDefault="00B23D01" w:rsidP="002E2B5B">
            <w:pPr>
              <w:jc w:val="center"/>
              <w:rPr>
                <w:rFonts w:ascii="Calibri" w:hAnsi="Calibri" w:cs="Calibri"/>
                <w:b/>
                <w:bCs/>
                <w:sz w:val="16"/>
                <w:szCs w:val="16"/>
              </w:rPr>
            </w:pPr>
          </w:p>
          <w:p w14:paraId="15CFA36A" w14:textId="7FBB6E33" w:rsidR="005D27D4" w:rsidRPr="00C34E8D" w:rsidRDefault="005D27D4" w:rsidP="002E2B5B">
            <w:pPr>
              <w:jc w:val="center"/>
              <w:rPr>
                <w:rFonts w:ascii="Calibri" w:hAnsi="Calibri" w:cs="Calibri"/>
                <w:b/>
                <w:bCs/>
                <w:sz w:val="16"/>
                <w:szCs w:val="16"/>
              </w:rPr>
            </w:pPr>
            <w:r w:rsidRPr="00C34E8D">
              <w:rPr>
                <w:rFonts w:ascii="Calibri" w:hAnsi="Calibri" w:cs="Calibri"/>
                <w:b/>
                <w:bCs/>
                <w:sz w:val="16"/>
                <w:szCs w:val="16"/>
              </w:rPr>
              <w:t>PROCESSO ADMINISTRATIVO</w:t>
            </w:r>
          </w:p>
        </w:tc>
        <w:tc>
          <w:tcPr>
            <w:tcW w:w="104" w:type="pct"/>
            <w:tcBorders>
              <w:top w:val="nil"/>
              <w:left w:val="nil"/>
              <w:bottom w:val="single" w:sz="4" w:space="0" w:color="auto"/>
              <w:right w:val="nil"/>
            </w:tcBorders>
            <w:shd w:val="clear" w:color="auto" w:fill="auto"/>
            <w:noWrap/>
            <w:vAlign w:val="bottom"/>
            <w:hideMark/>
          </w:tcPr>
          <w:p w14:paraId="59BCDC7E" w14:textId="77777777" w:rsidR="005D27D4" w:rsidRPr="00C34E8D" w:rsidRDefault="005D27D4" w:rsidP="002E2B5B">
            <w:pPr>
              <w:jc w:val="center"/>
              <w:rPr>
                <w:rFonts w:ascii="Calibri" w:hAnsi="Calibri" w:cs="Calibri"/>
                <w:b/>
                <w:bCs/>
                <w:sz w:val="16"/>
                <w:szCs w:val="16"/>
              </w:rPr>
            </w:pPr>
          </w:p>
        </w:tc>
        <w:tc>
          <w:tcPr>
            <w:tcW w:w="483" w:type="pct"/>
            <w:tcBorders>
              <w:top w:val="nil"/>
              <w:left w:val="nil"/>
              <w:bottom w:val="single" w:sz="4" w:space="0" w:color="auto"/>
              <w:right w:val="nil"/>
            </w:tcBorders>
            <w:shd w:val="clear" w:color="auto" w:fill="auto"/>
            <w:noWrap/>
            <w:vAlign w:val="bottom"/>
            <w:hideMark/>
          </w:tcPr>
          <w:p w14:paraId="3D63B673" w14:textId="77777777" w:rsidR="005D27D4" w:rsidRPr="00C34E8D" w:rsidRDefault="005D27D4" w:rsidP="002E2B5B">
            <w:pPr>
              <w:jc w:val="right"/>
              <w:rPr>
                <w:rFonts w:ascii="Calibri" w:hAnsi="Calibri" w:cs="Calibri"/>
                <w:b/>
                <w:bCs/>
                <w:sz w:val="16"/>
                <w:szCs w:val="16"/>
              </w:rPr>
            </w:pPr>
            <w:r w:rsidRPr="00C34E8D">
              <w:rPr>
                <w:rFonts w:ascii="Calibri" w:hAnsi="Calibri" w:cs="Calibri"/>
                <w:b/>
                <w:bCs/>
                <w:sz w:val="16"/>
                <w:szCs w:val="16"/>
              </w:rPr>
              <w:t>VALOR</w:t>
            </w:r>
          </w:p>
        </w:tc>
      </w:tr>
      <w:tr w:rsidR="00913899" w:rsidRPr="00C34E8D" w14:paraId="39DC4BFF" w14:textId="77777777" w:rsidTr="00B23D01">
        <w:trPr>
          <w:trHeight w:hRule="exact" w:val="227"/>
        </w:trPr>
        <w:tc>
          <w:tcPr>
            <w:tcW w:w="2069" w:type="pct"/>
            <w:tcBorders>
              <w:top w:val="single" w:sz="4" w:space="0" w:color="auto"/>
              <w:left w:val="nil"/>
              <w:right w:val="nil"/>
            </w:tcBorders>
            <w:shd w:val="clear" w:color="auto" w:fill="auto"/>
            <w:noWrap/>
            <w:vAlign w:val="center"/>
          </w:tcPr>
          <w:p w14:paraId="056AF680" w14:textId="77777777" w:rsidR="00913899" w:rsidRPr="00C34E8D" w:rsidRDefault="00913899" w:rsidP="002E2B5B">
            <w:pPr>
              <w:rPr>
                <w:rFonts w:ascii="Calibri" w:hAnsi="Calibri" w:cs="Calibri"/>
                <w:b/>
                <w:sz w:val="16"/>
                <w:szCs w:val="16"/>
              </w:rPr>
            </w:pPr>
            <w:r w:rsidRPr="00C34E8D">
              <w:rPr>
                <w:rFonts w:ascii="Calibri" w:hAnsi="Calibri" w:cs="Calibri"/>
                <w:b/>
                <w:sz w:val="16"/>
                <w:szCs w:val="16"/>
              </w:rPr>
              <w:t xml:space="preserve">Multas Compensatórias </w:t>
            </w:r>
          </w:p>
        </w:tc>
        <w:tc>
          <w:tcPr>
            <w:tcW w:w="359" w:type="pct"/>
            <w:tcBorders>
              <w:top w:val="single" w:sz="4" w:space="0" w:color="auto"/>
              <w:left w:val="nil"/>
              <w:right w:val="nil"/>
            </w:tcBorders>
            <w:shd w:val="clear" w:color="auto" w:fill="auto"/>
            <w:noWrap/>
            <w:vAlign w:val="bottom"/>
          </w:tcPr>
          <w:p w14:paraId="737F31D0" w14:textId="77777777" w:rsidR="00913899" w:rsidRPr="00C34E8D" w:rsidRDefault="00913899" w:rsidP="002E2B5B">
            <w:pPr>
              <w:rPr>
                <w:rFonts w:ascii="Calibri" w:hAnsi="Calibri" w:cs="Calibri"/>
                <w:b/>
                <w:sz w:val="16"/>
                <w:szCs w:val="16"/>
              </w:rPr>
            </w:pPr>
          </w:p>
        </w:tc>
        <w:tc>
          <w:tcPr>
            <w:tcW w:w="85" w:type="pct"/>
            <w:tcBorders>
              <w:top w:val="single" w:sz="4" w:space="0" w:color="auto"/>
              <w:left w:val="nil"/>
              <w:right w:val="nil"/>
            </w:tcBorders>
            <w:shd w:val="clear" w:color="auto" w:fill="auto"/>
            <w:noWrap/>
            <w:vAlign w:val="bottom"/>
          </w:tcPr>
          <w:p w14:paraId="71A6E3EF" w14:textId="77777777" w:rsidR="00913899" w:rsidRPr="00C34E8D" w:rsidRDefault="00913899" w:rsidP="002E2B5B">
            <w:pPr>
              <w:rPr>
                <w:rFonts w:ascii="Calibri" w:hAnsi="Calibri" w:cs="Calibri"/>
                <w:b/>
                <w:sz w:val="16"/>
                <w:szCs w:val="16"/>
              </w:rPr>
            </w:pPr>
          </w:p>
        </w:tc>
        <w:tc>
          <w:tcPr>
            <w:tcW w:w="151" w:type="pct"/>
            <w:tcBorders>
              <w:top w:val="single" w:sz="4" w:space="0" w:color="auto"/>
              <w:left w:val="nil"/>
              <w:right w:val="nil"/>
            </w:tcBorders>
            <w:vAlign w:val="bottom"/>
          </w:tcPr>
          <w:p w14:paraId="2A832CE7" w14:textId="77777777" w:rsidR="00913899" w:rsidRPr="00C34E8D" w:rsidRDefault="00913899" w:rsidP="002E2B5B">
            <w:pPr>
              <w:jc w:val="right"/>
              <w:rPr>
                <w:rFonts w:ascii="Calibri" w:hAnsi="Calibri" w:cs="Calibri"/>
                <w:b/>
                <w:sz w:val="16"/>
                <w:szCs w:val="16"/>
              </w:rPr>
            </w:pPr>
          </w:p>
        </w:tc>
        <w:tc>
          <w:tcPr>
            <w:tcW w:w="680" w:type="pct"/>
            <w:tcBorders>
              <w:top w:val="single" w:sz="4" w:space="0" w:color="auto"/>
              <w:left w:val="nil"/>
              <w:right w:val="nil"/>
            </w:tcBorders>
            <w:shd w:val="clear" w:color="auto" w:fill="auto"/>
            <w:noWrap/>
            <w:vAlign w:val="bottom"/>
          </w:tcPr>
          <w:p w14:paraId="055E751C" w14:textId="77777777" w:rsidR="00913899" w:rsidRPr="00C34E8D" w:rsidRDefault="00913899" w:rsidP="002E2B5B">
            <w:pPr>
              <w:jc w:val="right"/>
              <w:rPr>
                <w:rFonts w:ascii="Calibri" w:hAnsi="Calibri" w:cs="Calibri"/>
                <w:sz w:val="16"/>
                <w:szCs w:val="16"/>
              </w:rPr>
            </w:pPr>
          </w:p>
        </w:tc>
        <w:tc>
          <w:tcPr>
            <w:tcW w:w="967" w:type="pct"/>
            <w:tcBorders>
              <w:top w:val="single" w:sz="4" w:space="0" w:color="auto"/>
              <w:left w:val="nil"/>
              <w:right w:val="nil"/>
            </w:tcBorders>
          </w:tcPr>
          <w:p w14:paraId="13BF68D3" w14:textId="77777777" w:rsidR="00913899" w:rsidRPr="00C34E8D" w:rsidRDefault="00913899" w:rsidP="002E2B5B">
            <w:pPr>
              <w:rPr>
                <w:rFonts w:ascii="Calibri" w:hAnsi="Calibri" w:cs="Calibri"/>
                <w:sz w:val="16"/>
                <w:szCs w:val="16"/>
              </w:rPr>
            </w:pPr>
          </w:p>
        </w:tc>
        <w:tc>
          <w:tcPr>
            <w:tcW w:w="104" w:type="pct"/>
            <w:tcBorders>
              <w:top w:val="single" w:sz="4" w:space="0" w:color="auto"/>
              <w:left w:val="nil"/>
              <w:right w:val="nil"/>
            </w:tcBorders>
            <w:shd w:val="clear" w:color="auto" w:fill="auto"/>
            <w:noWrap/>
            <w:vAlign w:val="bottom"/>
          </w:tcPr>
          <w:p w14:paraId="31251C3A" w14:textId="77777777" w:rsidR="00913899" w:rsidRPr="00C34E8D" w:rsidRDefault="00913899" w:rsidP="002E2B5B">
            <w:pPr>
              <w:rPr>
                <w:rFonts w:ascii="Calibri" w:hAnsi="Calibri" w:cs="Calibri"/>
                <w:b/>
                <w:sz w:val="16"/>
                <w:szCs w:val="16"/>
              </w:rPr>
            </w:pPr>
          </w:p>
        </w:tc>
        <w:tc>
          <w:tcPr>
            <w:tcW w:w="483" w:type="pct"/>
            <w:tcBorders>
              <w:top w:val="single" w:sz="4" w:space="0" w:color="auto"/>
              <w:left w:val="nil"/>
              <w:right w:val="nil"/>
            </w:tcBorders>
            <w:shd w:val="clear" w:color="auto" w:fill="auto"/>
            <w:noWrap/>
            <w:vAlign w:val="center"/>
          </w:tcPr>
          <w:p w14:paraId="77B8B209" w14:textId="77777777" w:rsidR="00913899" w:rsidRPr="00C34E8D" w:rsidRDefault="00913899" w:rsidP="002E2B5B">
            <w:pPr>
              <w:jc w:val="right"/>
              <w:rPr>
                <w:rFonts w:ascii="Calibri" w:hAnsi="Calibri" w:cs="Calibri"/>
                <w:sz w:val="16"/>
                <w:szCs w:val="16"/>
              </w:rPr>
            </w:pPr>
          </w:p>
        </w:tc>
        <w:tc>
          <w:tcPr>
            <w:tcW w:w="102" w:type="pct"/>
            <w:vAlign w:val="bottom"/>
          </w:tcPr>
          <w:p w14:paraId="039302BA" w14:textId="77777777" w:rsidR="00913899" w:rsidRPr="00C34E8D" w:rsidRDefault="00913899" w:rsidP="002E2B5B">
            <w:pPr>
              <w:rPr>
                <w:rFonts w:ascii="Calibri" w:hAnsi="Calibri" w:cs="Calibri"/>
                <w:sz w:val="16"/>
                <w:szCs w:val="16"/>
              </w:rPr>
            </w:pPr>
          </w:p>
        </w:tc>
      </w:tr>
      <w:tr w:rsidR="00913899" w:rsidRPr="00C34E8D" w14:paraId="327984F3" w14:textId="77777777" w:rsidTr="00B23D01">
        <w:trPr>
          <w:trHeight w:hRule="exact" w:val="227"/>
        </w:trPr>
        <w:tc>
          <w:tcPr>
            <w:tcW w:w="2069" w:type="pct"/>
            <w:tcBorders>
              <w:left w:val="nil"/>
              <w:right w:val="nil"/>
            </w:tcBorders>
            <w:shd w:val="clear" w:color="auto" w:fill="auto"/>
            <w:noWrap/>
            <w:vAlign w:val="center"/>
          </w:tcPr>
          <w:p w14:paraId="535C58D7" w14:textId="77777777" w:rsidR="00913899" w:rsidRPr="00C34E8D" w:rsidRDefault="00913899" w:rsidP="002E2B5B">
            <w:pPr>
              <w:rPr>
                <w:rFonts w:ascii="Calibri" w:hAnsi="Calibri" w:cs="Calibri"/>
                <w:sz w:val="16"/>
                <w:szCs w:val="16"/>
              </w:rPr>
            </w:pPr>
            <w:r w:rsidRPr="00C34E8D">
              <w:rPr>
                <w:rFonts w:ascii="Calibri" w:hAnsi="Calibri" w:cs="Calibri"/>
                <w:sz w:val="16"/>
                <w:szCs w:val="16"/>
              </w:rPr>
              <w:t>A C CORREA CIA LTDA</w:t>
            </w:r>
          </w:p>
        </w:tc>
        <w:tc>
          <w:tcPr>
            <w:tcW w:w="359" w:type="pct"/>
            <w:tcBorders>
              <w:left w:val="nil"/>
              <w:right w:val="nil"/>
            </w:tcBorders>
            <w:shd w:val="clear" w:color="auto" w:fill="auto"/>
            <w:noWrap/>
            <w:vAlign w:val="bottom"/>
          </w:tcPr>
          <w:p w14:paraId="18C91CD4" w14:textId="77777777" w:rsidR="00913899" w:rsidRPr="00C34E8D" w:rsidRDefault="00913899" w:rsidP="002E2B5B">
            <w:pPr>
              <w:rPr>
                <w:rFonts w:ascii="Calibri" w:hAnsi="Calibri" w:cs="Calibri"/>
                <w:b/>
                <w:sz w:val="16"/>
                <w:szCs w:val="16"/>
              </w:rPr>
            </w:pPr>
          </w:p>
        </w:tc>
        <w:tc>
          <w:tcPr>
            <w:tcW w:w="85" w:type="pct"/>
            <w:tcBorders>
              <w:left w:val="nil"/>
              <w:right w:val="nil"/>
            </w:tcBorders>
            <w:shd w:val="clear" w:color="auto" w:fill="auto"/>
            <w:noWrap/>
            <w:vAlign w:val="bottom"/>
          </w:tcPr>
          <w:p w14:paraId="7663B9FE" w14:textId="77777777" w:rsidR="00913899" w:rsidRPr="00C34E8D" w:rsidRDefault="00913899" w:rsidP="002E2B5B">
            <w:pPr>
              <w:rPr>
                <w:rFonts w:ascii="Calibri" w:hAnsi="Calibri" w:cs="Calibri"/>
                <w:b/>
                <w:sz w:val="16"/>
                <w:szCs w:val="16"/>
              </w:rPr>
            </w:pPr>
          </w:p>
        </w:tc>
        <w:tc>
          <w:tcPr>
            <w:tcW w:w="151" w:type="pct"/>
            <w:tcBorders>
              <w:left w:val="nil"/>
              <w:right w:val="nil"/>
            </w:tcBorders>
            <w:vAlign w:val="bottom"/>
          </w:tcPr>
          <w:p w14:paraId="6AE34254" w14:textId="77777777" w:rsidR="00913899" w:rsidRPr="00C34E8D" w:rsidRDefault="00913899" w:rsidP="002E2B5B">
            <w:pPr>
              <w:jc w:val="right"/>
              <w:rPr>
                <w:rFonts w:ascii="Calibri" w:hAnsi="Calibri" w:cs="Calibri"/>
                <w:b/>
                <w:sz w:val="16"/>
                <w:szCs w:val="16"/>
              </w:rPr>
            </w:pPr>
          </w:p>
        </w:tc>
        <w:tc>
          <w:tcPr>
            <w:tcW w:w="680" w:type="pct"/>
            <w:tcBorders>
              <w:left w:val="nil"/>
              <w:right w:val="nil"/>
            </w:tcBorders>
            <w:shd w:val="clear" w:color="auto" w:fill="auto"/>
            <w:noWrap/>
            <w:vAlign w:val="center"/>
          </w:tcPr>
          <w:p w14:paraId="2B747080" w14:textId="77777777" w:rsidR="00913899" w:rsidRPr="00C34E8D" w:rsidRDefault="00913899" w:rsidP="002E2B5B">
            <w:pPr>
              <w:jc w:val="right"/>
              <w:rPr>
                <w:rFonts w:ascii="Calibri" w:hAnsi="Calibri" w:cs="Calibri"/>
                <w:sz w:val="16"/>
                <w:szCs w:val="16"/>
              </w:rPr>
            </w:pPr>
            <w:r w:rsidRPr="00C34E8D">
              <w:rPr>
                <w:rFonts w:ascii="Calibri" w:hAnsi="Calibri" w:cs="Calibri"/>
                <w:sz w:val="16"/>
                <w:szCs w:val="16"/>
              </w:rPr>
              <w:t>004/2017</w:t>
            </w:r>
          </w:p>
        </w:tc>
        <w:tc>
          <w:tcPr>
            <w:tcW w:w="967" w:type="pct"/>
            <w:tcBorders>
              <w:left w:val="nil"/>
              <w:right w:val="nil"/>
            </w:tcBorders>
            <w:vAlign w:val="center"/>
          </w:tcPr>
          <w:p w14:paraId="2D0CAC34" w14:textId="77777777" w:rsidR="00913899" w:rsidRPr="00C34E8D" w:rsidRDefault="00913899" w:rsidP="002E2B5B">
            <w:pPr>
              <w:rPr>
                <w:rFonts w:ascii="Calibri" w:hAnsi="Calibri" w:cs="Calibri"/>
                <w:sz w:val="16"/>
                <w:szCs w:val="16"/>
              </w:rPr>
            </w:pPr>
            <w:r w:rsidRPr="00C34E8D">
              <w:rPr>
                <w:rFonts w:ascii="Calibri" w:hAnsi="Calibri" w:cs="Calibri"/>
                <w:sz w:val="16"/>
                <w:szCs w:val="16"/>
              </w:rPr>
              <w:t xml:space="preserve">   51402.190111/2017-63</w:t>
            </w:r>
          </w:p>
        </w:tc>
        <w:tc>
          <w:tcPr>
            <w:tcW w:w="104" w:type="pct"/>
            <w:tcBorders>
              <w:left w:val="nil"/>
              <w:right w:val="nil"/>
            </w:tcBorders>
            <w:shd w:val="clear" w:color="auto" w:fill="auto"/>
            <w:noWrap/>
            <w:vAlign w:val="center"/>
          </w:tcPr>
          <w:p w14:paraId="5A37083A" w14:textId="77777777" w:rsidR="00913899" w:rsidRPr="00C34E8D" w:rsidRDefault="00913899" w:rsidP="002E2B5B">
            <w:pPr>
              <w:rPr>
                <w:rFonts w:ascii="Calibri" w:hAnsi="Calibri" w:cs="Calibri"/>
                <w:b/>
                <w:sz w:val="16"/>
                <w:szCs w:val="16"/>
              </w:rPr>
            </w:pPr>
          </w:p>
        </w:tc>
        <w:tc>
          <w:tcPr>
            <w:tcW w:w="483" w:type="pct"/>
            <w:tcBorders>
              <w:left w:val="nil"/>
              <w:right w:val="nil"/>
            </w:tcBorders>
            <w:shd w:val="clear" w:color="auto" w:fill="auto"/>
            <w:noWrap/>
            <w:vAlign w:val="center"/>
          </w:tcPr>
          <w:p w14:paraId="0C4381E6" w14:textId="77777777" w:rsidR="00913899" w:rsidRPr="00C34E8D" w:rsidRDefault="00913899" w:rsidP="002E2B5B">
            <w:pPr>
              <w:jc w:val="right"/>
              <w:rPr>
                <w:rFonts w:ascii="Calibri" w:hAnsi="Calibri" w:cs="Calibri"/>
                <w:sz w:val="16"/>
                <w:szCs w:val="16"/>
              </w:rPr>
            </w:pPr>
            <w:r w:rsidRPr="00C34E8D">
              <w:rPr>
                <w:rFonts w:ascii="Calibri" w:hAnsi="Calibri" w:cs="Calibri"/>
                <w:sz w:val="16"/>
                <w:szCs w:val="16"/>
              </w:rPr>
              <w:t>177.44</w:t>
            </w:r>
            <w:r w:rsidR="004036AB" w:rsidRPr="00C34E8D">
              <w:rPr>
                <w:rFonts w:ascii="Calibri" w:hAnsi="Calibri" w:cs="Calibri"/>
                <w:sz w:val="16"/>
                <w:szCs w:val="16"/>
              </w:rPr>
              <w:t>2</w:t>
            </w:r>
          </w:p>
        </w:tc>
        <w:tc>
          <w:tcPr>
            <w:tcW w:w="102" w:type="pct"/>
            <w:vAlign w:val="bottom"/>
          </w:tcPr>
          <w:p w14:paraId="14DB0C74" w14:textId="77777777" w:rsidR="00913899" w:rsidRPr="00C34E8D" w:rsidRDefault="00913899" w:rsidP="002E2B5B">
            <w:pPr>
              <w:rPr>
                <w:rFonts w:ascii="Calibri" w:hAnsi="Calibri" w:cs="Calibri"/>
                <w:sz w:val="16"/>
                <w:szCs w:val="16"/>
              </w:rPr>
            </w:pPr>
          </w:p>
        </w:tc>
      </w:tr>
      <w:tr w:rsidR="00913899" w:rsidRPr="00C34E8D" w14:paraId="0BEB3F27" w14:textId="77777777" w:rsidTr="00B23D01">
        <w:trPr>
          <w:trHeight w:hRule="exact" w:val="227"/>
        </w:trPr>
        <w:tc>
          <w:tcPr>
            <w:tcW w:w="2069" w:type="pct"/>
            <w:tcBorders>
              <w:left w:val="nil"/>
              <w:right w:val="nil"/>
            </w:tcBorders>
            <w:shd w:val="clear" w:color="auto" w:fill="auto"/>
            <w:noWrap/>
            <w:vAlign w:val="center"/>
          </w:tcPr>
          <w:p w14:paraId="7AEE2AB3" w14:textId="77777777" w:rsidR="00913899" w:rsidRPr="00C34E8D" w:rsidRDefault="00913899" w:rsidP="002E2B5B">
            <w:pPr>
              <w:rPr>
                <w:rFonts w:ascii="Calibri" w:hAnsi="Calibri" w:cs="Calibri"/>
                <w:sz w:val="16"/>
                <w:szCs w:val="16"/>
              </w:rPr>
            </w:pPr>
            <w:r w:rsidRPr="00C34E8D">
              <w:rPr>
                <w:rFonts w:ascii="Calibri" w:hAnsi="Calibri" w:cs="Calibri"/>
                <w:sz w:val="16"/>
                <w:szCs w:val="16"/>
              </w:rPr>
              <w:t>AZVI S.A DO BRASIL</w:t>
            </w:r>
          </w:p>
        </w:tc>
        <w:tc>
          <w:tcPr>
            <w:tcW w:w="359" w:type="pct"/>
            <w:tcBorders>
              <w:left w:val="nil"/>
              <w:right w:val="nil"/>
            </w:tcBorders>
            <w:shd w:val="clear" w:color="auto" w:fill="auto"/>
            <w:noWrap/>
            <w:vAlign w:val="bottom"/>
          </w:tcPr>
          <w:p w14:paraId="1DE91FB9" w14:textId="77777777" w:rsidR="00913899" w:rsidRPr="00C34E8D" w:rsidRDefault="00913899" w:rsidP="002E2B5B">
            <w:pPr>
              <w:rPr>
                <w:rFonts w:ascii="Calibri" w:hAnsi="Calibri" w:cs="Calibri"/>
                <w:b/>
                <w:sz w:val="16"/>
                <w:szCs w:val="16"/>
              </w:rPr>
            </w:pPr>
          </w:p>
        </w:tc>
        <w:tc>
          <w:tcPr>
            <w:tcW w:w="85" w:type="pct"/>
            <w:tcBorders>
              <w:left w:val="nil"/>
              <w:right w:val="nil"/>
            </w:tcBorders>
            <w:shd w:val="clear" w:color="auto" w:fill="auto"/>
            <w:noWrap/>
            <w:vAlign w:val="bottom"/>
          </w:tcPr>
          <w:p w14:paraId="1372B814" w14:textId="77777777" w:rsidR="00913899" w:rsidRPr="00C34E8D" w:rsidRDefault="00913899" w:rsidP="002E2B5B">
            <w:pPr>
              <w:rPr>
                <w:rFonts w:ascii="Calibri" w:hAnsi="Calibri" w:cs="Calibri"/>
                <w:b/>
                <w:sz w:val="16"/>
                <w:szCs w:val="16"/>
              </w:rPr>
            </w:pPr>
          </w:p>
        </w:tc>
        <w:tc>
          <w:tcPr>
            <w:tcW w:w="151" w:type="pct"/>
            <w:tcBorders>
              <w:left w:val="nil"/>
              <w:right w:val="nil"/>
            </w:tcBorders>
            <w:vAlign w:val="bottom"/>
          </w:tcPr>
          <w:p w14:paraId="330C8FC3" w14:textId="77777777" w:rsidR="00913899" w:rsidRPr="00C34E8D" w:rsidRDefault="00913899" w:rsidP="002E2B5B">
            <w:pPr>
              <w:jc w:val="right"/>
              <w:rPr>
                <w:rFonts w:ascii="Calibri" w:hAnsi="Calibri" w:cs="Calibri"/>
                <w:b/>
                <w:sz w:val="16"/>
                <w:szCs w:val="16"/>
              </w:rPr>
            </w:pPr>
          </w:p>
        </w:tc>
        <w:tc>
          <w:tcPr>
            <w:tcW w:w="680" w:type="pct"/>
            <w:tcBorders>
              <w:left w:val="nil"/>
              <w:right w:val="nil"/>
            </w:tcBorders>
            <w:shd w:val="clear" w:color="auto" w:fill="auto"/>
            <w:noWrap/>
            <w:vAlign w:val="center"/>
          </w:tcPr>
          <w:p w14:paraId="03F40409" w14:textId="77777777" w:rsidR="00913899" w:rsidRPr="00C34E8D" w:rsidRDefault="00913899" w:rsidP="002E2B5B">
            <w:pPr>
              <w:jc w:val="right"/>
              <w:rPr>
                <w:rFonts w:ascii="Calibri" w:hAnsi="Calibri" w:cs="Calibri"/>
                <w:sz w:val="16"/>
                <w:szCs w:val="16"/>
              </w:rPr>
            </w:pPr>
            <w:r w:rsidRPr="00C34E8D">
              <w:rPr>
                <w:rFonts w:ascii="Calibri" w:hAnsi="Calibri" w:cs="Calibri"/>
                <w:sz w:val="16"/>
                <w:szCs w:val="16"/>
              </w:rPr>
              <w:t>016/2017</w:t>
            </w:r>
          </w:p>
        </w:tc>
        <w:tc>
          <w:tcPr>
            <w:tcW w:w="967" w:type="pct"/>
            <w:tcBorders>
              <w:left w:val="nil"/>
              <w:right w:val="nil"/>
            </w:tcBorders>
            <w:vAlign w:val="center"/>
          </w:tcPr>
          <w:p w14:paraId="434B78BA" w14:textId="77777777" w:rsidR="00913899" w:rsidRPr="00C34E8D" w:rsidRDefault="00913899" w:rsidP="002E2B5B">
            <w:pPr>
              <w:rPr>
                <w:rFonts w:ascii="Calibri" w:hAnsi="Calibri" w:cs="Calibri"/>
                <w:sz w:val="16"/>
                <w:szCs w:val="16"/>
              </w:rPr>
            </w:pPr>
            <w:r w:rsidRPr="00C34E8D">
              <w:rPr>
                <w:rFonts w:ascii="Calibri" w:hAnsi="Calibri" w:cs="Calibri"/>
                <w:sz w:val="16"/>
                <w:szCs w:val="16"/>
              </w:rPr>
              <w:t xml:space="preserve">   51402.200534/2018-81</w:t>
            </w:r>
          </w:p>
        </w:tc>
        <w:tc>
          <w:tcPr>
            <w:tcW w:w="104" w:type="pct"/>
            <w:tcBorders>
              <w:left w:val="nil"/>
              <w:right w:val="nil"/>
            </w:tcBorders>
            <w:shd w:val="clear" w:color="auto" w:fill="auto"/>
            <w:noWrap/>
            <w:vAlign w:val="center"/>
          </w:tcPr>
          <w:p w14:paraId="41635EE6" w14:textId="77777777" w:rsidR="00913899" w:rsidRPr="00C34E8D" w:rsidRDefault="00913899" w:rsidP="002E2B5B">
            <w:pPr>
              <w:rPr>
                <w:rFonts w:ascii="Calibri" w:hAnsi="Calibri" w:cs="Calibri"/>
                <w:b/>
                <w:sz w:val="16"/>
                <w:szCs w:val="16"/>
              </w:rPr>
            </w:pPr>
          </w:p>
        </w:tc>
        <w:tc>
          <w:tcPr>
            <w:tcW w:w="483" w:type="pct"/>
            <w:tcBorders>
              <w:left w:val="nil"/>
              <w:right w:val="nil"/>
            </w:tcBorders>
            <w:shd w:val="clear" w:color="auto" w:fill="auto"/>
            <w:noWrap/>
            <w:vAlign w:val="center"/>
          </w:tcPr>
          <w:p w14:paraId="1C3C638A" w14:textId="77777777" w:rsidR="00913899" w:rsidRPr="00C34E8D" w:rsidRDefault="00913899" w:rsidP="002E2B5B">
            <w:pPr>
              <w:jc w:val="right"/>
              <w:rPr>
                <w:rFonts w:ascii="Calibri" w:hAnsi="Calibri" w:cs="Calibri"/>
                <w:sz w:val="16"/>
                <w:szCs w:val="16"/>
              </w:rPr>
            </w:pPr>
            <w:r w:rsidRPr="00C34E8D">
              <w:rPr>
                <w:rFonts w:ascii="Calibri" w:hAnsi="Calibri" w:cs="Calibri"/>
                <w:sz w:val="16"/>
                <w:szCs w:val="16"/>
              </w:rPr>
              <w:t>9.739.968</w:t>
            </w:r>
          </w:p>
        </w:tc>
        <w:tc>
          <w:tcPr>
            <w:tcW w:w="102" w:type="pct"/>
            <w:vAlign w:val="bottom"/>
          </w:tcPr>
          <w:p w14:paraId="53C371A2" w14:textId="77777777" w:rsidR="00913899" w:rsidRPr="00C34E8D" w:rsidRDefault="00913899" w:rsidP="002E2B5B">
            <w:pPr>
              <w:rPr>
                <w:rFonts w:ascii="Calibri" w:hAnsi="Calibri" w:cs="Calibri"/>
                <w:sz w:val="16"/>
                <w:szCs w:val="16"/>
              </w:rPr>
            </w:pPr>
          </w:p>
        </w:tc>
      </w:tr>
      <w:tr w:rsidR="00913899" w:rsidRPr="00C34E8D" w14:paraId="032E93A4" w14:textId="77777777" w:rsidTr="00B23D01">
        <w:trPr>
          <w:trHeight w:hRule="exact" w:val="227"/>
        </w:trPr>
        <w:tc>
          <w:tcPr>
            <w:tcW w:w="2069" w:type="pct"/>
            <w:tcBorders>
              <w:left w:val="nil"/>
              <w:right w:val="nil"/>
            </w:tcBorders>
            <w:shd w:val="clear" w:color="auto" w:fill="auto"/>
            <w:noWrap/>
            <w:vAlign w:val="center"/>
          </w:tcPr>
          <w:p w14:paraId="5AE272D7" w14:textId="77777777" w:rsidR="00913899" w:rsidRPr="00C34E8D" w:rsidRDefault="00913899" w:rsidP="002E2B5B">
            <w:pPr>
              <w:rPr>
                <w:rFonts w:ascii="Calibri" w:hAnsi="Calibri" w:cs="Calibri"/>
                <w:sz w:val="16"/>
                <w:szCs w:val="16"/>
              </w:rPr>
            </w:pPr>
            <w:r w:rsidRPr="00C34E8D">
              <w:rPr>
                <w:rFonts w:ascii="Calibri" w:hAnsi="Calibri" w:cs="Calibri"/>
                <w:sz w:val="16"/>
                <w:szCs w:val="16"/>
              </w:rPr>
              <w:t>SPAVIAS ENGENHARIA LTDA</w:t>
            </w:r>
          </w:p>
        </w:tc>
        <w:tc>
          <w:tcPr>
            <w:tcW w:w="359" w:type="pct"/>
            <w:tcBorders>
              <w:left w:val="nil"/>
              <w:right w:val="nil"/>
            </w:tcBorders>
            <w:shd w:val="clear" w:color="auto" w:fill="auto"/>
            <w:noWrap/>
            <w:vAlign w:val="bottom"/>
          </w:tcPr>
          <w:p w14:paraId="3C5C7A5F" w14:textId="77777777" w:rsidR="00913899" w:rsidRPr="00C34E8D" w:rsidRDefault="00913899" w:rsidP="002E2B5B">
            <w:pPr>
              <w:rPr>
                <w:rFonts w:ascii="Calibri" w:hAnsi="Calibri" w:cs="Calibri"/>
                <w:b/>
                <w:sz w:val="16"/>
                <w:szCs w:val="16"/>
              </w:rPr>
            </w:pPr>
          </w:p>
        </w:tc>
        <w:tc>
          <w:tcPr>
            <w:tcW w:w="85" w:type="pct"/>
            <w:tcBorders>
              <w:left w:val="nil"/>
              <w:right w:val="nil"/>
            </w:tcBorders>
            <w:shd w:val="clear" w:color="auto" w:fill="auto"/>
            <w:noWrap/>
            <w:vAlign w:val="bottom"/>
          </w:tcPr>
          <w:p w14:paraId="42CF674D" w14:textId="77777777" w:rsidR="00913899" w:rsidRPr="00C34E8D" w:rsidRDefault="00913899" w:rsidP="002E2B5B">
            <w:pPr>
              <w:rPr>
                <w:rFonts w:ascii="Calibri" w:hAnsi="Calibri" w:cs="Calibri"/>
                <w:b/>
                <w:sz w:val="16"/>
                <w:szCs w:val="16"/>
              </w:rPr>
            </w:pPr>
          </w:p>
        </w:tc>
        <w:tc>
          <w:tcPr>
            <w:tcW w:w="151" w:type="pct"/>
            <w:tcBorders>
              <w:left w:val="nil"/>
              <w:right w:val="nil"/>
            </w:tcBorders>
            <w:vAlign w:val="bottom"/>
          </w:tcPr>
          <w:p w14:paraId="29BAD82E" w14:textId="77777777" w:rsidR="00913899" w:rsidRPr="00C34E8D" w:rsidRDefault="00913899" w:rsidP="002E2B5B">
            <w:pPr>
              <w:jc w:val="right"/>
              <w:rPr>
                <w:rFonts w:ascii="Calibri" w:hAnsi="Calibri" w:cs="Calibri"/>
                <w:b/>
                <w:sz w:val="16"/>
                <w:szCs w:val="16"/>
              </w:rPr>
            </w:pPr>
          </w:p>
        </w:tc>
        <w:tc>
          <w:tcPr>
            <w:tcW w:w="680" w:type="pct"/>
            <w:tcBorders>
              <w:left w:val="nil"/>
              <w:right w:val="nil"/>
            </w:tcBorders>
            <w:shd w:val="clear" w:color="auto" w:fill="auto"/>
            <w:noWrap/>
            <w:vAlign w:val="center"/>
          </w:tcPr>
          <w:p w14:paraId="00042313" w14:textId="77777777" w:rsidR="00913899" w:rsidRPr="00C34E8D" w:rsidRDefault="00913899" w:rsidP="002E2B5B">
            <w:pPr>
              <w:jc w:val="right"/>
              <w:rPr>
                <w:rFonts w:ascii="Calibri" w:hAnsi="Calibri" w:cs="Calibri"/>
                <w:sz w:val="16"/>
                <w:szCs w:val="16"/>
              </w:rPr>
            </w:pPr>
            <w:r w:rsidRPr="00C34E8D">
              <w:rPr>
                <w:rFonts w:ascii="Calibri" w:hAnsi="Calibri" w:cs="Calibri"/>
                <w:sz w:val="16"/>
                <w:szCs w:val="16"/>
              </w:rPr>
              <w:t>036/2014</w:t>
            </w:r>
          </w:p>
        </w:tc>
        <w:tc>
          <w:tcPr>
            <w:tcW w:w="967" w:type="pct"/>
            <w:tcBorders>
              <w:left w:val="nil"/>
              <w:right w:val="nil"/>
            </w:tcBorders>
            <w:vAlign w:val="center"/>
          </w:tcPr>
          <w:p w14:paraId="39C23285" w14:textId="77777777" w:rsidR="00913899" w:rsidRPr="00C34E8D" w:rsidRDefault="00913899" w:rsidP="002E2B5B">
            <w:pPr>
              <w:rPr>
                <w:rFonts w:ascii="Calibri" w:hAnsi="Calibri" w:cs="Calibri"/>
                <w:b/>
                <w:sz w:val="16"/>
                <w:szCs w:val="16"/>
              </w:rPr>
            </w:pPr>
            <w:r w:rsidRPr="00C34E8D">
              <w:rPr>
                <w:rFonts w:ascii="Calibri" w:hAnsi="Calibri" w:cs="Calibri"/>
                <w:sz w:val="16"/>
                <w:szCs w:val="16"/>
              </w:rPr>
              <w:t xml:space="preserve">   51402.198131/2018-63</w:t>
            </w:r>
          </w:p>
        </w:tc>
        <w:tc>
          <w:tcPr>
            <w:tcW w:w="104" w:type="pct"/>
            <w:tcBorders>
              <w:left w:val="nil"/>
              <w:right w:val="nil"/>
            </w:tcBorders>
            <w:shd w:val="clear" w:color="auto" w:fill="auto"/>
            <w:noWrap/>
            <w:vAlign w:val="center"/>
          </w:tcPr>
          <w:p w14:paraId="6A18EF02" w14:textId="77777777" w:rsidR="00913899" w:rsidRPr="00C34E8D" w:rsidRDefault="00913899" w:rsidP="002E2B5B">
            <w:pPr>
              <w:rPr>
                <w:rFonts w:ascii="Calibri" w:hAnsi="Calibri" w:cs="Calibri"/>
                <w:b/>
                <w:sz w:val="16"/>
                <w:szCs w:val="16"/>
              </w:rPr>
            </w:pPr>
          </w:p>
        </w:tc>
        <w:tc>
          <w:tcPr>
            <w:tcW w:w="483" w:type="pct"/>
            <w:tcBorders>
              <w:left w:val="nil"/>
              <w:right w:val="nil"/>
            </w:tcBorders>
            <w:shd w:val="clear" w:color="auto" w:fill="auto"/>
            <w:noWrap/>
            <w:vAlign w:val="center"/>
          </w:tcPr>
          <w:p w14:paraId="59960D7F" w14:textId="77777777" w:rsidR="00913899" w:rsidRPr="00C34E8D" w:rsidRDefault="00913899" w:rsidP="002E2B5B">
            <w:pPr>
              <w:jc w:val="right"/>
              <w:rPr>
                <w:rFonts w:ascii="Calibri" w:hAnsi="Calibri" w:cs="Calibri"/>
                <w:sz w:val="16"/>
                <w:szCs w:val="16"/>
              </w:rPr>
            </w:pPr>
            <w:r w:rsidRPr="00C34E8D">
              <w:rPr>
                <w:rFonts w:ascii="Calibri" w:hAnsi="Calibri" w:cs="Calibri"/>
                <w:sz w:val="16"/>
                <w:szCs w:val="16"/>
              </w:rPr>
              <w:t>2.465.411</w:t>
            </w:r>
          </w:p>
        </w:tc>
        <w:tc>
          <w:tcPr>
            <w:tcW w:w="102" w:type="pct"/>
            <w:vAlign w:val="bottom"/>
          </w:tcPr>
          <w:p w14:paraId="6C909EF2" w14:textId="77777777" w:rsidR="00913899" w:rsidRPr="00C34E8D" w:rsidRDefault="00913899" w:rsidP="002E2B5B">
            <w:pPr>
              <w:rPr>
                <w:rFonts w:ascii="Calibri" w:hAnsi="Calibri" w:cs="Calibri"/>
                <w:sz w:val="16"/>
                <w:szCs w:val="16"/>
              </w:rPr>
            </w:pPr>
          </w:p>
        </w:tc>
      </w:tr>
      <w:tr w:rsidR="00951F84" w:rsidRPr="00C34E8D" w14:paraId="308E285E" w14:textId="77777777" w:rsidTr="00B23D01">
        <w:trPr>
          <w:trHeight w:hRule="exact" w:val="227"/>
        </w:trPr>
        <w:tc>
          <w:tcPr>
            <w:tcW w:w="2069" w:type="pct"/>
            <w:tcBorders>
              <w:left w:val="nil"/>
              <w:bottom w:val="single" w:sz="4" w:space="0" w:color="auto"/>
              <w:right w:val="nil"/>
            </w:tcBorders>
            <w:shd w:val="clear" w:color="auto" w:fill="auto"/>
            <w:noWrap/>
            <w:vAlign w:val="center"/>
          </w:tcPr>
          <w:p w14:paraId="1741B1A2" w14:textId="15828EF2" w:rsidR="00951F84" w:rsidRPr="00C34E8D" w:rsidRDefault="00951F84" w:rsidP="002E2B5B">
            <w:pPr>
              <w:rPr>
                <w:rFonts w:ascii="Calibri" w:hAnsi="Calibri" w:cs="Calibri"/>
                <w:sz w:val="16"/>
                <w:szCs w:val="16"/>
              </w:rPr>
            </w:pPr>
            <w:r w:rsidRPr="00C34E8D">
              <w:rPr>
                <w:rFonts w:ascii="Calibri" w:hAnsi="Calibri" w:cs="Calibri"/>
                <w:sz w:val="16"/>
                <w:szCs w:val="16"/>
              </w:rPr>
              <w:t>ALTA ENGENHARIA DE INFRAESTRUTURA LTDA</w:t>
            </w:r>
          </w:p>
        </w:tc>
        <w:tc>
          <w:tcPr>
            <w:tcW w:w="359" w:type="pct"/>
            <w:tcBorders>
              <w:left w:val="nil"/>
              <w:bottom w:val="single" w:sz="4" w:space="0" w:color="auto"/>
              <w:right w:val="nil"/>
            </w:tcBorders>
            <w:shd w:val="clear" w:color="auto" w:fill="auto"/>
            <w:noWrap/>
            <w:vAlign w:val="bottom"/>
          </w:tcPr>
          <w:p w14:paraId="4E485F01" w14:textId="77777777" w:rsidR="00951F84" w:rsidRPr="00C34E8D" w:rsidRDefault="00951F84" w:rsidP="002E2B5B">
            <w:pPr>
              <w:rPr>
                <w:rFonts w:ascii="Calibri" w:hAnsi="Calibri" w:cs="Calibri"/>
                <w:b/>
                <w:sz w:val="16"/>
                <w:szCs w:val="16"/>
              </w:rPr>
            </w:pPr>
          </w:p>
        </w:tc>
        <w:tc>
          <w:tcPr>
            <w:tcW w:w="85" w:type="pct"/>
            <w:tcBorders>
              <w:left w:val="nil"/>
              <w:bottom w:val="single" w:sz="4" w:space="0" w:color="auto"/>
              <w:right w:val="nil"/>
            </w:tcBorders>
            <w:shd w:val="clear" w:color="auto" w:fill="auto"/>
            <w:noWrap/>
            <w:vAlign w:val="bottom"/>
          </w:tcPr>
          <w:p w14:paraId="49718A52" w14:textId="77777777" w:rsidR="00951F84" w:rsidRPr="00C34E8D" w:rsidRDefault="00951F84" w:rsidP="002E2B5B">
            <w:pPr>
              <w:rPr>
                <w:rFonts w:ascii="Calibri" w:hAnsi="Calibri" w:cs="Calibri"/>
                <w:b/>
                <w:sz w:val="16"/>
                <w:szCs w:val="16"/>
              </w:rPr>
            </w:pPr>
          </w:p>
        </w:tc>
        <w:tc>
          <w:tcPr>
            <w:tcW w:w="151" w:type="pct"/>
            <w:tcBorders>
              <w:left w:val="nil"/>
              <w:bottom w:val="single" w:sz="4" w:space="0" w:color="auto"/>
              <w:right w:val="nil"/>
            </w:tcBorders>
            <w:vAlign w:val="bottom"/>
          </w:tcPr>
          <w:p w14:paraId="23D44747" w14:textId="77777777" w:rsidR="00951F84" w:rsidRPr="00C34E8D" w:rsidRDefault="00951F84" w:rsidP="002E2B5B">
            <w:pPr>
              <w:jc w:val="right"/>
              <w:rPr>
                <w:rFonts w:ascii="Calibri" w:hAnsi="Calibri" w:cs="Calibri"/>
                <w:b/>
                <w:sz w:val="16"/>
                <w:szCs w:val="16"/>
              </w:rPr>
            </w:pPr>
          </w:p>
        </w:tc>
        <w:tc>
          <w:tcPr>
            <w:tcW w:w="680" w:type="pct"/>
            <w:tcBorders>
              <w:left w:val="nil"/>
              <w:bottom w:val="single" w:sz="4" w:space="0" w:color="auto"/>
              <w:right w:val="nil"/>
            </w:tcBorders>
            <w:shd w:val="clear" w:color="auto" w:fill="auto"/>
            <w:noWrap/>
            <w:vAlign w:val="center"/>
          </w:tcPr>
          <w:p w14:paraId="21BF4051" w14:textId="17468196" w:rsidR="00951F84" w:rsidRPr="00C34E8D" w:rsidRDefault="00613EA2" w:rsidP="002E2B5B">
            <w:pPr>
              <w:jc w:val="right"/>
              <w:rPr>
                <w:rFonts w:ascii="Calibri" w:hAnsi="Calibri" w:cs="Calibri"/>
                <w:sz w:val="16"/>
                <w:szCs w:val="16"/>
              </w:rPr>
            </w:pPr>
            <w:r w:rsidRPr="00C34E8D">
              <w:rPr>
                <w:rFonts w:ascii="Calibri" w:hAnsi="Calibri" w:cs="Calibri"/>
                <w:sz w:val="16"/>
                <w:szCs w:val="16"/>
              </w:rPr>
              <w:t>036/2014</w:t>
            </w:r>
          </w:p>
        </w:tc>
        <w:tc>
          <w:tcPr>
            <w:tcW w:w="967" w:type="pct"/>
            <w:tcBorders>
              <w:left w:val="nil"/>
              <w:bottom w:val="single" w:sz="4" w:space="0" w:color="auto"/>
              <w:right w:val="nil"/>
            </w:tcBorders>
            <w:vAlign w:val="center"/>
          </w:tcPr>
          <w:p w14:paraId="41132EE1" w14:textId="02402208" w:rsidR="00951F84" w:rsidRPr="00C34E8D" w:rsidRDefault="00613EA2" w:rsidP="002E2B5B">
            <w:pPr>
              <w:rPr>
                <w:rFonts w:ascii="Calibri" w:hAnsi="Calibri" w:cs="Calibri"/>
                <w:sz w:val="16"/>
                <w:szCs w:val="16"/>
              </w:rPr>
            </w:pPr>
            <w:r w:rsidRPr="00C34E8D">
              <w:rPr>
                <w:rFonts w:ascii="Calibri" w:hAnsi="Calibri" w:cs="Calibri"/>
                <w:sz w:val="16"/>
                <w:szCs w:val="16"/>
              </w:rPr>
              <w:t xml:space="preserve">   51402.232530/2019-41</w:t>
            </w:r>
          </w:p>
        </w:tc>
        <w:tc>
          <w:tcPr>
            <w:tcW w:w="104" w:type="pct"/>
            <w:tcBorders>
              <w:left w:val="nil"/>
              <w:bottom w:val="single" w:sz="4" w:space="0" w:color="auto"/>
              <w:right w:val="nil"/>
            </w:tcBorders>
            <w:shd w:val="clear" w:color="auto" w:fill="auto"/>
            <w:noWrap/>
            <w:vAlign w:val="center"/>
          </w:tcPr>
          <w:p w14:paraId="17FA4435" w14:textId="77777777" w:rsidR="00951F84" w:rsidRPr="00C34E8D" w:rsidRDefault="00951F84" w:rsidP="002E2B5B">
            <w:pPr>
              <w:rPr>
                <w:rFonts w:ascii="Calibri" w:hAnsi="Calibri" w:cs="Calibri"/>
                <w:b/>
                <w:sz w:val="16"/>
                <w:szCs w:val="16"/>
              </w:rPr>
            </w:pPr>
          </w:p>
        </w:tc>
        <w:tc>
          <w:tcPr>
            <w:tcW w:w="483" w:type="pct"/>
            <w:tcBorders>
              <w:left w:val="nil"/>
              <w:bottom w:val="single" w:sz="4" w:space="0" w:color="auto"/>
              <w:right w:val="nil"/>
            </w:tcBorders>
            <w:shd w:val="clear" w:color="auto" w:fill="auto"/>
            <w:noWrap/>
            <w:vAlign w:val="center"/>
          </w:tcPr>
          <w:p w14:paraId="77177041" w14:textId="19883F41" w:rsidR="00951F84" w:rsidRPr="00C34E8D" w:rsidRDefault="00613EA2" w:rsidP="002E2B5B">
            <w:pPr>
              <w:jc w:val="right"/>
              <w:rPr>
                <w:rFonts w:ascii="Calibri" w:hAnsi="Calibri" w:cs="Calibri"/>
                <w:sz w:val="16"/>
                <w:szCs w:val="16"/>
              </w:rPr>
            </w:pPr>
            <w:r w:rsidRPr="00C34E8D">
              <w:rPr>
                <w:rFonts w:ascii="Calibri" w:hAnsi="Calibri" w:cs="Calibri"/>
                <w:sz w:val="16"/>
                <w:szCs w:val="16"/>
              </w:rPr>
              <w:t>34.307</w:t>
            </w:r>
          </w:p>
        </w:tc>
        <w:tc>
          <w:tcPr>
            <w:tcW w:w="102" w:type="pct"/>
            <w:vAlign w:val="bottom"/>
          </w:tcPr>
          <w:p w14:paraId="593A66FF" w14:textId="77777777" w:rsidR="00951F84" w:rsidRPr="00C34E8D" w:rsidRDefault="00951F84" w:rsidP="002E2B5B">
            <w:pPr>
              <w:rPr>
                <w:rFonts w:ascii="Calibri" w:hAnsi="Calibri" w:cs="Calibri"/>
                <w:sz w:val="16"/>
                <w:szCs w:val="16"/>
              </w:rPr>
            </w:pPr>
          </w:p>
        </w:tc>
      </w:tr>
      <w:tr w:rsidR="00913899" w:rsidRPr="00C34E8D" w14:paraId="218D692B" w14:textId="77777777" w:rsidTr="00B23D01">
        <w:trPr>
          <w:trHeight w:hRule="exact" w:val="227"/>
        </w:trPr>
        <w:tc>
          <w:tcPr>
            <w:tcW w:w="2069" w:type="pct"/>
            <w:tcBorders>
              <w:top w:val="single" w:sz="4" w:space="0" w:color="auto"/>
              <w:left w:val="nil"/>
              <w:bottom w:val="single" w:sz="4" w:space="0" w:color="auto"/>
              <w:right w:val="nil"/>
            </w:tcBorders>
            <w:shd w:val="clear" w:color="auto" w:fill="auto"/>
            <w:noWrap/>
            <w:vAlign w:val="bottom"/>
            <w:hideMark/>
          </w:tcPr>
          <w:p w14:paraId="2CE2B972" w14:textId="77777777" w:rsidR="00913899" w:rsidRPr="00C34E8D" w:rsidRDefault="00913899" w:rsidP="002E2B5B">
            <w:pPr>
              <w:rPr>
                <w:rFonts w:ascii="Calibri" w:hAnsi="Calibri" w:cs="Calibri"/>
                <w:b/>
                <w:sz w:val="16"/>
                <w:szCs w:val="16"/>
              </w:rPr>
            </w:pPr>
            <w:r w:rsidRPr="00C34E8D">
              <w:rPr>
                <w:rFonts w:ascii="Calibri" w:hAnsi="Calibri" w:cs="Calibri"/>
                <w:b/>
                <w:sz w:val="16"/>
                <w:szCs w:val="16"/>
              </w:rPr>
              <w:t>TOTAL DE CRÉDITOS A RECEBER</w:t>
            </w:r>
          </w:p>
        </w:tc>
        <w:tc>
          <w:tcPr>
            <w:tcW w:w="359" w:type="pct"/>
            <w:tcBorders>
              <w:top w:val="single" w:sz="4" w:space="0" w:color="auto"/>
              <w:left w:val="nil"/>
              <w:bottom w:val="single" w:sz="4" w:space="0" w:color="auto"/>
              <w:right w:val="nil"/>
            </w:tcBorders>
            <w:shd w:val="clear" w:color="auto" w:fill="auto"/>
            <w:noWrap/>
            <w:vAlign w:val="bottom"/>
            <w:hideMark/>
          </w:tcPr>
          <w:p w14:paraId="10F10D1B" w14:textId="77777777" w:rsidR="00913899" w:rsidRPr="00C34E8D" w:rsidRDefault="00913899" w:rsidP="002E2B5B">
            <w:pPr>
              <w:rPr>
                <w:rFonts w:ascii="Calibri" w:hAnsi="Calibri" w:cs="Calibri"/>
                <w:b/>
                <w:sz w:val="16"/>
                <w:szCs w:val="16"/>
              </w:rPr>
            </w:pPr>
          </w:p>
        </w:tc>
        <w:tc>
          <w:tcPr>
            <w:tcW w:w="85" w:type="pct"/>
            <w:tcBorders>
              <w:top w:val="single" w:sz="4" w:space="0" w:color="auto"/>
              <w:left w:val="nil"/>
              <w:bottom w:val="single" w:sz="4" w:space="0" w:color="auto"/>
              <w:right w:val="nil"/>
            </w:tcBorders>
            <w:shd w:val="clear" w:color="auto" w:fill="auto"/>
            <w:noWrap/>
            <w:vAlign w:val="bottom"/>
            <w:hideMark/>
          </w:tcPr>
          <w:p w14:paraId="0A908241" w14:textId="77777777" w:rsidR="00913899" w:rsidRPr="00C34E8D" w:rsidRDefault="00913899" w:rsidP="002E2B5B">
            <w:pPr>
              <w:rPr>
                <w:rFonts w:ascii="Calibri" w:hAnsi="Calibri" w:cs="Calibri"/>
                <w:b/>
                <w:sz w:val="16"/>
                <w:szCs w:val="16"/>
              </w:rPr>
            </w:pPr>
          </w:p>
        </w:tc>
        <w:tc>
          <w:tcPr>
            <w:tcW w:w="151" w:type="pct"/>
            <w:tcBorders>
              <w:top w:val="single" w:sz="4" w:space="0" w:color="auto"/>
              <w:left w:val="nil"/>
              <w:bottom w:val="single" w:sz="4" w:space="0" w:color="auto"/>
              <w:right w:val="nil"/>
            </w:tcBorders>
            <w:vAlign w:val="bottom"/>
          </w:tcPr>
          <w:p w14:paraId="64E1A8FD" w14:textId="77777777" w:rsidR="00913899" w:rsidRPr="00C34E8D" w:rsidRDefault="00913899" w:rsidP="002E2B5B">
            <w:pPr>
              <w:jc w:val="right"/>
              <w:rPr>
                <w:rFonts w:ascii="Calibri" w:hAnsi="Calibri" w:cs="Calibri"/>
                <w:b/>
                <w:sz w:val="16"/>
                <w:szCs w:val="16"/>
              </w:rPr>
            </w:pPr>
          </w:p>
        </w:tc>
        <w:tc>
          <w:tcPr>
            <w:tcW w:w="680" w:type="pct"/>
            <w:tcBorders>
              <w:top w:val="single" w:sz="4" w:space="0" w:color="auto"/>
              <w:left w:val="nil"/>
              <w:bottom w:val="single" w:sz="4" w:space="0" w:color="auto"/>
              <w:right w:val="nil"/>
            </w:tcBorders>
            <w:shd w:val="clear" w:color="auto" w:fill="auto"/>
            <w:noWrap/>
            <w:vAlign w:val="bottom"/>
          </w:tcPr>
          <w:p w14:paraId="401CE6A6" w14:textId="77777777" w:rsidR="00913899" w:rsidRPr="00C34E8D" w:rsidRDefault="00913899" w:rsidP="002E2B5B">
            <w:pPr>
              <w:jc w:val="right"/>
              <w:rPr>
                <w:rFonts w:ascii="Calibri" w:hAnsi="Calibri" w:cs="Calibri"/>
                <w:b/>
                <w:sz w:val="16"/>
                <w:szCs w:val="16"/>
              </w:rPr>
            </w:pPr>
          </w:p>
        </w:tc>
        <w:tc>
          <w:tcPr>
            <w:tcW w:w="967" w:type="pct"/>
            <w:tcBorders>
              <w:top w:val="single" w:sz="4" w:space="0" w:color="auto"/>
              <w:left w:val="nil"/>
              <w:bottom w:val="single" w:sz="4" w:space="0" w:color="auto"/>
              <w:right w:val="nil"/>
            </w:tcBorders>
          </w:tcPr>
          <w:p w14:paraId="2FC947FF" w14:textId="77777777" w:rsidR="00913899" w:rsidRPr="00C34E8D" w:rsidRDefault="00913899" w:rsidP="002E2B5B">
            <w:pPr>
              <w:rPr>
                <w:rFonts w:ascii="Calibri" w:hAnsi="Calibri" w:cs="Calibri"/>
                <w:b/>
                <w:sz w:val="16"/>
                <w:szCs w:val="16"/>
              </w:rPr>
            </w:pPr>
          </w:p>
        </w:tc>
        <w:tc>
          <w:tcPr>
            <w:tcW w:w="104" w:type="pct"/>
            <w:tcBorders>
              <w:top w:val="single" w:sz="4" w:space="0" w:color="auto"/>
              <w:left w:val="nil"/>
              <w:bottom w:val="single" w:sz="4" w:space="0" w:color="auto"/>
              <w:right w:val="nil"/>
            </w:tcBorders>
            <w:shd w:val="clear" w:color="auto" w:fill="auto"/>
            <w:noWrap/>
            <w:vAlign w:val="bottom"/>
            <w:hideMark/>
          </w:tcPr>
          <w:p w14:paraId="57DBC55F" w14:textId="77777777" w:rsidR="00913899" w:rsidRPr="00C34E8D" w:rsidRDefault="00913899" w:rsidP="002E2B5B">
            <w:pPr>
              <w:rPr>
                <w:rFonts w:ascii="Calibri" w:hAnsi="Calibri" w:cs="Calibri"/>
                <w:b/>
                <w:sz w:val="16"/>
                <w:szCs w:val="16"/>
              </w:rPr>
            </w:pPr>
          </w:p>
        </w:tc>
        <w:tc>
          <w:tcPr>
            <w:tcW w:w="483" w:type="pct"/>
            <w:tcBorders>
              <w:top w:val="single" w:sz="4" w:space="0" w:color="auto"/>
              <w:left w:val="nil"/>
              <w:bottom w:val="single" w:sz="4" w:space="0" w:color="auto"/>
              <w:right w:val="nil"/>
            </w:tcBorders>
            <w:shd w:val="clear" w:color="auto" w:fill="auto"/>
            <w:noWrap/>
            <w:vAlign w:val="bottom"/>
            <w:hideMark/>
          </w:tcPr>
          <w:p w14:paraId="252FAF25" w14:textId="736E5B5A" w:rsidR="00913899" w:rsidRPr="00C34E8D" w:rsidRDefault="00613EA2" w:rsidP="002E2B5B">
            <w:pPr>
              <w:jc w:val="right"/>
              <w:rPr>
                <w:rFonts w:ascii="Calibri" w:hAnsi="Calibri" w:cs="Calibri"/>
                <w:b/>
                <w:sz w:val="16"/>
                <w:szCs w:val="16"/>
              </w:rPr>
            </w:pPr>
            <w:r w:rsidRPr="00C34E8D">
              <w:rPr>
                <w:rFonts w:ascii="Calibri" w:hAnsi="Calibri" w:cs="Calibri"/>
                <w:b/>
                <w:sz w:val="16"/>
                <w:szCs w:val="16"/>
              </w:rPr>
              <w:t>12.417.128</w:t>
            </w:r>
          </w:p>
        </w:tc>
        <w:tc>
          <w:tcPr>
            <w:tcW w:w="102" w:type="pct"/>
            <w:vAlign w:val="bottom"/>
          </w:tcPr>
          <w:p w14:paraId="315EEBEB" w14:textId="77777777" w:rsidR="00913899" w:rsidRPr="00C34E8D" w:rsidRDefault="00913899" w:rsidP="002E2B5B">
            <w:pPr>
              <w:rPr>
                <w:rFonts w:ascii="Calibri" w:hAnsi="Calibri" w:cs="Calibri"/>
                <w:b/>
                <w:sz w:val="16"/>
                <w:szCs w:val="16"/>
              </w:rPr>
            </w:pPr>
          </w:p>
        </w:tc>
      </w:tr>
      <w:tr w:rsidR="00F30406" w:rsidRPr="00C34E8D" w14:paraId="3889AB86" w14:textId="77777777" w:rsidTr="00B23D01">
        <w:trPr>
          <w:trHeight w:hRule="exact" w:val="227"/>
        </w:trPr>
        <w:tc>
          <w:tcPr>
            <w:tcW w:w="2069" w:type="pct"/>
            <w:tcBorders>
              <w:top w:val="single" w:sz="4" w:space="0" w:color="auto"/>
              <w:left w:val="nil"/>
              <w:right w:val="nil"/>
            </w:tcBorders>
            <w:shd w:val="clear" w:color="auto" w:fill="auto"/>
            <w:noWrap/>
            <w:vAlign w:val="bottom"/>
          </w:tcPr>
          <w:p w14:paraId="49086572" w14:textId="77777777" w:rsidR="00F30406" w:rsidRPr="00C34E8D" w:rsidRDefault="00F30406" w:rsidP="002E2B5B">
            <w:pPr>
              <w:rPr>
                <w:rFonts w:ascii="Calibri" w:hAnsi="Calibri" w:cs="Calibri"/>
                <w:b/>
                <w:sz w:val="16"/>
                <w:szCs w:val="16"/>
              </w:rPr>
            </w:pPr>
            <w:r w:rsidRPr="00C34E8D">
              <w:rPr>
                <w:rFonts w:ascii="Calibri" w:hAnsi="Calibri" w:cs="Calibri"/>
                <w:b/>
                <w:sz w:val="16"/>
                <w:szCs w:val="16"/>
              </w:rPr>
              <w:t>Ajustes para Perdas com crédito de liquidação duvidosa</w:t>
            </w:r>
          </w:p>
        </w:tc>
        <w:tc>
          <w:tcPr>
            <w:tcW w:w="359" w:type="pct"/>
            <w:tcBorders>
              <w:top w:val="single" w:sz="4" w:space="0" w:color="auto"/>
              <w:left w:val="nil"/>
              <w:right w:val="nil"/>
            </w:tcBorders>
            <w:shd w:val="clear" w:color="auto" w:fill="auto"/>
            <w:noWrap/>
            <w:vAlign w:val="bottom"/>
          </w:tcPr>
          <w:p w14:paraId="6228A38C" w14:textId="77777777" w:rsidR="00F30406" w:rsidRPr="00C34E8D" w:rsidRDefault="00F30406" w:rsidP="002E2B5B">
            <w:pPr>
              <w:rPr>
                <w:rFonts w:ascii="Calibri" w:hAnsi="Calibri" w:cs="Calibri"/>
                <w:b/>
                <w:sz w:val="16"/>
                <w:szCs w:val="16"/>
              </w:rPr>
            </w:pPr>
          </w:p>
        </w:tc>
        <w:tc>
          <w:tcPr>
            <w:tcW w:w="85" w:type="pct"/>
            <w:tcBorders>
              <w:top w:val="single" w:sz="4" w:space="0" w:color="auto"/>
              <w:left w:val="nil"/>
              <w:right w:val="nil"/>
            </w:tcBorders>
            <w:shd w:val="clear" w:color="auto" w:fill="auto"/>
            <w:noWrap/>
            <w:vAlign w:val="bottom"/>
          </w:tcPr>
          <w:p w14:paraId="4C172998" w14:textId="77777777" w:rsidR="00F30406" w:rsidRPr="00C34E8D" w:rsidRDefault="00F30406" w:rsidP="002E2B5B">
            <w:pPr>
              <w:rPr>
                <w:rFonts w:ascii="Calibri" w:hAnsi="Calibri" w:cs="Calibri"/>
                <w:b/>
                <w:sz w:val="16"/>
                <w:szCs w:val="16"/>
              </w:rPr>
            </w:pPr>
          </w:p>
        </w:tc>
        <w:tc>
          <w:tcPr>
            <w:tcW w:w="151" w:type="pct"/>
            <w:tcBorders>
              <w:top w:val="single" w:sz="4" w:space="0" w:color="auto"/>
              <w:left w:val="nil"/>
              <w:right w:val="nil"/>
            </w:tcBorders>
            <w:vAlign w:val="bottom"/>
          </w:tcPr>
          <w:p w14:paraId="2FA39019" w14:textId="77777777" w:rsidR="00F30406" w:rsidRPr="00C34E8D" w:rsidRDefault="00F30406" w:rsidP="002E2B5B">
            <w:pPr>
              <w:jc w:val="right"/>
              <w:rPr>
                <w:rFonts w:ascii="Calibri" w:hAnsi="Calibri" w:cs="Calibri"/>
                <w:b/>
                <w:sz w:val="16"/>
                <w:szCs w:val="16"/>
              </w:rPr>
            </w:pPr>
          </w:p>
        </w:tc>
        <w:tc>
          <w:tcPr>
            <w:tcW w:w="680" w:type="pct"/>
            <w:tcBorders>
              <w:top w:val="single" w:sz="4" w:space="0" w:color="auto"/>
              <w:left w:val="nil"/>
              <w:right w:val="nil"/>
            </w:tcBorders>
            <w:shd w:val="clear" w:color="auto" w:fill="auto"/>
            <w:noWrap/>
            <w:vAlign w:val="bottom"/>
          </w:tcPr>
          <w:p w14:paraId="30DBEDCB" w14:textId="77777777" w:rsidR="00F30406" w:rsidRPr="00C34E8D" w:rsidRDefault="00F30406" w:rsidP="002E2B5B">
            <w:pPr>
              <w:jc w:val="right"/>
              <w:rPr>
                <w:rFonts w:ascii="Calibri" w:hAnsi="Calibri" w:cs="Calibri"/>
                <w:b/>
                <w:sz w:val="16"/>
                <w:szCs w:val="16"/>
              </w:rPr>
            </w:pPr>
          </w:p>
        </w:tc>
        <w:tc>
          <w:tcPr>
            <w:tcW w:w="967" w:type="pct"/>
            <w:tcBorders>
              <w:top w:val="single" w:sz="4" w:space="0" w:color="auto"/>
              <w:left w:val="nil"/>
              <w:right w:val="nil"/>
            </w:tcBorders>
          </w:tcPr>
          <w:p w14:paraId="003E4F01" w14:textId="77777777" w:rsidR="00F30406" w:rsidRPr="00C34E8D" w:rsidRDefault="00F30406" w:rsidP="002E2B5B">
            <w:pPr>
              <w:rPr>
                <w:rFonts w:ascii="Calibri" w:hAnsi="Calibri" w:cs="Calibri"/>
                <w:b/>
                <w:sz w:val="16"/>
                <w:szCs w:val="16"/>
              </w:rPr>
            </w:pPr>
          </w:p>
        </w:tc>
        <w:tc>
          <w:tcPr>
            <w:tcW w:w="104" w:type="pct"/>
            <w:tcBorders>
              <w:top w:val="single" w:sz="4" w:space="0" w:color="auto"/>
              <w:left w:val="nil"/>
              <w:right w:val="nil"/>
            </w:tcBorders>
            <w:shd w:val="clear" w:color="auto" w:fill="auto"/>
            <w:noWrap/>
            <w:vAlign w:val="bottom"/>
          </w:tcPr>
          <w:p w14:paraId="71698D10" w14:textId="77777777" w:rsidR="00F30406" w:rsidRPr="00C34E8D" w:rsidRDefault="00F30406" w:rsidP="002E2B5B">
            <w:pPr>
              <w:rPr>
                <w:rFonts w:ascii="Calibri" w:hAnsi="Calibri" w:cs="Calibri"/>
                <w:b/>
                <w:sz w:val="16"/>
                <w:szCs w:val="16"/>
              </w:rPr>
            </w:pPr>
          </w:p>
        </w:tc>
        <w:tc>
          <w:tcPr>
            <w:tcW w:w="483" w:type="pct"/>
            <w:tcBorders>
              <w:top w:val="single" w:sz="4" w:space="0" w:color="auto"/>
              <w:left w:val="nil"/>
              <w:right w:val="nil"/>
            </w:tcBorders>
            <w:shd w:val="clear" w:color="auto" w:fill="auto"/>
            <w:noWrap/>
            <w:vAlign w:val="bottom"/>
          </w:tcPr>
          <w:p w14:paraId="79558563" w14:textId="77777777" w:rsidR="00F30406" w:rsidRPr="00C34E8D" w:rsidRDefault="00F30406" w:rsidP="002E2B5B">
            <w:pPr>
              <w:jc w:val="right"/>
              <w:rPr>
                <w:rFonts w:ascii="Calibri" w:hAnsi="Calibri" w:cs="Calibri"/>
                <w:b/>
                <w:sz w:val="16"/>
                <w:szCs w:val="16"/>
              </w:rPr>
            </w:pPr>
          </w:p>
        </w:tc>
        <w:tc>
          <w:tcPr>
            <w:tcW w:w="102" w:type="pct"/>
            <w:vAlign w:val="bottom"/>
          </w:tcPr>
          <w:p w14:paraId="60EB28D0" w14:textId="77777777" w:rsidR="00F30406" w:rsidRPr="00C34E8D" w:rsidRDefault="00F30406" w:rsidP="002E2B5B">
            <w:pPr>
              <w:rPr>
                <w:rFonts w:ascii="Calibri" w:hAnsi="Calibri" w:cs="Calibri"/>
                <w:b/>
                <w:sz w:val="16"/>
                <w:szCs w:val="16"/>
              </w:rPr>
            </w:pPr>
          </w:p>
        </w:tc>
      </w:tr>
      <w:tr w:rsidR="00F30406" w:rsidRPr="00C34E8D" w14:paraId="01A096C6" w14:textId="77777777" w:rsidTr="00B23D01">
        <w:trPr>
          <w:trHeight w:hRule="exact" w:val="227"/>
        </w:trPr>
        <w:tc>
          <w:tcPr>
            <w:tcW w:w="2069" w:type="pct"/>
            <w:tcBorders>
              <w:left w:val="nil"/>
              <w:right w:val="nil"/>
            </w:tcBorders>
            <w:shd w:val="clear" w:color="auto" w:fill="auto"/>
            <w:noWrap/>
            <w:vAlign w:val="bottom"/>
          </w:tcPr>
          <w:p w14:paraId="1486061B" w14:textId="77777777" w:rsidR="00F30406" w:rsidRPr="00C34E8D" w:rsidRDefault="00F7773E" w:rsidP="002E2B5B">
            <w:pPr>
              <w:rPr>
                <w:rFonts w:ascii="Calibri" w:hAnsi="Calibri" w:cs="Calibri"/>
                <w:sz w:val="16"/>
                <w:szCs w:val="16"/>
              </w:rPr>
            </w:pPr>
            <w:r w:rsidRPr="00C34E8D">
              <w:rPr>
                <w:rFonts w:ascii="Calibri" w:hAnsi="Calibri" w:cs="Calibri"/>
                <w:sz w:val="16"/>
                <w:szCs w:val="16"/>
              </w:rPr>
              <w:t>A C CORREA CIA LTDA</w:t>
            </w:r>
          </w:p>
        </w:tc>
        <w:tc>
          <w:tcPr>
            <w:tcW w:w="359" w:type="pct"/>
            <w:tcBorders>
              <w:left w:val="nil"/>
              <w:right w:val="nil"/>
            </w:tcBorders>
            <w:shd w:val="clear" w:color="auto" w:fill="auto"/>
            <w:noWrap/>
            <w:vAlign w:val="bottom"/>
          </w:tcPr>
          <w:p w14:paraId="74A4E5CA" w14:textId="77777777" w:rsidR="00F30406" w:rsidRPr="00C34E8D" w:rsidRDefault="00F30406" w:rsidP="002E2B5B">
            <w:pPr>
              <w:rPr>
                <w:rFonts w:ascii="Calibri" w:hAnsi="Calibri" w:cs="Calibri"/>
                <w:sz w:val="16"/>
                <w:szCs w:val="16"/>
              </w:rPr>
            </w:pPr>
          </w:p>
        </w:tc>
        <w:tc>
          <w:tcPr>
            <w:tcW w:w="85" w:type="pct"/>
            <w:tcBorders>
              <w:left w:val="nil"/>
              <w:right w:val="nil"/>
            </w:tcBorders>
            <w:shd w:val="clear" w:color="auto" w:fill="auto"/>
            <w:noWrap/>
            <w:vAlign w:val="bottom"/>
          </w:tcPr>
          <w:p w14:paraId="7510681F" w14:textId="77777777" w:rsidR="00F30406" w:rsidRPr="00C34E8D" w:rsidRDefault="00F30406" w:rsidP="002E2B5B">
            <w:pPr>
              <w:rPr>
                <w:rFonts w:ascii="Calibri" w:hAnsi="Calibri" w:cs="Calibri"/>
                <w:b/>
                <w:bCs/>
                <w:sz w:val="16"/>
                <w:szCs w:val="16"/>
              </w:rPr>
            </w:pPr>
          </w:p>
        </w:tc>
        <w:tc>
          <w:tcPr>
            <w:tcW w:w="151" w:type="pct"/>
            <w:tcBorders>
              <w:left w:val="nil"/>
              <w:right w:val="nil"/>
            </w:tcBorders>
          </w:tcPr>
          <w:p w14:paraId="11776347" w14:textId="77777777" w:rsidR="00F30406" w:rsidRPr="00C34E8D" w:rsidRDefault="00F30406" w:rsidP="002E2B5B">
            <w:pPr>
              <w:jc w:val="right"/>
              <w:rPr>
                <w:rFonts w:ascii="Calibri" w:hAnsi="Calibri" w:cs="Calibri"/>
                <w:sz w:val="16"/>
                <w:szCs w:val="16"/>
              </w:rPr>
            </w:pPr>
          </w:p>
        </w:tc>
        <w:tc>
          <w:tcPr>
            <w:tcW w:w="680" w:type="pct"/>
            <w:tcBorders>
              <w:left w:val="nil"/>
              <w:right w:val="nil"/>
            </w:tcBorders>
            <w:shd w:val="clear" w:color="auto" w:fill="auto"/>
            <w:noWrap/>
            <w:vAlign w:val="center"/>
          </w:tcPr>
          <w:p w14:paraId="2C285191" w14:textId="77777777" w:rsidR="00F30406" w:rsidRPr="00C34E8D" w:rsidRDefault="00F7773E" w:rsidP="002E2B5B">
            <w:pPr>
              <w:jc w:val="right"/>
              <w:rPr>
                <w:rFonts w:ascii="Calibri" w:hAnsi="Calibri" w:cs="Calibri"/>
                <w:sz w:val="16"/>
                <w:szCs w:val="16"/>
              </w:rPr>
            </w:pPr>
            <w:r w:rsidRPr="00C34E8D">
              <w:rPr>
                <w:rFonts w:ascii="Calibri" w:hAnsi="Calibri" w:cs="Calibri"/>
                <w:sz w:val="16"/>
                <w:szCs w:val="16"/>
              </w:rPr>
              <w:t>004/2017</w:t>
            </w:r>
          </w:p>
        </w:tc>
        <w:tc>
          <w:tcPr>
            <w:tcW w:w="967" w:type="pct"/>
            <w:tcBorders>
              <w:left w:val="nil"/>
              <w:right w:val="nil"/>
            </w:tcBorders>
            <w:vAlign w:val="center"/>
          </w:tcPr>
          <w:p w14:paraId="21CDF90D" w14:textId="77777777" w:rsidR="00F30406" w:rsidRPr="00C34E8D" w:rsidRDefault="00F7773E" w:rsidP="002E2B5B">
            <w:pPr>
              <w:jc w:val="center"/>
              <w:rPr>
                <w:rFonts w:ascii="Calibri" w:hAnsi="Calibri" w:cs="Calibri"/>
                <w:sz w:val="16"/>
                <w:szCs w:val="16"/>
              </w:rPr>
            </w:pPr>
            <w:r w:rsidRPr="00C34E8D">
              <w:rPr>
                <w:rFonts w:ascii="Calibri" w:hAnsi="Calibri" w:cs="Calibri"/>
                <w:sz w:val="16"/>
                <w:szCs w:val="16"/>
              </w:rPr>
              <w:t>51402.190111/2017-63</w:t>
            </w:r>
          </w:p>
        </w:tc>
        <w:tc>
          <w:tcPr>
            <w:tcW w:w="104" w:type="pct"/>
            <w:tcBorders>
              <w:left w:val="nil"/>
              <w:right w:val="nil"/>
            </w:tcBorders>
            <w:shd w:val="clear" w:color="auto" w:fill="auto"/>
            <w:noWrap/>
            <w:vAlign w:val="center"/>
          </w:tcPr>
          <w:p w14:paraId="75D8253C" w14:textId="77777777" w:rsidR="00F30406" w:rsidRPr="00C34E8D" w:rsidRDefault="00F30406" w:rsidP="002E2B5B">
            <w:pPr>
              <w:rPr>
                <w:rFonts w:ascii="Calibri" w:hAnsi="Calibri" w:cs="Calibri"/>
                <w:sz w:val="16"/>
                <w:szCs w:val="16"/>
              </w:rPr>
            </w:pPr>
          </w:p>
        </w:tc>
        <w:tc>
          <w:tcPr>
            <w:tcW w:w="483" w:type="pct"/>
            <w:tcBorders>
              <w:left w:val="nil"/>
              <w:right w:val="nil"/>
            </w:tcBorders>
            <w:shd w:val="clear" w:color="auto" w:fill="auto"/>
            <w:noWrap/>
            <w:vAlign w:val="center"/>
          </w:tcPr>
          <w:p w14:paraId="001973E0" w14:textId="77777777" w:rsidR="00F30406" w:rsidRPr="00C34E8D" w:rsidRDefault="00F30406" w:rsidP="002E2B5B">
            <w:pPr>
              <w:jc w:val="right"/>
              <w:rPr>
                <w:rFonts w:ascii="Calibri" w:hAnsi="Calibri" w:cs="Calibri"/>
                <w:sz w:val="16"/>
                <w:szCs w:val="16"/>
              </w:rPr>
            </w:pPr>
            <w:r w:rsidRPr="00C34E8D">
              <w:rPr>
                <w:rFonts w:ascii="Calibri" w:hAnsi="Calibri" w:cs="Calibri"/>
                <w:sz w:val="16"/>
                <w:szCs w:val="16"/>
              </w:rPr>
              <w:t>(</w:t>
            </w:r>
            <w:r w:rsidR="00F7773E" w:rsidRPr="00C34E8D">
              <w:rPr>
                <w:rFonts w:ascii="Calibri" w:hAnsi="Calibri" w:cs="Calibri"/>
                <w:sz w:val="16"/>
                <w:szCs w:val="16"/>
              </w:rPr>
              <w:t>177.442</w:t>
            </w:r>
            <w:r w:rsidRPr="00C34E8D">
              <w:rPr>
                <w:rFonts w:ascii="Calibri" w:hAnsi="Calibri" w:cs="Calibri"/>
                <w:sz w:val="16"/>
                <w:szCs w:val="16"/>
              </w:rPr>
              <w:t xml:space="preserve">) </w:t>
            </w:r>
          </w:p>
        </w:tc>
        <w:tc>
          <w:tcPr>
            <w:tcW w:w="102" w:type="pct"/>
            <w:vAlign w:val="bottom"/>
          </w:tcPr>
          <w:p w14:paraId="6B7EFC43" w14:textId="77777777" w:rsidR="00F30406" w:rsidRPr="00C34E8D" w:rsidRDefault="00F30406" w:rsidP="002E2B5B">
            <w:pPr>
              <w:rPr>
                <w:rFonts w:ascii="Calibri" w:hAnsi="Calibri" w:cs="Calibri"/>
                <w:b/>
                <w:sz w:val="16"/>
                <w:szCs w:val="16"/>
              </w:rPr>
            </w:pPr>
          </w:p>
        </w:tc>
      </w:tr>
      <w:tr w:rsidR="00F7773E" w:rsidRPr="00C34E8D" w14:paraId="79481F1B" w14:textId="77777777" w:rsidTr="00B23D01">
        <w:trPr>
          <w:trHeight w:hRule="exact" w:val="227"/>
        </w:trPr>
        <w:tc>
          <w:tcPr>
            <w:tcW w:w="2069" w:type="pct"/>
            <w:tcBorders>
              <w:left w:val="nil"/>
              <w:right w:val="nil"/>
            </w:tcBorders>
            <w:shd w:val="clear" w:color="auto" w:fill="auto"/>
            <w:noWrap/>
            <w:vAlign w:val="bottom"/>
          </w:tcPr>
          <w:p w14:paraId="08C4D192" w14:textId="77777777" w:rsidR="00F7773E" w:rsidRPr="00C34E8D" w:rsidRDefault="00F7773E" w:rsidP="002E2B5B">
            <w:pPr>
              <w:rPr>
                <w:rFonts w:ascii="Calibri" w:hAnsi="Calibri" w:cs="Calibri"/>
                <w:sz w:val="16"/>
                <w:szCs w:val="16"/>
              </w:rPr>
            </w:pPr>
            <w:r w:rsidRPr="00C34E8D">
              <w:rPr>
                <w:rFonts w:ascii="Calibri" w:hAnsi="Calibri" w:cs="Calibri"/>
                <w:sz w:val="16"/>
                <w:szCs w:val="16"/>
              </w:rPr>
              <w:t>AZVI S.A DO BRASIL</w:t>
            </w:r>
          </w:p>
        </w:tc>
        <w:tc>
          <w:tcPr>
            <w:tcW w:w="359" w:type="pct"/>
            <w:tcBorders>
              <w:left w:val="nil"/>
              <w:right w:val="nil"/>
            </w:tcBorders>
            <w:shd w:val="clear" w:color="auto" w:fill="auto"/>
            <w:noWrap/>
            <w:vAlign w:val="bottom"/>
          </w:tcPr>
          <w:p w14:paraId="01A884E4" w14:textId="77777777" w:rsidR="00F7773E" w:rsidRPr="00C34E8D" w:rsidRDefault="00F7773E" w:rsidP="002E2B5B">
            <w:pPr>
              <w:rPr>
                <w:rFonts w:ascii="Calibri" w:hAnsi="Calibri" w:cs="Calibri"/>
                <w:sz w:val="16"/>
                <w:szCs w:val="16"/>
              </w:rPr>
            </w:pPr>
          </w:p>
        </w:tc>
        <w:tc>
          <w:tcPr>
            <w:tcW w:w="85" w:type="pct"/>
            <w:tcBorders>
              <w:left w:val="nil"/>
              <w:right w:val="nil"/>
            </w:tcBorders>
            <w:shd w:val="clear" w:color="auto" w:fill="auto"/>
            <w:noWrap/>
            <w:vAlign w:val="bottom"/>
          </w:tcPr>
          <w:p w14:paraId="38FEDC4F" w14:textId="77777777" w:rsidR="00F7773E" w:rsidRPr="00C34E8D" w:rsidRDefault="00F7773E" w:rsidP="002E2B5B">
            <w:pPr>
              <w:rPr>
                <w:rFonts w:ascii="Calibri" w:hAnsi="Calibri" w:cs="Calibri"/>
                <w:b/>
                <w:bCs/>
                <w:sz w:val="16"/>
                <w:szCs w:val="16"/>
              </w:rPr>
            </w:pPr>
          </w:p>
        </w:tc>
        <w:tc>
          <w:tcPr>
            <w:tcW w:w="151" w:type="pct"/>
            <w:tcBorders>
              <w:left w:val="nil"/>
              <w:right w:val="nil"/>
            </w:tcBorders>
          </w:tcPr>
          <w:p w14:paraId="24568ABF" w14:textId="77777777" w:rsidR="00F7773E" w:rsidRPr="00C34E8D" w:rsidRDefault="00F7773E" w:rsidP="002E2B5B">
            <w:pPr>
              <w:jc w:val="right"/>
              <w:rPr>
                <w:rFonts w:ascii="Calibri" w:hAnsi="Calibri" w:cs="Calibri"/>
                <w:sz w:val="16"/>
                <w:szCs w:val="16"/>
              </w:rPr>
            </w:pPr>
          </w:p>
        </w:tc>
        <w:tc>
          <w:tcPr>
            <w:tcW w:w="680" w:type="pct"/>
            <w:tcBorders>
              <w:left w:val="nil"/>
              <w:right w:val="nil"/>
            </w:tcBorders>
            <w:shd w:val="clear" w:color="auto" w:fill="auto"/>
            <w:noWrap/>
            <w:vAlign w:val="center"/>
          </w:tcPr>
          <w:p w14:paraId="27158606" w14:textId="77777777" w:rsidR="00F7773E" w:rsidRPr="00C34E8D" w:rsidRDefault="00F7773E" w:rsidP="002E2B5B">
            <w:pPr>
              <w:jc w:val="right"/>
              <w:rPr>
                <w:rFonts w:ascii="Calibri" w:hAnsi="Calibri" w:cs="Calibri"/>
                <w:sz w:val="16"/>
                <w:szCs w:val="16"/>
              </w:rPr>
            </w:pPr>
            <w:r w:rsidRPr="00C34E8D">
              <w:rPr>
                <w:rFonts w:ascii="Calibri" w:hAnsi="Calibri" w:cs="Calibri"/>
                <w:sz w:val="16"/>
                <w:szCs w:val="16"/>
              </w:rPr>
              <w:t>016/2017</w:t>
            </w:r>
          </w:p>
        </w:tc>
        <w:tc>
          <w:tcPr>
            <w:tcW w:w="967" w:type="pct"/>
            <w:tcBorders>
              <w:left w:val="nil"/>
              <w:right w:val="nil"/>
            </w:tcBorders>
            <w:vAlign w:val="center"/>
          </w:tcPr>
          <w:p w14:paraId="7FC35656" w14:textId="77777777" w:rsidR="00F7773E" w:rsidRPr="00C34E8D" w:rsidRDefault="00F7773E" w:rsidP="002E2B5B">
            <w:pPr>
              <w:jc w:val="center"/>
              <w:rPr>
                <w:rFonts w:ascii="Calibri" w:hAnsi="Calibri" w:cs="Calibri"/>
                <w:sz w:val="16"/>
                <w:szCs w:val="16"/>
              </w:rPr>
            </w:pPr>
            <w:r w:rsidRPr="00C34E8D">
              <w:rPr>
                <w:rFonts w:ascii="Calibri" w:hAnsi="Calibri" w:cs="Calibri"/>
                <w:sz w:val="16"/>
                <w:szCs w:val="16"/>
              </w:rPr>
              <w:t>51402.200534/2018-81</w:t>
            </w:r>
          </w:p>
        </w:tc>
        <w:tc>
          <w:tcPr>
            <w:tcW w:w="104" w:type="pct"/>
            <w:tcBorders>
              <w:left w:val="nil"/>
              <w:right w:val="nil"/>
            </w:tcBorders>
            <w:shd w:val="clear" w:color="auto" w:fill="auto"/>
            <w:noWrap/>
            <w:vAlign w:val="center"/>
          </w:tcPr>
          <w:p w14:paraId="03D4305C" w14:textId="77777777" w:rsidR="00F7773E" w:rsidRPr="00C34E8D" w:rsidRDefault="00F7773E" w:rsidP="002E2B5B">
            <w:pPr>
              <w:rPr>
                <w:rFonts w:ascii="Calibri" w:hAnsi="Calibri" w:cs="Calibri"/>
                <w:sz w:val="16"/>
                <w:szCs w:val="16"/>
              </w:rPr>
            </w:pPr>
          </w:p>
        </w:tc>
        <w:tc>
          <w:tcPr>
            <w:tcW w:w="483" w:type="pct"/>
            <w:tcBorders>
              <w:left w:val="nil"/>
              <w:right w:val="nil"/>
            </w:tcBorders>
            <w:shd w:val="clear" w:color="auto" w:fill="auto"/>
            <w:noWrap/>
            <w:vAlign w:val="center"/>
          </w:tcPr>
          <w:p w14:paraId="7E4FEA7F" w14:textId="77777777" w:rsidR="00F7773E" w:rsidRPr="00C34E8D" w:rsidRDefault="00F7773E" w:rsidP="002E2B5B">
            <w:pPr>
              <w:jc w:val="right"/>
              <w:rPr>
                <w:rFonts w:ascii="Calibri" w:hAnsi="Calibri" w:cs="Calibri"/>
                <w:sz w:val="16"/>
                <w:szCs w:val="16"/>
              </w:rPr>
            </w:pPr>
            <w:r w:rsidRPr="00C34E8D">
              <w:rPr>
                <w:rFonts w:ascii="Calibri" w:hAnsi="Calibri" w:cs="Calibri"/>
                <w:sz w:val="16"/>
                <w:szCs w:val="16"/>
              </w:rPr>
              <w:t>(9.739.968)</w:t>
            </w:r>
          </w:p>
        </w:tc>
        <w:tc>
          <w:tcPr>
            <w:tcW w:w="102" w:type="pct"/>
            <w:vAlign w:val="bottom"/>
          </w:tcPr>
          <w:p w14:paraId="5AE4095D" w14:textId="77777777" w:rsidR="00F7773E" w:rsidRPr="00C34E8D" w:rsidRDefault="00F7773E" w:rsidP="002E2B5B">
            <w:pPr>
              <w:rPr>
                <w:rFonts w:ascii="Calibri" w:hAnsi="Calibri" w:cs="Calibri"/>
                <w:b/>
                <w:sz w:val="16"/>
                <w:szCs w:val="16"/>
              </w:rPr>
            </w:pPr>
          </w:p>
        </w:tc>
      </w:tr>
      <w:tr w:rsidR="00F30406" w:rsidRPr="00C34E8D" w14:paraId="4D7A4730" w14:textId="77777777" w:rsidTr="00B23D01">
        <w:trPr>
          <w:trHeight w:hRule="exact" w:val="227"/>
        </w:trPr>
        <w:tc>
          <w:tcPr>
            <w:tcW w:w="2069" w:type="pct"/>
            <w:tcBorders>
              <w:left w:val="nil"/>
              <w:bottom w:val="single" w:sz="4" w:space="0" w:color="auto"/>
              <w:right w:val="nil"/>
            </w:tcBorders>
            <w:shd w:val="clear" w:color="auto" w:fill="auto"/>
            <w:noWrap/>
            <w:vAlign w:val="center"/>
          </w:tcPr>
          <w:p w14:paraId="5EDE4558" w14:textId="77777777" w:rsidR="00F30406" w:rsidRPr="00C34E8D" w:rsidRDefault="00F30406" w:rsidP="002E2B5B">
            <w:pPr>
              <w:rPr>
                <w:rFonts w:ascii="Calibri" w:hAnsi="Calibri" w:cs="Calibri"/>
                <w:sz w:val="16"/>
                <w:szCs w:val="16"/>
              </w:rPr>
            </w:pPr>
            <w:r w:rsidRPr="00C34E8D">
              <w:rPr>
                <w:rFonts w:ascii="Calibri" w:hAnsi="Calibri" w:cs="Calibri"/>
                <w:sz w:val="16"/>
                <w:szCs w:val="16"/>
              </w:rPr>
              <w:t>SPAVIAS ENGENHARIA LTDA</w:t>
            </w:r>
          </w:p>
        </w:tc>
        <w:tc>
          <w:tcPr>
            <w:tcW w:w="359" w:type="pct"/>
            <w:tcBorders>
              <w:left w:val="nil"/>
              <w:bottom w:val="single" w:sz="4" w:space="0" w:color="auto"/>
              <w:right w:val="nil"/>
            </w:tcBorders>
            <w:shd w:val="clear" w:color="auto" w:fill="auto"/>
            <w:noWrap/>
            <w:vAlign w:val="bottom"/>
          </w:tcPr>
          <w:p w14:paraId="10172899" w14:textId="77777777" w:rsidR="00F30406" w:rsidRPr="00C34E8D" w:rsidRDefault="00F30406" w:rsidP="002E2B5B">
            <w:pPr>
              <w:rPr>
                <w:rFonts w:ascii="Calibri" w:hAnsi="Calibri" w:cs="Calibri"/>
                <w:b/>
                <w:sz w:val="16"/>
                <w:szCs w:val="16"/>
              </w:rPr>
            </w:pPr>
          </w:p>
        </w:tc>
        <w:tc>
          <w:tcPr>
            <w:tcW w:w="85" w:type="pct"/>
            <w:tcBorders>
              <w:left w:val="nil"/>
              <w:bottom w:val="single" w:sz="4" w:space="0" w:color="auto"/>
              <w:right w:val="nil"/>
            </w:tcBorders>
            <w:shd w:val="clear" w:color="auto" w:fill="auto"/>
            <w:noWrap/>
            <w:vAlign w:val="bottom"/>
          </w:tcPr>
          <w:p w14:paraId="637D3113" w14:textId="77777777" w:rsidR="00F30406" w:rsidRPr="00C34E8D" w:rsidRDefault="00F30406" w:rsidP="002E2B5B">
            <w:pPr>
              <w:rPr>
                <w:rFonts w:ascii="Calibri" w:hAnsi="Calibri" w:cs="Calibri"/>
                <w:b/>
                <w:sz w:val="16"/>
                <w:szCs w:val="16"/>
              </w:rPr>
            </w:pPr>
          </w:p>
        </w:tc>
        <w:tc>
          <w:tcPr>
            <w:tcW w:w="151" w:type="pct"/>
            <w:tcBorders>
              <w:left w:val="nil"/>
              <w:bottom w:val="single" w:sz="4" w:space="0" w:color="auto"/>
              <w:right w:val="nil"/>
            </w:tcBorders>
            <w:vAlign w:val="bottom"/>
          </w:tcPr>
          <w:p w14:paraId="54D08848" w14:textId="77777777" w:rsidR="00F30406" w:rsidRPr="00C34E8D" w:rsidRDefault="00F30406" w:rsidP="002E2B5B">
            <w:pPr>
              <w:jc w:val="right"/>
              <w:rPr>
                <w:rFonts w:ascii="Calibri" w:hAnsi="Calibri" w:cs="Calibri"/>
                <w:b/>
                <w:sz w:val="16"/>
                <w:szCs w:val="16"/>
              </w:rPr>
            </w:pPr>
          </w:p>
        </w:tc>
        <w:tc>
          <w:tcPr>
            <w:tcW w:w="680" w:type="pct"/>
            <w:tcBorders>
              <w:left w:val="nil"/>
              <w:bottom w:val="single" w:sz="4" w:space="0" w:color="auto"/>
              <w:right w:val="nil"/>
            </w:tcBorders>
            <w:shd w:val="clear" w:color="auto" w:fill="auto"/>
            <w:noWrap/>
            <w:vAlign w:val="center"/>
          </w:tcPr>
          <w:p w14:paraId="5F091EF3" w14:textId="77777777" w:rsidR="00F30406" w:rsidRPr="00C34E8D" w:rsidRDefault="00F30406" w:rsidP="002E2B5B">
            <w:pPr>
              <w:jc w:val="right"/>
              <w:rPr>
                <w:rFonts w:ascii="Calibri" w:hAnsi="Calibri" w:cs="Calibri"/>
                <w:sz w:val="16"/>
                <w:szCs w:val="16"/>
              </w:rPr>
            </w:pPr>
            <w:r w:rsidRPr="00C34E8D">
              <w:rPr>
                <w:rFonts w:ascii="Calibri" w:hAnsi="Calibri" w:cs="Calibri"/>
                <w:sz w:val="16"/>
                <w:szCs w:val="16"/>
              </w:rPr>
              <w:t>036/2014</w:t>
            </w:r>
          </w:p>
        </w:tc>
        <w:tc>
          <w:tcPr>
            <w:tcW w:w="967" w:type="pct"/>
            <w:tcBorders>
              <w:left w:val="nil"/>
              <w:bottom w:val="single" w:sz="4" w:space="0" w:color="auto"/>
              <w:right w:val="nil"/>
            </w:tcBorders>
            <w:vAlign w:val="center"/>
          </w:tcPr>
          <w:p w14:paraId="7BF54696" w14:textId="77777777" w:rsidR="00F30406" w:rsidRPr="00C34E8D" w:rsidRDefault="00F30406" w:rsidP="002E2B5B">
            <w:pPr>
              <w:rPr>
                <w:rFonts w:ascii="Calibri" w:hAnsi="Calibri" w:cs="Calibri"/>
                <w:b/>
                <w:sz w:val="16"/>
                <w:szCs w:val="16"/>
              </w:rPr>
            </w:pPr>
            <w:r w:rsidRPr="00C34E8D">
              <w:rPr>
                <w:rFonts w:ascii="Calibri" w:hAnsi="Calibri" w:cs="Calibri"/>
                <w:sz w:val="16"/>
                <w:szCs w:val="16"/>
              </w:rPr>
              <w:t xml:space="preserve">   51402.198131/2018-63</w:t>
            </w:r>
          </w:p>
        </w:tc>
        <w:tc>
          <w:tcPr>
            <w:tcW w:w="104" w:type="pct"/>
            <w:tcBorders>
              <w:left w:val="nil"/>
              <w:bottom w:val="single" w:sz="4" w:space="0" w:color="auto"/>
              <w:right w:val="nil"/>
            </w:tcBorders>
            <w:shd w:val="clear" w:color="auto" w:fill="auto"/>
            <w:noWrap/>
            <w:vAlign w:val="center"/>
          </w:tcPr>
          <w:p w14:paraId="0BA1E16E" w14:textId="77777777" w:rsidR="00F30406" w:rsidRPr="00C34E8D" w:rsidRDefault="00F30406" w:rsidP="002E2B5B">
            <w:pPr>
              <w:rPr>
                <w:rFonts w:ascii="Calibri" w:hAnsi="Calibri" w:cs="Calibri"/>
                <w:b/>
                <w:sz w:val="16"/>
                <w:szCs w:val="16"/>
              </w:rPr>
            </w:pPr>
          </w:p>
        </w:tc>
        <w:tc>
          <w:tcPr>
            <w:tcW w:w="483" w:type="pct"/>
            <w:tcBorders>
              <w:left w:val="nil"/>
              <w:bottom w:val="single" w:sz="4" w:space="0" w:color="auto"/>
              <w:right w:val="nil"/>
            </w:tcBorders>
            <w:shd w:val="clear" w:color="auto" w:fill="auto"/>
            <w:noWrap/>
            <w:vAlign w:val="center"/>
          </w:tcPr>
          <w:p w14:paraId="5C51F307" w14:textId="77777777" w:rsidR="00F30406" w:rsidRPr="00C34E8D" w:rsidRDefault="00F30406" w:rsidP="002E2B5B">
            <w:pPr>
              <w:jc w:val="right"/>
              <w:rPr>
                <w:rFonts w:ascii="Calibri" w:hAnsi="Calibri" w:cs="Calibri"/>
                <w:sz w:val="16"/>
                <w:szCs w:val="16"/>
              </w:rPr>
            </w:pPr>
            <w:r w:rsidRPr="00C34E8D">
              <w:rPr>
                <w:rFonts w:ascii="Calibri" w:hAnsi="Calibri" w:cs="Calibri"/>
                <w:sz w:val="16"/>
                <w:szCs w:val="16"/>
              </w:rPr>
              <w:t>(2.465.411)</w:t>
            </w:r>
          </w:p>
        </w:tc>
        <w:tc>
          <w:tcPr>
            <w:tcW w:w="102" w:type="pct"/>
            <w:vAlign w:val="bottom"/>
          </w:tcPr>
          <w:p w14:paraId="4EE54AFA" w14:textId="77777777" w:rsidR="00F30406" w:rsidRPr="00C34E8D" w:rsidRDefault="00F30406" w:rsidP="002E2B5B">
            <w:pPr>
              <w:rPr>
                <w:rFonts w:ascii="Calibri" w:hAnsi="Calibri" w:cs="Calibri"/>
                <w:b/>
                <w:sz w:val="16"/>
                <w:szCs w:val="16"/>
              </w:rPr>
            </w:pPr>
          </w:p>
        </w:tc>
      </w:tr>
      <w:tr w:rsidR="00F30406" w:rsidRPr="00C34E8D" w14:paraId="4D6C1ABA" w14:textId="77777777" w:rsidTr="00B23D01">
        <w:trPr>
          <w:trHeight w:hRule="exact" w:val="227"/>
        </w:trPr>
        <w:tc>
          <w:tcPr>
            <w:tcW w:w="2069" w:type="pct"/>
            <w:tcBorders>
              <w:top w:val="single" w:sz="4" w:space="0" w:color="auto"/>
              <w:left w:val="nil"/>
              <w:bottom w:val="single" w:sz="4" w:space="0" w:color="auto"/>
              <w:right w:val="nil"/>
            </w:tcBorders>
            <w:shd w:val="clear" w:color="auto" w:fill="auto"/>
            <w:noWrap/>
            <w:vAlign w:val="center"/>
          </w:tcPr>
          <w:p w14:paraId="6709EBA1" w14:textId="6DEDE6D4" w:rsidR="00F30406" w:rsidRPr="00C34E8D" w:rsidRDefault="00F30406" w:rsidP="002E2B5B">
            <w:pPr>
              <w:rPr>
                <w:rFonts w:ascii="Calibri" w:hAnsi="Calibri" w:cs="Calibri"/>
                <w:b/>
                <w:bCs/>
                <w:sz w:val="16"/>
                <w:szCs w:val="16"/>
              </w:rPr>
            </w:pPr>
            <w:r w:rsidRPr="00C34E8D">
              <w:rPr>
                <w:rFonts w:ascii="Calibri" w:hAnsi="Calibri" w:cs="Calibri"/>
                <w:b/>
                <w:bCs/>
                <w:sz w:val="16"/>
                <w:szCs w:val="16"/>
              </w:rPr>
              <w:t>TOTAL LÍQUIDO DOS CRÉDITOS A RECEBER</w:t>
            </w:r>
            <w:r w:rsidR="00214011" w:rsidRPr="00C34E8D">
              <w:rPr>
                <w:rFonts w:ascii="Calibri" w:hAnsi="Calibri" w:cs="Calibri"/>
                <w:b/>
                <w:bCs/>
                <w:sz w:val="16"/>
                <w:szCs w:val="16"/>
              </w:rPr>
              <w:t xml:space="preserve"> em </w:t>
            </w:r>
            <w:r w:rsidR="00613EA2" w:rsidRPr="00C34E8D">
              <w:rPr>
                <w:rFonts w:ascii="Calibri" w:hAnsi="Calibri" w:cs="Calibri"/>
                <w:b/>
                <w:bCs/>
                <w:sz w:val="16"/>
                <w:szCs w:val="16"/>
              </w:rPr>
              <w:t>30/06/2021</w:t>
            </w:r>
          </w:p>
        </w:tc>
        <w:tc>
          <w:tcPr>
            <w:tcW w:w="359" w:type="pct"/>
            <w:tcBorders>
              <w:top w:val="single" w:sz="4" w:space="0" w:color="auto"/>
              <w:left w:val="nil"/>
              <w:bottom w:val="single" w:sz="4" w:space="0" w:color="auto"/>
              <w:right w:val="nil"/>
            </w:tcBorders>
            <w:shd w:val="clear" w:color="auto" w:fill="auto"/>
            <w:noWrap/>
            <w:vAlign w:val="bottom"/>
          </w:tcPr>
          <w:p w14:paraId="02A16E9C" w14:textId="77777777" w:rsidR="00F30406" w:rsidRPr="00C34E8D" w:rsidRDefault="00F30406" w:rsidP="002E2B5B">
            <w:pPr>
              <w:rPr>
                <w:rFonts w:ascii="Calibri" w:hAnsi="Calibri" w:cs="Calibri"/>
                <w:b/>
                <w:bCs/>
                <w:sz w:val="16"/>
                <w:szCs w:val="16"/>
              </w:rPr>
            </w:pPr>
          </w:p>
        </w:tc>
        <w:tc>
          <w:tcPr>
            <w:tcW w:w="85" w:type="pct"/>
            <w:tcBorders>
              <w:top w:val="single" w:sz="4" w:space="0" w:color="auto"/>
              <w:left w:val="nil"/>
              <w:bottom w:val="single" w:sz="4" w:space="0" w:color="auto"/>
              <w:right w:val="nil"/>
            </w:tcBorders>
            <w:shd w:val="clear" w:color="auto" w:fill="auto"/>
            <w:noWrap/>
            <w:vAlign w:val="bottom"/>
          </w:tcPr>
          <w:p w14:paraId="061D1876" w14:textId="77777777" w:rsidR="00F30406" w:rsidRPr="00C34E8D" w:rsidRDefault="00F30406" w:rsidP="002E2B5B">
            <w:pPr>
              <w:rPr>
                <w:rFonts w:ascii="Calibri" w:hAnsi="Calibri" w:cs="Calibri"/>
                <w:b/>
                <w:bCs/>
                <w:sz w:val="16"/>
                <w:szCs w:val="16"/>
              </w:rPr>
            </w:pPr>
          </w:p>
        </w:tc>
        <w:tc>
          <w:tcPr>
            <w:tcW w:w="151" w:type="pct"/>
            <w:tcBorders>
              <w:top w:val="single" w:sz="4" w:space="0" w:color="auto"/>
              <w:left w:val="nil"/>
              <w:bottom w:val="single" w:sz="4" w:space="0" w:color="auto"/>
              <w:right w:val="nil"/>
            </w:tcBorders>
            <w:vAlign w:val="bottom"/>
          </w:tcPr>
          <w:p w14:paraId="25402CC8" w14:textId="77777777" w:rsidR="00F30406" w:rsidRPr="00C34E8D" w:rsidRDefault="00F30406" w:rsidP="002E2B5B">
            <w:pPr>
              <w:jc w:val="right"/>
              <w:rPr>
                <w:rFonts w:ascii="Calibri" w:hAnsi="Calibri" w:cs="Calibri"/>
                <w:b/>
                <w:bCs/>
                <w:sz w:val="16"/>
                <w:szCs w:val="16"/>
              </w:rPr>
            </w:pPr>
          </w:p>
        </w:tc>
        <w:tc>
          <w:tcPr>
            <w:tcW w:w="680" w:type="pct"/>
            <w:tcBorders>
              <w:top w:val="single" w:sz="4" w:space="0" w:color="auto"/>
              <w:left w:val="nil"/>
              <w:bottom w:val="single" w:sz="4" w:space="0" w:color="auto"/>
              <w:right w:val="nil"/>
            </w:tcBorders>
            <w:shd w:val="clear" w:color="auto" w:fill="auto"/>
            <w:noWrap/>
            <w:vAlign w:val="bottom"/>
          </w:tcPr>
          <w:p w14:paraId="2A02AAD2" w14:textId="77777777" w:rsidR="00F30406" w:rsidRPr="00C34E8D" w:rsidRDefault="00F30406" w:rsidP="002E2B5B">
            <w:pPr>
              <w:jc w:val="right"/>
              <w:rPr>
                <w:rFonts w:ascii="Calibri" w:hAnsi="Calibri" w:cs="Calibri"/>
                <w:b/>
                <w:bCs/>
                <w:sz w:val="16"/>
                <w:szCs w:val="16"/>
              </w:rPr>
            </w:pPr>
          </w:p>
        </w:tc>
        <w:tc>
          <w:tcPr>
            <w:tcW w:w="967" w:type="pct"/>
            <w:tcBorders>
              <w:top w:val="single" w:sz="4" w:space="0" w:color="auto"/>
              <w:left w:val="nil"/>
              <w:bottom w:val="single" w:sz="4" w:space="0" w:color="auto"/>
              <w:right w:val="nil"/>
            </w:tcBorders>
          </w:tcPr>
          <w:p w14:paraId="43601165" w14:textId="77777777" w:rsidR="00F30406" w:rsidRPr="00C34E8D" w:rsidRDefault="00F30406" w:rsidP="002E2B5B">
            <w:pPr>
              <w:rPr>
                <w:rFonts w:ascii="Calibri" w:hAnsi="Calibri" w:cs="Calibri"/>
                <w:b/>
                <w:bCs/>
                <w:sz w:val="16"/>
                <w:szCs w:val="16"/>
              </w:rPr>
            </w:pPr>
          </w:p>
        </w:tc>
        <w:tc>
          <w:tcPr>
            <w:tcW w:w="104" w:type="pct"/>
            <w:tcBorders>
              <w:top w:val="single" w:sz="4" w:space="0" w:color="auto"/>
              <w:left w:val="nil"/>
              <w:bottom w:val="single" w:sz="4" w:space="0" w:color="auto"/>
              <w:right w:val="nil"/>
            </w:tcBorders>
            <w:shd w:val="clear" w:color="auto" w:fill="auto"/>
            <w:noWrap/>
            <w:vAlign w:val="bottom"/>
          </w:tcPr>
          <w:p w14:paraId="57881C61" w14:textId="77777777" w:rsidR="00F30406" w:rsidRPr="00C34E8D" w:rsidRDefault="00F30406" w:rsidP="002E2B5B">
            <w:pPr>
              <w:rPr>
                <w:rFonts w:ascii="Calibri" w:hAnsi="Calibri" w:cs="Calibri"/>
                <w:b/>
                <w:bCs/>
                <w:sz w:val="16"/>
                <w:szCs w:val="16"/>
              </w:rPr>
            </w:pPr>
          </w:p>
        </w:tc>
        <w:tc>
          <w:tcPr>
            <w:tcW w:w="483" w:type="pct"/>
            <w:tcBorders>
              <w:top w:val="single" w:sz="4" w:space="0" w:color="auto"/>
              <w:left w:val="nil"/>
              <w:bottom w:val="single" w:sz="4" w:space="0" w:color="auto"/>
              <w:right w:val="nil"/>
            </w:tcBorders>
            <w:shd w:val="clear" w:color="auto" w:fill="auto"/>
            <w:noWrap/>
            <w:vAlign w:val="center"/>
          </w:tcPr>
          <w:p w14:paraId="1BB59EBD" w14:textId="2FE429D3" w:rsidR="00F30406" w:rsidRPr="00C34E8D" w:rsidRDefault="00613EA2" w:rsidP="002E2B5B">
            <w:pPr>
              <w:jc w:val="right"/>
              <w:rPr>
                <w:rFonts w:ascii="Calibri" w:hAnsi="Calibri" w:cs="Calibri"/>
                <w:b/>
                <w:bCs/>
                <w:sz w:val="16"/>
                <w:szCs w:val="16"/>
              </w:rPr>
            </w:pPr>
            <w:r w:rsidRPr="00C34E8D">
              <w:rPr>
                <w:rFonts w:ascii="Calibri" w:hAnsi="Calibri" w:cs="Calibri"/>
                <w:b/>
                <w:bCs/>
                <w:sz w:val="16"/>
                <w:szCs w:val="16"/>
              </w:rPr>
              <w:t>34.307</w:t>
            </w:r>
          </w:p>
        </w:tc>
        <w:tc>
          <w:tcPr>
            <w:tcW w:w="102" w:type="pct"/>
            <w:vAlign w:val="bottom"/>
          </w:tcPr>
          <w:p w14:paraId="219788E9" w14:textId="77777777" w:rsidR="00F30406" w:rsidRPr="00C34E8D" w:rsidRDefault="00F30406" w:rsidP="002E2B5B">
            <w:pPr>
              <w:rPr>
                <w:rFonts w:ascii="Calibri" w:hAnsi="Calibri" w:cs="Calibri"/>
                <w:b/>
                <w:sz w:val="16"/>
                <w:szCs w:val="16"/>
              </w:rPr>
            </w:pPr>
          </w:p>
        </w:tc>
      </w:tr>
    </w:tbl>
    <w:p w14:paraId="474A215E" w14:textId="77777777" w:rsidR="005D27D4" w:rsidRPr="002E2B5B" w:rsidRDefault="005D27D4" w:rsidP="002E2B5B">
      <w:pPr>
        <w:jc w:val="both"/>
        <w:rPr>
          <w:rFonts w:ascii="Calibri" w:hAnsi="Calibri" w:cs="Calibri"/>
          <w:sz w:val="22"/>
          <w:szCs w:val="22"/>
        </w:rPr>
      </w:pPr>
    </w:p>
    <w:p w14:paraId="01EEFE26" w14:textId="7E8B8C4D" w:rsidR="00AC06B8" w:rsidRPr="002E2B5B" w:rsidRDefault="00A000CB" w:rsidP="002E2B5B">
      <w:pPr>
        <w:jc w:val="both"/>
        <w:rPr>
          <w:rFonts w:ascii="Calibri" w:hAnsi="Calibri" w:cs="Calibri"/>
          <w:sz w:val="22"/>
          <w:szCs w:val="22"/>
        </w:rPr>
      </w:pPr>
      <w:r w:rsidRPr="002E2B5B">
        <w:rPr>
          <w:rFonts w:ascii="Calibri" w:hAnsi="Calibri" w:cs="Calibri"/>
          <w:sz w:val="22"/>
          <w:szCs w:val="22"/>
        </w:rPr>
        <w:t>Após a judicialização dos processos de cobranças, foram efetuados ajustes para perdas com crédito de liquidação duvidosa no</w:t>
      </w:r>
      <w:r w:rsidR="0032609E" w:rsidRPr="002E2B5B">
        <w:rPr>
          <w:rFonts w:ascii="Calibri" w:hAnsi="Calibri" w:cs="Calibri"/>
          <w:sz w:val="22"/>
          <w:szCs w:val="22"/>
        </w:rPr>
        <w:t xml:space="preserve"> valor</w:t>
      </w:r>
      <w:r w:rsidRPr="002E2B5B">
        <w:rPr>
          <w:rFonts w:ascii="Calibri" w:hAnsi="Calibri" w:cs="Calibri"/>
          <w:sz w:val="22"/>
          <w:szCs w:val="22"/>
        </w:rPr>
        <w:t xml:space="preserve"> total de R$ </w:t>
      </w:r>
      <w:r w:rsidR="00F7773E" w:rsidRPr="002E2B5B">
        <w:rPr>
          <w:rFonts w:ascii="Calibri" w:hAnsi="Calibri" w:cs="Calibri"/>
          <w:sz w:val="22"/>
          <w:szCs w:val="22"/>
        </w:rPr>
        <w:t>12</w:t>
      </w:r>
      <w:r w:rsidR="00B23D01">
        <w:rPr>
          <w:rFonts w:ascii="Calibri" w:hAnsi="Calibri" w:cs="Calibri"/>
          <w:sz w:val="22"/>
          <w:szCs w:val="22"/>
        </w:rPr>
        <w:t xml:space="preserve"> milhões</w:t>
      </w:r>
      <w:r w:rsidRPr="002E2B5B">
        <w:rPr>
          <w:rFonts w:ascii="Calibri" w:hAnsi="Calibri" w:cs="Calibri"/>
          <w:sz w:val="22"/>
          <w:szCs w:val="22"/>
        </w:rPr>
        <w:t>.</w:t>
      </w:r>
    </w:p>
    <w:p w14:paraId="78493D3E" w14:textId="77777777" w:rsidR="00D52821" w:rsidRPr="002E2B5B" w:rsidRDefault="00D52821" w:rsidP="002E2B5B">
      <w:pPr>
        <w:jc w:val="both"/>
        <w:rPr>
          <w:rFonts w:ascii="Calibri" w:hAnsi="Calibri" w:cs="Calibri"/>
          <w:sz w:val="22"/>
          <w:szCs w:val="22"/>
        </w:rPr>
      </w:pPr>
    </w:p>
    <w:p w14:paraId="2623217C" w14:textId="26A63E5F" w:rsidR="009C6473" w:rsidRPr="002E2B5B" w:rsidRDefault="00D22F5E" w:rsidP="002E2B5B">
      <w:pPr>
        <w:jc w:val="both"/>
        <w:rPr>
          <w:rFonts w:ascii="Calibri" w:hAnsi="Calibri" w:cs="Calibri"/>
          <w:b/>
          <w:sz w:val="22"/>
          <w:szCs w:val="22"/>
        </w:rPr>
      </w:pPr>
      <w:r w:rsidRPr="002E2B5B">
        <w:rPr>
          <w:rFonts w:ascii="Calibri" w:hAnsi="Calibri" w:cs="Calibri"/>
          <w:b/>
          <w:bCs/>
          <w:sz w:val="22"/>
          <w:szCs w:val="22"/>
        </w:rPr>
        <w:t xml:space="preserve">NOTA </w:t>
      </w:r>
      <w:r w:rsidR="00BB1EC8">
        <w:rPr>
          <w:rFonts w:ascii="Calibri" w:hAnsi="Calibri" w:cs="Calibri"/>
          <w:b/>
          <w:bCs/>
          <w:sz w:val="22"/>
          <w:szCs w:val="22"/>
        </w:rPr>
        <w:t>5</w:t>
      </w:r>
      <w:r w:rsidR="00E957DE" w:rsidRPr="002E2B5B">
        <w:rPr>
          <w:rFonts w:ascii="Calibri" w:hAnsi="Calibri" w:cs="Calibri"/>
          <w:b/>
          <w:bCs/>
          <w:sz w:val="22"/>
          <w:szCs w:val="22"/>
        </w:rPr>
        <w:t xml:space="preserve"> </w:t>
      </w:r>
      <w:r w:rsidR="007D7BA1" w:rsidRPr="002E2B5B">
        <w:rPr>
          <w:rFonts w:ascii="Calibri" w:hAnsi="Calibri" w:cs="Calibri"/>
          <w:b/>
          <w:bCs/>
          <w:sz w:val="22"/>
          <w:szCs w:val="22"/>
        </w:rPr>
        <w:t>- REALIZÁVEL A LONGO PRAZO</w:t>
      </w:r>
      <w:r w:rsidR="0055378D" w:rsidRPr="002E2B5B">
        <w:rPr>
          <w:rFonts w:ascii="Calibri" w:hAnsi="Calibri" w:cs="Calibri"/>
          <w:b/>
          <w:bCs/>
          <w:sz w:val="22"/>
          <w:szCs w:val="22"/>
        </w:rPr>
        <w:t xml:space="preserve"> </w:t>
      </w:r>
    </w:p>
    <w:p w14:paraId="2CC859FB" w14:textId="77777777" w:rsidR="00393341" w:rsidRPr="002E2B5B" w:rsidRDefault="00393341" w:rsidP="002E2B5B">
      <w:pPr>
        <w:rPr>
          <w:rFonts w:ascii="Calibri" w:hAnsi="Calibri" w:cs="Calibri"/>
          <w:sz w:val="22"/>
          <w:szCs w:val="22"/>
        </w:rPr>
      </w:pPr>
    </w:p>
    <w:p w14:paraId="1D30B40C" w14:textId="77777777" w:rsidR="0008330B" w:rsidRPr="002E2B5B" w:rsidRDefault="00660339" w:rsidP="002E2B5B">
      <w:pPr>
        <w:numPr>
          <w:ilvl w:val="0"/>
          <w:numId w:val="6"/>
        </w:numPr>
        <w:ind w:left="284" w:hanging="284"/>
        <w:rPr>
          <w:rFonts w:ascii="Calibri" w:hAnsi="Calibri" w:cs="Calibri"/>
          <w:b/>
          <w:sz w:val="22"/>
          <w:szCs w:val="22"/>
        </w:rPr>
      </w:pPr>
      <w:r w:rsidRPr="002E2B5B">
        <w:rPr>
          <w:rFonts w:ascii="Calibri" w:hAnsi="Calibri" w:cs="Calibri"/>
          <w:b/>
          <w:sz w:val="22"/>
          <w:szCs w:val="22"/>
        </w:rPr>
        <w:t>Depósitos de Cauções</w:t>
      </w:r>
    </w:p>
    <w:tbl>
      <w:tblPr>
        <w:tblW w:w="5000" w:type="pct"/>
        <w:tblCellMar>
          <w:left w:w="70" w:type="dxa"/>
          <w:right w:w="70" w:type="dxa"/>
        </w:tblCellMar>
        <w:tblLook w:val="04A0" w:firstRow="1" w:lastRow="0" w:firstColumn="1" w:lastColumn="0" w:noHBand="0" w:noVBand="1"/>
      </w:tblPr>
      <w:tblGrid>
        <w:gridCol w:w="1495"/>
        <w:gridCol w:w="1495"/>
        <w:gridCol w:w="1497"/>
        <w:gridCol w:w="1191"/>
        <w:gridCol w:w="1597"/>
        <w:gridCol w:w="1597"/>
        <w:gridCol w:w="1595"/>
      </w:tblGrid>
      <w:tr w:rsidR="0008330B" w:rsidRPr="002E2B5B" w14:paraId="723D27CC" w14:textId="77777777" w:rsidTr="00D261A4">
        <w:trPr>
          <w:trHeight w:val="300"/>
        </w:trPr>
        <w:tc>
          <w:tcPr>
            <w:tcW w:w="714" w:type="pct"/>
            <w:tcBorders>
              <w:top w:val="nil"/>
              <w:left w:val="nil"/>
              <w:bottom w:val="nil"/>
              <w:right w:val="nil"/>
            </w:tcBorders>
            <w:shd w:val="clear" w:color="auto" w:fill="auto"/>
            <w:noWrap/>
            <w:vAlign w:val="center"/>
            <w:hideMark/>
          </w:tcPr>
          <w:p w14:paraId="7077FD3C" w14:textId="77777777" w:rsidR="0008330B" w:rsidRPr="002E2B5B" w:rsidRDefault="0008330B" w:rsidP="002E2B5B">
            <w:pPr>
              <w:rPr>
                <w:rFonts w:ascii="Calibri" w:hAnsi="Calibri" w:cs="Calibri"/>
                <w:sz w:val="16"/>
                <w:szCs w:val="16"/>
              </w:rPr>
            </w:pPr>
          </w:p>
        </w:tc>
        <w:tc>
          <w:tcPr>
            <w:tcW w:w="714" w:type="pct"/>
            <w:tcBorders>
              <w:top w:val="nil"/>
              <w:left w:val="nil"/>
              <w:bottom w:val="nil"/>
              <w:right w:val="nil"/>
            </w:tcBorders>
            <w:shd w:val="clear" w:color="auto" w:fill="auto"/>
            <w:noWrap/>
            <w:vAlign w:val="bottom"/>
            <w:hideMark/>
          </w:tcPr>
          <w:p w14:paraId="463ACE93" w14:textId="77777777" w:rsidR="0008330B" w:rsidRPr="002E2B5B" w:rsidRDefault="0008330B" w:rsidP="002E2B5B">
            <w:pPr>
              <w:rPr>
                <w:rFonts w:ascii="Calibri" w:hAnsi="Calibri" w:cs="Calibri"/>
                <w:sz w:val="16"/>
                <w:szCs w:val="16"/>
              </w:rPr>
            </w:pPr>
          </w:p>
        </w:tc>
        <w:tc>
          <w:tcPr>
            <w:tcW w:w="715" w:type="pct"/>
            <w:tcBorders>
              <w:top w:val="nil"/>
              <w:left w:val="nil"/>
              <w:bottom w:val="nil"/>
              <w:right w:val="nil"/>
            </w:tcBorders>
            <w:shd w:val="clear" w:color="auto" w:fill="auto"/>
            <w:noWrap/>
            <w:vAlign w:val="bottom"/>
            <w:hideMark/>
          </w:tcPr>
          <w:p w14:paraId="5913A6E8" w14:textId="77777777" w:rsidR="0008330B" w:rsidRPr="002E2B5B" w:rsidRDefault="0008330B" w:rsidP="002E2B5B">
            <w:pPr>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1F6F363" w14:textId="77777777" w:rsidR="0008330B" w:rsidRPr="002E2B5B" w:rsidRDefault="0008330B" w:rsidP="002E2B5B">
            <w:pPr>
              <w:rPr>
                <w:rFonts w:ascii="Calibri" w:hAnsi="Calibri" w:cs="Calibri"/>
                <w:sz w:val="16"/>
                <w:szCs w:val="16"/>
              </w:rPr>
            </w:pPr>
          </w:p>
        </w:tc>
        <w:tc>
          <w:tcPr>
            <w:tcW w:w="763" w:type="pct"/>
            <w:tcBorders>
              <w:top w:val="nil"/>
              <w:left w:val="nil"/>
              <w:bottom w:val="nil"/>
              <w:right w:val="nil"/>
            </w:tcBorders>
            <w:shd w:val="clear" w:color="auto" w:fill="auto"/>
            <w:noWrap/>
            <w:vAlign w:val="bottom"/>
            <w:hideMark/>
          </w:tcPr>
          <w:p w14:paraId="59E40663" w14:textId="77777777" w:rsidR="0008330B" w:rsidRPr="002E2B5B" w:rsidRDefault="0008330B" w:rsidP="002E2B5B">
            <w:pPr>
              <w:rPr>
                <w:rFonts w:ascii="Calibri" w:hAnsi="Calibri" w:cs="Calibri"/>
                <w:sz w:val="16"/>
                <w:szCs w:val="16"/>
              </w:rPr>
            </w:pPr>
          </w:p>
        </w:tc>
        <w:tc>
          <w:tcPr>
            <w:tcW w:w="763" w:type="pct"/>
            <w:tcBorders>
              <w:top w:val="nil"/>
              <w:left w:val="nil"/>
              <w:bottom w:val="nil"/>
              <w:right w:val="nil"/>
            </w:tcBorders>
            <w:shd w:val="clear" w:color="auto" w:fill="auto"/>
            <w:noWrap/>
            <w:vAlign w:val="bottom"/>
            <w:hideMark/>
          </w:tcPr>
          <w:p w14:paraId="1BD5F39C" w14:textId="77777777" w:rsidR="0008330B" w:rsidRPr="002E2B5B" w:rsidRDefault="0008330B" w:rsidP="002E2B5B">
            <w:pPr>
              <w:rPr>
                <w:rFonts w:ascii="Calibri" w:hAnsi="Calibri" w:cs="Calibri"/>
                <w:sz w:val="16"/>
                <w:szCs w:val="16"/>
              </w:rPr>
            </w:pPr>
          </w:p>
        </w:tc>
        <w:tc>
          <w:tcPr>
            <w:tcW w:w="762" w:type="pct"/>
            <w:tcBorders>
              <w:top w:val="nil"/>
              <w:left w:val="nil"/>
              <w:bottom w:val="nil"/>
              <w:right w:val="nil"/>
            </w:tcBorders>
            <w:shd w:val="clear" w:color="auto" w:fill="auto"/>
            <w:noWrap/>
            <w:vAlign w:val="bottom"/>
            <w:hideMark/>
          </w:tcPr>
          <w:p w14:paraId="79EF73DF" w14:textId="77777777" w:rsidR="0008330B" w:rsidRPr="002E2B5B" w:rsidRDefault="0008330B" w:rsidP="002E2B5B">
            <w:pPr>
              <w:rPr>
                <w:rFonts w:ascii="Calibri" w:hAnsi="Calibri" w:cs="Calibri"/>
                <w:sz w:val="16"/>
                <w:szCs w:val="16"/>
              </w:rPr>
            </w:pPr>
          </w:p>
        </w:tc>
      </w:tr>
      <w:tr w:rsidR="00112A99" w:rsidRPr="002E2B5B" w14:paraId="29892185" w14:textId="77777777" w:rsidTr="00112A99">
        <w:trPr>
          <w:trHeight w:val="315"/>
        </w:trPr>
        <w:tc>
          <w:tcPr>
            <w:tcW w:w="2143" w:type="pct"/>
            <w:gridSpan w:val="3"/>
            <w:tcBorders>
              <w:top w:val="nil"/>
              <w:left w:val="nil"/>
              <w:bottom w:val="single" w:sz="8" w:space="0" w:color="auto"/>
              <w:right w:val="nil"/>
            </w:tcBorders>
            <w:shd w:val="clear" w:color="auto" w:fill="auto"/>
            <w:noWrap/>
            <w:vAlign w:val="center"/>
            <w:hideMark/>
          </w:tcPr>
          <w:p w14:paraId="2F2CABA1" w14:textId="77777777" w:rsidR="00112A99" w:rsidRPr="002E2B5B" w:rsidRDefault="00112A99" w:rsidP="002E2B5B">
            <w:pPr>
              <w:rPr>
                <w:rFonts w:ascii="Calibri" w:hAnsi="Calibri" w:cs="Calibri"/>
                <w:b/>
                <w:bCs/>
                <w:color w:val="000000"/>
                <w:sz w:val="16"/>
                <w:szCs w:val="16"/>
              </w:rPr>
            </w:pPr>
            <w:r w:rsidRPr="002E2B5B">
              <w:rPr>
                <w:rFonts w:ascii="Calibri" w:hAnsi="Calibri" w:cs="Calibri"/>
                <w:b/>
                <w:bCs/>
                <w:color w:val="000000"/>
                <w:sz w:val="16"/>
                <w:szCs w:val="16"/>
              </w:rPr>
              <w:t>DEPÓSITOS DE CAUÇÕES</w:t>
            </w:r>
          </w:p>
        </w:tc>
        <w:tc>
          <w:tcPr>
            <w:tcW w:w="569" w:type="pct"/>
            <w:tcBorders>
              <w:top w:val="nil"/>
              <w:left w:val="nil"/>
              <w:bottom w:val="single" w:sz="8" w:space="0" w:color="auto"/>
              <w:right w:val="nil"/>
            </w:tcBorders>
            <w:shd w:val="clear" w:color="auto" w:fill="auto"/>
            <w:vAlign w:val="center"/>
            <w:hideMark/>
          </w:tcPr>
          <w:p w14:paraId="5FC11654" w14:textId="77777777" w:rsidR="00112A99" w:rsidRPr="002E2B5B" w:rsidRDefault="00112A99"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763" w:type="pct"/>
            <w:tcBorders>
              <w:top w:val="nil"/>
              <w:left w:val="nil"/>
              <w:bottom w:val="single" w:sz="8" w:space="0" w:color="auto"/>
              <w:right w:val="nil"/>
            </w:tcBorders>
            <w:shd w:val="clear" w:color="auto" w:fill="auto"/>
            <w:noWrap/>
            <w:vAlign w:val="bottom"/>
          </w:tcPr>
          <w:p w14:paraId="0D82825D" w14:textId="77777777" w:rsidR="00112A99" w:rsidRPr="002E2B5B" w:rsidRDefault="00112A99" w:rsidP="002E2B5B">
            <w:pPr>
              <w:jc w:val="right"/>
              <w:rPr>
                <w:rFonts w:ascii="Calibri" w:hAnsi="Calibri" w:cs="Calibri"/>
                <w:b/>
                <w:bCs/>
                <w:color w:val="000000"/>
                <w:sz w:val="16"/>
                <w:szCs w:val="16"/>
              </w:rPr>
            </w:pPr>
          </w:p>
        </w:tc>
        <w:tc>
          <w:tcPr>
            <w:tcW w:w="763" w:type="pct"/>
            <w:tcBorders>
              <w:top w:val="nil"/>
              <w:left w:val="nil"/>
              <w:bottom w:val="single" w:sz="8" w:space="0" w:color="auto"/>
              <w:right w:val="nil"/>
            </w:tcBorders>
            <w:shd w:val="clear" w:color="auto" w:fill="auto"/>
            <w:noWrap/>
            <w:vAlign w:val="bottom"/>
            <w:hideMark/>
          </w:tcPr>
          <w:p w14:paraId="62CFE833" w14:textId="1ACA2C2D" w:rsidR="00112A99" w:rsidRPr="002E2B5B" w:rsidRDefault="00FB23F1" w:rsidP="002E2B5B">
            <w:pPr>
              <w:jc w:val="right"/>
              <w:rPr>
                <w:rFonts w:ascii="Calibri" w:hAnsi="Calibri" w:cs="Calibri"/>
                <w:b/>
                <w:bCs/>
                <w:color w:val="000000"/>
                <w:sz w:val="16"/>
                <w:szCs w:val="16"/>
              </w:rPr>
            </w:pPr>
            <w:r>
              <w:rPr>
                <w:rFonts w:ascii="Calibri" w:hAnsi="Calibri" w:cs="Calibri"/>
                <w:b/>
                <w:bCs/>
                <w:color w:val="000000"/>
                <w:sz w:val="16"/>
                <w:szCs w:val="16"/>
              </w:rPr>
              <w:t>30/06</w:t>
            </w:r>
            <w:r w:rsidR="00973582">
              <w:rPr>
                <w:rFonts w:ascii="Calibri" w:hAnsi="Calibri" w:cs="Calibri"/>
                <w:b/>
                <w:bCs/>
                <w:color w:val="000000"/>
                <w:sz w:val="16"/>
                <w:szCs w:val="16"/>
              </w:rPr>
              <w:t>/</w:t>
            </w:r>
            <w:r w:rsidR="00112A99" w:rsidRPr="002E2B5B">
              <w:rPr>
                <w:rFonts w:ascii="Calibri" w:hAnsi="Calibri" w:cs="Calibri"/>
                <w:b/>
                <w:bCs/>
                <w:color w:val="000000"/>
                <w:sz w:val="16"/>
                <w:szCs w:val="16"/>
              </w:rPr>
              <w:t>202</w:t>
            </w:r>
            <w:r w:rsidR="00973582">
              <w:rPr>
                <w:rFonts w:ascii="Calibri" w:hAnsi="Calibri" w:cs="Calibri"/>
                <w:b/>
                <w:bCs/>
                <w:color w:val="000000"/>
                <w:sz w:val="16"/>
                <w:szCs w:val="16"/>
              </w:rPr>
              <w:t>1</w:t>
            </w:r>
          </w:p>
        </w:tc>
        <w:tc>
          <w:tcPr>
            <w:tcW w:w="762" w:type="pct"/>
            <w:tcBorders>
              <w:top w:val="nil"/>
              <w:left w:val="nil"/>
              <w:bottom w:val="single" w:sz="8" w:space="0" w:color="auto"/>
              <w:right w:val="nil"/>
            </w:tcBorders>
            <w:shd w:val="clear" w:color="auto" w:fill="auto"/>
            <w:noWrap/>
            <w:vAlign w:val="bottom"/>
          </w:tcPr>
          <w:p w14:paraId="5D0BD221" w14:textId="4877F17E" w:rsidR="00112A99" w:rsidRPr="002E2B5B" w:rsidRDefault="00112A99"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73582">
              <w:rPr>
                <w:rFonts w:ascii="Calibri" w:hAnsi="Calibri" w:cs="Calibri"/>
                <w:b/>
                <w:bCs/>
                <w:color w:val="000000"/>
                <w:sz w:val="16"/>
                <w:szCs w:val="16"/>
              </w:rPr>
              <w:t>20</w:t>
            </w:r>
          </w:p>
        </w:tc>
      </w:tr>
      <w:tr w:rsidR="00112A99" w:rsidRPr="002E2B5B" w14:paraId="63BB820B" w14:textId="77777777" w:rsidTr="00112A99">
        <w:trPr>
          <w:trHeight w:val="300"/>
        </w:trPr>
        <w:tc>
          <w:tcPr>
            <w:tcW w:w="2143" w:type="pct"/>
            <w:gridSpan w:val="3"/>
            <w:tcBorders>
              <w:top w:val="nil"/>
              <w:left w:val="nil"/>
              <w:bottom w:val="nil"/>
              <w:right w:val="nil"/>
            </w:tcBorders>
            <w:shd w:val="clear" w:color="auto" w:fill="auto"/>
            <w:noWrap/>
            <w:vAlign w:val="center"/>
            <w:hideMark/>
          </w:tcPr>
          <w:p w14:paraId="0CD7A384" w14:textId="77777777" w:rsidR="00112A99" w:rsidRPr="002E2B5B" w:rsidRDefault="00112A99" w:rsidP="002E2B5B">
            <w:pPr>
              <w:rPr>
                <w:rFonts w:ascii="Calibri" w:hAnsi="Calibri" w:cs="Calibri"/>
                <w:color w:val="000000"/>
                <w:sz w:val="16"/>
                <w:szCs w:val="16"/>
              </w:rPr>
            </w:pPr>
            <w:r w:rsidRPr="002E2B5B">
              <w:rPr>
                <w:rFonts w:ascii="Calibri" w:hAnsi="Calibri" w:cs="Calibri"/>
                <w:color w:val="000000"/>
                <w:sz w:val="16"/>
                <w:szCs w:val="16"/>
              </w:rPr>
              <w:t>Saldo do exercício anterior</w:t>
            </w:r>
          </w:p>
        </w:tc>
        <w:tc>
          <w:tcPr>
            <w:tcW w:w="569" w:type="pct"/>
            <w:tcBorders>
              <w:top w:val="nil"/>
              <w:left w:val="nil"/>
              <w:bottom w:val="nil"/>
              <w:right w:val="nil"/>
            </w:tcBorders>
            <w:shd w:val="clear" w:color="auto" w:fill="auto"/>
            <w:vAlign w:val="center"/>
            <w:hideMark/>
          </w:tcPr>
          <w:p w14:paraId="47A8BB45" w14:textId="77777777" w:rsidR="00112A99" w:rsidRPr="002E2B5B" w:rsidRDefault="00112A99" w:rsidP="002E2B5B">
            <w:pPr>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tcPr>
          <w:p w14:paraId="2F252860" w14:textId="77777777" w:rsidR="00112A99" w:rsidRPr="002E2B5B" w:rsidRDefault="00112A99" w:rsidP="002E2B5B">
            <w:pPr>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3F8AAA57" w14:textId="77777777" w:rsidR="00112A99" w:rsidRPr="002E2B5B" w:rsidRDefault="00112A99" w:rsidP="002E2B5B">
            <w:pPr>
              <w:jc w:val="right"/>
              <w:rPr>
                <w:rFonts w:ascii="Calibri" w:hAnsi="Calibri" w:cs="Calibri"/>
                <w:color w:val="000000"/>
                <w:sz w:val="16"/>
                <w:szCs w:val="16"/>
              </w:rPr>
            </w:pPr>
            <w:r w:rsidRPr="002E2B5B">
              <w:rPr>
                <w:rFonts w:ascii="Calibri" w:hAnsi="Calibri" w:cs="Calibri"/>
                <w:color w:val="000000"/>
                <w:sz w:val="16"/>
                <w:szCs w:val="16"/>
              </w:rPr>
              <w:t>233.338</w:t>
            </w:r>
          </w:p>
        </w:tc>
        <w:tc>
          <w:tcPr>
            <w:tcW w:w="762" w:type="pct"/>
            <w:tcBorders>
              <w:top w:val="nil"/>
              <w:left w:val="nil"/>
              <w:bottom w:val="nil"/>
              <w:right w:val="nil"/>
            </w:tcBorders>
            <w:shd w:val="clear" w:color="auto" w:fill="auto"/>
            <w:noWrap/>
            <w:vAlign w:val="center"/>
          </w:tcPr>
          <w:p w14:paraId="45B59FAD" w14:textId="5B26F57B" w:rsidR="00112A99" w:rsidRPr="002E2B5B" w:rsidRDefault="00112A99" w:rsidP="002E2B5B">
            <w:pPr>
              <w:jc w:val="right"/>
              <w:rPr>
                <w:rFonts w:ascii="Calibri" w:hAnsi="Calibri" w:cs="Calibri"/>
                <w:color w:val="000000"/>
                <w:sz w:val="16"/>
                <w:szCs w:val="16"/>
              </w:rPr>
            </w:pPr>
            <w:r w:rsidRPr="002E2B5B">
              <w:rPr>
                <w:rFonts w:ascii="Calibri" w:hAnsi="Calibri" w:cs="Calibri"/>
                <w:color w:val="000000"/>
                <w:sz w:val="16"/>
                <w:szCs w:val="16"/>
              </w:rPr>
              <w:t>233.</w:t>
            </w:r>
            <w:r w:rsidR="00973582">
              <w:rPr>
                <w:rFonts w:ascii="Calibri" w:hAnsi="Calibri" w:cs="Calibri"/>
                <w:color w:val="000000"/>
                <w:sz w:val="16"/>
                <w:szCs w:val="16"/>
              </w:rPr>
              <w:t>338</w:t>
            </w:r>
          </w:p>
        </w:tc>
      </w:tr>
      <w:tr w:rsidR="00112A99" w:rsidRPr="002E2B5B" w14:paraId="5C554CBB" w14:textId="77777777" w:rsidTr="00112A99">
        <w:trPr>
          <w:trHeight w:val="300"/>
        </w:trPr>
        <w:tc>
          <w:tcPr>
            <w:tcW w:w="714" w:type="pct"/>
            <w:tcBorders>
              <w:top w:val="nil"/>
              <w:left w:val="nil"/>
              <w:bottom w:val="nil"/>
              <w:right w:val="nil"/>
            </w:tcBorders>
            <w:shd w:val="clear" w:color="auto" w:fill="auto"/>
            <w:noWrap/>
            <w:vAlign w:val="center"/>
            <w:hideMark/>
          </w:tcPr>
          <w:p w14:paraId="2B78C3CD" w14:textId="77777777" w:rsidR="00112A99" w:rsidRPr="002E2B5B" w:rsidRDefault="00112A99" w:rsidP="002E2B5B">
            <w:pPr>
              <w:rPr>
                <w:rFonts w:ascii="Calibri" w:hAnsi="Calibri" w:cs="Calibri"/>
                <w:color w:val="000000"/>
                <w:sz w:val="16"/>
                <w:szCs w:val="16"/>
              </w:rPr>
            </w:pPr>
            <w:r w:rsidRPr="002E2B5B">
              <w:rPr>
                <w:rFonts w:ascii="Calibri" w:hAnsi="Calibri" w:cs="Calibri"/>
                <w:color w:val="000000"/>
                <w:sz w:val="16"/>
                <w:szCs w:val="16"/>
              </w:rPr>
              <w:t>Ingressos</w:t>
            </w:r>
          </w:p>
        </w:tc>
        <w:tc>
          <w:tcPr>
            <w:tcW w:w="714" w:type="pct"/>
            <w:tcBorders>
              <w:top w:val="nil"/>
              <w:left w:val="nil"/>
              <w:bottom w:val="nil"/>
              <w:right w:val="nil"/>
            </w:tcBorders>
            <w:shd w:val="clear" w:color="auto" w:fill="auto"/>
            <w:noWrap/>
            <w:vAlign w:val="bottom"/>
            <w:hideMark/>
          </w:tcPr>
          <w:p w14:paraId="52FC6736" w14:textId="77777777" w:rsidR="00112A99" w:rsidRPr="002E2B5B" w:rsidRDefault="00112A99" w:rsidP="002E2B5B">
            <w:pPr>
              <w:rPr>
                <w:rFonts w:ascii="Calibri" w:hAnsi="Calibri" w:cs="Calibri"/>
                <w:color w:val="000000"/>
                <w:sz w:val="16"/>
                <w:szCs w:val="16"/>
              </w:rPr>
            </w:pPr>
          </w:p>
        </w:tc>
        <w:tc>
          <w:tcPr>
            <w:tcW w:w="715" w:type="pct"/>
            <w:tcBorders>
              <w:top w:val="nil"/>
              <w:left w:val="nil"/>
              <w:bottom w:val="nil"/>
              <w:right w:val="nil"/>
            </w:tcBorders>
            <w:shd w:val="clear" w:color="auto" w:fill="auto"/>
            <w:noWrap/>
            <w:vAlign w:val="bottom"/>
            <w:hideMark/>
          </w:tcPr>
          <w:p w14:paraId="3810775B" w14:textId="77777777" w:rsidR="00112A99" w:rsidRPr="002E2B5B" w:rsidRDefault="00112A99" w:rsidP="002E2B5B">
            <w:pPr>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ABFB7BF" w14:textId="77777777" w:rsidR="00112A99" w:rsidRPr="002E2B5B" w:rsidRDefault="00112A99" w:rsidP="002E2B5B">
            <w:pPr>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57F9047C" w14:textId="77777777" w:rsidR="00112A99" w:rsidRPr="002E2B5B" w:rsidRDefault="00112A99" w:rsidP="002E2B5B">
            <w:pPr>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072DEAAF" w14:textId="3B890CB2" w:rsidR="00112A99" w:rsidRPr="002E2B5B" w:rsidRDefault="00973582" w:rsidP="002E2B5B">
            <w:pPr>
              <w:jc w:val="right"/>
              <w:rPr>
                <w:rFonts w:ascii="Calibri" w:hAnsi="Calibri" w:cs="Calibri"/>
                <w:color w:val="000000"/>
                <w:sz w:val="16"/>
                <w:szCs w:val="16"/>
              </w:rPr>
            </w:pPr>
            <w:r w:rsidRPr="00973582">
              <w:rPr>
                <w:rFonts w:ascii="Calibri" w:hAnsi="Calibri" w:cs="Calibri"/>
                <w:color w:val="000000"/>
                <w:sz w:val="16"/>
                <w:szCs w:val="16"/>
              </w:rPr>
              <w:t>58</w:t>
            </w:r>
            <w:r>
              <w:rPr>
                <w:rFonts w:ascii="Calibri" w:hAnsi="Calibri" w:cs="Calibri"/>
                <w:color w:val="000000"/>
                <w:sz w:val="16"/>
                <w:szCs w:val="16"/>
              </w:rPr>
              <w:t>.</w:t>
            </w:r>
            <w:r w:rsidRPr="00973582">
              <w:rPr>
                <w:rFonts w:ascii="Calibri" w:hAnsi="Calibri" w:cs="Calibri"/>
                <w:color w:val="000000"/>
                <w:sz w:val="16"/>
                <w:szCs w:val="16"/>
              </w:rPr>
              <w:t>320</w:t>
            </w:r>
          </w:p>
        </w:tc>
        <w:tc>
          <w:tcPr>
            <w:tcW w:w="762" w:type="pct"/>
            <w:tcBorders>
              <w:top w:val="nil"/>
              <w:left w:val="nil"/>
              <w:bottom w:val="nil"/>
              <w:right w:val="nil"/>
            </w:tcBorders>
            <w:shd w:val="clear" w:color="auto" w:fill="auto"/>
            <w:noWrap/>
            <w:vAlign w:val="center"/>
          </w:tcPr>
          <w:p w14:paraId="0790E2B1" w14:textId="77777777" w:rsidR="00112A99" w:rsidRPr="002E2B5B" w:rsidRDefault="00112A99" w:rsidP="002E2B5B">
            <w:pPr>
              <w:jc w:val="right"/>
              <w:rPr>
                <w:rFonts w:ascii="Calibri" w:hAnsi="Calibri" w:cs="Calibri"/>
                <w:color w:val="000000"/>
                <w:sz w:val="16"/>
                <w:szCs w:val="16"/>
              </w:rPr>
            </w:pPr>
            <w:r w:rsidRPr="002E2B5B">
              <w:rPr>
                <w:rFonts w:ascii="Calibri" w:hAnsi="Calibri" w:cs="Calibri"/>
                <w:color w:val="000000"/>
                <w:sz w:val="16"/>
                <w:szCs w:val="16"/>
              </w:rPr>
              <w:t>0</w:t>
            </w:r>
          </w:p>
        </w:tc>
      </w:tr>
      <w:tr w:rsidR="00112A99" w:rsidRPr="002E2B5B" w14:paraId="3709B5AD" w14:textId="77777777" w:rsidTr="00112A99">
        <w:trPr>
          <w:trHeight w:val="300"/>
        </w:trPr>
        <w:tc>
          <w:tcPr>
            <w:tcW w:w="714" w:type="pct"/>
            <w:tcBorders>
              <w:top w:val="nil"/>
              <w:left w:val="nil"/>
              <w:bottom w:val="nil"/>
              <w:right w:val="nil"/>
            </w:tcBorders>
            <w:shd w:val="clear" w:color="auto" w:fill="auto"/>
            <w:noWrap/>
            <w:vAlign w:val="center"/>
            <w:hideMark/>
          </w:tcPr>
          <w:p w14:paraId="4F6D971F" w14:textId="77777777" w:rsidR="00112A99" w:rsidRPr="002E2B5B" w:rsidRDefault="00112A99" w:rsidP="002E2B5B">
            <w:pPr>
              <w:rPr>
                <w:rFonts w:ascii="Calibri" w:hAnsi="Calibri" w:cs="Calibri"/>
                <w:color w:val="000000"/>
                <w:sz w:val="16"/>
                <w:szCs w:val="16"/>
              </w:rPr>
            </w:pPr>
            <w:r w:rsidRPr="002E2B5B">
              <w:rPr>
                <w:rFonts w:ascii="Calibri" w:hAnsi="Calibri" w:cs="Calibri"/>
                <w:color w:val="000000"/>
                <w:sz w:val="16"/>
                <w:szCs w:val="16"/>
              </w:rPr>
              <w:t>Baixas</w:t>
            </w:r>
          </w:p>
        </w:tc>
        <w:tc>
          <w:tcPr>
            <w:tcW w:w="714" w:type="pct"/>
            <w:tcBorders>
              <w:top w:val="nil"/>
              <w:left w:val="nil"/>
              <w:bottom w:val="nil"/>
              <w:right w:val="nil"/>
            </w:tcBorders>
            <w:shd w:val="clear" w:color="auto" w:fill="auto"/>
            <w:noWrap/>
            <w:vAlign w:val="center"/>
            <w:hideMark/>
          </w:tcPr>
          <w:p w14:paraId="3A4B5D66" w14:textId="77777777" w:rsidR="00112A99" w:rsidRPr="002E2B5B" w:rsidRDefault="00112A99" w:rsidP="002E2B5B">
            <w:pPr>
              <w:rPr>
                <w:rFonts w:ascii="Calibri" w:hAnsi="Calibri" w:cs="Calibri"/>
                <w:color w:val="000000"/>
                <w:sz w:val="16"/>
                <w:szCs w:val="16"/>
              </w:rPr>
            </w:pPr>
          </w:p>
        </w:tc>
        <w:tc>
          <w:tcPr>
            <w:tcW w:w="715" w:type="pct"/>
            <w:tcBorders>
              <w:top w:val="nil"/>
              <w:left w:val="nil"/>
              <w:bottom w:val="nil"/>
              <w:right w:val="nil"/>
            </w:tcBorders>
            <w:shd w:val="clear" w:color="auto" w:fill="auto"/>
            <w:noWrap/>
            <w:vAlign w:val="center"/>
            <w:hideMark/>
          </w:tcPr>
          <w:p w14:paraId="784AE36C" w14:textId="77777777" w:rsidR="00112A99" w:rsidRPr="002E2B5B" w:rsidRDefault="00112A99" w:rsidP="002E2B5B">
            <w:pPr>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C03B07A" w14:textId="77777777" w:rsidR="00112A99" w:rsidRPr="002E2B5B" w:rsidRDefault="00112A99" w:rsidP="002E2B5B">
            <w:pPr>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6496171A" w14:textId="77777777" w:rsidR="00112A99" w:rsidRPr="002E2B5B" w:rsidRDefault="00112A99" w:rsidP="002E2B5B">
            <w:pPr>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6D01381A" w14:textId="079C3A9A" w:rsidR="00112A99" w:rsidRPr="002E2B5B" w:rsidRDefault="00973582" w:rsidP="002E2B5B">
            <w:pPr>
              <w:jc w:val="right"/>
              <w:rPr>
                <w:rFonts w:ascii="Calibri" w:hAnsi="Calibri" w:cs="Calibri"/>
                <w:color w:val="000000"/>
                <w:sz w:val="16"/>
                <w:szCs w:val="16"/>
              </w:rPr>
            </w:pPr>
            <w:r>
              <w:rPr>
                <w:rFonts w:ascii="Calibri" w:hAnsi="Calibri" w:cs="Calibri"/>
                <w:color w:val="000000"/>
                <w:sz w:val="16"/>
                <w:szCs w:val="16"/>
              </w:rPr>
              <w:t>(</w:t>
            </w:r>
            <w:r w:rsidRPr="00973582">
              <w:rPr>
                <w:rFonts w:ascii="Calibri" w:hAnsi="Calibri" w:cs="Calibri"/>
                <w:color w:val="000000"/>
                <w:sz w:val="16"/>
                <w:szCs w:val="16"/>
              </w:rPr>
              <w:t>33</w:t>
            </w:r>
            <w:r>
              <w:rPr>
                <w:rFonts w:ascii="Calibri" w:hAnsi="Calibri" w:cs="Calibri"/>
                <w:color w:val="000000"/>
                <w:sz w:val="16"/>
                <w:szCs w:val="16"/>
              </w:rPr>
              <w:t>.</w:t>
            </w:r>
            <w:r w:rsidRPr="00973582">
              <w:rPr>
                <w:rFonts w:ascii="Calibri" w:hAnsi="Calibri" w:cs="Calibri"/>
                <w:color w:val="000000"/>
                <w:sz w:val="16"/>
                <w:szCs w:val="16"/>
              </w:rPr>
              <w:t>77</w:t>
            </w:r>
            <w:r>
              <w:rPr>
                <w:rFonts w:ascii="Calibri" w:hAnsi="Calibri" w:cs="Calibri"/>
                <w:color w:val="000000"/>
                <w:sz w:val="16"/>
                <w:szCs w:val="16"/>
              </w:rPr>
              <w:t>9)</w:t>
            </w:r>
          </w:p>
        </w:tc>
        <w:tc>
          <w:tcPr>
            <w:tcW w:w="762" w:type="pct"/>
            <w:tcBorders>
              <w:top w:val="nil"/>
              <w:left w:val="nil"/>
              <w:bottom w:val="nil"/>
              <w:right w:val="nil"/>
            </w:tcBorders>
            <w:shd w:val="clear" w:color="auto" w:fill="auto"/>
            <w:noWrap/>
            <w:vAlign w:val="center"/>
          </w:tcPr>
          <w:p w14:paraId="62D240B8" w14:textId="2E601407" w:rsidR="00112A99" w:rsidRPr="002E2B5B" w:rsidRDefault="00973582" w:rsidP="002E2B5B">
            <w:pPr>
              <w:jc w:val="right"/>
              <w:rPr>
                <w:rFonts w:ascii="Calibri" w:hAnsi="Calibri" w:cs="Calibri"/>
                <w:color w:val="000000"/>
                <w:sz w:val="16"/>
                <w:szCs w:val="16"/>
              </w:rPr>
            </w:pPr>
            <w:r>
              <w:rPr>
                <w:rFonts w:ascii="Calibri" w:hAnsi="Calibri" w:cs="Calibri"/>
                <w:color w:val="000000"/>
                <w:sz w:val="16"/>
                <w:szCs w:val="16"/>
              </w:rPr>
              <w:t>0</w:t>
            </w:r>
          </w:p>
        </w:tc>
      </w:tr>
      <w:tr w:rsidR="00112A99" w:rsidRPr="002E2B5B" w14:paraId="44B827DF" w14:textId="77777777" w:rsidTr="00112A99">
        <w:trPr>
          <w:trHeight w:val="315"/>
        </w:trPr>
        <w:tc>
          <w:tcPr>
            <w:tcW w:w="2143" w:type="pct"/>
            <w:gridSpan w:val="3"/>
            <w:tcBorders>
              <w:top w:val="nil"/>
              <w:left w:val="nil"/>
              <w:bottom w:val="single" w:sz="8" w:space="0" w:color="auto"/>
              <w:right w:val="nil"/>
            </w:tcBorders>
            <w:shd w:val="clear" w:color="auto" w:fill="auto"/>
            <w:noWrap/>
            <w:vAlign w:val="center"/>
            <w:hideMark/>
          </w:tcPr>
          <w:p w14:paraId="0A8B77BB" w14:textId="77777777" w:rsidR="00112A99" w:rsidRPr="002E2B5B" w:rsidRDefault="00112A99" w:rsidP="002E2B5B">
            <w:pPr>
              <w:rPr>
                <w:rFonts w:ascii="Calibri" w:hAnsi="Calibri" w:cs="Calibri"/>
                <w:b/>
                <w:bCs/>
                <w:color w:val="000000"/>
                <w:sz w:val="16"/>
                <w:szCs w:val="16"/>
              </w:rPr>
            </w:pPr>
            <w:r w:rsidRPr="002E2B5B">
              <w:rPr>
                <w:rFonts w:ascii="Calibri" w:hAnsi="Calibri" w:cs="Calibri"/>
                <w:b/>
                <w:bCs/>
                <w:color w:val="000000"/>
                <w:sz w:val="16"/>
                <w:szCs w:val="16"/>
              </w:rPr>
              <w:t>TOTAL DOS DEPÓSITOS DE CAUÇÕES</w:t>
            </w:r>
          </w:p>
        </w:tc>
        <w:tc>
          <w:tcPr>
            <w:tcW w:w="569" w:type="pct"/>
            <w:tcBorders>
              <w:top w:val="nil"/>
              <w:left w:val="nil"/>
              <w:bottom w:val="single" w:sz="8" w:space="0" w:color="auto"/>
              <w:right w:val="nil"/>
            </w:tcBorders>
            <w:shd w:val="clear" w:color="auto" w:fill="auto"/>
            <w:vAlign w:val="center"/>
            <w:hideMark/>
          </w:tcPr>
          <w:p w14:paraId="237CF828" w14:textId="77777777" w:rsidR="00112A99" w:rsidRPr="002E2B5B" w:rsidRDefault="00112A99"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763" w:type="pct"/>
            <w:tcBorders>
              <w:top w:val="nil"/>
              <w:left w:val="nil"/>
              <w:bottom w:val="single" w:sz="8" w:space="0" w:color="auto"/>
              <w:right w:val="nil"/>
            </w:tcBorders>
            <w:shd w:val="clear" w:color="auto" w:fill="auto"/>
            <w:noWrap/>
            <w:vAlign w:val="center"/>
          </w:tcPr>
          <w:p w14:paraId="0C48EB5B" w14:textId="77777777" w:rsidR="00112A99" w:rsidRPr="002E2B5B" w:rsidRDefault="00112A99" w:rsidP="002E2B5B">
            <w:pPr>
              <w:jc w:val="right"/>
              <w:rPr>
                <w:rFonts w:ascii="Calibri" w:hAnsi="Calibri" w:cs="Calibri"/>
                <w:b/>
                <w:bCs/>
                <w:color w:val="000000"/>
                <w:sz w:val="16"/>
                <w:szCs w:val="16"/>
              </w:rPr>
            </w:pPr>
          </w:p>
        </w:tc>
        <w:tc>
          <w:tcPr>
            <w:tcW w:w="763" w:type="pct"/>
            <w:tcBorders>
              <w:top w:val="nil"/>
              <w:left w:val="nil"/>
              <w:bottom w:val="single" w:sz="8" w:space="0" w:color="auto"/>
              <w:right w:val="nil"/>
            </w:tcBorders>
            <w:shd w:val="clear" w:color="auto" w:fill="auto"/>
            <w:noWrap/>
            <w:vAlign w:val="center"/>
            <w:hideMark/>
          </w:tcPr>
          <w:p w14:paraId="6479A6D9" w14:textId="0C424C56" w:rsidR="00112A99" w:rsidRPr="002E2B5B" w:rsidRDefault="00973582" w:rsidP="002E2B5B">
            <w:pPr>
              <w:jc w:val="right"/>
              <w:rPr>
                <w:rFonts w:ascii="Calibri" w:hAnsi="Calibri" w:cs="Calibri"/>
                <w:b/>
                <w:bCs/>
                <w:color w:val="000000"/>
                <w:sz w:val="16"/>
                <w:szCs w:val="16"/>
              </w:rPr>
            </w:pPr>
            <w:r>
              <w:rPr>
                <w:rFonts w:ascii="Calibri" w:hAnsi="Calibri" w:cs="Calibri"/>
                <w:b/>
                <w:bCs/>
                <w:color w:val="000000"/>
                <w:sz w:val="16"/>
                <w:szCs w:val="16"/>
              </w:rPr>
              <w:t>257.879</w:t>
            </w:r>
          </w:p>
        </w:tc>
        <w:tc>
          <w:tcPr>
            <w:tcW w:w="762" w:type="pct"/>
            <w:tcBorders>
              <w:top w:val="nil"/>
              <w:left w:val="nil"/>
              <w:bottom w:val="single" w:sz="8" w:space="0" w:color="auto"/>
              <w:right w:val="nil"/>
            </w:tcBorders>
            <w:shd w:val="clear" w:color="auto" w:fill="auto"/>
            <w:noWrap/>
            <w:vAlign w:val="center"/>
          </w:tcPr>
          <w:p w14:paraId="2A02B3CA" w14:textId="77777777" w:rsidR="00112A99" w:rsidRPr="002E2B5B" w:rsidRDefault="00112A99" w:rsidP="002E2B5B">
            <w:pPr>
              <w:jc w:val="right"/>
              <w:rPr>
                <w:rFonts w:ascii="Calibri" w:hAnsi="Calibri" w:cs="Calibri"/>
                <w:b/>
                <w:bCs/>
                <w:color w:val="000000"/>
                <w:sz w:val="16"/>
                <w:szCs w:val="16"/>
              </w:rPr>
            </w:pPr>
            <w:r w:rsidRPr="002E2B5B">
              <w:rPr>
                <w:rFonts w:ascii="Calibri" w:hAnsi="Calibri" w:cs="Calibri"/>
                <w:b/>
                <w:bCs/>
                <w:color w:val="000000"/>
                <w:sz w:val="16"/>
                <w:szCs w:val="16"/>
              </w:rPr>
              <w:t>233.338</w:t>
            </w:r>
          </w:p>
        </w:tc>
      </w:tr>
    </w:tbl>
    <w:p w14:paraId="67DE6788" w14:textId="77777777" w:rsidR="0008330B" w:rsidRPr="002E2B5B" w:rsidRDefault="0008330B" w:rsidP="002E2B5B">
      <w:pPr>
        <w:rPr>
          <w:rFonts w:ascii="Calibri" w:hAnsi="Calibri" w:cs="Calibri"/>
          <w:b/>
          <w:sz w:val="22"/>
          <w:szCs w:val="22"/>
        </w:rPr>
      </w:pPr>
    </w:p>
    <w:p w14:paraId="012C672E" w14:textId="332A6789" w:rsidR="0087543E" w:rsidRDefault="00AC1AD6" w:rsidP="002E2B5B">
      <w:pPr>
        <w:jc w:val="both"/>
        <w:rPr>
          <w:rFonts w:ascii="Calibri" w:hAnsi="Calibri" w:cs="Calibri"/>
          <w:sz w:val="22"/>
          <w:szCs w:val="22"/>
        </w:rPr>
      </w:pPr>
      <w:r w:rsidRPr="002E2B5B">
        <w:rPr>
          <w:rFonts w:ascii="Calibri" w:hAnsi="Calibri" w:cs="Calibri"/>
          <w:sz w:val="22"/>
          <w:szCs w:val="22"/>
        </w:rPr>
        <w:t xml:space="preserve">Os depósitos de cauções </w:t>
      </w:r>
      <w:r w:rsidR="00AA5748" w:rsidRPr="002E2B5B">
        <w:rPr>
          <w:rFonts w:ascii="Calibri" w:hAnsi="Calibri" w:cs="Calibri"/>
          <w:sz w:val="22"/>
          <w:szCs w:val="22"/>
        </w:rPr>
        <w:t xml:space="preserve">decorrem das garantias </w:t>
      </w:r>
      <w:r w:rsidR="00440D37" w:rsidRPr="002E2B5B">
        <w:rPr>
          <w:rFonts w:ascii="Calibri" w:hAnsi="Calibri" w:cs="Calibri"/>
          <w:sz w:val="22"/>
          <w:szCs w:val="22"/>
        </w:rPr>
        <w:t xml:space="preserve">caucionadas </w:t>
      </w:r>
      <w:r w:rsidR="00AA5748" w:rsidRPr="002E2B5B">
        <w:rPr>
          <w:rFonts w:ascii="Calibri" w:hAnsi="Calibri" w:cs="Calibri"/>
          <w:sz w:val="22"/>
          <w:szCs w:val="22"/>
        </w:rPr>
        <w:t>propostas, em licitação, do contratante ao contratado, conforme cláusula contratual</w:t>
      </w:r>
      <w:r w:rsidR="008C766E" w:rsidRPr="002E2B5B">
        <w:rPr>
          <w:rFonts w:ascii="Calibri" w:hAnsi="Calibri" w:cs="Calibri"/>
          <w:sz w:val="22"/>
          <w:szCs w:val="22"/>
        </w:rPr>
        <w:t>, os quais são contabilizados em contrapartida ao passivo não circulante</w:t>
      </w:r>
      <w:r w:rsidR="00AA5748" w:rsidRPr="002E2B5B">
        <w:rPr>
          <w:rFonts w:ascii="Calibri" w:hAnsi="Calibri" w:cs="Calibri"/>
          <w:sz w:val="22"/>
          <w:szCs w:val="22"/>
        </w:rPr>
        <w:t xml:space="preserve">. Financeiramente, esses </w:t>
      </w:r>
      <w:r w:rsidR="00440D37" w:rsidRPr="002E2B5B">
        <w:rPr>
          <w:rFonts w:ascii="Calibri" w:hAnsi="Calibri" w:cs="Calibri"/>
          <w:sz w:val="22"/>
          <w:szCs w:val="22"/>
        </w:rPr>
        <w:t>valores</w:t>
      </w:r>
      <w:r w:rsidR="00AA5748" w:rsidRPr="002E2B5B">
        <w:rPr>
          <w:rFonts w:ascii="Calibri" w:hAnsi="Calibri" w:cs="Calibri"/>
          <w:sz w:val="22"/>
          <w:szCs w:val="22"/>
        </w:rPr>
        <w:t xml:space="preserve"> encontram-se disponibilizados em conta</w:t>
      </w:r>
      <w:r w:rsidR="008C257A" w:rsidRPr="002E2B5B">
        <w:rPr>
          <w:rFonts w:ascii="Calibri" w:hAnsi="Calibri" w:cs="Calibri"/>
          <w:sz w:val="22"/>
          <w:szCs w:val="22"/>
        </w:rPr>
        <w:t>s</w:t>
      </w:r>
      <w:r w:rsidR="00AA5748" w:rsidRPr="002E2B5B">
        <w:rPr>
          <w:rFonts w:ascii="Calibri" w:hAnsi="Calibri" w:cs="Calibri"/>
          <w:sz w:val="22"/>
          <w:szCs w:val="22"/>
        </w:rPr>
        <w:t xml:space="preserve"> específica</w:t>
      </w:r>
      <w:r w:rsidR="008C257A" w:rsidRPr="002E2B5B">
        <w:rPr>
          <w:rFonts w:ascii="Calibri" w:hAnsi="Calibri" w:cs="Calibri"/>
          <w:sz w:val="22"/>
          <w:szCs w:val="22"/>
        </w:rPr>
        <w:t>s</w:t>
      </w:r>
      <w:r w:rsidR="00AA5748" w:rsidRPr="002E2B5B">
        <w:rPr>
          <w:rFonts w:ascii="Calibri" w:hAnsi="Calibri" w:cs="Calibri"/>
          <w:sz w:val="22"/>
          <w:szCs w:val="22"/>
        </w:rPr>
        <w:t xml:space="preserve"> </w:t>
      </w:r>
      <w:r w:rsidR="008C257A" w:rsidRPr="002E2B5B">
        <w:rPr>
          <w:rFonts w:ascii="Calibri" w:hAnsi="Calibri" w:cs="Calibri"/>
          <w:sz w:val="22"/>
          <w:szCs w:val="22"/>
        </w:rPr>
        <w:t>individualizadas</w:t>
      </w:r>
      <w:r w:rsidR="00000BCA" w:rsidRPr="002E2B5B">
        <w:rPr>
          <w:rFonts w:ascii="Calibri" w:hAnsi="Calibri" w:cs="Calibri"/>
          <w:sz w:val="22"/>
          <w:szCs w:val="22"/>
        </w:rPr>
        <w:t xml:space="preserve"> </w:t>
      </w:r>
      <w:r w:rsidR="00AA5748" w:rsidRPr="002E2B5B">
        <w:rPr>
          <w:rFonts w:ascii="Calibri" w:hAnsi="Calibri" w:cs="Calibri"/>
          <w:sz w:val="22"/>
          <w:szCs w:val="22"/>
        </w:rPr>
        <w:t>sob a custódia da Caixa Econômica Fede</w:t>
      </w:r>
      <w:r w:rsidR="002726DB" w:rsidRPr="002E2B5B">
        <w:rPr>
          <w:rFonts w:ascii="Calibri" w:hAnsi="Calibri" w:cs="Calibri"/>
          <w:sz w:val="22"/>
          <w:szCs w:val="22"/>
        </w:rPr>
        <w:t>ral – C</w:t>
      </w:r>
      <w:r w:rsidR="0046500A" w:rsidRPr="002E2B5B">
        <w:rPr>
          <w:rFonts w:ascii="Calibri" w:hAnsi="Calibri" w:cs="Calibri"/>
          <w:sz w:val="22"/>
          <w:szCs w:val="22"/>
        </w:rPr>
        <w:t>AIXA</w:t>
      </w:r>
      <w:r w:rsidR="0081089E" w:rsidRPr="002E2B5B">
        <w:rPr>
          <w:rFonts w:ascii="Calibri" w:hAnsi="Calibri" w:cs="Calibri"/>
          <w:sz w:val="22"/>
          <w:szCs w:val="22"/>
        </w:rPr>
        <w:t>.</w:t>
      </w:r>
      <w:r w:rsidR="00301062" w:rsidRPr="002E2B5B">
        <w:rPr>
          <w:rFonts w:ascii="Calibri" w:hAnsi="Calibri" w:cs="Calibri"/>
          <w:sz w:val="22"/>
          <w:szCs w:val="22"/>
        </w:rPr>
        <w:t xml:space="preserve"> </w:t>
      </w:r>
      <w:r w:rsidR="00112A99" w:rsidRPr="002E2B5B">
        <w:rPr>
          <w:rFonts w:ascii="Calibri" w:hAnsi="Calibri" w:cs="Calibri"/>
          <w:sz w:val="22"/>
          <w:szCs w:val="22"/>
        </w:rPr>
        <w:t>Desde</w:t>
      </w:r>
      <w:r w:rsidR="001F3868" w:rsidRPr="002E2B5B">
        <w:rPr>
          <w:rFonts w:ascii="Calibri" w:hAnsi="Calibri" w:cs="Calibri"/>
          <w:sz w:val="22"/>
          <w:szCs w:val="22"/>
        </w:rPr>
        <w:t xml:space="preserve"> 2019 esses depósitos não sofrem atualizações monetárias</w:t>
      </w:r>
      <w:r w:rsidR="00E9733B" w:rsidRPr="002E2B5B">
        <w:rPr>
          <w:rFonts w:ascii="Calibri" w:hAnsi="Calibri" w:cs="Calibri"/>
          <w:sz w:val="22"/>
          <w:szCs w:val="22"/>
        </w:rPr>
        <w:t>.</w:t>
      </w:r>
    </w:p>
    <w:p w14:paraId="7CD2C8C9" w14:textId="3D6DB4F1" w:rsidR="00C34E8D" w:rsidRDefault="00C34E8D" w:rsidP="002E2B5B">
      <w:pPr>
        <w:jc w:val="both"/>
        <w:rPr>
          <w:rFonts w:ascii="Calibri" w:hAnsi="Calibri" w:cs="Calibri"/>
          <w:sz w:val="22"/>
          <w:szCs w:val="22"/>
        </w:rPr>
      </w:pPr>
    </w:p>
    <w:p w14:paraId="34C34703" w14:textId="4288002D" w:rsidR="00C34E8D" w:rsidRDefault="00C34E8D" w:rsidP="002E2B5B">
      <w:pPr>
        <w:jc w:val="both"/>
        <w:rPr>
          <w:rFonts w:ascii="Calibri" w:hAnsi="Calibri" w:cs="Calibri"/>
          <w:sz w:val="22"/>
          <w:szCs w:val="22"/>
        </w:rPr>
      </w:pPr>
    </w:p>
    <w:p w14:paraId="767BA020" w14:textId="7FBAED66" w:rsidR="00C34E8D" w:rsidRDefault="00C34E8D" w:rsidP="002E2B5B">
      <w:pPr>
        <w:jc w:val="both"/>
        <w:rPr>
          <w:rFonts w:ascii="Calibri" w:hAnsi="Calibri" w:cs="Calibri"/>
          <w:sz w:val="22"/>
          <w:szCs w:val="22"/>
        </w:rPr>
      </w:pPr>
    </w:p>
    <w:p w14:paraId="413252F9" w14:textId="77777777" w:rsidR="00C34E8D" w:rsidRPr="002E2B5B" w:rsidRDefault="00C34E8D" w:rsidP="002E2B5B">
      <w:pPr>
        <w:jc w:val="both"/>
        <w:rPr>
          <w:rFonts w:ascii="Calibri" w:hAnsi="Calibri" w:cs="Calibri"/>
          <w:sz w:val="22"/>
          <w:szCs w:val="22"/>
        </w:rPr>
      </w:pPr>
    </w:p>
    <w:p w14:paraId="3E89FF63" w14:textId="77777777" w:rsidR="00D52821" w:rsidRPr="002E2B5B" w:rsidRDefault="00D52821" w:rsidP="002E2B5B">
      <w:pPr>
        <w:jc w:val="both"/>
        <w:rPr>
          <w:rFonts w:ascii="Calibri" w:hAnsi="Calibri" w:cs="Calibri"/>
          <w:sz w:val="22"/>
          <w:szCs w:val="22"/>
        </w:rPr>
      </w:pPr>
    </w:p>
    <w:p w14:paraId="1F7EF45A" w14:textId="77777777" w:rsidR="00552191" w:rsidRPr="002E2B5B" w:rsidRDefault="00660339" w:rsidP="002E2B5B">
      <w:pPr>
        <w:numPr>
          <w:ilvl w:val="0"/>
          <w:numId w:val="6"/>
        </w:numPr>
        <w:spacing w:after="240"/>
        <w:ind w:left="284" w:right="-142" w:hanging="284"/>
        <w:jc w:val="both"/>
        <w:rPr>
          <w:rFonts w:ascii="Calibri" w:hAnsi="Calibri" w:cs="Calibri"/>
          <w:b/>
          <w:bCs/>
          <w:sz w:val="22"/>
          <w:szCs w:val="22"/>
        </w:rPr>
      </w:pPr>
      <w:r w:rsidRPr="002E2B5B">
        <w:rPr>
          <w:rFonts w:ascii="Calibri" w:hAnsi="Calibri" w:cs="Calibri"/>
          <w:b/>
          <w:bCs/>
          <w:sz w:val="22"/>
          <w:szCs w:val="22"/>
        </w:rPr>
        <w:t>Depósitos Judiciais</w:t>
      </w:r>
      <w:r w:rsidR="0055378D" w:rsidRPr="002E2B5B">
        <w:rPr>
          <w:rFonts w:ascii="Calibri" w:hAnsi="Calibri" w:cs="Calibri"/>
          <w:b/>
          <w:bCs/>
          <w:sz w:val="22"/>
          <w:szCs w:val="22"/>
        </w:rPr>
        <w:t xml:space="preserve"> </w:t>
      </w:r>
      <w:r w:rsidR="000C076B" w:rsidRPr="002E2B5B">
        <w:rPr>
          <w:rFonts w:ascii="Calibri" w:hAnsi="Calibri" w:cs="Calibri"/>
          <w:b/>
          <w:bCs/>
          <w:sz w:val="22"/>
          <w:szCs w:val="22"/>
        </w:rPr>
        <w:t xml:space="preserve"> </w:t>
      </w:r>
    </w:p>
    <w:tbl>
      <w:tblPr>
        <w:tblW w:w="5000" w:type="pct"/>
        <w:tblCellMar>
          <w:left w:w="70" w:type="dxa"/>
          <w:right w:w="70" w:type="dxa"/>
        </w:tblCellMar>
        <w:tblLook w:val="04A0" w:firstRow="1" w:lastRow="0" w:firstColumn="1" w:lastColumn="0" w:noHBand="0" w:noVBand="1"/>
      </w:tblPr>
      <w:tblGrid>
        <w:gridCol w:w="1556"/>
        <w:gridCol w:w="2148"/>
        <w:gridCol w:w="1304"/>
        <w:gridCol w:w="1463"/>
        <w:gridCol w:w="1999"/>
        <w:gridCol w:w="1997"/>
      </w:tblGrid>
      <w:tr w:rsidR="00706813" w:rsidRPr="002E2B5B" w14:paraId="47D90B64" w14:textId="77777777" w:rsidTr="00C34E8D">
        <w:trPr>
          <w:trHeight w:hRule="exact" w:val="227"/>
        </w:trPr>
        <w:tc>
          <w:tcPr>
            <w:tcW w:w="743" w:type="pct"/>
            <w:tcBorders>
              <w:top w:val="nil"/>
              <w:left w:val="nil"/>
              <w:bottom w:val="single" w:sz="4" w:space="0" w:color="auto"/>
              <w:right w:val="nil"/>
            </w:tcBorders>
            <w:shd w:val="clear" w:color="auto" w:fill="auto"/>
            <w:noWrap/>
            <w:vAlign w:val="bottom"/>
            <w:hideMark/>
          </w:tcPr>
          <w:p w14:paraId="6470F3B7" w14:textId="77777777" w:rsidR="00706813" w:rsidRPr="002E2B5B" w:rsidRDefault="00706813" w:rsidP="002E2B5B">
            <w:pPr>
              <w:rPr>
                <w:rFonts w:ascii="Calibri" w:hAnsi="Calibri" w:cs="Calibri"/>
                <w:b/>
                <w:bCs/>
                <w:sz w:val="16"/>
                <w:szCs w:val="16"/>
              </w:rPr>
            </w:pPr>
            <w:r w:rsidRPr="002E2B5B">
              <w:rPr>
                <w:rFonts w:ascii="Calibri" w:hAnsi="Calibri" w:cs="Calibri"/>
                <w:b/>
                <w:bCs/>
                <w:sz w:val="16"/>
                <w:szCs w:val="16"/>
              </w:rPr>
              <w:t>AÇÕES</w:t>
            </w:r>
          </w:p>
        </w:tc>
        <w:tc>
          <w:tcPr>
            <w:tcW w:w="1026" w:type="pct"/>
            <w:tcBorders>
              <w:top w:val="nil"/>
              <w:left w:val="nil"/>
              <w:bottom w:val="single" w:sz="4" w:space="0" w:color="auto"/>
              <w:right w:val="nil"/>
            </w:tcBorders>
            <w:shd w:val="clear" w:color="auto" w:fill="auto"/>
            <w:vAlign w:val="bottom"/>
            <w:hideMark/>
          </w:tcPr>
          <w:p w14:paraId="5C42A2B6" w14:textId="404995E2"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SALDO EM 31/12/20</w:t>
            </w:r>
            <w:r>
              <w:rPr>
                <w:rFonts w:ascii="Calibri" w:hAnsi="Calibri" w:cs="Calibri"/>
                <w:b/>
                <w:bCs/>
                <w:sz w:val="16"/>
                <w:szCs w:val="16"/>
              </w:rPr>
              <w:t>20</w:t>
            </w:r>
            <w:r w:rsidRPr="002E2B5B">
              <w:rPr>
                <w:rFonts w:ascii="Calibri" w:hAnsi="Calibri" w:cs="Calibri"/>
                <w:b/>
                <w:bCs/>
                <w:sz w:val="16"/>
                <w:szCs w:val="16"/>
              </w:rPr>
              <w:t xml:space="preserve"> </w:t>
            </w:r>
          </w:p>
        </w:tc>
        <w:tc>
          <w:tcPr>
            <w:tcW w:w="623" w:type="pct"/>
            <w:tcBorders>
              <w:top w:val="nil"/>
              <w:left w:val="nil"/>
              <w:bottom w:val="single" w:sz="4" w:space="0" w:color="auto"/>
              <w:right w:val="nil"/>
            </w:tcBorders>
            <w:shd w:val="clear" w:color="auto" w:fill="auto"/>
            <w:vAlign w:val="bottom"/>
            <w:hideMark/>
          </w:tcPr>
          <w:p w14:paraId="0368FF94" w14:textId="77777777"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INGRESSO</w:t>
            </w:r>
          </w:p>
        </w:tc>
        <w:tc>
          <w:tcPr>
            <w:tcW w:w="699" w:type="pct"/>
            <w:tcBorders>
              <w:top w:val="nil"/>
              <w:left w:val="nil"/>
              <w:bottom w:val="single" w:sz="4" w:space="0" w:color="auto"/>
              <w:right w:val="nil"/>
            </w:tcBorders>
            <w:shd w:val="clear" w:color="auto" w:fill="auto"/>
            <w:vAlign w:val="bottom"/>
            <w:hideMark/>
          </w:tcPr>
          <w:p w14:paraId="6E2193F9" w14:textId="6B881797"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BAIXA</w:t>
            </w:r>
          </w:p>
        </w:tc>
        <w:tc>
          <w:tcPr>
            <w:tcW w:w="955" w:type="pct"/>
            <w:tcBorders>
              <w:top w:val="nil"/>
              <w:left w:val="nil"/>
              <w:right w:val="nil"/>
            </w:tcBorders>
            <w:vAlign w:val="bottom"/>
          </w:tcPr>
          <w:p w14:paraId="1936B50A" w14:textId="77777777"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BAIXA ATUAL.  MONET</w:t>
            </w:r>
          </w:p>
        </w:tc>
        <w:tc>
          <w:tcPr>
            <w:tcW w:w="954" w:type="pct"/>
            <w:tcBorders>
              <w:top w:val="nil"/>
              <w:left w:val="nil"/>
              <w:bottom w:val="single" w:sz="4" w:space="0" w:color="auto"/>
              <w:right w:val="nil"/>
            </w:tcBorders>
            <w:shd w:val="clear" w:color="auto" w:fill="auto"/>
            <w:vAlign w:val="bottom"/>
            <w:hideMark/>
          </w:tcPr>
          <w:p w14:paraId="62CC0497" w14:textId="37D76308"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 xml:space="preserve">SALDO EM </w:t>
            </w:r>
            <w:r w:rsidR="000027B2">
              <w:rPr>
                <w:rFonts w:ascii="Calibri" w:hAnsi="Calibri" w:cs="Calibri"/>
                <w:b/>
                <w:bCs/>
                <w:sz w:val="16"/>
                <w:szCs w:val="16"/>
              </w:rPr>
              <w:t>30/06</w:t>
            </w:r>
            <w:r w:rsidRPr="002E2B5B">
              <w:rPr>
                <w:rFonts w:ascii="Calibri" w:hAnsi="Calibri" w:cs="Calibri"/>
                <w:b/>
                <w:bCs/>
                <w:sz w:val="16"/>
                <w:szCs w:val="16"/>
              </w:rPr>
              <w:t>/202</w:t>
            </w:r>
            <w:r>
              <w:rPr>
                <w:rFonts w:ascii="Calibri" w:hAnsi="Calibri" w:cs="Calibri"/>
                <w:b/>
                <w:bCs/>
                <w:sz w:val="16"/>
                <w:szCs w:val="16"/>
              </w:rPr>
              <w:t>1</w:t>
            </w:r>
          </w:p>
        </w:tc>
      </w:tr>
      <w:tr w:rsidR="00706813" w:rsidRPr="002E2B5B" w14:paraId="5B24B5D5" w14:textId="77777777" w:rsidTr="00C34E8D">
        <w:trPr>
          <w:trHeight w:hRule="exact" w:val="227"/>
        </w:trPr>
        <w:tc>
          <w:tcPr>
            <w:tcW w:w="743" w:type="pct"/>
            <w:tcBorders>
              <w:top w:val="single" w:sz="4" w:space="0" w:color="auto"/>
              <w:left w:val="nil"/>
              <w:bottom w:val="nil"/>
              <w:right w:val="nil"/>
            </w:tcBorders>
            <w:shd w:val="clear" w:color="auto" w:fill="auto"/>
            <w:noWrap/>
            <w:vAlign w:val="center"/>
            <w:hideMark/>
          </w:tcPr>
          <w:p w14:paraId="6C96E2CD" w14:textId="77777777" w:rsidR="00706813" w:rsidRPr="002E2B5B" w:rsidRDefault="00706813" w:rsidP="002E2B5B">
            <w:pPr>
              <w:rPr>
                <w:rFonts w:ascii="Calibri" w:hAnsi="Calibri" w:cs="Calibri"/>
                <w:sz w:val="16"/>
                <w:szCs w:val="16"/>
              </w:rPr>
            </w:pPr>
            <w:r w:rsidRPr="002E2B5B">
              <w:rPr>
                <w:rFonts w:ascii="Calibri" w:hAnsi="Calibri" w:cs="Calibri"/>
                <w:sz w:val="16"/>
                <w:szCs w:val="16"/>
              </w:rPr>
              <w:t>Cíveis</w:t>
            </w:r>
          </w:p>
        </w:tc>
        <w:tc>
          <w:tcPr>
            <w:tcW w:w="1026" w:type="pct"/>
            <w:tcBorders>
              <w:top w:val="single" w:sz="4" w:space="0" w:color="auto"/>
              <w:left w:val="nil"/>
              <w:bottom w:val="nil"/>
              <w:right w:val="nil"/>
            </w:tcBorders>
            <w:shd w:val="clear" w:color="auto" w:fill="auto"/>
            <w:noWrap/>
            <w:vAlign w:val="center"/>
            <w:hideMark/>
          </w:tcPr>
          <w:p w14:paraId="7387CCC1" w14:textId="362BD49C" w:rsidR="00706813" w:rsidRPr="002E2B5B" w:rsidRDefault="00706813" w:rsidP="002E2B5B">
            <w:pPr>
              <w:jc w:val="center"/>
              <w:rPr>
                <w:rFonts w:ascii="Calibri" w:hAnsi="Calibri" w:cs="Calibri"/>
                <w:sz w:val="16"/>
                <w:szCs w:val="16"/>
              </w:rPr>
            </w:pPr>
            <w:r w:rsidRPr="002E2B5B">
              <w:rPr>
                <w:rFonts w:ascii="Calibri" w:hAnsi="Calibri" w:cs="Calibri"/>
                <w:sz w:val="16"/>
                <w:szCs w:val="16"/>
              </w:rPr>
              <w:t>51.641.802</w:t>
            </w:r>
          </w:p>
        </w:tc>
        <w:tc>
          <w:tcPr>
            <w:tcW w:w="623" w:type="pct"/>
            <w:tcBorders>
              <w:top w:val="single" w:sz="4" w:space="0" w:color="auto"/>
              <w:left w:val="nil"/>
              <w:bottom w:val="nil"/>
              <w:right w:val="nil"/>
            </w:tcBorders>
            <w:shd w:val="clear" w:color="auto" w:fill="auto"/>
            <w:noWrap/>
            <w:vAlign w:val="center"/>
          </w:tcPr>
          <w:p w14:paraId="3BC6F2BD" w14:textId="27E96DF3" w:rsidR="00706813" w:rsidRPr="002E2B5B" w:rsidRDefault="00706813" w:rsidP="002E2B5B">
            <w:pPr>
              <w:jc w:val="center"/>
              <w:rPr>
                <w:rFonts w:ascii="Calibri" w:hAnsi="Calibri" w:cs="Calibri"/>
                <w:sz w:val="16"/>
                <w:szCs w:val="16"/>
              </w:rPr>
            </w:pPr>
            <w:r>
              <w:rPr>
                <w:rFonts w:ascii="Calibri" w:hAnsi="Calibri" w:cs="Calibri"/>
                <w:sz w:val="16"/>
                <w:szCs w:val="16"/>
              </w:rPr>
              <w:t>0</w:t>
            </w:r>
          </w:p>
        </w:tc>
        <w:tc>
          <w:tcPr>
            <w:tcW w:w="699" w:type="pct"/>
            <w:tcBorders>
              <w:top w:val="single" w:sz="4" w:space="0" w:color="auto"/>
              <w:left w:val="nil"/>
              <w:bottom w:val="nil"/>
              <w:right w:val="nil"/>
            </w:tcBorders>
            <w:shd w:val="clear" w:color="auto" w:fill="auto"/>
            <w:noWrap/>
            <w:vAlign w:val="center"/>
          </w:tcPr>
          <w:p w14:paraId="5A5B026B" w14:textId="4DE73DC9" w:rsidR="00706813" w:rsidRPr="002E2B5B" w:rsidRDefault="00706813" w:rsidP="002E2B5B">
            <w:pPr>
              <w:jc w:val="center"/>
              <w:rPr>
                <w:rFonts w:ascii="Calibri" w:hAnsi="Calibri" w:cs="Calibri"/>
                <w:sz w:val="16"/>
                <w:szCs w:val="16"/>
              </w:rPr>
            </w:pPr>
            <w:r w:rsidRPr="002E2B5B">
              <w:rPr>
                <w:rFonts w:ascii="Calibri" w:hAnsi="Calibri" w:cs="Calibri"/>
                <w:sz w:val="16"/>
                <w:szCs w:val="16"/>
              </w:rPr>
              <w:t>0</w:t>
            </w:r>
          </w:p>
        </w:tc>
        <w:tc>
          <w:tcPr>
            <w:tcW w:w="955" w:type="pct"/>
            <w:tcBorders>
              <w:top w:val="single" w:sz="4" w:space="0" w:color="auto"/>
              <w:left w:val="nil"/>
              <w:bottom w:val="nil"/>
              <w:right w:val="nil"/>
            </w:tcBorders>
            <w:vAlign w:val="center"/>
          </w:tcPr>
          <w:p w14:paraId="7078A0D4" w14:textId="4029312C" w:rsidR="00706813" w:rsidRPr="009C6659" w:rsidRDefault="006F3D61" w:rsidP="002E2B5B">
            <w:pPr>
              <w:jc w:val="center"/>
              <w:rPr>
                <w:rFonts w:ascii="Calibri" w:hAnsi="Calibri" w:cs="Calibri"/>
                <w:sz w:val="16"/>
                <w:szCs w:val="16"/>
                <w:highlight w:val="yellow"/>
              </w:rPr>
            </w:pPr>
            <w:r w:rsidRPr="006F3D61">
              <w:rPr>
                <w:rFonts w:ascii="Calibri" w:hAnsi="Calibri" w:cs="Calibri"/>
                <w:sz w:val="16"/>
                <w:szCs w:val="16"/>
              </w:rPr>
              <w:t>0</w:t>
            </w:r>
          </w:p>
        </w:tc>
        <w:tc>
          <w:tcPr>
            <w:tcW w:w="954" w:type="pct"/>
            <w:tcBorders>
              <w:top w:val="single" w:sz="4" w:space="0" w:color="auto"/>
              <w:left w:val="nil"/>
              <w:bottom w:val="nil"/>
              <w:right w:val="nil"/>
            </w:tcBorders>
            <w:shd w:val="clear" w:color="auto" w:fill="auto"/>
            <w:noWrap/>
            <w:vAlign w:val="center"/>
          </w:tcPr>
          <w:p w14:paraId="5EBEDCAD" w14:textId="77777777" w:rsidR="00706813" w:rsidRPr="002E2B5B" w:rsidRDefault="00706813" w:rsidP="002E2B5B">
            <w:pPr>
              <w:jc w:val="center"/>
              <w:rPr>
                <w:rFonts w:ascii="Calibri" w:hAnsi="Calibri" w:cs="Calibri"/>
                <w:sz w:val="16"/>
                <w:szCs w:val="16"/>
              </w:rPr>
            </w:pPr>
            <w:r w:rsidRPr="002E2B5B">
              <w:rPr>
                <w:rFonts w:ascii="Calibri" w:hAnsi="Calibri" w:cs="Calibri"/>
                <w:sz w:val="16"/>
                <w:szCs w:val="16"/>
              </w:rPr>
              <w:t>51.641.802</w:t>
            </w:r>
          </w:p>
        </w:tc>
      </w:tr>
      <w:tr w:rsidR="00706813" w:rsidRPr="002E2B5B" w14:paraId="7FA9849C" w14:textId="77777777" w:rsidTr="00C34E8D">
        <w:trPr>
          <w:trHeight w:hRule="exact" w:val="227"/>
        </w:trPr>
        <w:tc>
          <w:tcPr>
            <w:tcW w:w="743" w:type="pct"/>
            <w:tcBorders>
              <w:top w:val="nil"/>
              <w:left w:val="nil"/>
              <w:bottom w:val="nil"/>
              <w:right w:val="nil"/>
            </w:tcBorders>
            <w:shd w:val="clear" w:color="auto" w:fill="auto"/>
            <w:noWrap/>
            <w:vAlign w:val="center"/>
            <w:hideMark/>
          </w:tcPr>
          <w:p w14:paraId="2A60962E" w14:textId="77777777" w:rsidR="00706813" w:rsidRPr="002E2B5B" w:rsidRDefault="00706813" w:rsidP="002E2B5B">
            <w:pPr>
              <w:rPr>
                <w:rFonts w:ascii="Calibri" w:hAnsi="Calibri" w:cs="Calibri"/>
                <w:sz w:val="16"/>
                <w:szCs w:val="16"/>
              </w:rPr>
            </w:pPr>
            <w:r w:rsidRPr="002E2B5B">
              <w:rPr>
                <w:rFonts w:ascii="Calibri" w:hAnsi="Calibri" w:cs="Calibri"/>
                <w:sz w:val="16"/>
                <w:szCs w:val="16"/>
              </w:rPr>
              <w:t>Trabalhistas</w:t>
            </w:r>
          </w:p>
        </w:tc>
        <w:tc>
          <w:tcPr>
            <w:tcW w:w="1026" w:type="pct"/>
            <w:tcBorders>
              <w:top w:val="nil"/>
              <w:left w:val="nil"/>
              <w:bottom w:val="nil"/>
              <w:right w:val="nil"/>
            </w:tcBorders>
            <w:shd w:val="clear" w:color="auto" w:fill="auto"/>
            <w:noWrap/>
            <w:vAlign w:val="center"/>
            <w:hideMark/>
          </w:tcPr>
          <w:p w14:paraId="566E2878" w14:textId="3C062957" w:rsidR="00706813" w:rsidRPr="002E2B5B" w:rsidRDefault="00706813" w:rsidP="002E2B5B">
            <w:pPr>
              <w:jc w:val="center"/>
              <w:rPr>
                <w:rFonts w:ascii="Calibri" w:hAnsi="Calibri" w:cs="Calibri"/>
                <w:sz w:val="16"/>
                <w:szCs w:val="16"/>
              </w:rPr>
            </w:pPr>
            <w:r w:rsidRPr="002E2B5B">
              <w:rPr>
                <w:rFonts w:ascii="Calibri" w:hAnsi="Calibri" w:cs="Calibri"/>
                <w:sz w:val="16"/>
                <w:szCs w:val="16"/>
              </w:rPr>
              <w:t>38.513.185</w:t>
            </w:r>
          </w:p>
        </w:tc>
        <w:tc>
          <w:tcPr>
            <w:tcW w:w="623" w:type="pct"/>
            <w:tcBorders>
              <w:top w:val="nil"/>
              <w:left w:val="nil"/>
              <w:bottom w:val="nil"/>
              <w:right w:val="nil"/>
            </w:tcBorders>
            <w:shd w:val="clear" w:color="auto" w:fill="auto"/>
            <w:noWrap/>
            <w:vAlign w:val="center"/>
          </w:tcPr>
          <w:p w14:paraId="5B13618D" w14:textId="24F85F4C" w:rsidR="00706813" w:rsidRPr="002E2B5B" w:rsidRDefault="000027B2" w:rsidP="002E2B5B">
            <w:pPr>
              <w:jc w:val="center"/>
              <w:rPr>
                <w:rFonts w:ascii="Calibri" w:hAnsi="Calibri" w:cs="Calibri"/>
                <w:sz w:val="16"/>
                <w:szCs w:val="16"/>
              </w:rPr>
            </w:pPr>
            <w:r>
              <w:rPr>
                <w:rFonts w:ascii="Calibri" w:hAnsi="Calibri" w:cs="Calibri"/>
                <w:sz w:val="16"/>
                <w:szCs w:val="16"/>
              </w:rPr>
              <w:t>138.275</w:t>
            </w:r>
          </w:p>
        </w:tc>
        <w:tc>
          <w:tcPr>
            <w:tcW w:w="699" w:type="pct"/>
            <w:tcBorders>
              <w:top w:val="nil"/>
              <w:left w:val="nil"/>
              <w:bottom w:val="nil"/>
              <w:right w:val="nil"/>
            </w:tcBorders>
            <w:shd w:val="clear" w:color="auto" w:fill="auto"/>
            <w:noWrap/>
            <w:vAlign w:val="center"/>
          </w:tcPr>
          <w:p w14:paraId="119255E3" w14:textId="284A7290" w:rsidR="00706813" w:rsidRPr="002E2B5B" w:rsidRDefault="00706813" w:rsidP="002E2B5B">
            <w:pPr>
              <w:jc w:val="center"/>
              <w:rPr>
                <w:rFonts w:ascii="Calibri" w:hAnsi="Calibri" w:cs="Calibri"/>
                <w:sz w:val="16"/>
                <w:szCs w:val="16"/>
              </w:rPr>
            </w:pPr>
            <w:r w:rsidRPr="002E2B5B">
              <w:rPr>
                <w:rFonts w:ascii="Calibri" w:hAnsi="Calibri" w:cs="Calibri"/>
                <w:sz w:val="16"/>
                <w:szCs w:val="16"/>
              </w:rPr>
              <w:t>(</w:t>
            </w:r>
            <w:r w:rsidR="000027B2">
              <w:rPr>
                <w:rFonts w:ascii="Calibri" w:hAnsi="Calibri" w:cs="Calibri"/>
                <w:sz w:val="16"/>
                <w:szCs w:val="16"/>
              </w:rPr>
              <w:t>417.259</w:t>
            </w:r>
            <w:r w:rsidRPr="002E2B5B">
              <w:rPr>
                <w:rFonts w:ascii="Calibri" w:hAnsi="Calibri" w:cs="Calibri"/>
                <w:sz w:val="16"/>
                <w:szCs w:val="16"/>
              </w:rPr>
              <w:t>)</w:t>
            </w:r>
          </w:p>
        </w:tc>
        <w:tc>
          <w:tcPr>
            <w:tcW w:w="955" w:type="pct"/>
            <w:tcBorders>
              <w:top w:val="nil"/>
              <w:left w:val="nil"/>
              <w:bottom w:val="nil"/>
              <w:right w:val="nil"/>
            </w:tcBorders>
            <w:vAlign w:val="center"/>
          </w:tcPr>
          <w:p w14:paraId="35F59C03" w14:textId="08B998B5" w:rsidR="00706813" w:rsidRPr="00706813" w:rsidRDefault="00706813" w:rsidP="002E2B5B">
            <w:pPr>
              <w:jc w:val="center"/>
              <w:rPr>
                <w:rFonts w:ascii="Calibri" w:hAnsi="Calibri" w:cs="Calibri"/>
                <w:sz w:val="16"/>
                <w:szCs w:val="16"/>
              </w:rPr>
            </w:pPr>
            <w:r w:rsidRPr="00706813">
              <w:rPr>
                <w:rFonts w:ascii="Calibri" w:hAnsi="Calibri" w:cs="Calibri"/>
                <w:sz w:val="16"/>
                <w:szCs w:val="16"/>
              </w:rPr>
              <w:t>(</w:t>
            </w:r>
            <w:r w:rsidR="000027B2">
              <w:rPr>
                <w:rFonts w:ascii="Calibri" w:hAnsi="Calibri" w:cs="Calibri"/>
                <w:sz w:val="16"/>
                <w:szCs w:val="16"/>
              </w:rPr>
              <w:t>61.917</w:t>
            </w:r>
            <w:r w:rsidRPr="00706813">
              <w:rPr>
                <w:rFonts w:ascii="Calibri" w:hAnsi="Calibri" w:cs="Calibri"/>
                <w:sz w:val="16"/>
                <w:szCs w:val="16"/>
              </w:rPr>
              <w:t>)</w:t>
            </w:r>
          </w:p>
        </w:tc>
        <w:tc>
          <w:tcPr>
            <w:tcW w:w="954" w:type="pct"/>
            <w:tcBorders>
              <w:top w:val="nil"/>
              <w:left w:val="nil"/>
              <w:bottom w:val="nil"/>
              <w:right w:val="nil"/>
            </w:tcBorders>
            <w:shd w:val="clear" w:color="auto" w:fill="auto"/>
            <w:noWrap/>
            <w:vAlign w:val="center"/>
          </w:tcPr>
          <w:p w14:paraId="2A6F01EC" w14:textId="1E6CC8FB" w:rsidR="00706813" w:rsidRPr="002E2B5B" w:rsidRDefault="000027B2" w:rsidP="002E2B5B">
            <w:pPr>
              <w:jc w:val="center"/>
              <w:rPr>
                <w:rFonts w:ascii="Calibri" w:hAnsi="Calibri" w:cs="Calibri"/>
                <w:sz w:val="16"/>
                <w:szCs w:val="16"/>
              </w:rPr>
            </w:pPr>
            <w:r>
              <w:rPr>
                <w:rFonts w:ascii="Calibri" w:hAnsi="Calibri" w:cs="Calibri"/>
                <w:sz w:val="16"/>
                <w:szCs w:val="16"/>
              </w:rPr>
              <w:t>38.172.284</w:t>
            </w:r>
          </w:p>
        </w:tc>
      </w:tr>
      <w:tr w:rsidR="00706813" w:rsidRPr="002E2B5B" w14:paraId="3ED486A4" w14:textId="77777777" w:rsidTr="00C34E8D">
        <w:trPr>
          <w:trHeight w:hRule="exact" w:val="227"/>
        </w:trPr>
        <w:tc>
          <w:tcPr>
            <w:tcW w:w="743" w:type="pct"/>
            <w:tcBorders>
              <w:top w:val="single" w:sz="4" w:space="0" w:color="auto"/>
              <w:left w:val="nil"/>
              <w:bottom w:val="single" w:sz="4" w:space="0" w:color="auto"/>
              <w:right w:val="nil"/>
            </w:tcBorders>
            <w:shd w:val="clear" w:color="auto" w:fill="auto"/>
            <w:noWrap/>
            <w:vAlign w:val="center"/>
            <w:hideMark/>
          </w:tcPr>
          <w:p w14:paraId="2551589F" w14:textId="77777777" w:rsidR="00706813" w:rsidRPr="002E2B5B" w:rsidRDefault="00706813" w:rsidP="002E2B5B">
            <w:pPr>
              <w:rPr>
                <w:rFonts w:ascii="Calibri" w:hAnsi="Calibri" w:cs="Calibri"/>
                <w:b/>
                <w:bCs/>
                <w:sz w:val="16"/>
                <w:szCs w:val="16"/>
              </w:rPr>
            </w:pPr>
            <w:r w:rsidRPr="002E2B5B">
              <w:rPr>
                <w:rFonts w:ascii="Calibri" w:hAnsi="Calibri" w:cs="Calibri"/>
                <w:b/>
                <w:bCs/>
                <w:sz w:val="16"/>
                <w:szCs w:val="16"/>
              </w:rPr>
              <w:t>TOTAL</w:t>
            </w:r>
          </w:p>
        </w:tc>
        <w:tc>
          <w:tcPr>
            <w:tcW w:w="1026" w:type="pct"/>
            <w:tcBorders>
              <w:top w:val="single" w:sz="4" w:space="0" w:color="auto"/>
              <w:left w:val="nil"/>
              <w:bottom w:val="single" w:sz="4" w:space="0" w:color="auto"/>
              <w:right w:val="nil"/>
            </w:tcBorders>
            <w:shd w:val="clear" w:color="auto" w:fill="auto"/>
            <w:noWrap/>
            <w:vAlign w:val="center"/>
            <w:hideMark/>
          </w:tcPr>
          <w:p w14:paraId="3CC1A0A8" w14:textId="4DE2A327"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90.154.987</w:t>
            </w:r>
          </w:p>
        </w:tc>
        <w:tc>
          <w:tcPr>
            <w:tcW w:w="623" w:type="pct"/>
            <w:tcBorders>
              <w:top w:val="single" w:sz="4" w:space="0" w:color="auto"/>
              <w:left w:val="nil"/>
              <w:bottom w:val="single" w:sz="4" w:space="0" w:color="auto"/>
              <w:right w:val="nil"/>
            </w:tcBorders>
            <w:shd w:val="clear" w:color="auto" w:fill="auto"/>
            <w:noWrap/>
            <w:vAlign w:val="center"/>
          </w:tcPr>
          <w:p w14:paraId="6B3D1F26" w14:textId="59B460C1" w:rsidR="00706813" w:rsidRPr="002E2B5B" w:rsidRDefault="000027B2" w:rsidP="002E2B5B">
            <w:pPr>
              <w:jc w:val="center"/>
              <w:rPr>
                <w:rFonts w:ascii="Calibri" w:hAnsi="Calibri" w:cs="Calibri"/>
                <w:b/>
                <w:bCs/>
                <w:sz w:val="16"/>
                <w:szCs w:val="16"/>
              </w:rPr>
            </w:pPr>
            <w:r>
              <w:rPr>
                <w:rFonts w:ascii="Calibri" w:hAnsi="Calibri" w:cs="Calibri"/>
                <w:b/>
                <w:bCs/>
                <w:sz w:val="16"/>
                <w:szCs w:val="16"/>
              </w:rPr>
              <w:t>138.275</w:t>
            </w:r>
          </w:p>
        </w:tc>
        <w:tc>
          <w:tcPr>
            <w:tcW w:w="699" w:type="pct"/>
            <w:tcBorders>
              <w:top w:val="single" w:sz="4" w:space="0" w:color="auto"/>
              <w:left w:val="nil"/>
              <w:bottom w:val="single" w:sz="4" w:space="0" w:color="auto"/>
              <w:right w:val="nil"/>
            </w:tcBorders>
            <w:shd w:val="clear" w:color="auto" w:fill="auto"/>
            <w:noWrap/>
            <w:vAlign w:val="center"/>
          </w:tcPr>
          <w:p w14:paraId="22E0F802" w14:textId="60CF5549"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w:t>
            </w:r>
            <w:r w:rsidR="000027B2">
              <w:rPr>
                <w:rFonts w:ascii="Calibri" w:hAnsi="Calibri" w:cs="Calibri"/>
                <w:b/>
                <w:bCs/>
                <w:sz w:val="16"/>
                <w:szCs w:val="16"/>
              </w:rPr>
              <w:t>417.259</w:t>
            </w:r>
            <w:r w:rsidRPr="002E2B5B">
              <w:rPr>
                <w:rFonts w:ascii="Calibri" w:hAnsi="Calibri" w:cs="Calibri"/>
                <w:b/>
                <w:bCs/>
                <w:sz w:val="16"/>
                <w:szCs w:val="16"/>
              </w:rPr>
              <w:t>)</w:t>
            </w:r>
          </w:p>
        </w:tc>
        <w:tc>
          <w:tcPr>
            <w:tcW w:w="955" w:type="pct"/>
            <w:tcBorders>
              <w:top w:val="single" w:sz="4" w:space="0" w:color="auto"/>
              <w:left w:val="nil"/>
              <w:bottom w:val="single" w:sz="4" w:space="0" w:color="auto"/>
              <w:right w:val="nil"/>
            </w:tcBorders>
            <w:vAlign w:val="center"/>
          </w:tcPr>
          <w:p w14:paraId="2B971A4D" w14:textId="3E203F52" w:rsidR="00706813" w:rsidRPr="00706813" w:rsidRDefault="00706813" w:rsidP="002E2B5B">
            <w:pPr>
              <w:jc w:val="center"/>
              <w:rPr>
                <w:rFonts w:ascii="Calibri" w:hAnsi="Calibri" w:cs="Calibri"/>
                <w:b/>
                <w:bCs/>
                <w:sz w:val="16"/>
                <w:szCs w:val="16"/>
              </w:rPr>
            </w:pPr>
            <w:r w:rsidRPr="00706813">
              <w:rPr>
                <w:rFonts w:ascii="Calibri" w:hAnsi="Calibri" w:cs="Calibri"/>
                <w:b/>
                <w:bCs/>
                <w:sz w:val="16"/>
                <w:szCs w:val="16"/>
              </w:rPr>
              <w:t>(</w:t>
            </w:r>
            <w:r w:rsidR="000027B2">
              <w:rPr>
                <w:rFonts w:ascii="Calibri" w:hAnsi="Calibri" w:cs="Calibri"/>
                <w:b/>
                <w:bCs/>
                <w:sz w:val="16"/>
                <w:szCs w:val="16"/>
              </w:rPr>
              <w:t>61.917</w:t>
            </w:r>
            <w:r w:rsidRPr="00706813">
              <w:rPr>
                <w:rFonts w:ascii="Calibri" w:hAnsi="Calibri" w:cs="Calibri"/>
                <w:b/>
                <w:bCs/>
                <w:sz w:val="16"/>
                <w:szCs w:val="16"/>
              </w:rPr>
              <w:t>)</w:t>
            </w:r>
          </w:p>
        </w:tc>
        <w:tc>
          <w:tcPr>
            <w:tcW w:w="954" w:type="pct"/>
            <w:tcBorders>
              <w:top w:val="single" w:sz="4" w:space="0" w:color="auto"/>
              <w:left w:val="nil"/>
              <w:bottom w:val="single" w:sz="4" w:space="0" w:color="auto"/>
              <w:right w:val="nil"/>
            </w:tcBorders>
            <w:shd w:val="clear" w:color="auto" w:fill="auto"/>
            <w:noWrap/>
            <w:vAlign w:val="center"/>
          </w:tcPr>
          <w:p w14:paraId="5ED8D0F1" w14:textId="143B404E" w:rsidR="00706813" w:rsidRPr="002E2B5B" w:rsidRDefault="000027B2" w:rsidP="002E2B5B">
            <w:pPr>
              <w:jc w:val="center"/>
              <w:rPr>
                <w:rFonts w:ascii="Calibri" w:hAnsi="Calibri" w:cs="Calibri"/>
                <w:b/>
                <w:bCs/>
                <w:sz w:val="16"/>
                <w:szCs w:val="16"/>
              </w:rPr>
            </w:pPr>
            <w:r>
              <w:rPr>
                <w:rFonts w:ascii="Calibri" w:hAnsi="Calibri" w:cs="Calibri"/>
                <w:b/>
                <w:bCs/>
                <w:sz w:val="16"/>
                <w:szCs w:val="16"/>
              </w:rPr>
              <w:t>89.814.086</w:t>
            </w:r>
          </w:p>
        </w:tc>
      </w:tr>
    </w:tbl>
    <w:p w14:paraId="7A3E1A4A" w14:textId="77777777" w:rsidR="00552191" w:rsidRPr="002E2B5B" w:rsidRDefault="00552191" w:rsidP="002E2B5B">
      <w:pPr>
        <w:ind w:right="-85"/>
        <w:jc w:val="center"/>
        <w:rPr>
          <w:rFonts w:ascii="Calibri" w:hAnsi="Calibri" w:cs="Calibri"/>
          <w:color w:val="FF0000"/>
          <w:sz w:val="22"/>
          <w:szCs w:val="22"/>
        </w:rPr>
      </w:pPr>
    </w:p>
    <w:p w14:paraId="3B838B7C" w14:textId="0DD25FBE" w:rsidR="00E9733B" w:rsidRPr="002E2B5B" w:rsidRDefault="00174649" w:rsidP="002E2B5B">
      <w:pPr>
        <w:spacing w:after="120"/>
        <w:jc w:val="both"/>
        <w:rPr>
          <w:rFonts w:ascii="Calibri" w:hAnsi="Calibri" w:cs="Calibri"/>
          <w:sz w:val="22"/>
          <w:szCs w:val="22"/>
        </w:rPr>
      </w:pPr>
      <w:r w:rsidRPr="002E2B5B">
        <w:rPr>
          <w:rFonts w:ascii="Calibri" w:hAnsi="Calibri" w:cs="Calibri"/>
          <w:sz w:val="22"/>
          <w:szCs w:val="22"/>
        </w:rPr>
        <w:t xml:space="preserve">O montante </w:t>
      </w:r>
      <w:r w:rsidR="00E35139" w:rsidRPr="002E2B5B">
        <w:rPr>
          <w:rFonts w:ascii="Calibri" w:hAnsi="Calibri" w:cs="Calibri"/>
          <w:sz w:val="22"/>
          <w:szCs w:val="22"/>
        </w:rPr>
        <w:t xml:space="preserve">de R$ </w:t>
      </w:r>
      <w:r w:rsidR="000027B2">
        <w:rPr>
          <w:rFonts w:ascii="Calibri" w:hAnsi="Calibri" w:cs="Calibri"/>
          <w:sz w:val="22"/>
          <w:szCs w:val="22"/>
        </w:rPr>
        <w:t>89,8</w:t>
      </w:r>
      <w:r w:rsidR="00706813">
        <w:rPr>
          <w:rFonts w:ascii="Calibri" w:hAnsi="Calibri" w:cs="Calibri"/>
          <w:sz w:val="22"/>
          <w:szCs w:val="22"/>
        </w:rPr>
        <w:t xml:space="preserve"> milhões</w:t>
      </w:r>
      <w:r w:rsidRPr="002E2B5B">
        <w:rPr>
          <w:rFonts w:ascii="Calibri" w:hAnsi="Calibri" w:cs="Calibri"/>
          <w:sz w:val="22"/>
          <w:szCs w:val="22"/>
        </w:rPr>
        <w:t xml:space="preserve"> compreende </w:t>
      </w:r>
      <w:r w:rsidR="00300ECC" w:rsidRPr="002E2B5B">
        <w:rPr>
          <w:rFonts w:ascii="Calibri" w:hAnsi="Calibri" w:cs="Calibri"/>
          <w:sz w:val="22"/>
          <w:szCs w:val="22"/>
        </w:rPr>
        <w:t>os</w:t>
      </w:r>
      <w:r w:rsidRPr="002E2B5B">
        <w:rPr>
          <w:rFonts w:ascii="Calibri" w:hAnsi="Calibri" w:cs="Calibri"/>
          <w:sz w:val="22"/>
          <w:szCs w:val="22"/>
        </w:rPr>
        <w:t xml:space="preserve"> </w:t>
      </w:r>
      <w:r w:rsidR="00D33D2A" w:rsidRPr="002E2B5B">
        <w:rPr>
          <w:rFonts w:ascii="Calibri" w:hAnsi="Calibri" w:cs="Calibri"/>
          <w:sz w:val="22"/>
          <w:szCs w:val="22"/>
        </w:rPr>
        <w:t xml:space="preserve">valores depositados em juízo referentes a </w:t>
      </w:r>
      <w:r w:rsidRPr="002E2B5B">
        <w:rPr>
          <w:rFonts w:ascii="Calibri" w:hAnsi="Calibri" w:cs="Calibri"/>
          <w:sz w:val="22"/>
          <w:szCs w:val="22"/>
        </w:rPr>
        <w:t xml:space="preserve">depósitos </w:t>
      </w:r>
      <w:r w:rsidR="00D33D2A" w:rsidRPr="002E2B5B">
        <w:rPr>
          <w:rFonts w:ascii="Calibri" w:hAnsi="Calibri" w:cs="Calibri"/>
          <w:sz w:val="22"/>
          <w:szCs w:val="22"/>
        </w:rPr>
        <w:t xml:space="preserve">recursais, </w:t>
      </w:r>
      <w:r w:rsidRPr="002E2B5B">
        <w:rPr>
          <w:rFonts w:ascii="Calibri" w:hAnsi="Calibri" w:cs="Calibri"/>
          <w:sz w:val="22"/>
          <w:szCs w:val="22"/>
        </w:rPr>
        <w:t>provenientes das ações trabalhistas e cíveis impetradas pelas partes autoras contra</w:t>
      </w:r>
      <w:r w:rsidR="004F4203" w:rsidRPr="002E2B5B">
        <w:rPr>
          <w:rFonts w:ascii="Calibri" w:hAnsi="Calibri" w:cs="Calibri"/>
          <w:sz w:val="22"/>
          <w:szCs w:val="22"/>
        </w:rPr>
        <w:t xml:space="preserve"> a VALEC e </w:t>
      </w:r>
      <w:r w:rsidRPr="002E2B5B">
        <w:rPr>
          <w:rFonts w:ascii="Calibri" w:hAnsi="Calibri" w:cs="Calibri"/>
          <w:sz w:val="22"/>
          <w:szCs w:val="22"/>
        </w:rPr>
        <w:t>as extintas empresas Rede Ferroviária Federal S/A – RFFSA e Empresa Brasileira de Plane</w:t>
      </w:r>
      <w:r w:rsidR="004F4203" w:rsidRPr="002E2B5B">
        <w:rPr>
          <w:rFonts w:ascii="Calibri" w:hAnsi="Calibri" w:cs="Calibri"/>
          <w:sz w:val="22"/>
          <w:szCs w:val="22"/>
        </w:rPr>
        <w:t>jamento de Transportes – GEIPOT</w:t>
      </w:r>
      <w:r w:rsidR="00526964" w:rsidRPr="002E2B5B">
        <w:rPr>
          <w:rFonts w:ascii="Calibri" w:hAnsi="Calibri" w:cs="Calibri"/>
          <w:sz w:val="22"/>
          <w:szCs w:val="22"/>
        </w:rPr>
        <w:t>, atualizados monetariamente pela</w:t>
      </w:r>
      <w:r w:rsidR="00D33D2A" w:rsidRPr="002E2B5B">
        <w:rPr>
          <w:rFonts w:ascii="Calibri" w:hAnsi="Calibri" w:cs="Calibri"/>
          <w:sz w:val="22"/>
          <w:szCs w:val="22"/>
        </w:rPr>
        <w:t xml:space="preserve"> taxa JAM-FGTS (ações trabalhistas) ou pela taxa Selic (ações cíveis)</w:t>
      </w:r>
      <w:r w:rsidR="00526964" w:rsidRPr="002E2B5B">
        <w:rPr>
          <w:rFonts w:ascii="Calibri" w:hAnsi="Calibri" w:cs="Calibri"/>
          <w:sz w:val="22"/>
          <w:szCs w:val="22"/>
        </w:rPr>
        <w:t xml:space="preserve"> até 31</w:t>
      </w:r>
      <w:r w:rsidR="00706813">
        <w:rPr>
          <w:rFonts w:ascii="Calibri" w:hAnsi="Calibri" w:cs="Calibri"/>
          <w:sz w:val="22"/>
          <w:szCs w:val="22"/>
        </w:rPr>
        <w:t xml:space="preserve"> de dezembro de 2018</w:t>
      </w:r>
      <w:r w:rsidR="00526964" w:rsidRPr="002E2B5B">
        <w:rPr>
          <w:rFonts w:ascii="Calibri" w:hAnsi="Calibri" w:cs="Calibri"/>
          <w:sz w:val="22"/>
          <w:szCs w:val="22"/>
        </w:rPr>
        <w:t>.</w:t>
      </w:r>
    </w:p>
    <w:p w14:paraId="408ADE9A" w14:textId="6674C946" w:rsidR="0049735C" w:rsidRPr="002E2B5B" w:rsidRDefault="004A592B" w:rsidP="002E2B5B">
      <w:pPr>
        <w:spacing w:after="120"/>
        <w:jc w:val="both"/>
        <w:rPr>
          <w:rFonts w:ascii="Calibri" w:hAnsi="Calibri" w:cs="Calibri"/>
          <w:sz w:val="22"/>
          <w:szCs w:val="22"/>
        </w:rPr>
      </w:pPr>
      <w:r w:rsidRPr="00706813">
        <w:rPr>
          <w:rFonts w:ascii="Calibri" w:hAnsi="Calibri" w:cs="Calibri"/>
          <w:sz w:val="22"/>
          <w:szCs w:val="22"/>
        </w:rPr>
        <w:t xml:space="preserve">Trimestralmente, é realizada a conciliação contábil dos depósitos judiciais junto à Procuradoria Jurídica da VALEC, o que justifica a baixa de R$ </w:t>
      </w:r>
      <w:r w:rsidR="000027B2">
        <w:rPr>
          <w:rFonts w:ascii="Calibri" w:hAnsi="Calibri" w:cs="Calibri"/>
          <w:sz w:val="22"/>
          <w:szCs w:val="22"/>
        </w:rPr>
        <w:t>417</w:t>
      </w:r>
      <w:r w:rsidRPr="00706813">
        <w:rPr>
          <w:rFonts w:ascii="Calibri" w:hAnsi="Calibri" w:cs="Calibri"/>
          <w:sz w:val="22"/>
          <w:szCs w:val="22"/>
        </w:rPr>
        <w:t xml:space="preserve"> mil em depósitos trabalhistas e a baixa de R$ </w:t>
      </w:r>
      <w:r w:rsidR="000027B2">
        <w:rPr>
          <w:rFonts w:ascii="Calibri" w:hAnsi="Calibri" w:cs="Calibri"/>
          <w:sz w:val="22"/>
          <w:szCs w:val="22"/>
        </w:rPr>
        <w:t>61,9</w:t>
      </w:r>
      <w:r w:rsidRPr="00706813">
        <w:rPr>
          <w:rFonts w:ascii="Calibri" w:hAnsi="Calibri" w:cs="Calibri"/>
          <w:sz w:val="22"/>
          <w:szCs w:val="22"/>
        </w:rPr>
        <w:t xml:space="preserve"> mil referente à atualização monetária até 2018.</w:t>
      </w:r>
    </w:p>
    <w:p w14:paraId="2A8A8985" w14:textId="32BE0A32" w:rsidR="009203C8" w:rsidRPr="002E2B5B" w:rsidRDefault="004A592B" w:rsidP="002E2B5B">
      <w:pPr>
        <w:jc w:val="both"/>
        <w:rPr>
          <w:rFonts w:ascii="Calibri" w:hAnsi="Calibri" w:cs="Calibri"/>
          <w:sz w:val="22"/>
          <w:szCs w:val="22"/>
        </w:rPr>
      </w:pPr>
      <w:r w:rsidRPr="002E2B5B">
        <w:rPr>
          <w:rFonts w:ascii="Calibri" w:hAnsi="Calibri" w:cs="Calibri"/>
          <w:sz w:val="22"/>
          <w:szCs w:val="22"/>
        </w:rPr>
        <w:t>A VALEC está providenciando junto ao Banco do Brasil e à Caixa Econômica Federal convênios para o recebimento dos extratos referentes aos depósitos judiciais, tempestivamente. Assim, mediante extratos a efetiva atualização monetária poderá ser registrada contabilmente.</w:t>
      </w:r>
    </w:p>
    <w:p w14:paraId="07A00DC6" w14:textId="77777777" w:rsidR="0046778D" w:rsidRPr="002E2B5B" w:rsidRDefault="0046778D" w:rsidP="002E2B5B">
      <w:pPr>
        <w:jc w:val="both"/>
        <w:rPr>
          <w:rFonts w:ascii="Calibri" w:hAnsi="Calibri" w:cs="Calibri"/>
          <w:sz w:val="22"/>
          <w:szCs w:val="22"/>
        </w:rPr>
      </w:pPr>
    </w:p>
    <w:p w14:paraId="1FCA8969" w14:textId="77777777" w:rsidR="00A502E5" w:rsidRPr="002E2B5B" w:rsidRDefault="00660339" w:rsidP="002E2B5B">
      <w:pPr>
        <w:numPr>
          <w:ilvl w:val="0"/>
          <w:numId w:val="4"/>
        </w:numPr>
        <w:ind w:left="284" w:right="-142" w:hanging="284"/>
        <w:jc w:val="both"/>
        <w:rPr>
          <w:rFonts w:ascii="Calibri" w:hAnsi="Calibri" w:cs="Calibri"/>
          <w:sz w:val="22"/>
          <w:szCs w:val="22"/>
        </w:rPr>
      </w:pPr>
      <w:r w:rsidRPr="002E2B5B">
        <w:rPr>
          <w:rFonts w:ascii="Calibri" w:hAnsi="Calibri" w:cs="Calibri"/>
          <w:b/>
          <w:sz w:val="22"/>
          <w:szCs w:val="22"/>
        </w:rPr>
        <w:t>Valores a Receber</w:t>
      </w:r>
      <w:r w:rsidR="00E848F6" w:rsidRPr="002E2B5B">
        <w:rPr>
          <w:rFonts w:ascii="Calibri" w:hAnsi="Calibri" w:cs="Calibri"/>
          <w:b/>
          <w:sz w:val="22"/>
          <w:szCs w:val="22"/>
        </w:rPr>
        <w:t xml:space="preserve">  </w:t>
      </w:r>
    </w:p>
    <w:p w14:paraId="38064FAC" w14:textId="77777777" w:rsidR="00B31412" w:rsidRPr="002E2B5B" w:rsidRDefault="00B31412" w:rsidP="002E2B5B">
      <w:pPr>
        <w:ind w:left="284" w:right="-142"/>
        <w:jc w:val="both"/>
        <w:rPr>
          <w:rFonts w:ascii="Calibri" w:hAnsi="Calibri" w:cs="Calibri"/>
          <w:sz w:val="22"/>
          <w:szCs w:val="22"/>
        </w:rPr>
      </w:pPr>
    </w:p>
    <w:tbl>
      <w:tblPr>
        <w:tblW w:w="5001" w:type="pct"/>
        <w:tblCellMar>
          <w:left w:w="70" w:type="dxa"/>
          <w:right w:w="70" w:type="dxa"/>
        </w:tblCellMar>
        <w:tblLook w:val="04A0" w:firstRow="1" w:lastRow="0" w:firstColumn="1" w:lastColumn="0" w:noHBand="0" w:noVBand="1"/>
      </w:tblPr>
      <w:tblGrid>
        <w:gridCol w:w="4112"/>
        <w:gridCol w:w="436"/>
        <w:gridCol w:w="438"/>
        <w:gridCol w:w="1773"/>
        <w:gridCol w:w="1773"/>
        <w:gridCol w:w="1937"/>
      </w:tblGrid>
      <w:tr w:rsidR="00F82B11" w:rsidRPr="002E2B5B" w14:paraId="0505C96F" w14:textId="77777777" w:rsidTr="00C34E8D">
        <w:trPr>
          <w:trHeight w:hRule="exact" w:val="227"/>
        </w:trPr>
        <w:tc>
          <w:tcPr>
            <w:tcW w:w="2380" w:type="pct"/>
            <w:gridSpan w:val="3"/>
            <w:tcBorders>
              <w:top w:val="nil"/>
              <w:left w:val="nil"/>
              <w:bottom w:val="single" w:sz="8" w:space="0" w:color="auto"/>
              <w:right w:val="nil"/>
            </w:tcBorders>
            <w:shd w:val="clear" w:color="auto" w:fill="auto"/>
            <w:noWrap/>
            <w:vAlign w:val="center"/>
            <w:hideMark/>
          </w:tcPr>
          <w:p w14:paraId="652B3ABF" w14:textId="77777777" w:rsidR="00F82B11" w:rsidRPr="002E2B5B" w:rsidRDefault="00F82B11" w:rsidP="002E2B5B">
            <w:pPr>
              <w:rPr>
                <w:rFonts w:ascii="Calibri" w:hAnsi="Calibri" w:cs="Calibri"/>
                <w:b/>
                <w:bCs/>
                <w:color w:val="000000"/>
                <w:sz w:val="16"/>
                <w:szCs w:val="16"/>
              </w:rPr>
            </w:pPr>
            <w:r w:rsidRPr="002E2B5B">
              <w:rPr>
                <w:rFonts w:ascii="Calibri" w:hAnsi="Calibri" w:cs="Calibri"/>
                <w:b/>
                <w:bCs/>
                <w:color w:val="000000"/>
                <w:sz w:val="16"/>
                <w:szCs w:val="16"/>
              </w:rPr>
              <w:t>VALORES A RECEBER</w:t>
            </w:r>
          </w:p>
        </w:tc>
        <w:tc>
          <w:tcPr>
            <w:tcW w:w="847" w:type="pct"/>
            <w:tcBorders>
              <w:top w:val="nil"/>
              <w:left w:val="nil"/>
              <w:bottom w:val="single" w:sz="8" w:space="0" w:color="auto"/>
              <w:right w:val="nil"/>
            </w:tcBorders>
            <w:shd w:val="clear" w:color="auto" w:fill="auto"/>
            <w:noWrap/>
            <w:vAlign w:val="center"/>
          </w:tcPr>
          <w:p w14:paraId="4679933E" w14:textId="77777777" w:rsidR="00F82B11" w:rsidRPr="002E2B5B" w:rsidRDefault="00F82B11" w:rsidP="002E2B5B">
            <w:pPr>
              <w:jc w:val="right"/>
              <w:rPr>
                <w:rFonts w:ascii="Calibri" w:hAnsi="Calibri" w:cs="Calibri"/>
                <w:b/>
                <w:bCs/>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411293E8" w14:textId="0092E5C5" w:rsidR="00F82B11" w:rsidRPr="002E2B5B" w:rsidRDefault="00BC2E03" w:rsidP="002E2B5B">
            <w:pPr>
              <w:jc w:val="right"/>
              <w:rPr>
                <w:rFonts w:ascii="Calibri" w:hAnsi="Calibri" w:cs="Calibri"/>
                <w:b/>
                <w:bCs/>
                <w:color w:val="000000"/>
                <w:sz w:val="16"/>
                <w:szCs w:val="16"/>
              </w:rPr>
            </w:pPr>
            <w:r>
              <w:rPr>
                <w:rFonts w:ascii="Calibri" w:hAnsi="Calibri" w:cs="Calibri"/>
                <w:b/>
                <w:bCs/>
                <w:color w:val="000000"/>
                <w:sz w:val="16"/>
                <w:szCs w:val="16"/>
              </w:rPr>
              <w:t>30/06</w:t>
            </w:r>
            <w:r w:rsidR="00F82B11" w:rsidRPr="002E2B5B">
              <w:rPr>
                <w:rFonts w:ascii="Calibri" w:hAnsi="Calibri" w:cs="Calibri"/>
                <w:b/>
                <w:bCs/>
                <w:color w:val="000000"/>
                <w:sz w:val="16"/>
                <w:szCs w:val="16"/>
              </w:rPr>
              <w:t>/202</w:t>
            </w:r>
            <w:r w:rsidR="009C6659">
              <w:rPr>
                <w:rFonts w:ascii="Calibri" w:hAnsi="Calibri" w:cs="Calibri"/>
                <w:b/>
                <w:bCs/>
                <w:color w:val="000000"/>
                <w:sz w:val="16"/>
                <w:szCs w:val="16"/>
              </w:rPr>
              <w:t>1</w:t>
            </w:r>
          </w:p>
        </w:tc>
        <w:tc>
          <w:tcPr>
            <w:tcW w:w="925" w:type="pct"/>
            <w:tcBorders>
              <w:top w:val="nil"/>
              <w:left w:val="nil"/>
              <w:bottom w:val="single" w:sz="8" w:space="0" w:color="auto"/>
              <w:right w:val="nil"/>
            </w:tcBorders>
            <w:vAlign w:val="center"/>
          </w:tcPr>
          <w:p w14:paraId="00C0F1B8" w14:textId="12E31F49" w:rsidR="00F82B11" w:rsidRPr="002E2B5B" w:rsidRDefault="00F82B11"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C6659">
              <w:rPr>
                <w:rFonts w:ascii="Calibri" w:hAnsi="Calibri" w:cs="Calibri"/>
                <w:b/>
                <w:bCs/>
                <w:color w:val="000000"/>
                <w:sz w:val="16"/>
                <w:szCs w:val="16"/>
              </w:rPr>
              <w:t>20</w:t>
            </w:r>
          </w:p>
        </w:tc>
      </w:tr>
      <w:tr w:rsidR="00F82B11" w:rsidRPr="002E2B5B" w14:paraId="5E7B6336" w14:textId="77777777" w:rsidTr="00C34E8D">
        <w:trPr>
          <w:trHeight w:hRule="exact" w:val="227"/>
        </w:trPr>
        <w:tc>
          <w:tcPr>
            <w:tcW w:w="2380" w:type="pct"/>
            <w:gridSpan w:val="3"/>
            <w:tcBorders>
              <w:top w:val="single" w:sz="8" w:space="0" w:color="auto"/>
              <w:left w:val="nil"/>
              <w:bottom w:val="nil"/>
              <w:right w:val="nil"/>
            </w:tcBorders>
            <w:shd w:val="clear" w:color="auto" w:fill="auto"/>
            <w:noWrap/>
            <w:vAlign w:val="center"/>
            <w:hideMark/>
          </w:tcPr>
          <w:p w14:paraId="4A0D5388"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xml:space="preserve"> Saldo do exercício anterior</w:t>
            </w:r>
          </w:p>
        </w:tc>
        <w:tc>
          <w:tcPr>
            <w:tcW w:w="847" w:type="pct"/>
            <w:tcBorders>
              <w:top w:val="nil"/>
              <w:left w:val="nil"/>
              <w:bottom w:val="nil"/>
              <w:right w:val="nil"/>
            </w:tcBorders>
            <w:shd w:val="clear" w:color="auto" w:fill="auto"/>
            <w:noWrap/>
            <w:vAlign w:val="center"/>
          </w:tcPr>
          <w:p w14:paraId="7C4A742F" w14:textId="77777777" w:rsidR="00F82B11" w:rsidRPr="002E2B5B" w:rsidRDefault="00F82B11" w:rsidP="002E2B5B">
            <w:pPr>
              <w:jc w:val="right"/>
              <w:rPr>
                <w:rFonts w:ascii="Calibri" w:hAnsi="Calibri" w:cs="Calibri"/>
                <w:color w:val="000000"/>
                <w:sz w:val="16"/>
                <w:szCs w:val="16"/>
              </w:rPr>
            </w:pPr>
          </w:p>
        </w:tc>
        <w:tc>
          <w:tcPr>
            <w:tcW w:w="847" w:type="pct"/>
            <w:tcBorders>
              <w:top w:val="nil"/>
              <w:left w:val="nil"/>
              <w:bottom w:val="nil"/>
              <w:right w:val="nil"/>
            </w:tcBorders>
            <w:shd w:val="clear" w:color="auto" w:fill="auto"/>
            <w:noWrap/>
            <w:vAlign w:val="center"/>
            <w:hideMark/>
          </w:tcPr>
          <w:p w14:paraId="4F581F9E" w14:textId="38C322C5" w:rsidR="00F82B11" w:rsidRPr="002E2B5B" w:rsidRDefault="009C6659" w:rsidP="002E2B5B">
            <w:pPr>
              <w:jc w:val="right"/>
              <w:rPr>
                <w:rFonts w:ascii="Calibri" w:hAnsi="Calibri" w:cs="Calibri"/>
                <w:color w:val="000000"/>
                <w:sz w:val="16"/>
                <w:szCs w:val="16"/>
              </w:rPr>
            </w:pPr>
            <w:r>
              <w:rPr>
                <w:rFonts w:ascii="Calibri" w:hAnsi="Calibri" w:cs="Calibri"/>
                <w:color w:val="000000"/>
                <w:sz w:val="16"/>
                <w:szCs w:val="16"/>
              </w:rPr>
              <w:t>46.043</w:t>
            </w:r>
          </w:p>
        </w:tc>
        <w:tc>
          <w:tcPr>
            <w:tcW w:w="925" w:type="pct"/>
            <w:tcBorders>
              <w:top w:val="nil"/>
              <w:left w:val="nil"/>
              <w:bottom w:val="nil"/>
              <w:right w:val="nil"/>
            </w:tcBorders>
            <w:vAlign w:val="center"/>
          </w:tcPr>
          <w:p w14:paraId="02C1C3A6" w14:textId="4BFA7EA8" w:rsidR="00F82B11" w:rsidRPr="002E2B5B" w:rsidRDefault="009C6659" w:rsidP="002E2B5B">
            <w:pPr>
              <w:jc w:val="right"/>
              <w:rPr>
                <w:rFonts w:ascii="Calibri" w:hAnsi="Calibri" w:cs="Calibri"/>
                <w:color w:val="000000"/>
                <w:sz w:val="16"/>
                <w:szCs w:val="16"/>
              </w:rPr>
            </w:pPr>
            <w:r w:rsidRPr="002E2B5B">
              <w:rPr>
                <w:rFonts w:ascii="Calibri" w:hAnsi="Calibri" w:cs="Calibri"/>
                <w:color w:val="000000"/>
                <w:sz w:val="16"/>
                <w:szCs w:val="16"/>
              </w:rPr>
              <w:t>81.132</w:t>
            </w:r>
          </w:p>
        </w:tc>
      </w:tr>
      <w:tr w:rsidR="00F82B11" w:rsidRPr="002E2B5B" w14:paraId="5176AADB" w14:textId="77777777" w:rsidTr="00C34E8D">
        <w:trPr>
          <w:trHeight w:hRule="exact" w:val="227"/>
        </w:trPr>
        <w:tc>
          <w:tcPr>
            <w:tcW w:w="1964" w:type="pct"/>
            <w:tcBorders>
              <w:top w:val="nil"/>
              <w:left w:val="nil"/>
              <w:bottom w:val="nil"/>
              <w:right w:val="nil"/>
            </w:tcBorders>
            <w:shd w:val="clear" w:color="auto" w:fill="auto"/>
            <w:noWrap/>
            <w:vAlign w:val="center"/>
            <w:hideMark/>
          </w:tcPr>
          <w:p w14:paraId="3E99F965"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xml:space="preserve"> Ingressos</w:t>
            </w:r>
          </w:p>
        </w:tc>
        <w:tc>
          <w:tcPr>
            <w:tcW w:w="208" w:type="pct"/>
            <w:tcBorders>
              <w:top w:val="nil"/>
              <w:left w:val="nil"/>
              <w:bottom w:val="nil"/>
              <w:right w:val="nil"/>
            </w:tcBorders>
            <w:shd w:val="clear" w:color="auto" w:fill="auto"/>
            <w:noWrap/>
            <w:vAlign w:val="center"/>
            <w:hideMark/>
          </w:tcPr>
          <w:p w14:paraId="34015BF4" w14:textId="77777777" w:rsidR="00F82B11" w:rsidRPr="002E2B5B" w:rsidRDefault="00F82B11" w:rsidP="002E2B5B">
            <w:pPr>
              <w:rPr>
                <w:rFonts w:ascii="Calibri" w:hAnsi="Calibri" w:cs="Calibri"/>
                <w:color w:val="000000"/>
                <w:sz w:val="16"/>
                <w:szCs w:val="16"/>
              </w:rPr>
            </w:pPr>
          </w:p>
        </w:tc>
        <w:tc>
          <w:tcPr>
            <w:tcW w:w="209" w:type="pct"/>
            <w:tcBorders>
              <w:top w:val="nil"/>
              <w:left w:val="nil"/>
              <w:bottom w:val="nil"/>
              <w:right w:val="nil"/>
            </w:tcBorders>
            <w:shd w:val="clear" w:color="auto" w:fill="auto"/>
            <w:noWrap/>
            <w:vAlign w:val="center"/>
            <w:hideMark/>
          </w:tcPr>
          <w:p w14:paraId="33316553" w14:textId="77777777" w:rsidR="00F82B11" w:rsidRPr="002E2B5B" w:rsidRDefault="00F82B11" w:rsidP="002E2B5B">
            <w:pPr>
              <w:jc w:val="right"/>
              <w:rPr>
                <w:rFonts w:ascii="Calibri" w:hAnsi="Calibri" w:cs="Calibri"/>
                <w:sz w:val="16"/>
                <w:szCs w:val="16"/>
              </w:rPr>
            </w:pPr>
          </w:p>
        </w:tc>
        <w:tc>
          <w:tcPr>
            <w:tcW w:w="847" w:type="pct"/>
            <w:tcBorders>
              <w:top w:val="nil"/>
              <w:left w:val="nil"/>
              <w:bottom w:val="nil"/>
              <w:right w:val="nil"/>
            </w:tcBorders>
            <w:vAlign w:val="center"/>
          </w:tcPr>
          <w:p w14:paraId="0908F826" w14:textId="77777777" w:rsidR="00F82B11" w:rsidRPr="002E2B5B" w:rsidRDefault="00F82B11" w:rsidP="002E2B5B">
            <w:pPr>
              <w:jc w:val="right"/>
              <w:rPr>
                <w:rFonts w:ascii="Calibri" w:hAnsi="Calibri" w:cs="Calibri"/>
                <w:color w:val="000000"/>
                <w:sz w:val="16"/>
                <w:szCs w:val="16"/>
              </w:rPr>
            </w:pPr>
          </w:p>
        </w:tc>
        <w:tc>
          <w:tcPr>
            <w:tcW w:w="847" w:type="pct"/>
            <w:tcBorders>
              <w:top w:val="nil"/>
              <w:left w:val="nil"/>
              <w:bottom w:val="nil"/>
              <w:right w:val="nil"/>
            </w:tcBorders>
            <w:shd w:val="clear" w:color="auto" w:fill="auto"/>
            <w:noWrap/>
            <w:vAlign w:val="center"/>
            <w:hideMark/>
          </w:tcPr>
          <w:p w14:paraId="382478DC"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925" w:type="pct"/>
            <w:tcBorders>
              <w:top w:val="nil"/>
              <w:left w:val="nil"/>
              <w:bottom w:val="nil"/>
              <w:right w:val="nil"/>
            </w:tcBorders>
            <w:shd w:val="clear" w:color="auto" w:fill="auto"/>
            <w:noWrap/>
            <w:vAlign w:val="center"/>
            <w:hideMark/>
          </w:tcPr>
          <w:p w14:paraId="6A3D6C75" w14:textId="34958432" w:rsidR="00F82B11" w:rsidRPr="002E2B5B" w:rsidRDefault="009C6659" w:rsidP="002E2B5B">
            <w:pPr>
              <w:jc w:val="right"/>
              <w:rPr>
                <w:rFonts w:ascii="Calibri" w:hAnsi="Calibri" w:cs="Calibri"/>
                <w:color w:val="000000"/>
                <w:sz w:val="16"/>
                <w:szCs w:val="16"/>
              </w:rPr>
            </w:pPr>
            <w:r>
              <w:rPr>
                <w:rFonts w:ascii="Calibri" w:hAnsi="Calibri" w:cs="Calibri"/>
                <w:color w:val="000000"/>
                <w:sz w:val="16"/>
                <w:szCs w:val="16"/>
              </w:rPr>
              <w:t>0</w:t>
            </w:r>
          </w:p>
        </w:tc>
      </w:tr>
      <w:tr w:rsidR="00F82B11" w:rsidRPr="002E2B5B" w14:paraId="5EC220C8" w14:textId="77777777" w:rsidTr="00C34E8D">
        <w:trPr>
          <w:trHeight w:hRule="exact" w:val="227"/>
        </w:trPr>
        <w:tc>
          <w:tcPr>
            <w:tcW w:w="1964" w:type="pct"/>
            <w:tcBorders>
              <w:top w:val="nil"/>
              <w:left w:val="nil"/>
              <w:bottom w:val="single" w:sz="8" w:space="0" w:color="auto"/>
              <w:right w:val="nil"/>
            </w:tcBorders>
            <w:shd w:val="clear" w:color="auto" w:fill="auto"/>
            <w:noWrap/>
            <w:vAlign w:val="center"/>
            <w:hideMark/>
          </w:tcPr>
          <w:p w14:paraId="5085720B"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xml:space="preserve"> Baixas</w:t>
            </w:r>
          </w:p>
        </w:tc>
        <w:tc>
          <w:tcPr>
            <w:tcW w:w="208" w:type="pct"/>
            <w:tcBorders>
              <w:top w:val="nil"/>
              <w:left w:val="nil"/>
              <w:bottom w:val="single" w:sz="8" w:space="0" w:color="auto"/>
              <w:right w:val="nil"/>
            </w:tcBorders>
            <w:shd w:val="clear" w:color="auto" w:fill="auto"/>
            <w:noWrap/>
            <w:vAlign w:val="center"/>
            <w:hideMark/>
          </w:tcPr>
          <w:p w14:paraId="2A74EBB6"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209" w:type="pct"/>
            <w:tcBorders>
              <w:top w:val="nil"/>
              <w:left w:val="nil"/>
              <w:bottom w:val="single" w:sz="8" w:space="0" w:color="auto"/>
              <w:right w:val="nil"/>
            </w:tcBorders>
            <w:shd w:val="clear" w:color="auto" w:fill="auto"/>
            <w:noWrap/>
            <w:vAlign w:val="center"/>
            <w:hideMark/>
          </w:tcPr>
          <w:p w14:paraId="6283652E"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847" w:type="pct"/>
            <w:tcBorders>
              <w:top w:val="nil"/>
              <w:left w:val="nil"/>
              <w:bottom w:val="single" w:sz="8" w:space="0" w:color="auto"/>
              <w:right w:val="nil"/>
            </w:tcBorders>
            <w:vAlign w:val="center"/>
          </w:tcPr>
          <w:p w14:paraId="65CD7B29" w14:textId="77777777" w:rsidR="00F82B11" w:rsidRPr="002E2B5B" w:rsidRDefault="00F82B11" w:rsidP="002E2B5B">
            <w:pPr>
              <w:jc w:val="right"/>
              <w:rPr>
                <w:rFonts w:ascii="Calibri" w:hAnsi="Calibri" w:cs="Calibri"/>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16FAD1DA" w14:textId="13762131"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w:t>
            </w:r>
            <w:r w:rsidR="00BC2E03">
              <w:rPr>
                <w:rFonts w:ascii="Calibri" w:hAnsi="Calibri" w:cs="Calibri"/>
                <w:color w:val="000000"/>
                <w:sz w:val="16"/>
                <w:szCs w:val="16"/>
              </w:rPr>
              <w:t>6.144</w:t>
            </w:r>
            <w:r w:rsidRPr="002E2B5B">
              <w:rPr>
                <w:rFonts w:ascii="Calibri" w:hAnsi="Calibri" w:cs="Calibri"/>
                <w:color w:val="000000"/>
                <w:sz w:val="16"/>
                <w:szCs w:val="16"/>
              </w:rPr>
              <w:t>)</w:t>
            </w:r>
          </w:p>
        </w:tc>
        <w:tc>
          <w:tcPr>
            <w:tcW w:w="925" w:type="pct"/>
            <w:tcBorders>
              <w:top w:val="nil"/>
              <w:left w:val="nil"/>
              <w:bottom w:val="single" w:sz="8" w:space="0" w:color="auto"/>
              <w:right w:val="nil"/>
            </w:tcBorders>
            <w:shd w:val="clear" w:color="auto" w:fill="auto"/>
            <w:noWrap/>
            <w:vAlign w:val="center"/>
            <w:hideMark/>
          </w:tcPr>
          <w:p w14:paraId="2F5158A3" w14:textId="737720C7" w:rsidR="00F82B11" w:rsidRPr="002E2B5B" w:rsidRDefault="009C6659" w:rsidP="002E2B5B">
            <w:pPr>
              <w:jc w:val="right"/>
              <w:rPr>
                <w:rFonts w:ascii="Calibri" w:hAnsi="Calibri" w:cs="Calibri"/>
                <w:color w:val="000000"/>
                <w:sz w:val="16"/>
                <w:szCs w:val="16"/>
              </w:rPr>
            </w:pPr>
            <w:r w:rsidRPr="002E2B5B">
              <w:rPr>
                <w:rFonts w:ascii="Calibri" w:hAnsi="Calibri" w:cs="Calibri"/>
                <w:color w:val="000000"/>
                <w:sz w:val="16"/>
                <w:szCs w:val="16"/>
              </w:rPr>
              <w:t>(35.089)</w:t>
            </w:r>
          </w:p>
        </w:tc>
      </w:tr>
      <w:tr w:rsidR="00F82B11" w:rsidRPr="002E2B5B" w14:paraId="6197C69E" w14:textId="77777777" w:rsidTr="00C34E8D">
        <w:trPr>
          <w:trHeight w:hRule="exact" w:val="227"/>
        </w:trPr>
        <w:tc>
          <w:tcPr>
            <w:tcW w:w="1964" w:type="pct"/>
            <w:tcBorders>
              <w:top w:val="nil"/>
              <w:left w:val="nil"/>
              <w:bottom w:val="single" w:sz="8" w:space="0" w:color="auto"/>
              <w:right w:val="nil"/>
            </w:tcBorders>
            <w:shd w:val="clear" w:color="auto" w:fill="auto"/>
            <w:noWrap/>
            <w:vAlign w:val="center"/>
            <w:hideMark/>
          </w:tcPr>
          <w:p w14:paraId="58708201" w14:textId="77777777" w:rsidR="00F82B11" w:rsidRPr="002E2B5B" w:rsidRDefault="00F82B11"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208" w:type="pct"/>
            <w:tcBorders>
              <w:top w:val="nil"/>
              <w:left w:val="nil"/>
              <w:bottom w:val="single" w:sz="8" w:space="0" w:color="auto"/>
              <w:right w:val="nil"/>
            </w:tcBorders>
            <w:shd w:val="clear" w:color="auto" w:fill="auto"/>
            <w:noWrap/>
            <w:vAlign w:val="center"/>
            <w:hideMark/>
          </w:tcPr>
          <w:p w14:paraId="6F384909"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w:t>
            </w:r>
          </w:p>
        </w:tc>
        <w:tc>
          <w:tcPr>
            <w:tcW w:w="209" w:type="pct"/>
            <w:tcBorders>
              <w:top w:val="nil"/>
              <w:left w:val="nil"/>
              <w:bottom w:val="single" w:sz="8" w:space="0" w:color="auto"/>
              <w:right w:val="nil"/>
            </w:tcBorders>
            <w:shd w:val="clear" w:color="auto" w:fill="auto"/>
            <w:noWrap/>
            <w:vAlign w:val="center"/>
            <w:hideMark/>
          </w:tcPr>
          <w:p w14:paraId="5D56D4F4"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w:t>
            </w:r>
          </w:p>
        </w:tc>
        <w:tc>
          <w:tcPr>
            <w:tcW w:w="847" w:type="pct"/>
            <w:tcBorders>
              <w:top w:val="nil"/>
              <w:left w:val="nil"/>
              <w:bottom w:val="single" w:sz="8" w:space="0" w:color="auto"/>
              <w:right w:val="nil"/>
            </w:tcBorders>
            <w:vAlign w:val="center"/>
          </w:tcPr>
          <w:p w14:paraId="67348A0D" w14:textId="77777777" w:rsidR="00F82B11" w:rsidRPr="002E2B5B" w:rsidRDefault="00F82B11" w:rsidP="002E2B5B">
            <w:pPr>
              <w:jc w:val="right"/>
              <w:rPr>
                <w:rFonts w:ascii="Calibri" w:hAnsi="Calibri" w:cs="Calibri"/>
                <w:b/>
                <w:bCs/>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65A106C3" w14:textId="234F1962" w:rsidR="00F82B11" w:rsidRPr="002E2B5B" w:rsidRDefault="00BC2E03" w:rsidP="002E2B5B">
            <w:pPr>
              <w:jc w:val="right"/>
              <w:rPr>
                <w:rFonts w:ascii="Calibri" w:hAnsi="Calibri" w:cs="Calibri"/>
                <w:b/>
                <w:bCs/>
                <w:color w:val="000000"/>
                <w:sz w:val="16"/>
                <w:szCs w:val="16"/>
              </w:rPr>
            </w:pPr>
            <w:r>
              <w:rPr>
                <w:rFonts w:ascii="Calibri" w:hAnsi="Calibri" w:cs="Calibri"/>
                <w:b/>
                <w:bCs/>
                <w:color w:val="000000"/>
                <w:sz w:val="16"/>
                <w:szCs w:val="16"/>
              </w:rPr>
              <w:t>39.899</w:t>
            </w:r>
          </w:p>
        </w:tc>
        <w:tc>
          <w:tcPr>
            <w:tcW w:w="925" w:type="pct"/>
            <w:tcBorders>
              <w:top w:val="nil"/>
              <w:left w:val="nil"/>
              <w:bottom w:val="single" w:sz="8" w:space="0" w:color="auto"/>
              <w:right w:val="nil"/>
            </w:tcBorders>
            <w:shd w:val="clear" w:color="auto" w:fill="auto"/>
            <w:noWrap/>
            <w:vAlign w:val="center"/>
            <w:hideMark/>
          </w:tcPr>
          <w:p w14:paraId="6D8D5236" w14:textId="57196958" w:rsidR="00F82B11" w:rsidRPr="002E2B5B" w:rsidRDefault="009C6659" w:rsidP="002E2B5B">
            <w:pPr>
              <w:jc w:val="right"/>
              <w:rPr>
                <w:rFonts w:ascii="Calibri" w:hAnsi="Calibri" w:cs="Calibri"/>
                <w:b/>
                <w:bCs/>
                <w:color w:val="000000"/>
                <w:sz w:val="16"/>
                <w:szCs w:val="16"/>
              </w:rPr>
            </w:pPr>
            <w:r w:rsidRPr="002E2B5B">
              <w:rPr>
                <w:rFonts w:ascii="Calibri" w:hAnsi="Calibri" w:cs="Calibri"/>
                <w:b/>
                <w:bCs/>
                <w:color w:val="000000"/>
                <w:sz w:val="16"/>
                <w:szCs w:val="16"/>
              </w:rPr>
              <w:t>46.043</w:t>
            </w:r>
          </w:p>
        </w:tc>
      </w:tr>
    </w:tbl>
    <w:p w14:paraId="21723F61" w14:textId="77777777" w:rsidR="0049522C" w:rsidRPr="002E2B5B" w:rsidRDefault="0049522C" w:rsidP="002E2B5B">
      <w:pPr>
        <w:jc w:val="both"/>
        <w:rPr>
          <w:rFonts w:ascii="Calibri" w:hAnsi="Calibri" w:cs="Calibri"/>
          <w:sz w:val="22"/>
          <w:szCs w:val="22"/>
        </w:rPr>
      </w:pPr>
    </w:p>
    <w:p w14:paraId="4FA2BE72" w14:textId="5698EADC" w:rsidR="00646583" w:rsidRDefault="00833C55" w:rsidP="002E2B5B">
      <w:pPr>
        <w:jc w:val="both"/>
        <w:rPr>
          <w:rFonts w:ascii="Calibri" w:hAnsi="Calibri" w:cs="Calibri"/>
          <w:sz w:val="22"/>
          <w:szCs w:val="22"/>
        </w:rPr>
      </w:pPr>
      <w:r w:rsidRPr="002E2B5B">
        <w:rPr>
          <w:rFonts w:ascii="Calibri" w:hAnsi="Calibri" w:cs="Calibri"/>
          <w:sz w:val="22"/>
          <w:szCs w:val="22"/>
        </w:rPr>
        <w:t xml:space="preserve">O saldo de R$ </w:t>
      </w:r>
      <w:r w:rsidR="00BC2E03">
        <w:rPr>
          <w:rFonts w:ascii="Calibri" w:hAnsi="Calibri" w:cs="Calibri"/>
          <w:sz w:val="22"/>
          <w:szCs w:val="22"/>
        </w:rPr>
        <w:t>39,8</w:t>
      </w:r>
      <w:r w:rsidR="008619B2">
        <w:rPr>
          <w:rFonts w:ascii="Calibri" w:hAnsi="Calibri" w:cs="Calibri"/>
          <w:sz w:val="22"/>
          <w:szCs w:val="22"/>
        </w:rPr>
        <w:t xml:space="preserve"> mil</w:t>
      </w:r>
      <w:r w:rsidR="004B6CEF" w:rsidRPr="002E2B5B">
        <w:rPr>
          <w:rFonts w:ascii="Calibri" w:hAnsi="Calibri" w:cs="Calibri"/>
          <w:sz w:val="22"/>
          <w:szCs w:val="22"/>
        </w:rPr>
        <w:t xml:space="preserve"> </w:t>
      </w:r>
      <w:r w:rsidRPr="002E2B5B">
        <w:rPr>
          <w:rFonts w:ascii="Calibri" w:hAnsi="Calibri" w:cs="Calibri"/>
          <w:sz w:val="22"/>
          <w:szCs w:val="22"/>
        </w:rPr>
        <w:t>abrange gastos com despesas médicas dos empregados da extinta Empresa Brasileira de Planejamento de Transportes – GEIPOT transferidos para a VALEC</w:t>
      </w:r>
      <w:r w:rsidR="0046500A" w:rsidRPr="002E2B5B">
        <w:rPr>
          <w:rFonts w:ascii="Calibri" w:hAnsi="Calibri" w:cs="Calibri"/>
          <w:sz w:val="22"/>
          <w:szCs w:val="22"/>
        </w:rPr>
        <w:t>. O</w:t>
      </w:r>
      <w:r w:rsidRPr="002E2B5B">
        <w:rPr>
          <w:rFonts w:ascii="Calibri" w:hAnsi="Calibri" w:cs="Calibri"/>
          <w:sz w:val="22"/>
          <w:szCs w:val="22"/>
        </w:rPr>
        <w:t>s descontos desses valores são efetuados mensalmente na Folha de Pagamento dos colaboradores.</w:t>
      </w:r>
      <w:r w:rsidR="00EF021B" w:rsidRPr="002E2B5B">
        <w:rPr>
          <w:rFonts w:ascii="Calibri" w:hAnsi="Calibri" w:cs="Calibri"/>
          <w:sz w:val="22"/>
          <w:szCs w:val="22"/>
        </w:rPr>
        <w:t xml:space="preserve"> </w:t>
      </w:r>
    </w:p>
    <w:p w14:paraId="51041BA7" w14:textId="77777777" w:rsidR="00A00571" w:rsidRPr="002E2B5B" w:rsidRDefault="00A00571" w:rsidP="002E2B5B">
      <w:pPr>
        <w:jc w:val="both"/>
        <w:rPr>
          <w:rFonts w:ascii="Calibri" w:hAnsi="Calibri" w:cs="Calibri"/>
          <w:sz w:val="22"/>
          <w:szCs w:val="22"/>
        </w:rPr>
      </w:pPr>
    </w:p>
    <w:p w14:paraId="565DC632" w14:textId="352B6A27" w:rsidR="00596575" w:rsidRPr="002E2B5B" w:rsidRDefault="00D22F5E" w:rsidP="002E2B5B">
      <w:pPr>
        <w:rPr>
          <w:rFonts w:ascii="Calibri" w:hAnsi="Calibri" w:cs="Calibri"/>
          <w:b/>
          <w:sz w:val="22"/>
          <w:szCs w:val="22"/>
        </w:rPr>
      </w:pPr>
      <w:r w:rsidRPr="002E2B5B">
        <w:rPr>
          <w:rFonts w:ascii="Calibri" w:hAnsi="Calibri" w:cs="Calibri"/>
          <w:b/>
          <w:sz w:val="22"/>
          <w:szCs w:val="22"/>
        </w:rPr>
        <w:t xml:space="preserve">NOTA </w:t>
      </w:r>
      <w:r w:rsidR="008619B2">
        <w:rPr>
          <w:rFonts w:ascii="Calibri" w:hAnsi="Calibri" w:cs="Calibri"/>
          <w:b/>
          <w:sz w:val="22"/>
          <w:szCs w:val="22"/>
        </w:rPr>
        <w:t>6</w:t>
      </w:r>
      <w:r w:rsidR="00596575" w:rsidRPr="002E2B5B">
        <w:rPr>
          <w:rFonts w:ascii="Calibri" w:hAnsi="Calibri" w:cs="Calibri"/>
          <w:b/>
          <w:sz w:val="22"/>
          <w:szCs w:val="22"/>
        </w:rPr>
        <w:t xml:space="preserve"> – </w:t>
      </w:r>
      <w:r w:rsidR="00FA2255" w:rsidRPr="002E2B5B">
        <w:rPr>
          <w:rFonts w:ascii="Calibri" w:hAnsi="Calibri" w:cs="Calibri"/>
          <w:b/>
          <w:sz w:val="22"/>
          <w:szCs w:val="22"/>
        </w:rPr>
        <w:t>PERMISSÕES PARA</w:t>
      </w:r>
      <w:r w:rsidR="00251A3C" w:rsidRPr="002E2B5B">
        <w:rPr>
          <w:rFonts w:ascii="Calibri" w:hAnsi="Calibri" w:cs="Calibri"/>
          <w:b/>
          <w:sz w:val="22"/>
          <w:szCs w:val="22"/>
        </w:rPr>
        <w:t xml:space="preserve"> USO</w:t>
      </w:r>
      <w:r w:rsidR="00596575" w:rsidRPr="002E2B5B">
        <w:rPr>
          <w:rFonts w:ascii="Calibri" w:hAnsi="Calibri" w:cs="Calibri"/>
          <w:b/>
          <w:sz w:val="22"/>
          <w:szCs w:val="22"/>
        </w:rPr>
        <w:t xml:space="preserve"> DE PÁTIOS </w:t>
      </w:r>
    </w:p>
    <w:p w14:paraId="0F96A759" w14:textId="77777777" w:rsidR="00645FAA" w:rsidRPr="002E2B5B" w:rsidRDefault="00645FAA" w:rsidP="002E2B5B">
      <w:pPr>
        <w:rPr>
          <w:rFonts w:ascii="Calibri" w:hAnsi="Calibri" w:cs="Calibri"/>
          <w:b/>
          <w:sz w:val="22"/>
          <w:szCs w:val="22"/>
        </w:rPr>
      </w:pPr>
    </w:p>
    <w:p w14:paraId="6FD60DE1" w14:textId="37612907" w:rsidR="008F5B96" w:rsidRPr="002E2B5B" w:rsidRDefault="003278F1" w:rsidP="002E2B5B">
      <w:pPr>
        <w:jc w:val="both"/>
        <w:rPr>
          <w:rFonts w:ascii="Calibri" w:hAnsi="Calibri" w:cs="Calibri"/>
          <w:sz w:val="22"/>
          <w:szCs w:val="22"/>
        </w:rPr>
      </w:pPr>
      <w:r w:rsidRPr="002E2B5B">
        <w:rPr>
          <w:rFonts w:ascii="Calibri" w:hAnsi="Calibri" w:cs="Calibri"/>
          <w:sz w:val="22"/>
          <w:szCs w:val="22"/>
        </w:rPr>
        <w:t>Para fomentar o transporte ferroviário, a VALEC outorga por meio de Contratos de Permissão de Uso, Pátios de Integração Multimodal, por prazo não inferior a 15 anos.  A</w:t>
      </w:r>
      <w:r w:rsidR="0046500A" w:rsidRPr="002E2B5B">
        <w:rPr>
          <w:rFonts w:ascii="Calibri" w:hAnsi="Calibri" w:cs="Calibri"/>
          <w:sz w:val="22"/>
          <w:szCs w:val="22"/>
        </w:rPr>
        <w:t>s</w:t>
      </w:r>
      <w:r w:rsidRPr="002E2B5B">
        <w:rPr>
          <w:rFonts w:ascii="Calibri" w:hAnsi="Calibri" w:cs="Calibri"/>
          <w:sz w:val="22"/>
          <w:szCs w:val="22"/>
        </w:rPr>
        <w:t xml:space="preserve"> receitas provindas dessas permissões são consideradas receitas operacionais diferidas pelo prazo </w:t>
      </w:r>
      <w:r w:rsidR="001A3D8C" w:rsidRPr="002E2B5B">
        <w:rPr>
          <w:rFonts w:ascii="Calibri" w:hAnsi="Calibri" w:cs="Calibri"/>
          <w:sz w:val="22"/>
          <w:szCs w:val="22"/>
        </w:rPr>
        <w:t>do contrato</w:t>
      </w:r>
      <w:r w:rsidRPr="002E2B5B">
        <w:rPr>
          <w:rFonts w:ascii="Calibri" w:hAnsi="Calibri" w:cs="Calibri"/>
          <w:sz w:val="22"/>
          <w:szCs w:val="22"/>
        </w:rPr>
        <w:t xml:space="preserve"> e o recebimento é parcelado conforme acordo contratual</w:t>
      </w:r>
      <w:r w:rsidR="0046500A" w:rsidRPr="002E2B5B">
        <w:rPr>
          <w:rFonts w:ascii="Calibri" w:hAnsi="Calibri" w:cs="Calibri"/>
          <w:sz w:val="22"/>
          <w:szCs w:val="22"/>
        </w:rPr>
        <w:t>. O</w:t>
      </w:r>
      <w:r w:rsidRPr="002E2B5B">
        <w:rPr>
          <w:rFonts w:ascii="Calibri" w:hAnsi="Calibri" w:cs="Calibri"/>
          <w:sz w:val="22"/>
          <w:szCs w:val="22"/>
        </w:rPr>
        <w:t>s saldos dos recursos a receber de curto e longo prazo referentes à Permissão para Uso de Pátios</w:t>
      </w:r>
      <w:r w:rsidR="001A3D8C" w:rsidRPr="002E2B5B">
        <w:rPr>
          <w:rFonts w:ascii="Calibri" w:hAnsi="Calibri" w:cs="Calibri"/>
          <w:sz w:val="22"/>
          <w:szCs w:val="22"/>
        </w:rPr>
        <w:t>,</w:t>
      </w:r>
      <w:r w:rsidRPr="002E2B5B">
        <w:rPr>
          <w:rFonts w:ascii="Calibri" w:hAnsi="Calibri" w:cs="Calibri"/>
          <w:sz w:val="22"/>
          <w:szCs w:val="22"/>
        </w:rPr>
        <w:t xml:space="preserve"> em </w:t>
      </w:r>
      <w:r w:rsidR="005B257C">
        <w:rPr>
          <w:rFonts w:ascii="Calibri" w:hAnsi="Calibri" w:cs="Calibri"/>
          <w:sz w:val="22"/>
          <w:szCs w:val="22"/>
        </w:rPr>
        <w:t>30</w:t>
      </w:r>
      <w:r w:rsidR="00A10351" w:rsidRPr="002E2B5B">
        <w:rPr>
          <w:rFonts w:ascii="Calibri" w:hAnsi="Calibri" w:cs="Calibri"/>
          <w:sz w:val="22"/>
          <w:szCs w:val="22"/>
        </w:rPr>
        <w:t xml:space="preserve"> de </w:t>
      </w:r>
      <w:r w:rsidR="005B257C">
        <w:rPr>
          <w:rFonts w:ascii="Calibri" w:hAnsi="Calibri" w:cs="Calibri"/>
          <w:sz w:val="22"/>
          <w:szCs w:val="22"/>
        </w:rPr>
        <w:t>junho</w:t>
      </w:r>
      <w:r w:rsidR="00A10351" w:rsidRPr="002E2B5B">
        <w:rPr>
          <w:rFonts w:ascii="Calibri" w:hAnsi="Calibri" w:cs="Calibri"/>
          <w:sz w:val="22"/>
          <w:szCs w:val="22"/>
        </w:rPr>
        <w:t xml:space="preserve"> de </w:t>
      </w:r>
      <w:r w:rsidRPr="002E2B5B">
        <w:rPr>
          <w:rFonts w:ascii="Calibri" w:hAnsi="Calibri" w:cs="Calibri"/>
          <w:sz w:val="22"/>
          <w:szCs w:val="22"/>
        </w:rPr>
        <w:t>20</w:t>
      </w:r>
      <w:r w:rsidR="004A592B" w:rsidRPr="002E2B5B">
        <w:rPr>
          <w:rFonts w:ascii="Calibri" w:hAnsi="Calibri" w:cs="Calibri"/>
          <w:sz w:val="22"/>
          <w:szCs w:val="22"/>
        </w:rPr>
        <w:t>2</w:t>
      </w:r>
      <w:r w:rsidR="00EA7E37">
        <w:rPr>
          <w:rFonts w:ascii="Calibri" w:hAnsi="Calibri" w:cs="Calibri"/>
          <w:sz w:val="22"/>
          <w:szCs w:val="22"/>
        </w:rPr>
        <w:t>1</w:t>
      </w:r>
      <w:r w:rsidR="001A3D8C" w:rsidRPr="002E2B5B">
        <w:rPr>
          <w:rFonts w:ascii="Calibri" w:hAnsi="Calibri" w:cs="Calibri"/>
          <w:sz w:val="22"/>
          <w:szCs w:val="22"/>
        </w:rPr>
        <w:t>,</w:t>
      </w:r>
      <w:r w:rsidRPr="002E2B5B">
        <w:rPr>
          <w:rFonts w:ascii="Calibri" w:hAnsi="Calibri" w:cs="Calibri"/>
          <w:sz w:val="22"/>
          <w:szCs w:val="22"/>
        </w:rPr>
        <w:t xml:space="preserve"> são:</w:t>
      </w:r>
    </w:p>
    <w:p w14:paraId="40B47385" w14:textId="77777777" w:rsidR="009165D8" w:rsidRPr="002E2B5B" w:rsidRDefault="009165D8" w:rsidP="002E2B5B">
      <w:pPr>
        <w:jc w:val="both"/>
        <w:rPr>
          <w:rFonts w:ascii="Calibri" w:hAnsi="Calibri" w:cs="Calibri"/>
          <w:sz w:val="22"/>
          <w:szCs w:val="22"/>
        </w:rPr>
      </w:pPr>
    </w:p>
    <w:p w14:paraId="7212EADE" w14:textId="61AE00E7" w:rsidR="00C34E8D" w:rsidRPr="00C34E8D" w:rsidRDefault="00660339" w:rsidP="00C34E8D">
      <w:pPr>
        <w:numPr>
          <w:ilvl w:val="0"/>
          <w:numId w:val="11"/>
        </w:numPr>
        <w:spacing w:after="240"/>
        <w:ind w:left="284" w:hanging="284"/>
        <w:rPr>
          <w:rFonts w:ascii="Calibri" w:hAnsi="Calibri" w:cs="Calibri"/>
          <w:b/>
          <w:sz w:val="22"/>
          <w:szCs w:val="22"/>
        </w:rPr>
      </w:pPr>
      <w:r w:rsidRPr="002E2B5B">
        <w:rPr>
          <w:rFonts w:ascii="Calibri" w:hAnsi="Calibri" w:cs="Calibri"/>
          <w:b/>
          <w:sz w:val="22"/>
          <w:szCs w:val="22"/>
        </w:rPr>
        <w:t>Realizáveis a Curto Praz</w:t>
      </w:r>
      <w:r w:rsidR="00C34E8D">
        <w:rPr>
          <w:rFonts w:ascii="Calibri" w:hAnsi="Calibri" w:cs="Calibri"/>
          <w:b/>
          <w:sz w:val="22"/>
          <w:szCs w:val="22"/>
        </w:rPr>
        <w:t>o</w:t>
      </w:r>
    </w:p>
    <w:tbl>
      <w:tblPr>
        <w:tblW w:w="5000" w:type="pct"/>
        <w:tblCellMar>
          <w:left w:w="70" w:type="dxa"/>
          <w:right w:w="70" w:type="dxa"/>
        </w:tblCellMar>
        <w:tblLook w:val="04A0" w:firstRow="1" w:lastRow="0" w:firstColumn="1" w:lastColumn="0" w:noHBand="0" w:noVBand="1"/>
      </w:tblPr>
      <w:tblGrid>
        <w:gridCol w:w="5450"/>
        <w:gridCol w:w="735"/>
        <w:gridCol w:w="735"/>
        <w:gridCol w:w="1047"/>
        <w:gridCol w:w="1298"/>
        <w:gridCol w:w="1202"/>
      </w:tblGrid>
      <w:tr w:rsidR="00491BC0" w14:paraId="371057B5" w14:textId="77777777" w:rsidTr="00C34E8D">
        <w:trPr>
          <w:trHeight w:hRule="exact" w:val="227"/>
        </w:trPr>
        <w:tc>
          <w:tcPr>
            <w:tcW w:w="3305" w:type="pct"/>
            <w:gridSpan w:val="3"/>
            <w:tcBorders>
              <w:top w:val="nil"/>
              <w:left w:val="nil"/>
              <w:bottom w:val="single" w:sz="8" w:space="0" w:color="auto"/>
              <w:right w:val="nil"/>
            </w:tcBorders>
            <w:shd w:val="clear" w:color="auto" w:fill="auto"/>
            <w:noWrap/>
            <w:vAlign w:val="center"/>
            <w:hideMark/>
          </w:tcPr>
          <w:p w14:paraId="2E725A1C" w14:textId="77777777" w:rsidR="00491BC0" w:rsidRDefault="00491BC0">
            <w:pPr>
              <w:rPr>
                <w:rFonts w:ascii="Calibri" w:hAnsi="Calibri" w:cs="Calibri"/>
                <w:b/>
                <w:bCs/>
                <w:color w:val="000000"/>
                <w:sz w:val="16"/>
                <w:szCs w:val="16"/>
              </w:rPr>
            </w:pPr>
            <w:r>
              <w:rPr>
                <w:rFonts w:ascii="Calibri" w:hAnsi="Calibri" w:cs="Calibri"/>
                <w:b/>
                <w:bCs/>
                <w:color w:val="000000"/>
                <w:sz w:val="16"/>
                <w:szCs w:val="16"/>
              </w:rPr>
              <w:t>PERMISSÃO PARA USO DE PÁTIOS A RECEBER - CIRCULANTE</w:t>
            </w:r>
          </w:p>
        </w:tc>
        <w:tc>
          <w:tcPr>
            <w:tcW w:w="500" w:type="pct"/>
            <w:tcBorders>
              <w:top w:val="nil"/>
              <w:left w:val="nil"/>
              <w:bottom w:val="single" w:sz="8" w:space="0" w:color="auto"/>
              <w:right w:val="nil"/>
            </w:tcBorders>
            <w:shd w:val="clear" w:color="auto" w:fill="auto"/>
            <w:noWrap/>
            <w:vAlign w:val="center"/>
            <w:hideMark/>
          </w:tcPr>
          <w:p w14:paraId="73F7A5A8"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7E9B14CA"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30/06/2021</w:t>
            </w:r>
          </w:p>
        </w:tc>
        <w:tc>
          <w:tcPr>
            <w:tcW w:w="576" w:type="pct"/>
            <w:tcBorders>
              <w:top w:val="nil"/>
              <w:left w:val="nil"/>
              <w:bottom w:val="single" w:sz="8" w:space="0" w:color="auto"/>
              <w:right w:val="nil"/>
            </w:tcBorders>
            <w:shd w:val="clear" w:color="auto" w:fill="auto"/>
            <w:vAlign w:val="center"/>
            <w:hideMark/>
          </w:tcPr>
          <w:p w14:paraId="1E7985D7"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31/12/2020</w:t>
            </w:r>
          </w:p>
        </w:tc>
      </w:tr>
      <w:tr w:rsidR="00491BC0" w14:paraId="26C21314" w14:textId="77777777" w:rsidTr="00C34E8D">
        <w:trPr>
          <w:trHeight w:hRule="exact" w:val="227"/>
        </w:trPr>
        <w:tc>
          <w:tcPr>
            <w:tcW w:w="3305" w:type="pct"/>
            <w:gridSpan w:val="3"/>
            <w:tcBorders>
              <w:top w:val="single" w:sz="8" w:space="0" w:color="auto"/>
              <w:left w:val="nil"/>
              <w:bottom w:val="nil"/>
              <w:right w:val="nil"/>
            </w:tcBorders>
            <w:shd w:val="clear" w:color="auto" w:fill="auto"/>
            <w:noWrap/>
            <w:vAlign w:val="center"/>
            <w:hideMark/>
          </w:tcPr>
          <w:p w14:paraId="090182FD" w14:textId="77777777" w:rsidR="00491BC0" w:rsidRDefault="00491BC0">
            <w:pPr>
              <w:rPr>
                <w:rFonts w:ascii="Calibri" w:hAnsi="Calibri" w:cs="Calibri"/>
                <w:color w:val="000000"/>
                <w:sz w:val="16"/>
                <w:szCs w:val="16"/>
              </w:rPr>
            </w:pPr>
            <w:r>
              <w:rPr>
                <w:rFonts w:ascii="Calibri" w:hAnsi="Calibri" w:cs="Calibri"/>
                <w:color w:val="000000"/>
                <w:sz w:val="16"/>
                <w:szCs w:val="16"/>
              </w:rPr>
              <w:t>Saldo do exercício anterior</w:t>
            </w:r>
          </w:p>
        </w:tc>
        <w:tc>
          <w:tcPr>
            <w:tcW w:w="500" w:type="pct"/>
            <w:tcBorders>
              <w:top w:val="nil"/>
              <w:left w:val="nil"/>
              <w:bottom w:val="nil"/>
              <w:right w:val="nil"/>
            </w:tcBorders>
            <w:shd w:val="clear" w:color="auto" w:fill="auto"/>
            <w:noWrap/>
            <w:vAlign w:val="center"/>
            <w:hideMark/>
          </w:tcPr>
          <w:p w14:paraId="1A0ADB49" w14:textId="77777777" w:rsidR="00491BC0" w:rsidRDefault="00491BC0">
            <w:pPr>
              <w:rPr>
                <w:rFonts w:ascii="Calibri" w:hAnsi="Calibri" w:cs="Calibri"/>
                <w:color w:val="000000"/>
                <w:sz w:val="16"/>
                <w:szCs w:val="16"/>
              </w:rPr>
            </w:pPr>
          </w:p>
        </w:tc>
        <w:tc>
          <w:tcPr>
            <w:tcW w:w="620" w:type="pct"/>
            <w:tcBorders>
              <w:top w:val="nil"/>
              <w:left w:val="nil"/>
              <w:bottom w:val="nil"/>
              <w:right w:val="nil"/>
            </w:tcBorders>
            <w:shd w:val="clear" w:color="auto" w:fill="auto"/>
            <w:noWrap/>
            <w:vAlign w:val="center"/>
            <w:hideMark/>
          </w:tcPr>
          <w:p w14:paraId="2D8B3BEA"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1.487.338</w:t>
            </w:r>
          </w:p>
        </w:tc>
        <w:tc>
          <w:tcPr>
            <w:tcW w:w="576" w:type="pct"/>
            <w:tcBorders>
              <w:top w:val="nil"/>
              <w:left w:val="nil"/>
              <w:bottom w:val="nil"/>
              <w:right w:val="nil"/>
            </w:tcBorders>
            <w:shd w:val="clear" w:color="auto" w:fill="auto"/>
            <w:vAlign w:val="center"/>
            <w:hideMark/>
          </w:tcPr>
          <w:p w14:paraId="518642EB"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740.142</w:t>
            </w:r>
          </w:p>
        </w:tc>
      </w:tr>
      <w:tr w:rsidR="00491BC0" w14:paraId="7B0B7124" w14:textId="77777777" w:rsidTr="00C34E8D">
        <w:trPr>
          <w:trHeight w:hRule="exact" w:val="227"/>
        </w:trPr>
        <w:tc>
          <w:tcPr>
            <w:tcW w:w="2954" w:type="pct"/>
            <w:gridSpan w:val="2"/>
            <w:tcBorders>
              <w:top w:val="nil"/>
              <w:left w:val="nil"/>
              <w:bottom w:val="nil"/>
              <w:right w:val="nil"/>
            </w:tcBorders>
            <w:shd w:val="clear" w:color="auto" w:fill="auto"/>
            <w:noWrap/>
            <w:vAlign w:val="center"/>
            <w:hideMark/>
          </w:tcPr>
          <w:p w14:paraId="7E62BAB5" w14:textId="77777777" w:rsidR="00491BC0" w:rsidRDefault="00491BC0">
            <w:pPr>
              <w:rPr>
                <w:rFonts w:ascii="Calibri" w:hAnsi="Calibri" w:cs="Calibri"/>
                <w:color w:val="000000"/>
                <w:sz w:val="16"/>
                <w:szCs w:val="16"/>
              </w:rPr>
            </w:pPr>
            <w:r>
              <w:rPr>
                <w:rFonts w:ascii="Calibri" w:hAnsi="Calibri" w:cs="Calibri"/>
                <w:color w:val="000000"/>
                <w:sz w:val="16"/>
                <w:szCs w:val="16"/>
              </w:rPr>
              <w:t>Recebimentos</w:t>
            </w:r>
          </w:p>
        </w:tc>
        <w:tc>
          <w:tcPr>
            <w:tcW w:w="351" w:type="pct"/>
            <w:tcBorders>
              <w:top w:val="nil"/>
              <w:left w:val="nil"/>
              <w:bottom w:val="nil"/>
              <w:right w:val="nil"/>
            </w:tcBorders>
            <w:shd w:val="clear" w:color="auto" w:fill="auto"/>
            <w:noWrap/>
            <w:vAlign w:val="center"/>
            <w:hideMark/>
          </w:tcPr>
          <w:p w14:paraId="2CA1A6CB"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0888918" w14:textId="77777777" w:rsidR="00491BC0" w:rsidRDefault="00491BC0">
            <w:pPr>
              <w:rPr>
                <w:sz w:val="20"/>
                <w:szCs w:val="20"/>
              </w:rPr>
            </w:pPr>
          </w:p>
        </w:tc>
        <w:tc>
          <w:tcPr>
            <w:tcW w:w="620" w:type="pct"/>
            <w:tcBorders>
              <w:top w:val="nil"/>
              <w:left w:val="nil"/>
              <w:bottom w:val="nil"/>
              <w:right w:val="nil"/>
            </w:tcBorders>
            <w:shd w:val="clear" w:color="auto" w:fill="auto"/>
            <w:vAlign w:val="center"/>
            <w:hideMark/>
          </w:tcPr>
          <w:p w14:paraId="21004546" w14:textId="4BE73243" w:rsidR="00491BC0" w:rsidRDefault="00491BC0">
            <w:pPr>
              <w:jc w:val="right"/>
              <w:rPr>
                <w:rFonts w:ascii="Calibri" w:hAnsi="Calibri" w:cs="Calibri"/>
                <w:color w:val="000000"/>
                <w:sz w:val="16"/>
                <w:szCs w:val="16"/>
              </w:rPr>
            </w:pPr>
            <w:r>
              <w:rPr>
                <w:rFonts w:ascii="Calibri" w:hAnsi="Calibri" w:cs="Calibri"/>
                <w:color w:val="000000"/>
                <w:sz w:val="16"/>
                <w:szCs w:val="16"/>
              </w:rPr>
              <w:t>(1.422.441)</w:t>
            </w:r>
          </w:p>
        </w:tc>
        <w:tc>
          <w:tcPr>
            <w:tcW w:w="576" w:type="pct"/>
            <w:tcBorders>
              <w:top w:val="nil"/>
              <w:left w:val="nil"/>
              <w:bottom w:val="nil"/>
              <w:right w:val="nil"/>
            </w:tcBorders>
            <w:shd w:val="clear" w:color="auto" w:fill="auto"/>
            <w:noWrap/>
            <w:vAlign w:val="center"/>
            <w:hideMark/>
          </w:tcPr>
          <w:p w14:paraId="226E42F5" w14:textId="492AAE39" w:rsidR="00491BC0" w:rsidRDefault="00491BC0">
            <w:pPr>
              <w:jc w:val="right"/>
              <w:rPr>
                <w:rFonts w:ascii="Calibri" w:hAnsi="Calibri" w:cs="Calibri"/>
                <w:color w:val="000000"/>
                <w:sz w:val="16"/>
                <w:szCs w:val="16"/>
              </w:rPr>
            </w:pPr>
            <w:r>
              <w:rPr>
                <w:rFonts w:ascii="Calibri" w:hAnsi="Calibri" w:cs="Calibri"/>
                <w:color w:val="000000"/>
                <w:sz w:val="16"/>
                <w:szCs w:val="16"/>
              </w:rPr>
              <w:t>(1.002.436)</w:t>
            </w:r>
          </w:p>
        </w:tc>
      </w:tr>
      <w:tr w:rsidR="00491BC0" w14:paraId="0923774B" w14:textId="77777777" w:rsidTr="00C34E8D">
        <w:trPr>
          <w:trHeight w:hRule="exact" w:val="227"/>
        </w:trPr>
        <w:tc>
          <w:tcPr>
            <w:tcW w:w="2954" w:type="pct"/>
            <w:gridSpan w:val="2"/>
            <w:tcBorders>
              <w:top w:val="nil"/>
              <w:left w:val="nil"/>
              <w:bottom w:val="nil"/>
              <w:right w:val="nil"/>
            </w:tcBorders>
            <w:shd w:val="clear" w:color="auto" w:fill="auto"/>
            <w:noWrap/>
            <w:vAlign w:val="center"/>
            <w:hideMark/>
          </w:tcPr>
          <w:p w14:paraId="01005E81" w14:textId="77777777" w:rsidR="00491BC0" w:rsidRDefault="00491BC0">
            <w:pPr>
              <w:rPr>
                <w:rFonts w:ascii="Calibri" w:hAnsi="Calibri" w:cs="Calibri"/>
                <w:color w:val="000000"/>
                <w:sz w:val="16"/>
                <w:szCs w:val="16"/>
              </w:rPr>
            </w:pPr>
            <w:proofErr w:type="spellStart"/>
            <w:r>
              <w:rPr>
                <w:rFonts w:ascii="Calibri" w:hAnsi="Calibri" w:cs="Calibri"/>
                <w:color w:val="000000"/>
                <w:sz w:val="16"/>
                <w:szCs w:val="16"/>
              </w:rPr>
              <w:t>Transf</w:t>
            </w:r>
            <w:proofErr w:type="spellEnd"/>
            <w:r>
              <w:rPr>
                <w:rFonts w:ascii="Calibri" w:hAnsi="Calibri" w:cs="Calibri"/>
                <w:color w:val="000000"/>
                <w:sz w:val="16"/>
                <w:szCs w:val="16"/>
              </w:rPr>
              <w:t>. do não circulante para circulante</w:t>
            </w:r>
          </w:p>
        </w:tc>
        <w:tc>
          <w:tcPr>
            <w:tcW w:w="351" w:type="pct"/>
            <w:tcBorders>
              <w:top w:val="nil"/>
              <w:left w:val="nil"/>
              <w:bottom w:val="nil"/>
              <w:right w:val="nil"/>
            </w:tcBorders>
            <w:shd w:val="clear" w:color="auto" w:fill="auto"/>
            <w:noWrap/>
            <w:vAlign w:val="center"/>
            <w:hideMark/>
          </w:tcPr>
          <w:p w14:paraId="0636280D"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66AB1C24" w14:textId="77777777" w:rsidR="00491BC0" w:rsidRDefault="00491BC0">
            <w:pPr>
              <w:rPr>
                <w:sz w:val="20"/>
                <w:szCs w:val="20"/>
              </w:rPr>
            </w:pPr>
          </w:p>
        </w:tc>
        <w:tc>
          <w:tcPr>
            <w:tcW w:w="620" w:type="pct"/>
            <w:tcBorders>
              <w:top w:val="nil"/>
              <w:left w:val="nil"/>
              <w:bottom w:val="nil"/>
              <w:right w:val="nil"/>
            </w:tcBorders>
            <w:shd w:val="clear" w:color="auto" w:fill="auto"/>
            <w:vAlign w:val="center"/>
            <w:hideMark/>
          </w:tcPr>
          <w:p w14:paraId="4D6376DD"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841.294</w:t>
            </w:r>
          </w:p>
        </w:tc>
        <w:tc>
          <w:tcPr>
            <w:tcW w:w="576" w:type="pct"/>
            <w:tcBorders>
              <w:top w:val="nil"/>
              <w:left w:val="nil"/>
              <w:bottom w:val="nil"/>
              <w:right w:val="nil"/>
            </w:tcBorders>
            <w:shd w:val="clear" w:color="auto" w:fill="auto"/>
            <w:noWrap/>
            <w:vAlign w:val="center"/>
            <w:hideMark/>
          </w:tcPr>
          <w:p w14:paraId="7BD3D872"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687.436</w:t>
            </w:r>
          </w:p>
        </w:tc>
      </w:tr>
      <w:tr w:rsidR="00491BC0" w14:paraId="70B0E88D" w14:textId="77777777" w:rsidTr="00C34E8D">
        <w:trPr>
          <w:trHeight w:hRule="exact" w:val="227"/>
        </w:trPr>
        <w:tc>
          <w:tcPr>
            <w:tcW w:w="2954" w:type="pct"/>
            <w:gridSpan w:val="2"/>
            <w:tcBorders>
              <w:top w:val="nil"/>
              <w:left w:val="nil"/>
              <w:bottom w:val="nil"/>
              <w:right w:val="nil"/>
            </w:tcBorders>
            <w:shd w:val="clear" w:color="auto" w:fill="auto"/>
            <w:noWrap/>
            <w:vAlign w:val="center"/>
            <w:hideMark/>
          </w:tcPr>
          <w:p w14:paraId="30A41EB0" w14:textId="77777777" w:rsidR="00491BC0" w:rsidRDefault="00491BC0">
            <w:pPr>
              <w:rPr>
                <w:rFonts w:ascii="Calibri" w:hAnsi="Calibri" w:cs="Calibri"/>
                <w:color w:val="000000"/>
                <w:sz w:val="16"/>
                <w:szCs w:val="16"/>
              </w:rPr>
            </w:pPr>
            <w:r>
              <w:rPr>
                <w:rFonts w:ascii="Calibri" w:hAnsi="Calibri" w:cs="Calibri"/>
                <w:color w:val="000000"/>
                <w:sz w:val="16"/>
                <w:szCs w:val="16"/>
              </w:rPr>
              <w:t>Atualização monetária do período</w:t>
            </w:r>
          </w:p>
        </w:tc>
        <w:tc>
          <w:tcPr>
            <w:tcW w:w="351" w:type="pct"/>
            <w:tcBorders>
              <w:top w:val="nil"/>
              <w:left w:val="nil"/>
              <w:bottom w:val="nil"/>
              <w:right w:val="nil"/>
            </w:tcBorders>
            <w:shd w:val="clear" w:color="auto" w:fill="auto"/>
            <w:noWrap/>
            <w:vAlign w:val="center"/>
            <w:hideMark/>
          </w:tcPr>
          <w:p w14:paraId="233A0062"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032D7D28" w14:textId="77777777" w:rsidR="00491BC0" w:rsidRDefault="00491BC0">
            <w:pPr>
              <w:rPr>
                <w:sz w:val="20"/>
                <w:szCs w:val="20"/>
              </w:rPr>
            </w:pPr>
          </w:p>
        </w:tc>
        <w:tc>
          <w:tcPr>
            <w:tcW w:w="620" w:type="pct"/>
            <w:tcBorders>
              <w:top w:val="nil"/>
              <w:left w:val="nil"/>
              <w:bottom w:val="nil"/>
              <w:right w:val="nil"/>
            </w:tcBorders>
            <w:shd w:val="clear" w:color="auto" w:fill="auto"/>
            <w:vAlign w:val="center"/>
            <w:hideMark/>
          </w:tcPr>
          <w:p w14:paraId="03271AF0" w14:textId="08409293" w:rsidR="00491BC0" w:rsidRDefault="00491BC0">
            <w:pPr>
              <w:jc w:val="right"/>
              <w:rPr>
                <w:rFonts w:ascii="Calibri" w:hAnsi="Calibri" w:cs="Calibri"/>
                <w:color w:val="000000"/>
                <w:sz w:val="16"/>
                <w:szCs w:val="16"/>
              </w:rPr>
            </w:pPr>
            <w:r>
              <w:rPr>
                <w:rFonts w:ascii="Calibri" w:hAnsi="Calibri" w:cs="Calibri"/>
                <w:color w:val="000000"/>
                <w:sz w:val="16"/>
                <w:szCs w:val="16"/>
              </w:rPr>
              <w:t>(31.749)</w:t>
            </w:r>
          </w:p>
        </w:tc>
        <w:tc>
          <w:tcPr>
            <w:tcW w:w="576" w:type="pct"/>
            <w:tcBorders>
              <w:top w:val="nil"/>
              <w:left w:val="nil"/>
              <w:bottom w:val="nil"/>
              <w:right w:val="nil"/>
            </w:tcBorders>
            <w:shd w:val="clear" w:color="auto" w:fill="auto"/>
            <w:noWrap/>
            <w:vAlign w:val="center"/>
            <w:hideMark/>
          </w:tcPr>
          <w:p w14:paraId="0E410D89"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12.196</w:t>
            </w:r>
          </w:p>
        </w:tc>
      </w:tr>
      <w:tr w:rsidR="00491BC0" w14:paraId="7D71B3FF" w14:textId="77777777" w:rsidTr="00C34E8D">
        <w:trPr>
          <w:trHeight w:hRule="exact" w:val="227"/>
        </w:trPr>
        <w:tc>
          <w:tcPr>
            <w:tcW w:w="2954" w:type="pct"/>
            <w:gridSpan w:val="2"/>
            <w:tcBorders>
              <w:top w:val="nil"/>
              <w:left w:val="nil"/>
              <w:bottom w:val="single" w:sz="8" w:space="0" w:color="auto"/>
              <w:right w:val="nil"/>
            </w:tcBorders>
            <w:shd w:val="clear" w:color="auto" w:fill="auto"/>
            <w:noWrap/>
            <w:vAlign w:val="center"/>
            <w:hideMark/>
          </w:tcPr>
          <w:p w14:paraId="4DD64CBF" w14:textId="77777777" w:rsidR="00491BC0" w:rsidRDefault="00491BC0">
            <w:pPr>
              <w:rPr>
                <w:rFonts w:ascii="Calibri" w:hAnsi="Calibri" w:cs="Calibri"/>
                <w:color w:val="000000"/>
                <w:sz w:val="16"/>
                <w:szCs w:val="16"/>
              </w:rPr>
            </w:pPr>
            <w:r>
              <w:rPr>
                <w:rFonts w:ascii="Calibri" w:hAnsi="Calibri" w:cs="Calibri"/>
                <w:color w:val="000000"/>
                <w:sz w:val="16"/>
                <w:szCs w:val="16"/>
              </w:rPr>
              <w:t>Novas permissões</w:t>
            </w:r>
          </w:p>
        </w:tc>
        <w:tc>
          <w:tcPr>
            <w:tcW w:w="351" w:type="pct"/>
            <w:tcBorders>
              <w:top w:val="nil"/>
              <w:left w:val="nil"/>
              <w:bottom w:val="single" w:sz="8" w:space="0" w:color="auto"/>
              <w:right w:val="nil"/>
            </w:tcBorders>
            <w:shd w:val="clear" w:color="auto" w:fill="auto"/>
            <w:noWrap/>
            <w:vAlign w:val="center"/>
            <w:hideMark/>
          </w:tcPr>
          <w:p w14:paraId="314B15D4"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289122B6"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 </w:t>
            </w:r>
          </w:p>
        </w:tc>
        <w:tc>
          <w:tcPr>
            <w:tcW w:w="620" w:type="pct"/>
            <w:tcBorders>
              <w:top w:val="nil"/>
              <w:left w:val="nil"/>
              <w:bottom w:val="single" w:sz="8" w:space="0" w:color="auto"/>
              <w:right w:val="nil"/>
            </w:tcBorders>
            <w:shd w:val="clear" w:color="auto" w:fill="auto"/>
            <w:vAlign w:val="center"/>
            <w:hideMark/>
          </w:tcPr>
          <w:p w14:paraId="62ED5889" w14:textId="11761DF6" w:rsidR="00491BC0" w:rsidRDefault="00491BC0">
            <w:pPr>
              <w:jc w:val="right"/>
              <w:rPr>
                <w:rFonts w:ascii="Calibri" w:hAnsi="Calibri" w:cs="Calibri"/>
                <w:color w:val="000000"/>
                <w:sz w:val="16"/>
                <w:szCs w:val="16"/>
              </w:rPr>
            </w:pPr>
            <w:r>
              <w:rPr>
                <w:rFonts w:ascii="Calibri" w:hAnsi="Calibri" w:cs="Calibri"/>
                <w:color w:val="000000"/>
                <w:sz w:val="16"/>
                <w:szCs w:val="16"/>
              </w:rPr>
              <w:t xml:space="preserve">                             0   </w:t>
            </w:r>
          </w:p>
        </w:tc>
        <w:tc>
          <w:tcPr>
            <w:tcW w:w="576" w:type="pct"/>
            <w:tcBorders>
              <w:top w:val="nil"/>
              <w:left w:val="nil"/>
              <w:bottom w:val="single" w:sz="8" w:space="0" w:color="auto"/>
              <w:right w:val="nil"/>
            </w:tcBorders>
            <w:shd w:val="clear" w:color="auto" w:fill="auto"/>
            <w:noWrap/>
            <w:vAlign w:val="center"/>
            <w:hideMark/>
          </w:tcPr>
          <w:p w14:paraId="466A775B"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1.050.000</w:t>
            </w:r>
          </w:p>
        </w:tc>
      </w:tr>
      <w:tr w:rsidR="00491BC0" w14:paraId="56A1A315" w14:textId="77777777" w:rsidTr="00C34E8D">
        <w:trPr>
          <w:trHeight w:hRule="exact" w:val="227"/>
        </w:trPr>
        <w:tc>
          <w:tcPr>
            <w:tcW w:w="2604" w:type="pct"/>
            <w:tcBorders>
              <w:top w:val="nil"/>
              <w:left w:val="nil"/>
              <w:bottom w:val="single" w:sz="8" w:space="0" w:color="auto"/>
              <w:right w:val="nil"/>
            </w:tcBorders>
            <w:shd w:val="clear" w:color="auto" w:fill="auto"/>
            <w:noWrap/>
            <w:vAlign w:val="center"/>
            <w:hideMark/>
          </w:tcPr>
          <w:p w14:paraId="0E134AF4" w14:textId="77777777" w:rsidR="00491BC0" w:rsidRDefault="00491BC0">
            <w:pPr>
              <w:rPr>
                <w:rFonts w:ascii="Calibri" w:hAnsi="Calibri" w:cs="Calibri"/>
                <w:b/>
                <w:bCs/>
                <w:color w:val="000000"/>
                <w:sz w:val="16"/>
                <w:szCs w:val="16"/>
              </w:rPr>
            </w:pPr>
            <w:r>
              <w:rPr>
                <w:rFonts w:ascii="Calibri" w:hAnsi="Calibri" w:cs="Calibri"/>
                <w:b/>
                <w:bCs/>
                <w:color w:val="000000"/>
                <w:sz w:val="16"/>
                <w:szCs w:val="16"/>
              </w:rPr>
              <w:t xml:space="preserve"> TOTAL </w:t>
            </w:r>
          </w:p>
        </w:tc>
        <w:tc>
          <w:tcPr>
            <w:tcW w:w="351" w:type="pct"/>
            <w:tcBorders>
              <w:top w:val="nil"/>
              <w:left w:val="nil"/>
              <w:bottom w:val="single" w:sz="8" w:space="0" w:color="auto"/>
              <w:right w:val="nil"/>
            </w:tcBorders>
            <w:shd w:val="clear" w:color="auto" w:fill="auto"/>
            <w:noWrap/>
            <w:vAlign w:val="center"/>
            <w:hideMark/>
          </w:tcPr>
          <w:p w14:paraId="152F3C4C" w14:textId="77777777" w:rsidR="00491BC0" w:rsidRDefault="00491BC0">
            <w:pPr>
              <w:rPr>
                <w:rFonts w:ascii="Calibri" w:hAnsi="Calibri" w:cs="Calibri"/>
                <w:color w:val="000000"/>
                <w:sz w:val="16"/>
                <w:szCs w:val="16"/>
              </w:rPr>
            </w:pPr>
            <w:r>
              <w:rPr>
                <w:rFonts w:ascii="Calibri" w:hAnsi="Calibri" w:cs="Calibri"/>
                <w:color w:val="000000"/>
                <w:sz w:val="16"/>
                <w:szCs w:val="16"/>
              </w:rPr>
              <w:t> </w:t>
            </w:r>
          </w:p>
        </w:tc>
        <w:tc>
          <w:tcPr>
            <w:tcW w:w="351" w:type="pct"/>
            <w:tcBorders>
              <w:top w:val="nil"/>
              <w:left w:val="nil"/>
              <w:bottom w:val="single" w:sz="8" w:space="0" w:color="auto"/>
              <w:right w:val="nil"/>
            </w:tcBorders>
            <w:shd w:val="clear" w:color="auto" w:fill="auto"/>
            <w:noWrap/>
            <w:vAlign w:val="center"/>
            <w:hideMark/>
          </w:tcPr>
          <w:p w14:paraId="5028F84A"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 </w:t>
            </w:r>
          </w:p>
        </w:tc>
        <w:tc>
          <w:tcPr>
            <w:tcW w:w="500" w:type="pct"/>
            <w:tcBorders>
              <w:top w:val="nil"/>
              <w:left w:val="nil"/>
              <w:bottom w:val="single" w:sz="8" w:space="0" w:color="auto"/>
              <w:right w:val="nil"/>
            </w:tcBorders>
            <w:shd w:val="clear" w:color="auto" w:fill="auto"/>
            <w:vAlign w:val="center"/>
            <w:hideMark/>
          </w:tcPr>
          <w:p w14:paraId="4ECA1010"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38D72635"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874.442</w:t>
            </w:r>
          </w:p>
        </w:tc>
        <w:tc>
          <w:tcPr>
            <w:tcW w:w="576" w:type="pct"/>
            <w:tcBorders>
              <w:top w:val="nil"/>
              <w:left w:val="nil"/>
              <w:bottom w:val="single" w:sz="8" w:space="0" w:color="auto"/>
              <w:right w:val="nil"/>
            </w:tcBorders>
            <w:shd w:val="clear" w:color="auto" w:fill="auto"/>
            <w:noWrap/>
            <w:vAlign w:val="center"/>
            <w:hideMark/>
          </w:tcPr>
          <w:p w14:paraId="30E1846A"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1.487.338</w:t>
            </w:r>
          </w:p>
        </w:tc>
      </w:tr>
    </w:tbl>
    <w:p w14:paraId="745FC595" w14:textId="42C51807" w:rsidR="00C34E8D" w:rsidRDefault="00C34E8D" w:rsidP="00C34E8D">
      <w:pPr>
        <w:spacing w:before="240" w:after="240"/>
        <w:ind w:left="284"/>
        <w:rPr>
          <w:rFonts w:ascii="Calibri" w:hAnsi="Calibri" w:cs="Calibri"/>
          <w:b/>
          <w:sz w:val="22"/>
          <w:szCs w:val="22"/>
        </w:rPr>
      </w:pPr>
    </w:p>
    <w:p w14:paraId="1E37AD5F" w14:textId="77777777" w:rsidR="00C34E8D" w:rsidRDefault="00C34E8D" w:rsidP="00C34E8D">
      <w:pPr>
        <w:spacing w:before="240" w:after="240"/>
        <w:ind w:left="284"/>
        <w:rPr>
          <w:rFonts w:ascii="Calibri" w:hAnsi="Calibri" w:cs="Calibri"/>
          <w:b/>
          <w:sz w:val="22"/>
          <w:szCs w:val="22"/>
        </w:rPr>
      </w:pPr>
    </w:p>
    <w:p w14:paraId="2B2EA8AF" w14:textId="5AC9376A" w:rsidR="00596575" w:rsidRDefault="00580D61" w:rsidP="002E2B5B">
      <w:pPr>
        <w:numPr>
          <w:ilvl w:val="0"/>
          <w:numId w:val="11"/>
        </w:numPr>
        <w:spacing w:before="240" w:after="240"/>
        <w:ind w:left="284" w:hanging="284"/>
        <w:rPr>
          <w:rFonts w:ascii="Calibri" w:hAnsi="Calibri" w:cs="Calibri"/>
          <w:b/>
          <w:sz w:val="22"/>
          <w:szCs w:val="22"/>
        </w:rPr>
      </w:pPr>
      <w:r w:rsidRPr="002E2B5B">
        <w:rPr>
          <w:rFonts w:ascii="Calibri" w:hAnsi="Calibri" w:cs="Calibri"/>
          <w:b/>
          <w:sz w:val="22"/>
          <w:szCs w:val="22"/>
        </w:rPr>
        <w:t>Realizável a Longo Prazo</w:t>
      </w:r>
    </w:p>
    <w:tbl>
      <w:tblPr>
        <w:tblW w:w="5000" w:type="pct"/>
        <w:tblCellMar>
          <w:left w:w="70" w:type="dxa"/>
          <w:right w:w="70" w:type="dxa"/>
        </w:tblCellMar>
        <w:tblLook w:val="04A0" w:firstRow="1" w:lastRow="0" w:firstColumn="1" w:lastColumn="0" w:noHBand="0" w:noVBand="1"/>
      </w:tblPr>
      <w:tblGrid>
        <w:gridCol w:w="5578"/>
        <w:gridCol w:w="293"/>
        <w:gridCol w:w="1047"/>
        <w:gridCol w:w="1047"/>
        <w:gridCol w:w="1298"/>
        <w:gridCol w:w="1204"/>
      </w:tblGrid>
      <w:tr w:rsidR="00491BC0" w14:paraId="7F783AD3" w14:textId="77777777" w:rsidTr="00C34E8D">
        <w:trPr>
          <w:trHeight w:hRule="exact" w:val="227"/>
        </w:trPr>
        <w:tc>
          <w:tcPr>
            <w:tcW w:w="2804" w:type="pct"/>
            <w:gridSpan w:val="2"/>
            <w:tcBorders>
              <w:top w:val="nil"/>
              <w:left w:val="nil"/>
              <w:bottom w:val="single" w:sz="8" w:space="0" w:color="auto"/>
              <w:right w:val="nil"/>
            </w:tcBorders>
            <w:shd w:val="clear" w:color="auto" w:fill="auto"/>
            <w:noWrap/>
            <w:vAlign w:val="center"/>
            <w:hideMark/>
          </w:tcPr>
          <w:p w14:paraId="0A7434B2" w14:textId="77777777" w:rsidR="00491BC0" w:rsidRDefault="00491BC0">
            <w:pPr>
              <w:rPr>
                <w:rFonts w:ascii="Calibri" w:hAnsi="Calibri" w:cs="Calibri"/>
                <w:b/>
                <w:bCs/>
                <w:color w:val="000000"/>
                <w:sz w:val="16"/>
                <w:szCs w:val="16"/>
              </w:rPr>
            </w:pPr>
            <w:r>
              <w:rPr>
                <w:rFonts w:ascii="Calibri" w:hAnsi="Calibri" w:cs="Calibri"/>
                <w:b/>
                <w:bCs/>
                <w:color w:val="000000"/>
                <w:sz w:val="16"/>
                <w:szCs w:val="16"/>
              </w:rPr>
              <w:t>PERMISSÃO DE USO DE PÁTIOS A RECEBER – NÃO CIRCULANTE</w:t>
            </w:r>
          </w:p>
        </w:tc>
        <w:tc>
          <w:tcPr>
            <w:tcW w:w="1000" w:type="pct"/>
            <w:gridSpan w:val="2"/>
            <w:tcBorders>
              <w:top w:val="nil"/>
              <w:left w:val="nil"/>
              <w:bottom w:val="single" w:sz="8" w:space="0" w:color="auto"/>
              <w:right w:val="nil"/>
            </w:tcBorders>
            <w:shd w:val="clear" w:color="auto" w:fill="auto"/>
            <w:noWrap/>
            <w:vAlign w:val="center"/>
            <w:hideMark/>
          </w:tcPr>
          <w:p w14:paraId="2716421E"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1BF34E3F"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30/06/2021</w:t>
            </w:r>
          </w:p>
        </w:tc>
        <w:tc>
          <w:tcPr>
            <w:tcW w:w="576" w:type="pct"/>
            <w:tcBorders>
              <w:top w:val="nil"/>
              <w:left w:val="nil"/>
              <w:bottom w:val="single" w:sz="8" w:space="0" w:color="auto"/>
              <w:right w:val="nil"/>
            </w:tcBorders>
            <w:shd w:val="clear" w:color="auto" w:fill="auto"/>
            <w:noWrap/>
            <w:vAlign w:val="center"/>
            <w:hideMark/>
          </w:tcPr>
          <w:p w14:paraId="600D7617"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31/12/2020</w:t>
            </w:r>
          </w:p>
        </w:tc>
      </w:tr>
      <w:tr w:rsidR="00491BC0" w14:paraId="4741C286" w14:textId="77777777" w:rsidTr="00C34E8D">
        <w:trPr>
          <w:trHeight w:hRule="exact" w:val="227"/>
        </w:trPr>
        <w:tc>
          <w:tcPr>
            <w:tcW w:w="2804" w:type="pct"/>
            <w:gridSpan w:val="2"/>
            <w:tcBorders>
              <w:top w:val="single" w:sz="8" w:space="0" w:color="auto"/>
              <w:left w:val="nil"/>
              <w:bottom w:val="nil"/>
              <w:right w:val="nil"/>
            </w:tcBorders>
            <w:shd w:val="clear" w:color="auto" w:fill="auto"/>
            <w:noWrap/>
            <w:vAlign w:val="center"/>
            <w:hideMark/>
          </w:tcPr>
          <w:p w14:paraId="4275B520" w14:textId="77777777" w:rsidR="00491BC0" w:rsidRDefault="00491BC0">
            <w:pPr>
              <w:rPr>
                <w:rFonts w:ascii="Calibri" w:hAnsi="Calibri" w:cs="Calibri"/>
                <w:color w:val="000000"/>
                <w:sz w:val="16"/>
                <w:szCs w:val="16"/>
              </w:rPr>
            </w:pPr>
            <w:r>
              <w:rPr>
                <w:rFonts w:ascii="Calibri" w:hAnsi="Calibri" w:cs="Calibri"/>
                <w:color w:val="000000"/>
                <w:sz w:val="16"/>
                <w:szCs w:val="16"/>
              </w:rPr>
              <w:t>Saldo do exercício anterior</w:t>
            </w:r>
          </w:p>
        </w:tc>
        <w:tc>
          <w:tcPr>
            <w:tcW w:w="1000" w:type="pct"/>
            <w:gridSpan w:val="2"/>
            <w:tcBorders>
              <w:top w:val="single" w:sz="8" w:space="0" w:color="auto"/>
              <w:left w:val="nil"/>
              <w:bottom w:val="nil"/>
              <w:right w:val="nil"/>
            </w:tcBorders>
            <w:shd w:val="clear" w:color="auto" w:fill="auto"/>
            <w:noWrap/>
            <w:vAlign w:val="center"/>
            <w:hideMark/>
          </w:tcPr>
          <w:p w14:paraId="38B26BDC"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 </w:t>
            </w:r>
          </w:p>
        </w:tc>
        <w:tc>
          <w:tcPr>
            <w:tcW w:w="620" w:type="pct"/>
            <w:tcBorders>
              <w:top w:val="nil"/>
              <w:left w:val="nil"/>
              <w:bottom w:val="nil"/>
              <w:right w:val="nil"/>
            </w:tcBorders>
            <w:shd w:val="clear" w:color="auto" w:fill="auto"/>
            <w:noWrap/>
            <w:vAlign w:val="center"/>
            <w:hideMark/>
          </w:tcPr>
          <w:p w14:paraId="2FE0AB98"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25.488.517</w:t>
            </w:r>
          </w:p>
        </w:tc>
        <w:tc>
          <w:tcPr>
            <w:tcW w:w="576" w:type="pct"/>
            <w:tcBorders>
              <w:top w:val="nil"/>
              <w:left w:val="nil"/>
              <w:bottom w:val="nil"/>
              <w:right w:val="nil"/>
            </w:tcBorders>
            <w:shd w:val="clear" w:color="auto" w:fill="auto"/>
            <w:noWrap/>
            <w:vAlign w:val="center"/>
            <w:hideMark/>
          </w:tcPr>
          <w:p w14:paraId="5923A36F"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21.387.934</w:t>
            </w:r>
          </w:p>
        </w:tc>
      </w:tr>
      <w:tr w:rsidR="00491BC0" w14:paraId="1F3F8717" w14:textId="77777777" w:rsidTr="00C34E8D">
        <w:trPr>
          <w:trHeight w:hRule="exact" w:val="227"/>
        </w:trPr>
        <w:tc>
          <w:tcPr>
            <w:tcW w:w="2804" w:type="pct"/>
            <w:gridSpan w:val="2"/>
            <w:tcBorders>
              <w:top w:val="nil"/>
              <w:left w:val="nil"/>
              <w:bottom w:val="nil"/>
              <w:right w:val="nil"/>
            </w:tcBorders>
            <w:shd w:val="clear" w:color="auto" w:fill="auto"/>
            <w:noWrap/>
            <w:vAlign w:val="center"/>
            <w:hideMark/>
          </w:tcPr>
          <w:p w14:paraId="40D0696B" w14:textId="77777777" w:rsidR="00491BC0" w:rsidRDefault="00491BC0">
            <w:pPr>
              <w:rPr>
                <w:rFonts w:ascii="Calibri" w:hAnsi="Calibri" w:cs="Calibri"/>
                <w:color w:val="000000"/>
                <w:sz w:val="16"/>
                <w:szCs w:val="16"/>
              </w:rPr>
            </w:pPr>
            <w:r>
              <w:rPr>
                <w:rFonts w:ascii="Calibri" w:hAnsi="Calibri" w:cs="Calibri"/>
                <w:color w:val="000000"/>
                <w:sz w:val="16"/>
                <w:szCs w:val="16"/>
              </w:rPr>
              <w:t xml:space="preserve">Recebimentos </w:t>
            </w:r>
          </w:p>
        </w:tc>
        <w:tc>
          <w:tcPr>
            <w:tcW w:w="500" w:type="pct"/>
            <w:tcBorders>
              <w:top w:val="nil"/>
              <w:left w:val="nil"/>
              <w:bottom w:val="nil"/>
              <w:right w:val="nil"/>
            </w:tcBorders>
            <w:shd w:val="clear" w:color="auto" w:fill="auto"/>
            <w:noWrap/>
            <w:vAlign w:val="center"/>
            <w:hideMark/>
          </w:tcPr>
          <w:p w14:paraId="16690670"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628C4FD" w14:textId="77777777" w:rsidR="00491BC0" w:rsidRDefault="00491BC0">
            <w:pPr>
              <w:rPr>
                <w:sz w:val="20"/>
                <w:szCs w:val="20"/>
              </w:rPr>
            </w:pPr>
          </w:p>
        </w:tc>
        <w:tc>
          <w:tcPr>
            <w:tcW w:w="620" w:type="pct"/>
            <w:tcBorders>
              <w:top w:val="nil"/>
              <w:left w:val="nil"/>
              <w:bottom w:val="nil"/>
              <w:right w:val="nil"/>
            </w:tcBorders>
            <w:shd w:val="clear" w:color="auto" w:fill="auto"/>
            <w:noWrap/>
            <w:vAlign w:val="center"/>
            <w:hideMark/>
          </w:tcPr>
          <w:p w14:paraId="7519F0A1" w14:textId="2EB8EDAF" w:rsidR="00491BC0" w:rsidRDefault="00491BC0">
            <w:pPr>
              <w:jc w:val="right"/>
              <w:rPr>
                <w:rFonts w:ascii="Calibri" w:hAnsi="Calibri" w:cs="Calibri"/>
                <w:color w:val="000000"/>
                <w:sz w:val="16"/>
                <w:szCs w:val="16"/>
              </w:rPr>
            </w:pPr>
            <w:r>
              <w:rPr>
                <w:rFonts w:ascii="Calibri" w:hAnsi="Calibri" w:cs="Calibri"/>
                <w:color w:val="000000"/>
                <w:sz w:val="16"/>
                <w:szCs w:val="16"/>
              </w:rPr>
              <w:t xml:space="preserve">(395.501) </w:t>
            </w:r>
          </w:p>
        </w:tc>
        <w:tc>
          <w:tcPr>
            <w:tcW w:w="576" w:type="pct"/>
            <w:tcBorders>
              <w:top w:val="nil"/>
              <w:left w:val="nil"/>
              <w:bottom w:val="nil"/>
              <w:right w:val="nil"/>
            </w:tcBorders>
            <w:shd w:val="clear" w:color="auto" w:fill="auto"/>
            <w:noWrap/>
            <w:vAlign w:val="center"/>
            <w:hideMark/>
          </w:tcPr>
          <w:p w14:paraId="7F313EB4" w14:textId="2AF450B7" w:rsidR="00491BC0" w:rsidRDefault="00491BC0">
            <w:pPr>
              <w:jc w:val="right"/>
              <w:rPr>
                <w:rFonts w:ascii="Calibri" w:hAnsi="Calibri" w:cs="Calibri"/>
                <w:color w:val="000000"/>
                <w:sz w:val="16"/>
                <w:szCs w:val="16"/>
              </w:rPr>
            </w:pPr>
            <w:r>
              <w:rPr>
                <w:rFonts w:ascii="Calibri" w:hAnsi="Calibri" w:cs="Calibri"/>
                <w:color w:val="000000"/>
                <w:sz w:val="16"/>
                <w:szCs w:val="16"/>
              </w:rPr>
              <w:t>(150.505)</w:t>
            </w:r>
          </w:p>
        </w:tc>
      </w:tr>
      <w:tr w:rsidR="00491BC0" w14:paraId="0571BA56" w14:textId="77777777" w:rsidTr="00C34E8D">
        <w:trPr>
          <w:trHeight w:hRule="exact" w:val="227"/>
        </w:trPr>
        <w:tc>
          <w:tcPr>
            <w:tcW w:w="2804" w:type="pct"/>
            <w:gridSpan w:val="2"/>
            <w:tcBorders>
              <w:top w:val="nil"/>
              <w:left w:val="nil"/>
              <w:bottom w:val="nil"/>
              <w:right w:val="nil"/>
            </w:tcBorders>
            <w:shd w:val="clear" w:color="auto" w:fill="auto"/>
            <w:noWrap/>
            <w:vAlign w:val="center"/>
            <w:hideMark/>
          </w:tcPr>
          <w:p w14:paraId="632E2F08" w14:textId="77777777" w:rsidR="00491BC0" w:rsidRDefault="00491BC0">
            <w:pPr>
              <w:rPr>
                <w:rFonts w:ascii="Calibri" w:hAnsi="Calibri" w:cs="Calibri"/>
                <w:color w:val="000000"/>
                <w:sz w:val="16"/>
                <w:szCs w:val="16"/>
              </w:rPr>
            </w:pPr>
            <w:proofErr w:type="spellStart"/>
            <w:r>
              <w:rPr>
                <w:rFonts w:ascii="Calibri" w:hAnsi="Calibri" w:cs="Calibri"/>
                <w:color w:val="000000"/>
                <w:sz w:val="16"/>
                <w:szCs w:val="16"/>
              </w:rPr>
              <w:t>Transf</w:t>
            </w:r>
            <w:proofErr w:type="spellEnd"/>
            <w:r>
              <w:rPr>
                <w:rFonts w:ascii="Calibri" w:hAnsi="Calibri" w:cs="Calibri"/>
                <w:color w:val="000000"/>
                <w:sz w:val="16"/>
                <w:szCs w:val="16"/>
              </w:rPr>
              <w:t>. do não circulante para circulante</w:t>
            </w:r>
          </w:p>
        </w:tc>
        <w:tc>
          <w:tcPr>
            <w:tcW w:w="500" w:type="pct"/>
            <w:tcBorders>
              <w:top w:val="nil"/>
              <w:left w:val="nil"/>
              <w:bottom w:val="nil"/>
              <w:right w:val="nil"/>
            </w:tcBorders>
            <w:shd w:val="clear" w:color="auto" w:fill="auto"/>
            <w:noWrap/>
            <w:vAlign w:val="center"/>
            <w:hideMark/>
          </w:tcPr>
          <w:p w14:paraId="7DCF3027"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107737BD" w14:textId="77777777" w:rsidR="00491BC0" w:rsidRDefault="00491BC0">
            <w:pPr>
              <w:rPr>
                <w:sz w:val="20"/>
                <w:szCs w:val="20"/>
              </w:rPr>
            </w:pPr>
          </w:p>
        </w:tc>
        <w:tc>
          <w:tcPr>
            <w:tcW w:w="620" w:type="pct"/>
            <w:tcBorders>
              <w:top w:val="nil"/>
              <w:left w:val="nil"/>
              <w:bottom w:val="nil"/>
              <w:right w:val="nil"/>
            </w:tcBorders>
            <w:shd w:val="clear" w:color="auto" w:fill="auto"/>
            <w:vAlign w:val="center"/>
            <w:hideMark/>
          </w:tcPr>
          <w:p w14:paraId="48A212F8" w14:textId="56BD9930" w:rsidR="00491BC0" w:rsidRDefault="00491BC0">
            <w:pPr>
              <w:jc w:val="right"/>
              <w:rPr>
                <w:rFonts w:ascii="Calibri" w:hAnsi="Calibri" w:cs="Calibri"/>
                <w:color w:val="000000"/>
                <w:sz w:val="16"/>
                <w:szCs w:val="16"/>
              </w:rPr>
            </w:pPr>
            <w:r>
              <w:rPr>
                <w:rFonts w:ascii="Calibri" w:hAnsi="Calibri" w:cs="Calibri"/>
                <w:color w:val="000000"/>
                <w:sz w:val="16"/>
                <w:szCs w:val="16"/>
              </w:rPr>
              <w:t>(841.294)</w:t>
            </w:r>
          </w:p>
        </w:tc>
        <w:tc>
          <w:tcPr>
            <w:tcW w:w="576" w:type="pct"/>
            <w:tcBorders>
              <w:top w:val="nil"/>
              <w:left w:val="nil"/>
              <w:bottom w:val="nil"/>
              <w:right w:val="nil"/>
            </w:tcBorders>
            <w:shd w:val="clear" w:color="auto" w:fill="auto"/>
            <w:noWrap/>
            <w:vAlign w:val="center"/>
            <w:hideMark/>
          </w:tcPr>
          <w:p w14:paraId="0CBE8E9C" w14:textId="77DB2576" w:rsidR="00491BC0" w:rsidRDefault="00491BC0">
            <w:pPr>
              <w:jc w:val="right"/>
              <w:rPr>
                <w:rFonts w:ascii="Calibri" w:hAnsi="Calibri" w:cs="Calibri"/>
                <w:color w:val="000000"/>
                <w:sz w:val="16"/>
                <w:szCs w:val="16"/>
              </w:rPr>
            </w:pPr>
            <w:r>
              <w:rPr>
                <w:rFonts w:ascii="Calibri" w:hAnsi="Calibri" w:cs="Calibri"/>
                <w:color w:val="000000"/>
                <w:sz w:val="16"/>
                <w:szCs w:val="16"/>
              </w:rPr>
              <w:t>(687.436)</w:t>
            </w:r>
          </w:p>
        </w:tc>
      </w:tr>
      <w:tr w:rsidR="00491BC0" w14:paraId="30ED3FDE" w14:textId="77777777" w:rsidTr="00C34E8D">
        <w:trPr>
          <w:trHeight w:hRule="exact" w:val="227"/>
        </w:trPr>
        <w:tc>
          <w:tcPr>
            <w:tcW w:w="2804" w:type="pct"/>
            <w:gridSpan w:val="2"/>
            <w:tcBorders>
              <w:top w:val="nil"/>
              <w:left w:val="nil"/>
              <w:bottom w:val="nil"/>
              <w:right w:val="nil"/>
            </w:tcBorders>
            <w:shd w:val="clear" w:color="auto" w:fill="auto"/>
            <w:noWrap/>
            <w:vAlign w:val="center"/>
            <w:hideMark/>
          </w:tcPr>
          <w:p w14:paraId="7706298A" w14:textId="77777777" w:rsidR="00491BC0" w:rsidRDefault="00491BC0">
            <w:pPr>
              <w:rPr>
                <w:rFonts w:ascii="Calibri" w:hAnsi="Calibri" w:cs="Calibri"/>
                <w:color w:val="000000"/>
                <w:sz w:val="16"/>
                <w:szCs w:val="16"/>
              </w:rPr>
            </w:pPr>
            <w:r>
              <w:rPr>
                <w:rFonts w:ascii="Calibri" w:hAnsi="Calibri" w:cs="Calibri"/>
                <w:color w:val="000000"/>
                <w:sz w:val="16"/>
                <w:szCs w:val="16"/>
              </w:rPr>
              <w:t>Atualização monetária do período</w:t>
            </w:r>
          </w:p>
        </w:tc>
        <w:tc>
          <w:tcPr>
            <w:tcW w:w="1000" w:type="pct"/>
            <w:gridSpan w:val="2"/>
            <w:tcBorders>
              <w:top w:val="nil"/>
              <w:left w:val="nil"/>
              <w:bottom w:val="nil"/>
              <w:right w:val="nil"/>
            </w:tcBorders>
            <w:shd w:val="clear" w:color="auto" w:fill="auto"/>
            <w:noWrap/>
            <w:vAlign w:val="center"/>
            <w:hideMark/>
          </w:tcPr>
          <w:p w14:paraId="42748B18" w14:textId="77777777" w:rsidR="00491BC0" w:rsidRDefault="00491BC0">
            <w:pPr>
              <w:rPr>
                <w:rFonts w:ascii="Calibri" w:hAnsi="Calibri" w:cs="Calibri"/>
                <w:color w:val="000000"/>
                <w:sz w:val="16"/>
                <w:szCs w:val="16"/>
              </w:rPr>
            </w:pPr>
          </w:p>
        </w:tc>
        <w:tc>
          <w:tcPr>
            <w:tcW w:w="620" w:type="pct"/>
            <w:tcBorders>
              <w:top w:val="nil"/>
              <w:left w:val="nil"/>
              <w:bottom w:val="nil"/>
              <w:right w:val="nil"/>
            </w:tcBorders>
            <w:shd w:val="clear" w:color="auto" w:fill="auto"/>
            <w:noWrap/>
            <w:vAlign w:val="center"/>
            <w:hideMark/>
          </w:tcPr>
          <w:p w14:paraId="0C08EA38"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3.466.176</w:t>
            </w:r>
          </w:p>
        </w:tc>
        <w:tc>
          <w:tcPr>
            <w:tcW w:w="576" w:type="pct"/>
            <w:tcBorders>
              <w:top w:val="nil"/>
              <w:left w:val="nil"/>
              <w:bottom w:val="nil"/>
              <w:right w:val="nil"/>
            </w:tcBorders>
            <w:shd w:val="clear" w:color="auto" w:fill="auto"/>
            <w:noWrap/>
            <w:vAlign w:val="center"/>
            <w:hideMark/>
          </w:tcPr>
          <w:p w14:paraId="4D0E194B"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4.938.524</w:t>
            </w:r>
          </w:p>
        </w:tc>
      </w:tr>
      <w:tr w:rsidR="00491BC0" w14:paraId="03A25F53" w14:textId="77777777" w:rsidTr="00C34E8D">
        <w:trPr>
          <w:trHeight w:hRule="exact" w:val="227"/>
        </w:trPr>
        <w:tc>
          <w:tcPr>
            <w:tcW w:w="2804" w:type="pct"/>
            <w:gridSpan w:val="2"/>
            <w:tcBorders>
              <w:top w:val="nil"/>
              <w:left w:val="nil"/>
              <w:bottom w:val="single" w:sz="8" w:space="0" w:color="auto"/>
              <w:right w:val="nil"/>
            </w:tcBorders>
            <w:shd w:val="clear" w:color="auto" w:fill="auto"/>
            <w:noWrap/>
            <w:vAlign w:val="center"/>
            <w:hideMark/>
          </w:tcPr>
          <w:p w14:paraId="18B7F786" w14:textId="77777777" w:rsidR="00491BC0" w:rsidRDefault="00491BC0">
            <w:pPr>
              <w:rPr>
                <w:rFonts w:ascii="Calibri" w:hAnsi="Calibri" w:cs="Calibri"/>
                <w:color w:val="000000"/>
                <w:sz w:val="16"/>
                <w:szCs w:val="16"/>
              </w:rPr>
            </w:pPr>
            <w:r>
              <w:rPr>
                <w:rFonts w:ascii="Calibri" w:hAnsi="Calibri" w:cs="Calibri"/>
                <w:color w:val="000000"/>
                <w:sz w:val="16"/>
                <w:szCs w:val="16"/>
              </w:rPr>
              <w:t>Novas permissões</w:t>
            </w:r>
          </w:p>
        </w:tc>
        <w:tc>
          <w:tcPr>
            <w:tcW w:w="500" w:type="pct"/>
            <w:tcBorders>
              <w:top w:val="nil"/>
              <w:left w:val="nil"/>
              <w:bottom w:val="single" w:sz="8" w:space="0" w:color="auto"/>
              <w:right w:val="nil"/>
            </w:tcBorders>
            <w:shd w:val="clear" w:color="auto" w:fill="auto"/>
            <w:noWrap/>
            <w:vAlign w:val="center"/>
            <w:hideMark/>
          </w:tcPr>
          <w:p w14:paraId="649F9B48"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5A14FD8F"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72504012"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0</w:t>
            </w:r>
          </w:p>
        </w:tc>
        <w:tc>
          <w:tcPr>
            <w:tcW w:w="576" w:type="pct"/>
            <w:tcBorders>
              <w:top w:val="nil"/>
              <w:left w:val="nil"/>
              <w:bottom w:val="single" w:sz="8" w:space="0" w:color="auto"/>
              <w:right w:val="nil"/>
            </w:tcBorders>
            <w:shd w:val="clear" w:color="auto" w:fill="auto"/>
            <w:noWrap/>
            <w:vAlign w:val="center"/>
            <w:hideMark/>
          </w:tcPr>
          <w:p w14:paraId="0BB6ECAD"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0</w:t>
            </w:r>
          </w:p>
        </w:tc>
      </w:tr>
      <w:tr w:rsidR="00491BC0" w14:paraId="6FB821E1" w14:textId="77777777" w:rsidTr="00C34E8D">
        <w:trPr>
          <w:trHeight w:hRule="exact" w:val="227"/>
        </w:trPr>
        <w:tc>
          <w:tcPr>
            <w:tcW w:w="2665" w:type="pct"/>
            <w:tcBorders>
              <w:top w:val="nil"/>
              <w:left w:val="nil"/>
              <w:bottom w:val="single" w:sz="8" w:space="0" w:color="auto"/>
              <w:right w:val="nil"/>
            </w:tcBorders>
            <w:shd w:val="clear" w:color="auto" w:fill="auto"/>
            <w:noWrap/>
            <w:vAlign w:val="center"/>
            <w:hideMark/>
          </w:tcPr>
          <w:p w14:paraId="072FA8A8" w14:textId="77777777" w:rsidR="00491BC0" w:rsidRDefault="00491BC0">
            <w:pPr>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40" w:type="pct"/>
            <w:tcBorders>
              <w:top w:val="nil"/>
              <w:left w:val="nil"/>
              <w:bottom w:val="single" w:sz="8" w:space="0" w:color="auto"/>
              <w:right w:val="nil"/>
            </w:tcBorders>
            <w:shd w:val="clear" w:color="auto" w:fill="auto"/>
            <w:noWrap/>
            <w:vAlign w:val="center"/>
            <w:hideMark/>
          </w:tcPr>
          <w:p w14:paraId="4A65DCAB" w14:textId="77777777" w:rsidR="00491BC0" w:rsidRDefault="00491BC0">
            <w:pPr>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40CF6955" w14:textId="77777777" w:rsidR="00491BC0" w:rsidRDefault="00491BC0">
            <w:pPr>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7008BA37"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19DCD61B"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27.717.898</w:t>
            </w:r>
          </w:p>
        </w:tc>
        <w:tc>
          <w:tcPr>
            <w:tcW w:w="576" w:type="pct"/>
            <w:tcBorders>
              <w:top w:val="nil"/>
              <w:left w:val="nil"/>
              <w:bottom w:val="single" w:sz="8" w:space="0" w:color="auto"/>
              <w:right w:val="nil"/>
            </w:tcBorders>
            <w:shd w:val="clear" w:color="auto" w:fill="auto"/>
            <w:noWrap/>
            <w:vAlign w:val="center"/>
            <w:hideMark/>
          </w:tcPr>
          <w:p w14:paraId="480E82AE"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25.488.517</w:t>
            </w:r>
          </w:p>
        </w:tc>
      </w:tr>
      <w:tr w:rsidR="00491BC0" w14:paraId="3453753A" w14:textId="77777777" w:rsidTr="00C34E8D">
        <w:trPr>
          <w:trHeight w:hRule="exact" w:val="227"/>
        </w:trPr>
        <w:tc>
          <w:tcPr>
            <w:tcW w:w="2804" w:type="pct"/>
            <w:gridSpan w:val="2"/>
            <w:tcBorders>
              <w:top w:val="single" w:sz="8" w:space="0" w:color="auto"/>
              <w:left w:val="nil"/>
              <w:bottom w:val="single" w:sz="8" w:space="0" w:color="auto"/>
              <w:right w:val="nil"/>
            </w:tcBorders>
            <w:shd w:val="clear" w:color="auto" w:fill="auto"/>
            <w:noWrap/>
            <w:vAlign w:val="center"/>
            <w:hideMark/>
          </w:tcPr>
          <w:p w14:paraId="05F89852" w14:textId="77777777" w:rsidR="00491BC0" w:rsidRDefault="00491BC0">
            <w:pPr>
              <w:rPr>
                <w:rFonts w:ascii="Calibri" w:hAnsi="Calibri" w:cs="Calibri"/>
                <w:b/>
                <w:bCs/>
                <w:color w:val="000000"/>
                <w:sz w:val="16"/>
                <w:szCs w:val="16"/>
              </w:rPr>
            </w:pPr>
            <w:r>
              <w:rPr>
                <w:rFonts w:ascii="Calibri" w:hAnsi="Calibri" w:cs="Calibri"/>
                <w:b/>
                <w:bCs/>
                <w:color w:val="000000"/>
                <w:sz w:val="16"/>
                <w:szCs w:val="16"/>
              </w:rPr>
              <w:t>SALDO DE CONTRATOS POR PERMISSÃO A RECEBER</w:t>
            </w:r>
          </w:p>
        </w:tc>
        <w:tc>
          <w:tcPr>
            <w:tcW w:w="500" w:type="pct"/>
            <w:tcBorders>
              <w:top w:val="nil"/>
              <w:left w:val="nil"/>
              <w:bottom w:val="single" w:sz="8" w:space="0" w:color="auto"/>
              <w:right w:val="nil"/>
            </w:tcBorders>
            <w:shd w:val="clear" w:color="auto" w:fill="auto"/>
            <w:noWrap/>
            <w:vAlign w:val="center"/>
            <w:hideMark/>
          </w:tcPr>
          <w:p w14:paraId="2CF844B4" w14:textId="77777777" w:rsidR="00491BC0" w:rsidRDefault="00491BC0">
            <w:pPr>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4B7068BC"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326EC8BE"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30/06/2021 </w:t>
            </w:r>
          </w:p>
        </w:tc>
        <w:tc>
          <w:tcPr>
            <w:tcW w:w="576" w:type="pct"/>
            <w:tcBorders>
              <w:top w:val="nil"/>
              <w:left w:val="nil"/>
              <w:bottom w:val="single" w:sz="8" w:space="0" w:color="auto"/>
              <w:right w:val="nil"/>
            </w:tcBorders>
            <w:shd w:val="clear" w:color="auto" w:fill="auto"/>
            <w:noWrap/>
            <w:vAlign w:val="center"/>
            <w:hideMark/>
          </w:tcPr>
          <w:p w14:paraId="5F17EFB2"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31/12/2020</w:t>
            </w:r>
          </w:p>
        </w:tc>
      </w:tr>
      <w:tr w:rsidR="00491BC0" w14:paraId="7DD0C898" w14:textId="77777777" w:rsidTr="00C34E8D">
        <w:trPr>
          <w:trHeight w:hRule="exact" w:val="227"/>
        </w:trPr>
        <w:tc>
          <w:tcPr>
            <w:tcW w:w="2665" w:type="pct"/>
            <w:tcBorders>
              <w:top w:val="nil"/>
              <w:left w:val="nil"/>
              <w:bottom w:val="nil"/>
              <w:right w:val="nil"/>
            </w:tcBorders>
            <w:shd w:val="clear" w:color="auto" w:fill="auto"/>
            <w:noWrap/>
            <w:vAlign w:val="center"/>
            <w:hideMark/>
          </w:tcPr>
          <w:p w14:paraId="00C50BB0" w14:textId="77777777" w:rsidR="00491BC0" w:rsidRDefault="00491BC0">
            <w:pPr>
              <w:rPr>
                <w:rFonts w:ascii="Calibri" w:hAnsi="Calibri" w:cs="Calibri"/>
                <w:color w:val="000000"/>
                <w:sz w:val="16"/>
                <w:szCs w:val="16"/>
              </w:rPr>
            </w:pPr>
            <w:proofErr w:type="spellStart"/>
            <w:r>
              <w:rPr>
                <w:rFonts w:ascii="Calibri" w:hAnsi="Calibri" w:cs="Calibri"/>
                <w:color w:val="000000"/>
                <w:sz w:val="16"/>
                <w:szCs w:val="16"/>
              </w:rPr>
              <w:t>Agrex</w:t>
            </w:r>
            <w:proofErr w:type="spellEnd"/>
            <w:r>
              <w:rPr>
                <w:rFonts w:ascii="Calibri" w:hAnsi="Calibri" w:cs="Calibri"/>
                <w:color w:val="000000"/>
                <w:sz w:val="16"/>
                <w:szCs w:val="16"/>
              </w:rPr>
              <w:t xml:space="preserve"> do Brasil</w:t>
            </w:r>
          </w:p>
        </w:tc>
        <w:tc>
          <w:tcPr>
            <w:tcW w:w="140" w:type="pct"/>
            <w:tcBorders>
              <w:top w:val="nil"/>
              <w:left w:val="nil"/>
              <w:bottom w:val="nil"/>
              <w:right w:val="nil"/>
            </w:tcBorders>
            <w:shd w:val="clear" w:color="auto" w:fill="auto"/>
            <w:noWrap/>
            <w:vAlign w:val="center"/>
            <w:hideMark/>
          </w:tcPr>
          <w:p w14:paraId="225E1BB5"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0F59AE26" w14:textId="77777777" w:rsidR="00491BC0" w:rsidRDefault="00491BC0">
            <w:pPr>
              <w:rPr>
                <w:sz w:val="20"/>
                <w:szCs w:val="20"/>
              </w:rPr>
            </w:pPr>
          </w:p>
        </w:tc>
        <w:tc>
          <w:tcPr>
            <w:tcW w:w="500" w:type="pct"/>
            <w:tcBorders>
              <w:top w:val="nil"/>
              <w:left w:val="nil"/>
              <w:bottom w:val="nil"/>
              <w:right w:val="nil"/>
            </w:tcBorders>
            <w:shd w:val="clear" w:color="auto" w:fill="auto"/>
            <w:noWrap/>
            <w:vAlign w:val="center"/>
            <w:hideMark/>
          </w:tcPr>
          <w:p w14:paraId="7E7A9A0A" w14:textId="77777777" w:rsidR="00491BC0" w:rsidRDefault="00491BC0">
            <w:pPr>
              <w:rPr>
                <w:sz w:val="20"/>
                <w:szCs w:val="20"/>
              </w:rPr>
            </w:pPr>
          </w:p>
        </w:tc>
        <w:tc>
          <w:tcPr>
            <w:tcW w:w="620" w:type="pct"/>
            <w:tcBorders>
              <w:top w:val="nil"/>
              <w:left w:val="nil"/>
              <w:bottom w:val="nil"/>
              <w:right w:val="nil"/>
            </w:tcBorders>
            <w:shd w:val="clear" w:color="auto" w:fill="auto"/>
            <w:noWrap/>
            <w:vAlign w:val="center"/>
            <w:hideMark/>
          </w:tcPr>
          <w:p w14:paraId="40747CF6"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0</w:t>
            </w:r>
          </w:p>
        </w:tc>
        <w:tc>
          <w:tcPr>
            <w:tcW w:w="576" w:type="pct"/>
            <w:tcBorders>
              <w:top w:val="nil"/>
              <w:left w:val="nil"/>
              <w:bottom w:val="nil"/>
              <w:right w:val="nil"/>
            </w:tcBorders>
            <w:shd w:val="clear" w:color="auto" w:fill="auto"/>
            <w:noWrap/>
            <w:vAlign w:val="center"/>
            <w:hideMark/>
          </w:tcPr>
          <w:p w14:paraId="4FEACD3F"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735.000</w:t>
            </w:r>
          </w:p>
        </w:tc>
      </w:tr>
      <w:tr w:rsidR="00491BC0" w14:paraId="16D7CC93" w14:textId="77777777" w:rsidTr="00C34E8D">
        <w:trPr>
          <w:trHeight w:hRule="exact" w:val="227"/>
        </w:trPr>
        <w:tc>
          <w:tcPr>
            <w:tcW w:w="2665" w:type="pct"/>
            <w:tcBorders>
              <w:top w:val="nil"/>
              <w:left w:val="nil"/>
              <w:bottom w:val="nil"/>
              <w:right w:val="nil"/>
            </w:tcBorders>
            <w:shd w:val="clear" w:color="auto" w:fill="auto"/>
            <w:noWrap/>
            <w:vAlign w:val="center"/>
            <w:hideMark/>
          </w:tcPr>
          <w:p w14:paraId="4DAC5FD6" w14:textId="77777777" w:rsidR="00491BC0" w:rsidRDefault="00491BC0">
            <w:pPr>
              <w:rPr>
                <w:rFonts w:ascii="Calibri" w:hAnsi="Calibri" w:cs="Calibri"/>
                <w:color w:val="000000"/>
                <w:sz w:val="16"/>
                <w:szCs w:val="16"/>
              </w:rPr>
            </w:pPr>
            <w:r>
              <w:rPr>
                <w:rFonts w:ascii="Calibri" w:hAnsi="Calibri" w:cs="Calibri"/>
                <w:color w:val="000000"/>
                <w:sz w:val="16"/>
                <w:szCs w:val="16"/>
              </w:rPr>
              <w:t>Bunge S.A.</w:t>
            </w:r>
          </w:p>
        </w:tc>
        <w:tc>
          <w:tcPr>
            <w:tcW w:w="140" w:type="pct"/>
            <w:tcBorders>
              <w:top w:val="nil"/>
              <w:left w:val="nil"/>
              <w:bottom w:val="nil"/>
              <w:right w:val="nil"/>
            </w:tcBorders>
            <w:shd w:val="clear" w:color="auto" w:fill="auto"/>
            <w:noWrap/>
            <w:vAlign w:val="center"/>
            <w:hideMark/>
          </w:tcPr>
          <w:p w14:paraId="68E56EE1"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44DB9B49" w14:textId="77777777" w:rsidR="00491BC0" w:rsidRDefault="00491BC0">
            <w:pPr>
              <w:rPr>
                <w:sz w:val="20"/>
                <w:szCs w:val="20"/>
              </w:rPr>
            </w:pPr>
          </w:p>
        </w:tc>
        <w:tc>
          <w:tcPr>
            <w:tcW w:w="500" w:type="pct"/>
            <w:tcBorders>
              <w:top w:val="nil"/>
              <w:left w:val="nil"/>
              <w:bottom w:val="nil"/>
              <w:right w:val="nil"/>
            </w:tcBorders>
            <w:shd w:val="clear" w:color="auto" w:fill="auto"/>
            <w:noWrap/>
            <w:vAlign w:val="center"/>
            <w:hideMark/>
          </w:tcPr>
          <w:p w14:paraId="37E1086D" w14:textId="77777777" w:rsidR="00491BC0" w:rsidRDefault="00491BC0">
            <w:pPr>
              <w:rPr>
                <w:sz w:val="20"/>
                <w:szCs w:val="20"/>
              </w:rPr>
            </w:pPr>
          </w:p>
        </w:tc>
        <w:tc>
          <w:tcPr>
            <w:tcW w:w="620" w:type="pct"/>
            <w:tcBorders>
              <w:top w:val="nil"/>
              <w:left w:val="nil"/>
              <w:bottom w:val="nil"/>
              <w:right w:val="nil"/>
            </w:tcBorders>
            <w:shd w:val="clear" w:color="auto" w:fill="auto"/>
            <w:noWrap/>
            <w:vAlign w:val="center"/>
            <w:hideMark/>
          </w:tcPr>
          <w:p w14:paraId="4F0D0D52"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34.541</w:t>
            </w:r>
          </w:p>
        </w:tc>
        <w:tc>
          <w:tcPr>
            <w:tcW w:w="576" w:type="pct"/>
            <w:tcBorders>
              <w:top w:val="nil"/>
              <w:left w:val="nil"/>
              <w:bottom w:val="nil"/>
              <w:right w:val="nil"/>
            </w:tcBorders>
            <w:shd w:val="clear" w:color="auto" w:fill="auto"/>
            <w:noWrap/>
            <w:vAlign w:val="center"/>
            <w:hideMark/>
          </w:tcPr>
          <w:p w14:paraId="42C4E6D2"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40.052</w:t>
            </w:r>
          </w:p>
        </w:tc>
      </w:tr>
      <w:tr w:rsidR="00491BC0" w14:paraId="2A54722F" w14:textId="77777777" w:rsidTr="00C34E8D">
        <w:trPr>
          <w:trHeight w:hRule="exact" w:val="227"/>
        </w:trPr>
        <w:tc>
          <w:tcPr>
            <w:tcW w:w="2665" w:type="pct"/>
            <w:tcBorders>
              <w:top w:val="nil"/>
              <w:left w:val="nil"/>
              <w:bottom w:val="nil"/>
              <w:right w:val="nil"/>
            </w:tcBorders>
            <w:shd w:val="clear" w:color="auto" w:fill="auto"/>
            <w:noWrap/>
            <w:vAlign w:val="center"/>
            <w:hideMark/>
          </w:tcPr>
          <w:p w14:paraId="6FCFE569" w14:textId="77777777" w:rsidR="00491BC0" w:rsidRDefault="00491BC0">
            <w:pPr>
              <w:rPr>
                <w:rFonts w:ascii="Calibri" w:hAnsi="Calibri" w:cs="Calibri"/>
                <w:color w:val="000000"/>
                <w:sz w:val="16"/>
                <w:szCs w:val="16"/>
              </w:rPr>
            </w:pPr>
            <w:r>
              <w:rPr>
                <w:rFonts w:ascii="Calibri" w:hAnsi="Calibri" w:cs="Calibri"/>
                <w:color w:val="000000"/>
                <w:sz w:val="16"/>
                <w:szCs w:val="16"/>
              </w:rPr>
              <w:t>Cargill Agrícola S.A.</w:t>
            </w:r>
          </w:p>
        </w:tc>
        <w:tc>
          <w:tcPr>
            <w:tcW w:w="140" w:type="pct"/>
            <w:tcBorders>
              <w:top w:val="nil"/>
              <w:left w:val="nil"/>
              <w:bottom w:val="nil"/>
              <w:right w:val="nil"/>
            </w:tcBorders>
            <w:shd w:val="clear" w:color="auto" w:fill="auto"/>
            <w:noWrap/>
            <w:vAlign w:val="center"/>
            <w:hideMark/>
          </w:tcPr>
          <w:p w14:paraId="15A0EE53"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9E39F52" w14:textId="77777777" w:rsidR="00491BC0" w:rsidRDefault="00491BC0">
            <w:pPr>
              <w:rPr>
                <w:sz w:val="20"/>
                <w:szCs w:val="20"/>
              </w:rPr>
            </w:pPr>
          </w:p>
        </w:tc>
        <w:tc>
          <w:tcPr>
            <w:tcW w:w="500" w:type="pct"/>
            <w:tcBorders>
              <w:top w:val="nil"/>
              <w:left w:val="nil"/>
              <w:bottom w:val="nil"/>
              <w:right w:val="nil"/>
            </w:tcBorders>
            <w:shd w:val="clear" w:color="auto" w:fill="auto"/>
            <w:noWrap/>
            <w:vAlign w:val="center"/>
            <w:hideMark/>
          </w:tcPr>
          <w:p w14:paraId="0C63FD56" w14:textId="77777777" w:rsidR="00491BC0" w:rsidRDefault="00491BC0">
            <w:pPr>
              <w:rPr>
                <w:sz w:val="20"/>
                <w:szCs w:val="20"/>
              </w:rPr>
            </w:pPr>
          </w:p>
        </w:tc>
        <w:tc>
          <w:tcPr>
            <w:tcW w:w="620" w:type="pct"/>
            <w:tcBorders>
              <w:top w:val="nil"/>
              <w:left w:val="nil"/>
              <w:bottom w:val="nil"/>
              <w:right w:val="nil"/>
            </w:tcBorders>
            <w:shd w:val="clear" w:color="auto" w:fill="auto"/>
            <w:noWrap/>
            <w:vAlign w:val="center"/>
            <w:hideMark/>
          </w:tcPr>
          <w:p w14:paraId="72FA78F9"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0</w:t>
            </w:r>
          </w:p>
        </w:tc>
        <w:tc>
          <w:tcPr>
            <w:tcW w:w="576" w:type="pct"/>
            <w:tcBorders>
              <w:top w:val="nil"/>
              <w:left w:val="nil"/>
              <w:bottom w:val="nil"/>
              <w:right w:val="nil"/>
            </w:tcBorders>
            <w:shd w:val="clear" w:color="auto" w:fill="auto"/>
            <w:noWrap/>
            <w:vAlign w:val="center"/>
            <w:hideMark/>
          </w:tcPr>
          <w:p w14:paraId="0DFFD329"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24.850</w:t>
            </w:r>
          </w:p>
        </w:tc>
      </w:tr>
      <w:tr w:rsidR="00491BC0" w14:paraId="31E60EBC" w14:textId="77777777" w:rsidTr="00C34E8D">
        <w:trPr>
          <w:trHeight w:hRule="exact" w:val="227"/>
        </w:trPr>
        <w:tc>
          <w:tcPr>
            <w:tcW w:w="2665" w:type="pct"/>
            <w:tcBorders>
              <w:top w:val="nil"/>
              <w:left w:val="nil"/>
              <w:bottom w:val="nil"/>
              <w:right w:val="nil"/>
            </w:tcBorders>
            <w:shd w:val="clear" w:color="auto" w:fill="auto"/>
            <w:noWrap/>
            <w:vAlign w:val="center"/>
            <w:hideMark/>
          </w:tcPr>
          <w:p w14:paraId="04AD47F3" w14:textId="77777777" w:rsidR="00491BC0" w:rsidRDefault="00491BC0">
            <w:pPr>
              <w:rPr>
                <w:rFonts w:ascii="Calibri" w:hAnsi="Calibri" w:cs="Calibri"/>
                <w:color w:val="000000"/>
                <w:sz w:val="16"/>
                <w:szCs w:val="16"/>
              </w:rPr>
            </w:pPr>
            <w:r>
              <w:rPr>
                <w:rFonts w:ascii="Calibri" w:hAnsi="Calibri" w:cs="Calibri"/>
                <w:color w:val="000000"/>
                <w:sz w:val="16"/>
                <w:szCs w:val="16"/>
              </w:rPr>
              <w:t>Porto Seco</w:t>
            </w:r>
          </w:p>
        </w:tc>
        <w:tc>
          <w:tcPr>
            <w:tcW w:w="140" w:type="pct"/>
            <w:tcBorders>
              <w:top w:val="nil"/>
              <w:left w:val="nil"/>
              <w:bottom w:val="nil"/>
              <w:right w:val="nil"/>
            </w:tcBorders>
            <w:shd w:val="clear" w:color="auto" w:fill="auto"/>
            <w:noWrap/>
            <w:vAlign w:val="center"/>
            <w:hideMark/>
          </w:tcPr>
          <w:p w14:paraId="06ADE4B6"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82BCCC4" w14:textId="77777777" w:rsidR="00491BC0" w:rsidRDefault="00491BC0">
            <w:pPr>
              <w:rPr>
                <w:sz w:val="20"/>
                <w:szCs w:val="20"/>
              </w:rPr>
            </w:pPr>
          </w:p>
        </w:tc>
        <w:tc>
          <w:tcPr>
            <w:tcW w:w="500" w:type="pct"/>
            <w:tcBorders>
              <w:top w:val="nil"/>
              <w:left w:val="nil"/>
              <w:bottom w:val="nil"/>
              <w:right w:val="nil"/>
            </w:tcBorders>
            <w:shd w:val="clear" w:color="auto" w:fill="auto"/>
            <w:noWrap/>
            <w:vAlign w:val="center"/>
            <w:hideMark/>
          </w:tcPr>
          <w:p w14:paraId="235B7351" w14:textId="77777777" w:rsidR="00491BC0" w:rsidRDefault="00491BC0">
            <w:pPr>
              <w:rPr>
                <w:sz w:val="20"/>
                <w:szCs w:val="20"/>
              </w:rPr>
            </w:pPr>
          </w:p>
        </w:tc>
        <w:tc>
          <w:tcPr>
            <w:tcW w:w="620" w:type="pct"/>
            <w:tcBorders>
              <w:top w:val="nil"/>
              <w:left w:val="nil"/>
              <w:bottom w:val="nil"/>
              <w:right w:val="nil"/>
            </w:tcBorders>
            <w:shd w:val="clear" w:color="auto" w:fill="auto"/>
            <w:noWrap/>
            <w:vAlign w:val="center"/>
            <w:hideMark/>
          </w:tcPr>
          <w:p w14:paraId="0663A46D"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14.129.993</w:t>
            </w:r>
          </w:p>
        </w:tc>
        <w:tc>
          <w:tcPr>
            <w:tcW w:w="576" w:type="pct"/>
            <w:tcBorders>
              <w:top w:val="nil"/>
              <w:left w:val="nil"/>
              <w:bottom w:val="nil"/>
              <w:right w:val="nil"/>
            </w:tcBorders>
            <w:shd w:val="clear" w:color="auto" w:fill="auto"/>
            <w:noWrap/>
            <w:vAlign w:val="center"/>
            <w:hideMark/>
          </w:tcPr>
          <w:p w14:paraId="37A78D57"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12.875.356</w:t>
            </w:r>
          </w:p>
        </w:tc>
      </w:tr>
      <w:tr w:rsidR="00491BC0" w14:paraId="476313D4" w14:textId="77777777" w:rsidTr="00C34E8D">
        <w:trPr>
          <w:trHeight w:hRule="exact" w:val="227"/>
        </w:trPr>
        <w:tc>
          <w:tcPr>
            <w:tcW w:w="2665" w:type="pct"/>
            <w:tcBorders>
              <w:top w:val="nil"/>
              <w:left w:val="nil"/>
              <w:bottom w:val="single" w:sz="8" w:space="0" w:color="auto"/>
              <w:right w:val="nil"/>
            </w:tcBorders>
            <w:shd w:val="clear" w:color="auto" w:fill="auto"/>
            <w:noWrap/>
            <w:vAlign w:val="center"/>
            <w:hideMark/>
          </w:tcPr>
          <w:p w14:paraId="61D00AC0" w14:textId="77777777" w:rsidR="00491BC0" w:rsidRDefault="00491BC0">
            <w:pPr>
              <w:rPr>
                <w:rFonts w:ascii="Calibri" w:hAnsi="Calibri" w:cs="Calibri"/>
                <w:color w:val="000000"/>
                <w:sz w:val="16"/>
                <w:szCs w:val="16"/>
              </w:rPr>
            </w:pPr>
            <w:r>
              <w:rPr>
                <w:rFonts w:ascii="Calibri" w:hAnsi="Calibri" w:cs="Calibri"/>
                <w:color w:val="000000"/>
                <w:sz w:val="16"/>
                <w:szCs w:val="16"/>
              </w:rPr>
              <w:t>Total Distribuidora</w:t>
            </w:r>
          </w:p>
        </w:tc>
        <w:tc>
          <w:tcPr>
            <w:tcW w:w="140" w:type="pct"/>
            <w:tcBorders>
              <w:top w:val="nil"/>
              <w:left w:val="nil"/>
              <w:bottom w:val="single" w:sz="8" w:space="0" w:color="auto"/>
              <w:right w:val="nil"/>
            </w:tcBorders>
            <w:shd w:val="clear" w:color="auto" w:fill="auto"/>
            <w:noWrap/>
            <w:vAlign w:val="center"/>
            <w:hideMark/>
          </w:tcPr>
          <w:p w14:paraId="05395A65" w14:textId="77777777" w:rsidR="00491BC0" w:rsidRDefault="00491BC0">
            <w:pPr>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044D84B9" w14:textId="77777777" w:rsidR="00491BC0" w:rsidRDefault="00491BC0">
            <w:pPr>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2CE9713E"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12AA2EAB"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14.427.806</w:t>
            </w:r>
          </w:p>
        </w:tc>
        <w:tc>
          <w:tcPr>
            <w:tcW w:w="576" w:type="pct"/>
            <w:tcBorders>
              <w:top w:val="nil"/>
              <w:left w:val="nil"/>
              <w:bottom w:val="single" w:sz="8" w:space="0" w:color="auto"/>
              <w:right w:val="nil"/>
            </w:tcBorders>
            <w:shd w:val="clear" w:color="auto" w:fill="auto"/>
            <w:noWrap/>
            <w:vAlign w:val="center"/>
            <w:hideMark/>
          </w:tcPr>
          <w:p w14:paraId="25CD131D"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13.300.597</w:t>
            </w:r>
          </w:p>
        </w:tc>
      </w:tr>
      <w:tr w:rsidR="00491BC0" w14:paraId="2DF68674" w14:textId="77777777" w:rsidTr="00C34E8D">
        <w:trPr>
          <w:trHeight w:hRule="exact" w:val="227"/>
        </w:trPr>
        <w:tc>
          <w:tcPr>
            <w:tcW w:w="2665" w:type="pct"/>
            <w:tcBorders>
              <w:top w:val="nil"/>
              <w:left w:val="nil"/>
              <w:bottom w:val="single" w:sz="8" w:space="0" w:color="auto"/>
              <w:right w:val="nil"/>
            </w:tcBorders>
            <w:shd w:val="clear" w:color="auto" w:fill="auto"/>
            <w:noWrap/>
            <w:vAlign w:val="center"/>
            <w:hideMark/>
          </w:tcPr>
          <w:p w14:paraId="3EFC931E" w14:textId="77777777" w:rsidR="00491BC0" w:rsidRDefault="00491BC0">
            <w:pPr>
              <w:rPr>
                <w:rFonts w:ascii="Calibri" w:hAnsi="Calibri" w:cs="Calibri"/>
                <w:b/>
                <w:bCs/>
                <w:color w:val="000000"/>
                <w:sz w:val="16"/>
                <w:szCs w:val="16"/>
              </w:rPr>
            </w:pPr>
            <w:r>
              <w:rPr>
                <w:rFonts w:ascii="Calibri" w:hAnsi="Calibri" w:cs="Calibri"/>
                <w:b/>
                <w:bCs/>
                <w:color w:val="000000"/>
                <w:sz w:val="16"/>
                <w:szCs w:val="16"/>
              </w:rPr>
              <w:t>TOTAL</w:t>
            </w:r>
          </w:p>
        </w:tc>
        <w:tc>
          <w:tcPr>
            <w:tcW w:w="140" w:type="pct"/>
            <w:tcBorders>
              <w:top w:val="nil"/>
              <w:left w:val="nil"/>
              <w:bottom w:val="single" w:sz="8" w:space="0" w:color="auto"/>
              <w:right w:val="nil"/>
            </w:tcBorders>
            <w:shd w:val="clear" w:color="auto" w:fill="auto"/>
            <w:noWrap/>
            <w:vAlign w:val="center"/>
            <w:hideMark/>
          </w:tcPr>
          <w:p w14:paraId="7AA4BD56" w14:textId="77777777" w:rsidR="00491BC0" w:rsidRDefault="00491BC0">
            <w:pPr>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1D008B79" w14:textId="77777777" w:rsidR="00491BC0" w:rsidRDefault="00491BC0">
            <w:pPr>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38F364EB"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6C735B8B"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28.592.340</w:t>
            </w:r>
          </w:p>
        </w:tc>
        <w:tc>
          <w:tcPr>
            <w:tcW w:w="576" w:type="pct"/>
            <w:tcBorders>
              <w:top w:val="nil"/>
              <w:left w:val="nil"/>
              <w:bottom w:val="single" w:sz="8" w:space="0" w:color="auto"/>
              <w:right w:val="nil"/>
            </w:tcBorders>
            <w:shd w:val="clear" w:color="auto" w:fill="auto"/>
            <w:noWrap/>
            <w:vAlign w:val="center"/>
            <w:hideMark/>
          </w:tcPr>
          <w:p w14:paraId="208BCAF9"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26.975.855</w:t>
            </w:r>
          </w:p>
        </w:tc>
      </w:tr>
    </w:tbl>
    <w:p w14:paraId="0D6CA08A" w14:textId="77777777" w:rsidR="00491BC0" w:rsidRPr="002E2B5B" w:rsidRDefault="00491BC0" w:rsidP="002E2B5B">
      <w:pPr>
        <w:jc w:val="both"/>
        <w:rPr>
          <w:rFonts w:ascii="Calibri" w:hAnsi="Calibri" w:cs="Calibri"/>
          <w:sz w:val="22"/>
          <w:szCs w:val="22"/>
        </w:rPr>
      </w:pPr>
    </w:p>
    <w:p w14:paraId="3CD9C0A2" w14:textId="027467E8" w:rsidR="005407E6" w:rsidRPr="002E2B5B" w:rsidRDefault="00D22F5E" w:rsidP="002E2B5B">
      <w:pPr>
        <w:rPr>
          <w:rFonts w:ascii="Calibri" w:hAnsi="Calibri" w:cs="Calibri"/>
          <w:b/>
          <w:sz w:val="22"/>
          <w:szCs w:val="22"/>
        </w:rPr>
      </w:pPr>
      <w:r w:rsidRPr="002E2B5B">
        <w:rPr>
          <w:rFonts w:ascii="Calibri" w:hAnsi="Calibri" w:cs="Calibri"/>
          <w:b/>
          <w:sz w:val="22"/>
          <w:szCs w:val="22"/>
        </w:rPr>
        <w:t xml:space="preserve">NOTA </w:t>
      </w:r>
      <w:r w:rsidR="008619B2">
        <w:rPr>
          <w:rFonts w:ascii="Calibri" w:hAnsi="Calibri" w:cs="Calibri"/>
          <w:b/>
          <w:sz w:val="22"/>
          <w:szCs w:val="22"/>
        </w:rPr>
        <w:t>7</w:t>
      </w:r>
      <w:r w:rsidRPr="002E2B5B">
        <w:rPr>
          <w:rFonts w:ascii="Calibri" w:hAnsi="Calibri" w:cs="Calibri"/>
          <w:b/>
          <w:sz w:val="22"/>
          <w:szCs w:val="22"/>
        </w:rPr>
        <w:t xml:space="preserve"> </w:t>
      </w:r>
      <w:r w:rsidR="005407E6" w:rsidRPr="002E2B5B">
        <w:rPr>
          <w:rFonts w:ascii="Calibri" w:hAnsi="Calibri" w:cs="Calibri"/>
          <w:b/>
          <w:sz w:val="22"/>
          <w:szCs w:val="22"/>
        </w:rPr>
        <w:t xml:space="preserve">– </w:t>
      </w:r>
      <w:r w:rsidR="00FE7C5D" w:rsidRPr="002E2B5B">
        <w:rPr>
          <w:rFonts w:ascii="Calibri" w:hAnsi="Calibri" w:cs="Calibri"/>
          <w:b/>
          <w:sz w:val="22"/>
          <w:szCs w:val="22"/>
        </w:rPr>
        <w:t>INVESTIMENTO</w:t>
      </w:r>
    </w:p>
    <w:tbl>
      <w:tblPr>
        <w:tblW w:w="5041" w:type="pct"/>
        <w:jc w:val="center"/>
        <w:tblLook w:val="04A0" w:firstRow="1" w:lastRow="0" w:firstColumn="1" w:lastColumn="0" w:noHBand="0" w:noVBand="1"/>
      </w:tblPr>
      <w:tblGrid>
        <w:gridCol w:w="1386"/>
        <w:gridCol w:w="163"/>
        <w:gridCol w:w="1182"/>
        <w:gridCol w:w="156"/>
        <w:gridCol w:w="981"/>
        <w:gridCol w:w="154"/>
        <w:gridCol w:w="665"/>
        <w:gridCol w:w="154"/>
        <w:gridCol w:w="967"/>
        <w:gridCol w:w="154"/>
        <w:gridCol w:w="874"/>
        <w:gridCol w:w="154"/>
        <w:gridCol w:w="561"/>
        <w:gridCol w:w="154"/>
        <w:gridCol w:w="785"/>
        <w:gridCol w:w="154"/>
        <w:gridCol w:w="561"/>
        <w:gridCol w:w="154"/>
        <w:gridCol w:w="87"/>
        <w:gridCol w:w="154"/>
        <w:gridCol w:w="564"/>
        <w:gridCol w:w="154"/>
        <w:gridCol w:w="87"/>
        <w:gridCol w:w="148"/>
      </w:tblGrid>
      <w:tr w:rsidR="007E07A3" w:rsidRPr="002E2B5B" w14:paraId="0A9E4C27" w14:textId="77777777" w:rsidTr="00C34E8D">
        <w:trPr>
          <w:gridAfter w:val="1"/>
          <w:wAfter w:w="70" w:type="pct"/>
          <w:trHeight w:hRule="exact" w:val="227"/>
          <w:jc w:val="center"/>
        </w:trPr>
        <w:tc>
          <w:tcPr>
            <w:tcW w:w="657" w:type="pct"/>
            <w:tcBorders>
              <w:bottom w:val="single" w:sz="4" w:space="0" w:color="auto"/>
            </w:tcBorders>
            <w:noWrap/>
            <w:vAlign w:val="center"/>
            <w:hideMark/>
          </w:tcPr>
          <w:p w14:paraId="08BFD5AE"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INVESTIDAS</w:t>
            </w:r>
          </w:p>
        </w:tc>
        <w:tc>
          <w:tcPr>
            <w:tcW w:w="637" w:type="pct"/>
            <w:gridSpan w:val="2"/>
            <w:tcBorders>
              <w:bottom w:val="single" w:sz="4" w:space="0" w:color="auto"/>
            </w:tcBorders>
            <w:vAlign w:val="center"/>
            <w:hideMark/>
          </w:tcPr>
          <w:p w14:paraId="42752AFC" w14:textId="496A559C"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SALDO EM 31/12/20</w:t>
            </w:r>
            <w:r w:rsidR="00317348">
              <w:rPr>
                <w:rFonts w:ascii="Calibri" w:hAnsi="Calibri" w:cs="Calibri"/>
                <w:b/>
                <w:bCs/>
                <w:sz w:val="16"/>
                <w:szCs w:val="16"/>
              </w:rPr>
              <w:t>20</w:t>
            </w:r>
          </w:p>
        </w:tc>
        <w:tc>
          <w:tcPr>
            <w:tcW w:w="539" w:type="pct"/>
            <w:gridSpan w:val="2"/>
            <w:tcBorders>
              <w:bottom w:val="single" w:sz="4" w:space="0" w:color="auto"/>
            </w:tcBorders>
            <w:vAlign w:val="center"/>
            <w:hideMark/>
          </w:tcPr>
          <w:p w14:paraId="23FED6EC"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RESULT. MEP</w:t>
            </w:r>
          </w:p>
        </w:tc>
        <w:tc>
          <w:tcPr>
            <w:tcW w:w="388" w:type="pct"/>
            <w:gridSpan w:val="2"/>
            <w:tcBorders>
              <w:bottom w:val="single" w:sz="4" w:space="0" w:color="auto"/>
            </w:tcBorders>
            <w:vAlign w:val="center"/>
            <w:hideMark/>
          </w:tcPr>
          <w:p w14:paraId="0287D941"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APORTE</w:t>
            </w:r>
          </w:p>
        </w:tc>
        <w:tc>
          <w:tcPr>
            <w:tcW w:w="531" w:type="pct"/>
            <w:gridSpan w:val="2"/>
            <w:tcBorders>
              <w:bottom w:val="single" w:sz="4" w:space="0" w:color="auto"/>
            </w:tcBorders>
            <w:vAlign w:val="center"/>
            <w:hideMark/>
          </w:tcPr>
          <w:p w14:paraId="30A64AF6" w14:textId="295340DF"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 xml:space="preserve">SALDO EM </w:t>
            </w:r>
            <w:r w:rsidR="000E5694">
              <w:rPr>
                <w:rFonts w:ascii="Calibri" w:hAnsi="Calibri" w:cs="Calibri"/>
                <w:b/>
                <w:bCs/>
                <w:sz w:val="16"/>
                <w:szCs w:val="16"/>
              </w:rPr>
              <w:t>30/06</w:t>
            </w:r>
            <w:r w:rsidRPr="002E2B5B">
              <w:rPr>
                <w:rFonts w:ascii="Calibri" w:hAnsi="Calibri" w:cs="Calibri"/>
                <w:b/>
                <w:bCs/>
                <w:sz w:val="16"/>
                <w:szCs w:val="16"/>
              </w:rPr>
              <w:t>/20</w:t>
            </w:r>
            <w:r w:rsidR="007E07A3" w:rsidRPr="002E2B5B">
              <w:rPr>
                <w:rFonts w:ascii="Calibri" w:hAnsi="Calibri" w:cs="Calibri"/>
                <w:b/>
                <w:bCs/>
                <w:sz w:val="16"/>
                <w:szCs w:val="16"/>
              </w:rPr>
              <w:t>2</w:t>
            </w:r>
            <w:r w:rsidR="008619B2">
              <w:rPr>
                <w:rFonts w:ascii="Calibri" w:hAnsi="Calibri" w:cs="Calibri"/>
                <w:b/>
                <w:bCs/>
                <w:sz w:val="16"/>
                <w:szCs w:val="16"/>
              </w:rPr>
              <w:t>1</w:t>
            </w:r>
          </w:p>
        </w:tc>
        <w:tc>
          <w:tcPr>
            <w:tcW w:w="487" w:type="pct"/>
            <w:gridSpan w:val="2"/>
            <w:tcBorders>
              <w:bottom w:val="single" w:sz="4" w:space="0" w:color="auto"/>
            </w:tcBorders>
            <w:vAlign w:val="center"/>
            <w:hideMark/>
          </w:tcPr>
          <w:p w14:paraId="7696899F"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QTD DE AÇÕES PN</w:t>
            </w:r>
          </w:p>
        </w:tc>
        <w:tc>
          <w:tcPr>
            <w:tcW w:w="339" w:type="pct"/>
            <w:gridSpan w:val="2"/>
            <w:tcBorders>
              <w:bottom w:val="single" w:sz="4" w:space="0" w:color="auto"/>
            </w:tcBorders>
            <w:vAlign w:val="center"/>
            <w:hideMark/>
          </w:tcPr>
          <w:p w14:paraId="082A89D5"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AÇÕES PN (%)</w:t>
            </w:r>
          </w:p>
        </w:tc>
        <w:tc>
          <w:tcPr>
            <w:tcW w:w="445" w:type="pct"/>
            <w:gridSpan w:val="2"/>
            <w:tcBorders>
              <w:bottom w:val="single" w:sz="4" w:space="0" w:color="auto"/>
            </w:tcBorders>
            <w:vAlign w:val="center"/>
            <w:hideMark/>
          </w:tcPr>
          <w:p w14:paraId="62F66799"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QTD DE AÇÕES ON</w:t>
            </w:r>
          </w:p>
        </w:tc>
        <w:tc>
          <w:tcPr>
            <w:tcW w:w="339" w:type="pct"/>
            <w:gridSpan w:val="2"/>
            <w:tcBorders>
              <w:bottom w:val="single" w:sz="4" w:space="0" w:color="auto"/>
            </w:tcBorders>
            <w:vAlign w:val="center"/>
            <w:hideMark/>
          </w:tcPr>
          <w:p w14:paraId="21F153C4"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AÇÕES ON (%)</w:t>
            </w:r>
          </w:p>
        </w:tc>
        <w:tc>
          <w:tcPr>
            <w:tcW w:w="114" w:type="pct"/>
            <w:gridSpan w:val="2"/>
            <w:tcBorders>
              <w:bottom w:val="single" w:sz="4" w:space="0" w:color="auto"/>
            </w:tcBorders>
            <w:vAlign w:val="center"/>
          </w:tcPr>
          <w:p w14:paraId="4227515B" w14:textId="77777777" w:rsidR="001A123C" w:rsidRPr="002E2B5B" w:rsidRDefault="001A123C" w:rsidP="002E2B5B">
            <w:pPr>
              <w:jc w:val="right"/>
              <w:rPr>
                <w:rFonts w:ascii="Calibri" w:hAnsi="Calibri" w:cs="Calibri"/>
                <w:b/>
                <w:bCs/>
                <w:sz w:val="16"/>
                <w:szCs w:val="16"/>
              </w:rPr>
            </w:pPr>
          </w:p>
        </w:tc>
        <w:tc>
          <w:tcPr>
            <w:tcW w:w="340" w:type="pct"/>
            <w:gridSpan w:val="2"/>
            <w:tcBorders>
              <w:bottom w:val="single" w:sz="4" w:space="0" w:color="auto"/>
            </w:tcBorders>
            <w:vAlign w:val="center"/>
          </w:tcPr>
          <w:p w14:paraId="7968F103"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AÇÕES TOTAL (%)</w:t>
            </w:r>
          </w:p>
        </w:tc>
        <w:tc>
          <w:tcPr>
            <w:tcW w:w="114" w:type="pct"/>
            <w:gridSpan w:val="2"/>
            <w:tcBorders>
              <w:bottom w:val="single" w:sz="4" w:space="0" w:color="auto"/>
            </w:tcBorders>
            <w:vAlign w:val="center"/>
          </w:tcPr>
          <w:p w14:paraId="49F301F1" w14:textId="77777777" w:rsidR="001A123C" w:rsidRPr="002E2B5B" w:rsidRDefault="001A123C" w:rsidP="002E2B5B">
            <w:pPr>
              <w:jc w:val="right"/>
              <w:rPr>
                <w:rFonts w:ascii="Calibri" w:hAnsi="Calibri" w:cs="Calibri"/>
                <w:b/>
                <w:bCs/>
                <w:sz w:val="16"/>
                <w:szCs w:val="16"/>
              </w:rPr>
            </w:pPr>
          </w:p>
        </w:tc>
      </w:tr>
      <w:tr w:rsidR="007E07A3" w:rsidRPr="002E2B5B" w14:paraId="7D036C04" w14:textId="77777777" w:rsidTr="00C34E8D">
        <w:trPr>
          <w:trHeight w:hRule="exact" w:val="227"/>
          <w:jc w:val="center"/>
        </w:trPr>
        <w:tc>
          <w:tcPr>
            <w:tcW w:w="734" w:type="pct"/>
            <w:gridSpan w:val="2"/>
            <w:tcBorders>
              <w:top w:val="single" w:sz="4" w:space="0" w:color="auto"/>
            </w:tcBorders>
            <w:vAlign w:val="center"/>
            <w:hideMark/>
          </w:tcPr>
          <w:p w14:paraId="75DC2039"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Estrada de Ferro Paraná Oeste S/A</w:t>
            </w:r>
          </w:p>
        </w:tc>
        <w:tc>
          <w:tcPr>
            <w:tcW w:w="634" w:type="pct"/>
            <w:gridSpan w:val="2"/>
            <w:tcBorders>
              <w:top w:val="single" w:sz="4" w:space="0" w:color="auto"/>
            </w:tcBorders>
            <w:noWrap/>
            <w:vAlign w:val="center"/>
            <w:hideMark/>
          </w:tcPr>
          <w:p w14:paraId="18CD236B"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26.278</w:t>
            </w:r>
          </w:p>
        </w:tc>
        <w:tc>
          <w:tcPr>
            <w:tcW w:w="538" w:type="pct"/>
            <w:gridSpan w:val="2"/>
            <w:tcBorders>
              <w:top w:val="single" w:sz="4" w:space="0" w:color="auto"/>
            </w:tcBorders>
            <w:noWrap/>
            <w:vAlign w:val="center"/>
            <w:hideMark/>
          </w:tcPr>
          <w:p w14:paraId="10D48B54" w14:textId="77777777" w:rsidR="001A123C" w:rsidRPr="002E2B5B" w:rsidRDefault="00965911" w:rsidP="002E2B5B">
            <w:pPr>
              <w:jc w:val="right"/>
              <w:rPr>
                <w:rFonts w:ascii="Calibri" w:hAnsi="Calibri" w:cs="Calibri"/>
                <w:sz w:val="16"/>
                <w:szCs w:val="16"/>
              </w:rPr>
            </w:pPr>
            <w:r w:rsidRPr="002E2B5B">
              <w:rPr>
                <w:rFonts w:ascii="Calibri" w:hAnsi="Calibri" w:cs="Calibri"/>
                <w:sz w:val="16"/>
                <w:szCs w:val="16"/>
              </w:rPr>
              <w:t>-</w:t>
            </w:r>
          </w:p>
        </w:tc>
        <w:tc>
          <w:tcPr>
            <w:tcW w:w="388" w:type="pct"/>
            <w:gridSpan w:val="2"/>
            <w:tcBorders>
              <w:top w:val="single" w:sz="4" w:space="0" w:color="auto"/>
            </w:tcBorders>
            <w:noWrap/>
            <w:vAlign w:val="center"/>
            <w:hideMark/>
          </w:tcPr>
          <w:p w14:paraId="44F1C59F"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w:t>
            </w:r>
          </w:p>
        </w:tc>
        <w:tc>
          <w:tcPr>
            <w:tcW w:w="531" w:type="pct"/>
            <w:gridSpan w:val="2"/>
            <w:tcBorders>
              <w:top w:val="single" w:sz="4" w:space="0" w:color="auto"/>
            </w:tcBorders>
            <w:noWrap/>
            <w:vAlign w:val="center"/>
            <w:hideMark/>
          </w:tcPr>
          <w:p w14:paraId="0A372FC5" w14:textId="77777777" w:rsidR="001A123C" w:rsidRPr="002E2B5B" w:rsidRDefault="001A123C" w:rsidP="002E2B5B">
            <w:pPr>
              <w:jc w:val="right"/>
              <w:rPr>
                <w:rFonts w:ascii="Calibri" w:hAnsi="Calibri" w:cs="Calibri"/>
                <w:sz w:val="16"/>
                <w:szCs w:val="16"/>
              </w:rPr>
            </w:pPr>
          </w:p>
          <w:p w14:paraId="0230453A"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26.278</w:t>
            </w:r>
          </w:p>
        </w:tc>
        <w:tc>
          <w:tcPr>
            <w:tcW w:w="487" w:type="pct"/>
            <w:gridSpan w:val="2"/>
            <w:tcBorders>
              <w:top w:val="single" w:sz="4" w:space="0" w:color="auto"/>
            </w:tcBorders>
            <w:noWrap/>
            <w:vAlign w:val="center"/>
            <w:hideMark/>
          </w:tcPr>
          <w:p w14:paraId="10DC7F71"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w:t>
            </w:r>
          </w:p>
        </w:tc>
        <w:tc>
          <w:tcPr>
            <w:tcW w:w="339" w:type="pct"/>
            <w:gridSpan w:val="2"/>
            <w:tcBorders>
              <w:top w:val="single" w:sz="4" w:space="0" w:color="auto"/>
            </w:tcBorders>
            <w:noWrap/>
            <w:vAlign w:val="center"/>
            <w:hideMark/>
          </w:tcPr>
          <w:p w14:paraId="7611BC76"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w:t>
            </w:r>
          </w:p>
        </w:tc>
        <w:tc>
          <w:tcPr>
            <w:tcW w:w="445" w:type="pct"/>
            <w:gridSpan w:val="2"/>
            <w:tcBorders>
              <w:top w:val="single" w:sz="4" w:space="0" w:color="auto"/>
            </w:tcBorders>
            <w:noWrap/>
            <w:vAlign w:val="center"/>
            <w:hideMark/>
          </w:tcPr>
          <w:p w14:paraId="2177E45E"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1.875.000</w:t>
            </w:r>
          </w:p>
        </w:tc>
        <w:tc>
          <w:tcPr>
            <w:tcW w:w="339" w:type="pct"/>
            <w:gridSpan w:val="2"/>
            <w:tcBorders>
              <w:top w:val="single" w:sz="4" w:space="0" w:color="auto"/>
            </w:tcBorders>
            <w:noWrap/>
            <w:vAlign w:val="center"/>
            <w:hideMark/>
          </w:tcPr>
          <w:p w14:paraId="0F80BA66"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0,008</w:t>
            </w:r>
          </w:p>
        </w:tc>
        <w:tc>
          <w:tcPr>
            <w:tcW w:w="114" w:type="pct"/>
            <w:gridSpan w:val="2"/>
            <w:tcBorders>
              <w:top w:val="single" w:sz="4" w:space="0" w:color="auto"/>
            </w:tcBorders>
            <w:vAlign w:val="center"/>
          </w:tcPr>
          <w:p w14:paraId="587BA322" w14:textId="77777777" w:rsidR="001A123C" w:rsidRPr="002E2B5B" w:rsidRDefault="001A123C" w:rsidP="002E2B5B">
            <w:pPr>
              <w:jc w:val="right"/>
              <w:rPr>
                <w:rFonts w:ascii="Calibri" w:hAnsi="Calibri" w:cs="Calibri"/>
                <w:sz w:val="16"/>
                <w:szCs w:val="16"/>
              </w:rPr>
            </w:pPr>
          </w:p>
        </w:tc>
        <w:tc>
          <w:tcPr>
            <w:tcW w:w="340" w:type="pct"/>
            <w:gridSpan w:val="2"/>
            <w:tcBorders>
              <w:top w:val="single" w:sz="4" w:space="0" w:color="auto"/>
            </w:tcBorders>
            <w:vAlign w:val="center"/>
          </w:tcPr>
          <w:p w14:paraId="1A2E4584"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0,0027</w:t>
            </w:r>
          </w:p>
        </w:tc>
        <w:tc>
          <w:tcPr>
            <w:tcW w:w="111" w:type="pct"/>
            <w:gridSpan w:val="2"/>
            <w:tcBorders>
              <w:top w:val="single" w:sz="4" w:space="0" w:color="auto"/>
            </w:tcBorders>
            <w:vAlign w:val="center"/>
          </w:tcPr>
          <w:p w14:paraId="7C2D9D96" w14:textId="77777777" w:rsidR="001A123C" w:rsidRPr="002E2B5B" w:rsidRDefault="001A123C" w:rsidP="002E2B5B">
            <w:pPr>
              <w:jc w:val="both"/>
              <w:rPr>
                <w:rFonts w:ascii="Calibri" w:hAnsi="Calibri" w:cs="Calibri"/>
                <w:sz w:val="16"/>
                <w:szCs w:val="16"/>
              </w:rPr>
            </w:pPr>
          </w:p>
        </w:tc>
      </w:tr>
      <w:tr w:rsidR="007E07A3" w:rsidRPr="002E2B5B" w14:paraId="3F6438B1" w14:textId="77777777" w:rsidTr="00C34E8D">
        <w:trPr>
          <w:trHeight w:hRule="exact" w:val="227"/>
          <w:jc w:val="center"/>
        </w:trPr>
        <w:tc>
          <w:tcPr>
            <w:tcW w:w="734" w:type="pct"/>
            <w:gridSpan w:val="2"/>
            <w:tcBorders>
              <w:bottom w:val="single" w:sz="4" w:space="0" w:color="auto"/>
            </w:tcBorders>
            <w:vAlign w:val="center"/>
          </w:tcPr>
          <w:p w14:paraId="0753BE48"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Transnordestina Logística S/A</w:t>
            </w:r>
          </w:p>
        </w:tc>
        <w:tc>
          <w:tcPr>
            <w:tcW w:w="634" w:type="pct"/>
            <w:gridSpan w:val="2"/>
            <w:tcBorders>
              <w:bottom w:val="single" w:sz="4" w:space="0" w:color="auto"/>
            </w:tcBorders>
            <w:noWrap/>
            <w:vAlign w:val="center"/>
          </w:tcPr>
          <w:p w14:paraId="32B78821" w14:textId="67C91ABF" w:rsidR="001A123C" w:rsidRPr="002E2B5B" w:rsidRDefault="00317348" w:rsidP="002E2B5B">
            <w:pPr>
              <w:jc w:val="right"/>
              <w:rPr>
                <w:rFonts w:ascii="Calibri" w:hAnsi="Calibri" w:cs="Calibri"/>
                <w:sz w:val="16"/>
                <w:szCs w:val="16"/>
              </w:rPr>
            </w:pPr>
            <w:r>
              <w:rPr>
                <w:rFonts w:ascii="Calibri" w:hAnsi="Calibri" w:cs="Calibri"/>
                <w:sz w:val="16"/>
                <w:szCs w:val="16"/>
              </w:rPr>
              <w:t>959.774.015</w:t>
            </w:r>
          </w:p>
        </w:tc>
        <w:tc>
          <w:tcPr>
            <w:tcW w:w="538" w:type="pct"/>
            <w:gridSpan w:val="2"/>
            <w:tcBorders>
              <w:bottom w:val="single" w:sz="4" w:space="0" w:color="auto"/>
            </w:tcBorders>
            <w:noWrap/>
            <w:vAlign w:val="center"/>
          </w:tcPr>
          <w:p w14:paraId="45EE27C4" w14:textId="66CD097B" w:rsidR="001A123C" w:rsidRPr="002E2B5B" w:rsidRDefault="001A123C" w:rsidP="002E2B5B">
            <w:pPr>
              <w:jc w:val="right"/>
              <w:rPr>
                <w:rFonts w:ascii="Calibri" w:hAnsi="Calibri" w:cs="Calibri"/>
                <w:sz w:val="16"/>
                <w:szCs w:val="16"/>
              </w:rPr>
            </w:pPr>
            <w:r w:rsidRPr="002E2B5B">
              <w:rPr>
                <w:rFonts w:ascii="Calibri" w:hAnsi="Calibri" w:cs="Calibri"/>
                <w:sz w:val="16"/>
                <w:szCs w:val="16"/>
              </w:rPr>
              <w:t>(</w:t>
            </w:r>
            <w:r w:rsidR="000E5694">
              <w:rPr>
                <w:rFonts w:ascii="Calibri" w:hAnsi="Calibri" w:cs="Calibri"/>
                <w:sz w:val="16"/>
                <w:szCs w:val="16"/>
              </w:rPr>
              <w:t>16.277.330</w:t>
            </w:r>
            <w:r w:rsidRPr="002E2B5B">
              <w:rPr>
                <w:rFonts w:ascii="Calibri" w:hAnsi="Calibri" w:cs="Calibri"/>
                <w:sz w:val="16"/>
                <w:szCs w:val="16"/>
              </w:rPr>
              <w:t>)</w:t>
            </w:r>
          </w:p>
        </w:tc>
        <w:tc>
          <w:tcPr>
            <w:tcW w:w="388" w:type="pct"/>
            <w:gridSpan w:val="2"/>
            <w:tcBorders>
              <w:bottom w:val="single" w:sz="4" w:space="0" w:color="auto"/>
            </w:tcBorders>
            <w:noWrap/>
            <w:vAlign w:val="center"/>
          </w:tcPr>
          <w:p w14:paraId="5C785282"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w:t>
            </w:r>
          </w:p>
        </w:tc>
        <w:tc>
          <w:tcPr>
            <w:tcW w:w="531" w:type="pct"/>
            <w:gridSpan w:val="2"/>
            <w:tcBorders>
              <w:bottom w:val="single" w:sz="4" w:space="0" w:color="auto"/>
            </w:tcBorders>
            <w:noWrap/>
            <w:vAlign w:val="center"/>
          </w:tcPr>
          <w:p w14:paraId="0F0229EF" w14:textId="14911ADD" w:rsidR="001A123C" w:rsidRPr="002E2B5B" w:rsidRDefault="000E5694" w:rsidP="002E2B5B">
            <w:pPr>
              <w:jc w:val="right"/>
              <w:rPr>
                <w:rFonts w:ascii="Calibri" w:hAnsi="Calibri" w:cs="Calibri"/>
                <w:sz w:val="16"/>
                <w:szCs w:val="16"/>
              </w:rPr>
            </w:pPr>
            <w:r>
              <w:rPr>
                <w:rFonts w:ascii="Calibri" w:hAnsi="Calibri" w:cs="Calibri"/>
                <w:sz w:val="16"/>
                <w:szCs w:val="16"/>
              </w:rPr>
              <w:t>943.496.685</w:t>
            </w:r>
          </w:p>
        </w:tc>
        <w:tc>
          <w:tcPr>
            <w:tcW w:w="487" w:type="pct"/>
            <w:gridSpan w:val="2"/>
            <w:tcBorders>
              <w:bottom w:val="single" w:sz="4" w:space="0" w:color="auto"/>
            </w:tcBorders>
            <w:noWrap/>
            <w:vAlign w:val="center"/>
          </w:tcPr>
          <w:p w14:paraId="610F6E18"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18.686.075</w:t>
            </w:r>
          </w:p>
        </w:tc>
        <w:tc>
          <w:tcPr>
            <w:tcW w:w="339" w:type="pct"/>
            <w:gridSpan w:val="2"/>
            <w:tcBorders>
              <w:bottom w:val="single" w:sz="4" w:space="0" w:color="auto"/>
            </w:tcBorders>
            <w:noWrap/>
            <w:vAlign w:val="center"/>
          </w:tcPr>
          <w:p w14:paraId="27FF785F"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71,59</w:t>
            </w:r>
          </w:p>
        </w:tc>
        <w:tc>
          <w:tcPr>
            <w:tcW w:w="445" w:type="pct"/>
            <w:gridSpan w:val="2"/>
            <w:tcBorders>
              <w:bottom w:val="single" w:sz="4" w:space="0" w:color="auto"/>
            </w:tcBorders>
            <w:noWrap/>
            <w:vAlign w:val="center"/>
          </w:tcPr>
          <w:p w14:paraId="0EB98C56"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1.722.716</w:t>
            </w:r>
          </w:p>
        </w:tc>
        <w:tc>
          <w:tcPr>
            <w:tcW w:w="339" w:type="pct"/>
            <w:gridSpan w:val="2"/>
            <w:tcBorders>
              <w:bottom w:val="single" w:sz="4" w:space="0" w:color="auto"/>
            </w:tcBorders>
            <w:noWrap/>
            <w:vAlign w:val="center"/>
          </w:tcPr>
          <w:p w14:paraId="7F497F14"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6,60</w:t>
            </w:r>
          </w:p>
        </w:tc>
        <w:tc>
          <w:tcPr>
            <w:tcW w:w="114" w:type="pct"/>
            <w:gridSpan w:val="2"/>
            <w:tcBorders>
              <w:bottom w:val="single" w:sz="4" w:space="0" w:color="auto"/>
            </w:tcBorders>
            <w:vAlign w:val="center"/>
          </w:tcPr>
          <w:p w14:paraId="419D192D" w14:textId="77777777" w:rsidR="001A123C" w:rsidRPr="002E2B5B" w:rsidRDefault="001A123C" w:rsidP="002E2B5B">
            <w:pPr>
              <w:jc w:val="right"/>
              <w:rPr>
                <w:rFonts w:ascii="Calibri" w:hAnsi="Calibri" w:cs="Calibri"/>
                <w:sz w:val="16"/>
                <w:szCs w:val="16"/>
              </w:rPr>
            </w:pPr>
          </w:p>
        </w:tc>
        <w:tc>
          <w:tcPr>
            <w:tcW w:w="340" w:type="pct"/>
            <w:gridSpan w:val="2"/>
            <w:tcBorders>
              <w:bottom w:val="single" w:sz="4" w:space="0" w:color="auto"/>
            </w:tcBorders>
            <w:vAlign w:val="center"/>
          </w:tcPr>
          <w:p w14:paraId="42DBB761"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39,10</w:t>
            </w:r>
          </w:p>
        </w:tc>
        <w:tc>
          <w:tcPr>
            <w:tcW w:w="111" w:type="pct"/>
            <w:gridSpan w:val="2"/>
            <w:tcBorders>
              <w:bottom w:val="single" w:sz="4" w:space="0" w:color="auto"/>
            </w:tcBorders>
            <w:vAlign w:val="center"/>
          </w:tcPr>
          <w:p w14:paraId="0216CA86" w14:textId="77777777" w:rsidR="001A123C" w:rsidRPr="002E2B5B" w:rsidRDefault="001A123C" w:rsidP="002E2B5B">
            <w:pPr>
              <w:jc w:val="both"/>
              <w:rPr>
                <w:rFonts w:ascii="Calibri" w:hAnsi="Calibri" w:cs="Calibri"/>
                <w:sz w:val="16"/>
                <w:szCs w:val="16"/>
              </w:rPr>
            </w:pPr>
          </w:p>
        </w:tc>
      </w:tr>
      <w:tr w:rsidR="007E07A3" w:rsidRPr="002E2B5B" w14:paraId="0C3D1570" w14:textId="77777777" w:rsidTr="00C34E8D">
        <w:trPr>
          <w:trHeight w:hRule="exact" w:val="227"/>
          <w:jc w:val="center"/>
        </w:trPr>
        <w:tc>
          <w:tcPr>
            <w:tcW w:w="734" w:type="pct"/>
            <w:gridSpan w:val="2"/>
            <w:tcBorders>
              <w:top w:val="single" w:sz="4" w:space="0" w:color="auto"/>
              <w:bottom w:val="single" w:sz="4" w:space="0" w:color="auto"/>
            </w:tcBorders>
            <w:noWrap/>
            <w:vAlign w:val="center"/>
            <w:hideMark/>
          </w:tcPr>
          <w:p w14:paraId="02DFB91F"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TOTAL</w:t>
            </w:r>
          </w:p>
        </w:tc>
        <w:tc>
          <w:tcPr>
            <w:tcW w:w="634" w:type="pct"/>
            <w:gridSpan w:val="2"/>
            <w:tcBorders>
              <w:top w:val="single" w:sz="4" w:space="0" w:color="auto"/>
              <w:bottom w:val="single" w:sz="4" w:space="0" w:color="auto"/>
            </w:tcBorders>
            <w:noWrap/>
            <w:vAlign w:val="center"/>
            <w:hideMark/>
          </w:tcPr>
          <w:p w14:paraId="5BCD8412" w14:textId="5FC9194F" w:rsidR="001A123C" w:rsidRPr="002E2B5B" w:rsidRDefault="00317348" w:rsidP="002E2B5B">
            <w:pPr>
              <w:jc w:val="right"/>
              <w:rPr>
                <w:rFonts w:ascii="Calibri" w:hAnsi="Calibri" w:cs="Calibri"/>
                <w:b/>
                <w:bCs/>
                <w:sz w:val="16"/>
                <w:szCs w:val="16"/>
              </w:rPr>
            </w:pPr>
            <w:r>
              <w:rPr>
                <w:rFonts w:ascii="Calibri" w:hAnsi="Calibri" w:cs="Calibri"/>
                <w:b/>
                <w:bCs/>
                <w:sz w:val="16"/>
                <w:szCs w:val="16"/>
              </w:rPr>
              <w:t>959.800.293</w:t>
            </w:r>
          </w:p>
        </w:tc>
        <w:tc>
          <w:tcPr>
            <w:tcW w:w="538" w:type="pct"/>
            <w:gridSpan w:val="2"/>
            <w:tcBorders>
              <w:top w:val="single" w:sz="4" w:space="0" w:color="auto"/>
              <w:bottom w:val="single" w:sz="4" w:space="0" w:color="auto"/>
            </w:tcBorders>
            <w:noWrap/>
            <w:vAlign w:val="center"/>
            <w:hideMark/>
          </w:tcPr>
          <w:p w14:paraId="76508E04" w14:textId="727B0F9A"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w:t>
            </w:r>
            <w:r w:rsidR="000E5694">
              <w:rPr>
                <w:rFonts w:ascii="Calibri" w:hAnsi="Calibri" w:cs="Calibri"/>
                <w:b/>
                <w:bCs/>
                <w:sz w:val="16"/>
                <w:szCs w:val="16"/>
              </w:rPr>
              <w:t>16.277.330</w:t>
            </w:r>
            <w:r w:rsidRPr="002E2B5B">
              <w:rPr>
                <w:rFonts w:ascii="Calibri" w:hAnsi="Calibri" w:cs="Calibri"/>
                <w:b/>
                <w:bCs/>
                <w:sz w:val="16"/>
                <w:szCs w:val="16"/>
              </w:rPr>
              <w:t>)</w:t>
            </w:r>
          </w:p>
        </w:tc>
        <w:tc>
          <w:tcPr>
            <w:tcW w:w="388" w:type="pct"/>
            <w:gridSpan w:val="2"/>
            <w:tcBorders>
              <w:top w:val="single" w:sz="4" w:space="0" w:color="auto"/>
              <w:bottom w:val="single" w:sz="4" w:space="0" w:color="auto"/>
            </w:tcBorders>
            <w:noWrap/>
            <w:vAlign w:val="center"/>
            <w:hideMark/>
          </w:tcPr>
          <w:p w14:paraId="0B651A61"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0</w:t>
            </w:r>
          </w:p>
        </w:tc>
        <w:tc>
          <w:tcPr>
            <w:tcW w:w="531" w:type="pct"/>
            <w:gridSpan w:val="2"/>
            <w:tcBorders>
              <w:top w:val="single" w:sz="4" w:space="0" w:color="auto"/>
              <w:bottom w:val="single" w:sz="4" w:space="0" w:color="auto"/>
            </w:tcBorders>
            <w:noWrap/>
            <w:vAlign w:val="center"/>
            <w:hideMark/>
          </w:tcPr>
          <w:p w14:paraId="40B1B682" w14:textId="063A24BA" w:rsidR="001A123C" w:rsidRPr="002E2B5B" w:rsidRDefault="000E5694" w:rsidP="002E2B5B">
            <w:pPr>
              <w:jc w:val="right"/>
              <w:rPr>
                <w:rFonts w:ascii="Calibri" w:hAnsi="Calibri" w:cs="Calibri"/>
                <w:b/>
                <w:bCs/>
                <w:sz w:val="16"/>
                <w:szCs w:val="16"/>
              </w:rPr>
            </w:pPr>
            <w:r>
              <w:rPr>
                <w:rFonts w:ascii="Calibri" w:hAnsi="Calibri" w:cs="Calibri"/>
                <w:b/>
                <w:bCs/>
                <w:sz w:val="16"/>
                <w:szCs w:val="16"/>
              </w:rPr>
              <w:t>943.522.963</w:t>
            </w:r>
          </w:p>
        </w:tc>
        <w:tc>
          <w:tcPr>
            <w:tcW w:w="487" w:type="pct"/>
            <w:gridSpan w:val="2"/>
            <w:tcBorders>
              <w:top w:val="single" w:sz="4" w:space="0" w:color="auto"/>
              <w:bottom w:val="single" w:sz="4" w:space="0" w:color="auto"/>
            </w:tcBorders>
            <w:noWrap/>
            <w:vAlign w:val="center"/>
            <w:hideMark/>
          </w:tcPr>
          <w:p w14:paraId="7CB366B3" w14:textId="77777777" w:rsidR="001A123C" w:rsidRPr="002E2B5B" w:rsidRDefault="001A123C" w:rsidP="002E2B5B">
            <w:pPr>
              <w:jc w:val="right"/>
              <w:rPr>
                <w:rFonts w:ascii="Calibri" w:hAnsi="Calibri" w:cs="Calibri"/>
                <w:b/>
                <w:bCs/>
                <w:sz w:val="16"/>
                <w:szCs w:val="16"/>
              </w:rPr>
            </w:pPr>
          </w:p>
        </w:tc>
        <w:tc>
          <w:tcPr>
            <w:tcW w:w="339" w:type="pct"/>
            <w:gridSpan w:val="2"/>
            <w:tcBorders>
              <w:top w:val="single" w:sz="4" w:space="0" w:color="auto"/>
              <w:bottom w:val="single" w:sz="4" w:space="0" w:color="auto"/>
            </w:tcBorders>
            <w:noWrap/>
            <w:vAlign w:val="center"/>
            <w:hideMark/>
          </w:tcPr>
          <w:p w14:paraId="0977DA31" w14:textId="77777777" w:rsidR="001A123C" w:rsidRPr="002E2B5B" w:rsidRDefault="001A123C" w:rsidP="002E2B5B">
            <w:pPr>
              <w:jc w:val="right"/>
              <w:rPr>
                <w:rFonts w:ascii="Calibri" w:hAnsi="Calibri" w:cs="Calibri"/>
                <w:sz w:val="16"/>
                <w:szCs w:val="16"/>
              </w:rPr>
            </w:pPr>
          </w:p>
        </w:tc>
        <w:tc>
          <w:tcPr>
            <w:tcW w:w="445" w:type="pct"/>
            <w:gridSpan w:val="2"/>
            <w:tcBorders>
              <w:top w:val="single" w:sz="4" w:space="0" w:color="auto"/>
              <w:bottom w:val="single" w:sz="4" w:space="0" w:color="auto"/>
            </w:tcBorders>
            <w:noWrap/>
            <w:vAlign w:val="center"/>
            <w:hideMark/>
          </w:tcPr>
          <w:p w14:paraId="55FA3256" w14:textId="77777777" w:rsidR="001A123C" w:rsidRPr="002E2B5B" w:rsidRDefault="001A123C" w:rsidP="002E2B5B">
            <w:pPr>
              <w:jc w:val="right"/>
              <w:rPr>
                <w:rFonts w:ascii="Calibri" w:hAnsi="Calibri" w:cs="Calibri"/>
                <w:sz w:val="16"/>
                <w:szCs w:val="16"/>
              </w:rPr>
            </w:pPr>
          </w:p>
        </w:tc>
        <w:tc>
          <w:tcPr>
            <w:tcW w:w="339" w:type="pct"/>
            <w:gridSpan w:val="2"/>
            <w:tcBorders>
              <w:top w:val="single" w:sz="4" w:space="0" w:color="auto"/>
              <w:bottom w:val="single" w:sz="4" w:space="0" w:color="auto"/>
            </w:tcBorders>
            <w:noWrap/>
            <w:vAlign w:val="center"/>
            <w:hideMark/>
          </w:tcPr>
          <w:p w14:paraId="7A69F158" w14:textId="77777777" w:rsidR="001A123C" w:rsidRPr="002E2B5B" w:rsidRDefault="001A123C" w:rsidP="002E2B5B">
            <w:pPr>
              <w:jc w:val="right"/>
              <w:rPr>
                <w:rFonts w:ascii="Calibri" w:hAnsi="Calibri" w:cs="Calibri"/>
                <w:sz w:val="16"/>
                <w:szCs w:val="16"/>
              </w:rPr>
            </w:pPr>
          </w:p>
        </w:tc>
        <w:tc>
          <w:tcPr>
            <w:tcW w:w="114" w:type="pct"/>
            <w:gridSpan w:val="2"/>
            <w:tcBorders>
              <w:top w:val="single" w:sz="4" w:space="0" w:color="auto"/>
              <w:bottom w:val="single" w:sz="4" w:space="0" w:color="auto"/>
            </w:tcBorders>
            <w:vAlign w:val="center"/>
          </w:tcPr>
          <w:p w14:paraId="4D5CB095" w14:textId="77777777" w:rsidR="001A123C" w:rsidRPr="002E2B5B" w:rsidRDefault="001A123C" w:rsidP="002E2B5B">
            <w:pPr>
              <w:jc w:val="right"/>
              <w:rPr>
                <w:rFonts w:ascii="Calibri" w:hAnsi="Calibri" w:cs="Calibri"/>
                <w:sz w:val="16"/>
                <w:szCs w:val="16"/>
              </w:rPr>
            </w:pPr>
          </w:p>
        </w:tc>
        <w:tc>
          <w:tcPr>
            <w:tcW w:w="340" w:type="pct"/>
            <w:gridSpan w:val="2"/>
            <w:tcBorders>
              <w:top w:val="single" w:sz="4" w:space="0" w:color="auto"/>
              <w:bottom w:val="single" w:sz="4" w:space="0" w:color="auto"/>
            </w:tcBorders>
            <w:vAlign w:val="center"/>
          </w:tcPr>
          <w:p w14:paraId="77EF2874" w14:textId="77777777" w:rsidR="001A123C" w:rsidRPr="002E2B5B" w:rsidRDefault="001A123C" w:rsidP="002E2B5B">
            <w:pPr>
              <w:jc w:val="right"/>
              <w:rPr>
                <w:rFonts w:ascii="Calibri" w:hAnsi="Calibri" w:cs="Calibri"/>
                <w:sz w:val="16"/>
                <w:szCs w:val="16"/>
              </w:rPr>
            </w:pPr>
          </w:p>
        </w:tc>
        <w:tc>
          <w:tcPr>
            <w:tcW w:w="111" w:type="pct"/>
            <w:gridSpan w:val="2"/>
            <w:tcBorders>
              <w:top w:val="single" w:sz="4" w:space="0" w:color="auto"/>
              <w:bottom w:val="single" w:sz="4" w:space="0" w:color="auto"/>
            </w:tcBorders>
            <w:vAlign w:val="center"/>
          </w:tcPr>
          <w:p w14:paraId="2CEFF2A9" w14:textId="77777777" w:rsidR="001A123C" w:rsidRPr="002E2B5B" w:rsidRDefault="001A123C" w:rsidP="002E2B5B">
            <w:pPr>
              <w:jc w:val="both"/>
              <w:rPr>
                <w:rFonts w:ascii="Calibri" w:hAnsi="Calibri" w:cs="Calibri"/>
                <w:sz w:val="16"/>
                <w:szCs w:val="16"/>
              </w:rPr>
            </w:pPr>
          </w:p>
        </w:tc>
      </w:tr>
    </w:tbl>
    <w:p w14:paraId="1E6C2D93" w14:textId="77777777" w:rsidR="00785B26" w:rsidRPr="002E2B5B" w:rsidRDefault="00785B26" w:rsidP="002E2B5B">
      <w:pPr>
        <w:ind w:right="-142"/>
        <w:jc w:val="both"/>
        <w:rPr>
          <w:rFonts w:ascii="Calibri" w:hAnsi="Calibri" w:cs="Calibri"/>
          <w:sz w:val="22"/>
          <w:szCs w:val="22"/>
        </w:rPr>
      </w:pPr>
    </w:p>
    <w:p w14:paraId="371D299C" w14:textId="77777777" w:rsidR="00F262A7" w:rsidRPr="002E2B5B" w:rsidRDefault="00710F5F" w:rsidP="002E2B5B">
      <w:pPr>
        <w:numPr>
          <w:ilvl w:val="0"/>
          <w:numId w:val="13"/>
        </w:numPr>
        <w:ind w:left="284" w:right="57" w:hanging="284"/>
        <w:jc w:val="both"/>
        <w:rPr>
          <w:rFonts w:ascii="Calibri" w:hAnsi="Calibri" w:cs="Calibri"/>
          <w:b/>
          <w:sz w:val="22"/>
          <w:szCs w:val="22"/>
        </w:rPr>
      </w:pPr>
      <w:r w:rsidRPr="002E2B5B">
        <w:rPr>
          <w:rFonts w:ascii="Calibri" w:hAnsi="Calibri" w:cs="Calibri"/>
          <w:b/>
          <w:sz w:val="22"/>
          <w:szCs w:val="22"/>
        </w:rPr>
        <w:t xml:space="preserve">Estrada de Ferro Paraná-Oeste S/A </w:t>
      </w:r>
      <w:r w:rsidR="00D1757A" w:rsidRPr="002E2B5B">
        <w:rPr>
          <w:rFonts w:ascii="Calibri" w:hAnsi="Calibri" w:cs="Calibri"/>
          <w:b/>
          <w:sz w:val="22"/>
          <w:szCs w:val="22"/>
        </w:rPr>
        <w:t>(</w:t>
      </w:r>
      <w:r w:rsidRPr="002E2B5B">
        <w:rPr>
          <w:rFonts w:ascii="Calibri" w:hAnsi="Calibri" w:cs="Calibri"/>
          <w:b/>
          <w:sz w:val="22"/>
          <w:szCs w:val="22"/>
        </w:rPr>
        <w:t>FERROESTE</w:t>
      </w:r>
      <w:r w:rsidR="00D1757A" w:rsidRPr="002E2B5B">
        <w:rPr>
          <w:rFonts w:ascii="Calibri" w:hAnsi="Calibri" w:cs="Calibri"/>
          <w:b/>
          <w:sz w:val="22"/>
          <w:szCs w:val="22"/>
        </w:rPr>
        <w:t>)</w:t>
      </w:r>
    </w:p>
    <w:p w14:paraId="68C72D84" w14:textId="219EC212" w:rsidR="009165D8" w:rsidRPr="002E2B5B" w:rsidRDefault="00F262A7" w:rsidP="002E2B5B">
      <w:pPr>
        <w:spacing w:after="120"/>
        <w:ind w:right="57"/>
        <w:jc w:val="both"/>
        <w:rPr>
          <w:rFonts w:ascii="Calibri" w:hAnsi="Calibri" w:cs="Calibri"/>
          <w:sz w:val="22"/>
          <w:szCs w:val="22"/>
        </w:rPr>
      </w:pPr>
      <w:r w:rsidRPr="002E2B5B">
        <w:rPr>
          <w:rFonts w:ascii="Calibri" w:hAnsi="Calibri" w:cs="Calibri"/>
          <w:sz w:val="22"/>
          <w:szCs w:val="22"/>
        </w:rPr>
        <w:t xml:space="preserve">A Estrada de Ferro Paraná-Oeste S/A </w:t>
      </w:r>
      <w:r w:rsidR="00D1757A" w:rsidRPr="002E2B5B">
        <w:rPr>
          <w:rFonts w:ascii="Calibri" w:hAnsi="Calibri" w:cs="Calibri"/>
          <w:sz w:val="22"/>
          <w:szCs w:val="22"/>
        </w:rPr>
        <w:t>(</w:t>
      </w:r>
      <w:r w:rsidRPr="002E2B5B">
        <w:rPr>
          <w:rFonts w:ascii="Calibri" w:hAnsi="Calibri" w:cs="Calibri"/>
          <w:sz w:val="22"/>
          <w:szCs w:val="22"/>
        </w:rPr>
        <w:t>FERROESTE</w:t>
      </w:r>
      <w:r w:rsidR="00D1757A" w:rsidRPr="002E2B5B">
        <w:rPr>
          <w:rFonts w:ascii="Calibri" w:hAnsi="Calibri" w:cs="Calibri"/>
          <w:sz w:val="22"/>
          <w:szCs w:val="22"/>
        </w:rPr>
        <w:t>)</w:t>
      </w:r>
      <w:r w:rsidRPr="002E2B5B">
        <w:rPr>
          <w:rFonts w:ascii="Calibri" w:hAnsi="Calibri" w:cs="Calibri"/>
          <w:sz w:val="22"/>
          <w:szCs w:val="22"/>
        </w:rPr>
        <w:t xml:space="preserve"> é uma sociedade anônima, de economia mi</w:t>
      </w:r>
      <w:r w:rsidR="006A61D2" w:rsidRPr="002E2B5B">
        <w:rPr>
          <w:rFonts w:ascii="Calibri" w:hAnsi="Calibri" w:cs="Calibri"/>
          <w:sz w:val="22"/>
          <w:szCs w:val="22"/>
        </w:rPr>
        <w:t>sta, controlada pelo Estado do P</w:t>
      </w:r>
      <w:r w:rsidRPr="002E2B5B">
        <w:rPr>
          <w:rFonts w:ascii="Calibri" w:hAnsi="Calibri" w:cs="Calibri"/>
          <w:sz w:val="22"/>
          <w:szCs w:val="22"/>
        </w:rPr>
        <w:t>araná, com 99,69% de participação acion</w:t>
      </w:r>
      <w:r w:rsidR="00FC7C73" w:rsidRPr="002E2B5B">
        <w:rPr>
          <w:rFonts w:ascii="Calibri" w:hAnsi="Calibri" w:cs="Calibri"/>
          <w:sz w:val="22"/>
          <w:szCs w:val="22"/>
        </w:rPr>
        <w:t>ária, o</w:t>
      </w:r>
      <w:r w:rsidRPr="002E2B5B">
        <w:rPr>
          <w:rFonts w:ascii="Calibri" w:hAnsi="Calibri" w:cs="Calibri"/>
          <w:sz w:val="22"/>
          <w:szCs w:val="22"/>
        </w:rPr>
        <w:t xml:space="preserve"> restante das ações pertence a 46 empresas nacionais, 3 estrangeiras e 6 pessoas físicas. A FERROESTE tem por objetivo a construção, operação, administração, e exploração comercial de vias ferroviárias nacionais, de terminais ferroviários, de silos e demais sistemas de armazenagem de produtos agrícolas e manufaturados em geral. </w:t>
      </w:r>
    </w:p>
    <w:p w14:paraId="286B909C" w14:textId="63E3D251" w:rsidR="009165D8" w:rsidRPr="002E2B5B" w:rsidRDefault="00BA786C" w:rsidP="002E2B5B">
      <w:pPr>
        <w:spacing w:after="120"/>
        <w:ind w:right="57"/>
        <w:jc w:val="both"/>
        <w:rPr>
          <w:rFonts w:ascii="Calibri" w:hAnsi="Calibri" w:cs="Calibri"/>
          <w:sz w:val="22"/>
          <w:szCs w:val="22"/>
        </w:rPr>
      </w:pPr>
      <w:r w:rsidRPr="002E2B5B">
        <w:rPr>
          <w:rFonts w:ascii="Calibri" w:hAnsi="Calibri" w:cs="Calibri"/>
          <w:sz w:val="22"/>
          <w:szCs w:val="22"/>
        </w:rPr>
        <w:t>A VALEC participa do capital social da Estrada de Ferro Paraná-Oeste S/A</w:t>
      </w:r>
      <w:r w:rsidR="00D1757A" w:rsidRPr="002E2B5B">
        <w:rPr>
          <w:rFonts w:ascii="Calibri" w:hAnsi="Calibri" w:cs="Calibri"/>
          <w:sz w:val="22"/>
          <w:szCs w:val="22"/>
        </w:rPr>
        <w:t xml:space="preserve"> (</w:t>
      </w:r>
      <w:r w:rsidRPr="002E2B5B">
        <w:rPr>
          <w:rFonts w:ascii="Calibri" w:hAnsi="Calibri" w:cs="Calibri"/>
          <w:sz w:val="22"/>
          <w:szCs w:val="22"/>
        </w:rPr>
        <w:t>FERROESTE</w:t>
      </w:r>
      <w:r w:rsidR="00D1757A" w:rsidRPr="002E2B5B">
        <w:rPr>
          <w:rFonts w:ascii="Calibri" w:hAnsi="Calibri" w:cs="Calibri"/>
          <w:sz w:val="22"/>
          <w:szCs w:val="22"/>
        </w:rPr>
        <w:t>)</w:t>
      </w:r>
      <w:r w:rsidRPr="002E2B5B">
        <w:rPr>
          <w:rFonts w:ascii="Calibri" w:hAnsi="Calibri" w:cs="Calibri"/>
          <w:sz w:val="22"/>
          <w:szCs w:val="22"/>
        </w:rPr>
        <w:t xml:space="preserve"> com 1.875 lotes de 1.000 ações ordinárias. Esse investimento é avaliado pelo método de custo em função </w:t>
      </w:r>
      <w:r w:rsidR="001A3D8C" w:rsidRPr="002E2B5B">
        <w:rPr>
          <w:rFonts w:ascii="Calibri" w:hAnsi="Calibri" w:cs="Calibri"/>
          <w:sz w:val="22"/>
          <w:szCs w:val="22"/>
        </w:rPr>
        <w:t>da</w:t>
      </w:r>
      <w:r w:rsidRPr="002E2B5B">
        <w:rPr>
          <w:rFonts w:ascii="Calibri" w:hAnsi="Calibri" w:cs="Calibri"/>
          <w:sz w:val="22"/>
          <w:szCs w:val="22"/>
        </w:rPr>
        <w:t xml:space="preserve"> participação </w:t>
      </w:r>
      <w:r w:rsidR="001A3D8C" w:rsidRPr="002E2B5B">
        <w:rPr>
          <w:rFonts w:ascii="Calibri" w:hAnsi="Calibri" w:cs="Calibri"/>
          <w:sz w:val="22"/>
          <w:szCs w:val="22"/>
        </w:rPr>
        <w:t xml:space="preserve">da VALEC </w:t>
      </w:r>
      <w:r w:rsidRPr="002E2B5B">
        <w:rPr>
          <w:rFonts w:ascii="Calibri" w:hAnsi="Calibri" w:cs="Calibri"/>
          <w:sz w:val="22"/>
          <w:szCs w:val="22"/>
        </w:rPr>
        <w:t>não apresentar influência significativa, além dessa participação ser inferior a 20% do Capital Social da investida</w:t>
      </w:r>
      <w:r w:rsidR="00843229" w:rsidRPr="002E2B5B">
        <w:rPr>
          <w:rFonts w:ascii="Calibri" w:hAnsi="Calibri" w:cs="Calibri"/>
          <w:sz w:val="22"/>
          <w:szCs w:val="22"/>
        </w:rPr>
        <w:t>.</w:t>
      </w:r>
    </w:p>
    <w:p w14:paraId="4C2C41DF" w14:textId="77777777" w:rsidR="0020468B" w:rsidRPr="002E2B5B" w:rsidRDefault="00F22BE7" w:rsidP="002E2B5B">
      <w:pPr>
        <w:numPr>
          <w:ilvl w:val="0"/>
          <w:numId w:val="13"/>
        </w:numPr>
        <w:ind w:left="284" w:right="57" w:hanging="284"/>
        <w:jc w:val="both"/>
        <w:rPr>
          <w:rFonts w:ascii="Calibri" w:hAnsi="Calibri" w:cs="Calibri"/>
          <w:b/>
          <w:sz w:val="22"/>
          <w:szCs w:val="22"/>
        </w:rPr>
      </w:pPr>
      <w:r w:rsidRPr="002E2B5B">
        <w:rPr>
          <w:rFonts w:ascii="Calibri" w:hAnsi="Calibri" w:cs="Calibri"/>
          <w:b/>
          <w:sz w:val="22"/>
          <w:szCs w:val="22"/>
        </w:rPr>
        <w:t xml:space="preserve">Transnordestina Logística </w:t>
      </w:r>
      <w:r w:rsidR="00FC7C73" w:rsidRPr="002E2B5B">
        <w:rPr>
          <w:rFonts w:ascii="Calibri" w:hAnsi="Calibri" w:cs="Calibri"/>
          <w:b/>
          <w:sz w:val="22"/>
          <w:szCs w:val="22"/>
        </w:rPr>
        <w:t>S/A</w:t>
      </w:r>
      <w:r w:rsidR="00D1757A" w:rsidRPr="002E2B5B">
        <w:rPr>
          <w:rFonts w:ascii="Calibri" w:hAnsi="Calibri" w:cs="Calibri"/>
          <w:b/>
          <w:sz w:val="22"/>
          <w:szCs w:val="22"/>
        </w:rPr>
        <w:t xml:space="preserve"> (</w:t>
      </w:r>
      <w:r w:rsidR="00A03EC9" w:rsidRPr="002E2B5B">
        <w:rPr>
          <w:rFonts w:ascii="Calibri" w:hAnsi="Calibri" w:cs="Calibri"/>
          <w:b/>
          <w:sz w:val="22"/>
          <w:szCs w:val="22"/>
        </w:rPr>
        <w:t>TLSA</w:t>
      </w:r>
      <w:r w:rsidR="00D1757A" w:rsidRPr="002E2B5B">
        <w:rPr>
          <w:rFonts w:ascii="Calibri" w:hAnsi="Calibri" w:cs="Calibri"/>
          <w:b/>
          <w:sz w:val="22"/>
          <w:szCs w:val="22"/>
        </w:rPr>
        <w:t>)</w:t>
      </w:r>
    </w:p>
    <w:p w14:paraId="35A5FFF5" w14:textId="1961361A" w:rsidR="009165D8" w:rsidRPr="002E2B5B" w:rsidRDefault="00A03EC9"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A Transnordestina Logística S</w:t>
      </w:r>
      <w:r w:rsidR="00D1757A" w:rsidRPr="002E2B5B">
        <w:rPr>
          <w:rFonts w:ascii="Calibri" w:hAnsi="Calibri" w:cs="Calibri"/>
          <w:sz w:val="22"/>
          <w:szCs w:val="22"/>
        </w:rPr>
        <w:t>/A (</w:t>
      </w:r>
      <w:r w:rsidRPr="002E2B5B">
        <w:rPr>
          <w:rFonts w:ascii="Calibri" w:hAnsi="Calibri" w:cs="Calibri"/>
          <w:sz w:val="22"/>
          <w:szCs w:val="22"/>
        </w:rPr>
        <w:t>TLSA</w:t>
      </w:r>
      <w:r w:rsidR="00D1757A" w:rsidRPr="002E2B5B">
        <w:rPr>
          <w:rFonts w:ascii="Calibri" w:hAnsi="Calibri" w:cs="Calibri"/>
          <w:sz w:val="22"/>
          <w:szCs w:val="22"/>
        </w:rPr>
        <w:t>)</w:t>
      </w:r>
      <w:r w:rsidRPr="002E2B5B">
        <w:rPr>
          <w:rFonts w:ascii="Calibri" w:hAnsi="Calibri" w:cs="Calibri"/>
          <w:sz w:val="22"/>
          <w:szCs w:val="22"/>
        </w:rPr>
        <w:t xml:space="preserve"> é uma sociedade por ações, sediada em </w:t>
      </w:r>
      <w:proofErr w:type="spellStart"/>
      <w:r w:rsidRPr="002E2B5B">
        <w:rPr>
          <w:rFonts w:ascii="Calibri" w:hAnsi="Calibri" w:cs="Calibri"/>
          <w:sz w:val="22"/>
          <w:szCs w:val="22"/>
        </w:rPr>
        <w:t>Fortaleza-CE</w:t>
      </w:r>
      <w:proofErr w:type="spellEnd"/>
      <w:r w:rsidRPr="002E2B5B">
        <w:rPr>
          <w:rFonts w:ascii="Calibri" w:hAnsi="Calibri" w:cs="Calibri"/>
          <w:sz w:val="22"/>
          <w:szCs w:val="22"/>
        </w:rPr>
        <w:t>, com registro de companhia aberta, classe B, junto à Comissão de Valores Mobiliários (“CVM”). A Companhia é controlada pela Companhia Siderúrgica Nacional (</w:t>
      </w:r>
      <w:r w:rsidR="00E3496E" w:rsidRPr="002E2B5B">
        <w:rPr>
          <w:rFonts w:ascii="Calibri" w:hAnsi="Calibri" w:cs="Calibri"/>
          <w:sz w:val="22"/>
          <w:szCs w:val="22"/>
        </w:rPr>
        <w:t>“CSN”) e</w:t>
      </w:r>
      <w:r w:rsidRPr="002E2B5B">
        <w:rPr>
          <w:rFonts w:ascii="Calibri" w:hAnsi="Calibri" w:cs="Calibri"/>
          <w:sz w:val="22"/>
          <w:szCs w:val="22"/>
        </w:rPr>
        <w:t xml:space="preserve"> suas ações não são negociadas em bolsa de valores. </w:t>
      </w:r>
    </w:p>
    <w:p w14:paraId="42C87EE0" w14:textId="41655232" w:rsidR="006912C4" w:rsidRPr="002E2B5B" w:rsidRDefault="00A03EC9"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A Companhia tem por objeto social prestar serviços de transporte ferroviário; explorar serviços de carga, descarga, armazenagem e transbordo nas estações, pátios e terrenos existentes na faixa de domínio das linhas ferroviárias objeto da concessão; explorar os transportes intermodais necessários ao desenvolvimento de suas atividades; participar de projetos que tenham como objeto a promoção do desenvolvimento socioeconômico das áreas de influência, visando a ampliação dos serviços ferroviários concedidos; exercer a atividade de operador portuário; exercer outras atividades que utilizem como base a infraestrutura da Companhia; exercer a função de operador de transporte multimodal (OTM) e executar todas as atividades afins ou correlatas às descritas anteriormente.</w:t>
      </w:r>
    </w:p>
    <w:p w14:paraId="541CC9F9" w14:textId="0B520428" w:rsidR="006912C4" w:rsidRPr="002E2B5B" w:rsidRDefault="002761AA" w:rsidP="002E2B5B">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A VALEC participa do capital social da Transnordestina Logí</w:t>
      </w:r>
      <w:r w:rsidR="00FC7C73" w:rsidRPr="002E2B5B">
        <w:rPr>
          <w:rFonts w:ascii="Calibri" w:hAnsi="Calibri" w:cs="Calibri"/>
          <w:bCs w:val="0"/>
          <w:sz w:val="22"/>
          <w:szCs w:val="22"/>
          <w:shd w:val="clear" w:color="auto" w:fill="FFFFFF"/>
        </w:rPr>
        <w:t>stica S/A com 20.408.791 ações (</w:t>
      </w:r>
      <w:r w:rsidR="00FC7C73" w:rsidRPr="002E2B5B">
        <w:rPr>
          <w:rFonts w:ascii="Calibri" w:hAnsi="Calibri" w:cs="Calibri"/>
          <w:sz w:val="22"/>
          <w:szCs w:val="22"/>
        </w:rPr>
        <w:t>18.686.075 ações preferenciais e 1.722.716 ações ordinárias)</w:t>
      </w:r>
      <w:r w:rsidR="00FC7C73" w:rsidRPr="002E2B5B">
        <w:rPr>
          <w:rFonts w:ascii="Calibri" w:hAnsi="Calibri" w:cs="Calibri"/>
          <w:sz w:val="16"/>
          <w:szCs w:val="16"/>
        </w:rPr>
        <w:t xml:space="preserve"> </w:t>
      </w:r>
      <w:r w:rsidRPr="002E2B5B">
        <w:rPr>
          <w:rFonts w:ascii="Calibri" w:hAnsi="Calibri" w:cs="Calibri"/>
          <w:bCs w:val="0"/>
          <w:sz w:val="22"/>
          <w:szCs w:val="22"/>
          <w:shd w:val="clear" w:color="auto" w:fill="FFFFFF"/>
        </w:rPr>
        <w:t xml:space="preserve">que correspondem a 39,10% do total de ações, sendo 71,59% das ações preferenciais e 6,60% das ações ordinárias. </w:t>
      </w:r>
    </w:p>
    <w:p w14:paraId="395B8135" w14:textId="670F1E54" w:rsidR="006912C4" w:rsidRPr="002E2B5B" w:rsidRDefault="00475112"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VALEC, nos termos da legislação, dos contratos, do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cordo de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cionistas e do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cordo de </w:t>
      </w:r>
      <w:r w:rsidR="00D1757A" w:rsidRPr="002E2B5B">
        <w:rPr>
          <w:rFonts w:ascii="Calibri" w:hAnsi="Calibri" w:cs="Calibri"/>
          <w:sz w:val="22"/>
          <w:szCs w:val="22"/>
          <w:shd w:val="clear" w:color="auto" w:fill="FFFFFF"/>
        </w:rPr>
        <w:t>I</w:t>
      </w:r>
      <w:r w:rsidRPr="002E2B5B">
        <w:rPr>
          <w:rFonts w:ascii="Calibri" w:hAnsi="Calibri" w:cs="Calibri"/>
          <w:sz w:val="22"/>
          <w:szCs w:val="22"/>
          <w:shd w:val="clear" w:color="auto" w:fill="FFFFFF"/>
        </w:rPr>
        <w:t>nvestimento, não é integrante do grupo controlador da TLSA e não possui o controle compartilhado, mantendo a sua característica de acionista minoritária.</w:t>
      </w:r>
      <w:bookmarkStart w:id="1" w:name="_Hlk36135171"/>
    </w:p>
    <w:p w14:paraId="7F3C4A79" w14:textId="4A0B785F" w:rsidR="006912C4" w:rsidRPr="002E2B5B" w:rsidRDefault="009478D8"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A Lei nº 6.404/76, de 15 de dezembro de 1976, que dispõe sobre as sociedades por ações, preceitua em seu art.116 o conceito do acionista controlador como a pessoa, natural ou jurídica, ou o grupo de pessoas vinculadas por acordo de voto, ou sob controle comum, que: a) é titular de direitos de sócio que lhe assegurem, de modo permanente, a maioria dos votos nas deliberações da assembleia-geral e o poder de eleger a maioria dos administradores da companhia; e b) usa efetivamente seu poder para dirigir as atividades sociais e orientar o funcionamento dos órgãos da companhia.</w:t>
      </w:r>
    </w:p>
    <w:p w14:paraId="3488BD81" w14:textId="5431E7DA" w:rsidR="006912C4" w:rsidRPr="002E2B5B" w:rsidRDefault="00843229" w:rsidP="002E2B5B">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Em 27 de dezembro 2013, após a eleição e posse de dois representantes para compor o Conselho de Administração da Transnordestina Logística S/A, a VALEC passou a considerá-la coligada. Conforme a Norma Brasileira de Contabilidade NBC TG 18 (R3), coligada é a entidade sobre a qual o investidor tem influência significativa, isto é, o investidor possui o direito de participar de certas decisões sobre políticas</w:t>
      </w:r>
      <w:bookmarkStart w:id="2" w:name="SL147989"/>
      <w:bookmarkEnd w:id="2"/>
      <w:r w:rsidRPr="002E2B5B">
        <w:rPr>
          <w:rFonts w:ascii="Calibri" w:hAnsi="Calibri" w:cs="Calibri"/>
          <w:bCs w:val="0"/>
          <w:sz w:val="22"/>
          <w:szCs w:val="22"/>
          <w:shd w:val="clear" w:color="auto" w:fill="FFFFFF"/>
        </w:rPr>
        <w:t xml:space="preserve"> financeiras e operacionais da companhia investida, mas sem exercer controle individual ou conjunto dessas políticas.</w:t>
      </w:r>
    </w:p>
    <w:bookmarkEnd w:id="1"/>
    <w:p w14:paraId="77A757A9" w14:textId="622D1C1D" w:rsidR="00731BB6" w:rsidRPr="002E2B5B" w:rsidRDefault="00E05B2B" w:rsidP="002E2B5B">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 xml:space="preserve">A </w:t>
      </w:r>
      <w:r w:rsidR="00447628" w:rsidRPr="002E2B5B">
        <w:rPr>
          <w:rFonts w:ascii="Calibri" w:hAnsi="Calibri" w:cs="Calibri"/>
          <w:bCs w:val="0"/>
          <w:sz w:val="22"/>
          <w:szCs w:val="22"/>
          <w:shd w:val="clear" w:color="auto" w:fill="FFFFFF"/>
        </w:rPr>
        <w:t>NBC TG</w:t>
      </w:r>
      <w:r w:rsidR="00EE4322" w:rsidRPr="002E2B5B">
        <w:rPr>
          <w:rFonts w:ascii="Calibri" w:hAnsi="Calibri" w:cs="Calibri"/>
          <w:bCs w:val="0"/>
          <w:sz w:val="22"/>
          <w:szCs w:val="22"/>
          <w:shd w:val="clear" w:color="auto" w:fill="FFFFFF"/>
        </w:rPr>
        <w:t xml:space="preserve"> 18</w:t>
      </w:r>
      <w:r w:rsidR="00447628" w:rsidRPr="002E2B5B">
        <w:rPr>
          <w:rFonts w:ascii="Calibri" w:hAnsi="Calibri" w:cs="Calibri"/>
          <w:bCs w:val="0"/>
          <w:sz w:val="22"/>
          <w:szCs w:val="22"/>
          <w:shd w:val="clear" w:color="auto" w:fill="FFFFFF"/>
        </w:rPr>
        <w:t xml:space="preserve"> (R3)</w:t>
      </w:r>
      <w:r w:rsidR="002761AA" w:rsidRPr="002E2B5B">
        <w:rPr>
          <w:rFonts w:ascii="Calibri" w:hAnsi="Calibri" w:cs="Calibri"/>
          <w:bCs w:val="0"/>
          <w:sz w:val="22"/>
          <w:szCs w:val="22"/>
          <w:shd w:val="clear" w:color="auto" w:fill="FFFFFF"/>
        </w:rPr>
        <w:t xml:space="preserve"> determina que o investimento em coligada seja avaliado pelo método da equivalência patrimonial, o qual deve ser inicialmente reconhecido pelo custo e o seu valor contábil aumentado ou diminuído pelo reconhecimento da participação do investidor nos lucros ou prejuízos do período, gerados pela investida após a aquisição. A participação do investidor no lucro ou prejuízo do período da investida deve ser reconhecida no resultado do período do investidor.</w:t>
      </w:r>
    </w:p>
    <w:p w14:paraId="112CD9B0" w14:textId="7EBA2686" w:rsidR="006912C4" w:rsidRPr="002E2B5B" w:rsidRDefault="00843229" w:rsidP="002E2B5B">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 xml:space="preserve">Até o ano de 2016, a VALEC aportou o montante de R$ 1.124,6 milhões na TLSA. Em 2017, 2018 e 2019, não houve aportes por parte da VALEC. Desde janeiro de 2017, por determinação do Tribunal de Contas da União – Acórdão </w:t>
      </w:r>
      <w:r w:rsidR="003648BA">
        <w:rPr>
          <w:rFonts w:ascii="Calibri" w:hAnsi="Calibri" w:cs="Calibri"/>
          <w:bCs w:val="0"/>
          <w:sz w:val="22"/>
          <w:szCs w:val="22"/>
          <w:shd w:val="clear" w:color="auto" w:fill="FFFFFF"/>
        </w:rPr>
        <w:t>n</w:t>
      </w:r>
      <w:r w:rsidRPr="002E2B5B">
        <w:rPr>
          <w:rFonts w:ascii="Calibri" w:hAnsi="Calibri" w:cs="Calibri"/>
          <w:bCs w:val="0"/>
          <w:sz w:val="22"/>
          <w:szCs w:val="22"/>
          <w:shd w:val="clear" w:color="auto" w:fill="FFFFFF"/>
        </w:rPr>
        <w:t>° 67/2017, estão suspensos novos aportes de recursos públicos para o projeto.</w:t>
      </w:r>
    </w:p>
    <w:p w14:paraId="699E64BC" w14:textId="76E914A7" w:rsidR="00484222" w:rsidRPr="002E2B5B" w:rsidRDefault="0012428D" w:rsidP="002E2B5B">
      <w:pPr>
        <w:pStyle w:val="Textoembloco"/>
        <w:spacing w:line="240" w:lineRule="auto"/>
        <w:ind w:left="0" w:right="57"/>
        <w:rPr>
          <w:rFonts w:ascii="Calibri" w:hAnsi="Calibri" w:cs="Calibri"/>
          <w:bCs w:val="0"/>
          <w:sz w:val="22"/>
          <w:szCs w:val="22"/>
          <w:shd w:val="clear" w:color="auto" w:fill="FFFFFF"/>
        </w:rPr>
      </w:pPr>
      <w:r>
        <w:rPr>
          <w:rFonts w:ascii="Calibri" w:hAnsi="Calibri" w:cs="Calibri"/>
          <w:bCs w:val="0"/>
          <w:sz w:val="22"/>
          <w:szCs w:val="22"/>
          <w:shd w:val="clear" w:color="auto" w:fill="FFFFFF"/>
        </w:rPr>
        <w:t>No ano de 2021, até o segundo trimestre</w:t>
      </w:r>
      <w:r w:rsidR="007E07A3" w:rsidRPr="002E2B5B">
        <w:rPr>
          <w:rFonts w:ascii="Calibri" w:hAnsi="Calibri" w:cs="Calibri"/>
          <w:bCs w:val="0"/>
          <w:sz w:val="22"/>
          <w:szCs w:val="22"/>
          <w:shd w:val="clear" w:color="auto" w:fill="FFFFFF"/>
        </w:rPr>
        <w:t xml:space="preserve">, a Transnordestina Logística S/A apresentou um resultado negativo de R$ </w:t>
      </w:r>
      <w:r w:rsidR="00484222">
        <w:rPr>
          <w:rFonts w:ascii="Calibri" w:hAnsi="Calibri" w:cs="Calibri"/>
          <w:bCs w:val="0"/>
          <w:sz w:val="22"/>
          <w:szCs w:val="22"/>
          <w:shd w:val="clear" w:color="auto" w:fill="FFFFFF"/>
        </w:rPr>
        <w:t xml:space="preserve">41,6 </w:t>
      </w:r>
      <w:r w:rsidR="007E07A3" w:rsidRPr="002E2B5B">
        <w:rPr>
          <w:rFonts w:ascii="Calibri" w:hAnsi="Calibri" w:cs="Calibri"/>
          <w:bCs w:val="0"/>
          <w:sz w:val="22"/>
          <w:szCs w:val="22"/>
          <w:shd w:val="clear" w:color="auto" w:fill="FFFFFF"/>
        </w:rPr>
        <w:t xml:space="preserve">milhões, o que provocou para a VALEC uma perda de equivalência patrimonial deste investimento na ordem de R$ </w:t>
      </w:r>
      <w:r>
        <w:rPr>
          <w:rFonts w:ascii="Calibri" w:hAnsi="Calibri" w:cs="Calibri"/>
          <w:bCs w:val="0"/>
          <w:sz w:val="22"/>
          <w:szCs w:val="22"/>
          <w:shd w:val="clear" w:color="auto" w:fill="FFFFFF"/>
        </w:rPr>
        <w:t>16,2</w:t>
      </w:r>
      <w:r w:rsidR="007E07A3" w:rsidRPr="002E2B5B">
        <w:rPr>
          <w:rFonts w:ascii="Calibri" w:hAnsi="Calibri" w:cs="Calibri"/>
          <w:bCs w:val="0"/>
          <w:sz w:val="22"/>
          <w:szCs w:val="22"/>
          <w:shd w:val="clear" w:color="auto" w:fill="FFFFFF"/>
        </w:rPr>
        <w:t xml:space="preserve"> milhões no período.</w:t>
      </w:r>
    </w:p>
    <w:p w14:paraId="04C0A243" w14:textId="77777777" w:rsidR="00A00571" w:rsidRPr="002E2B5B" w:rsidRDefault="00A00571" w:rsidP="002E2B5B">
      <w:pPr>
        <w:pStyle w:val="Textoembloco"/>
        <w:spacing w:line="240" w:lineRule="auto"/>
        <w:ind w:left="0" w:right="57"/>
        <w:rPr>
          <w:rFonts w:ascii="Calibri" w:hAnsi="Calibri" w:cs="Calibri"/>
          <w:bCs w:val="0"/>
          <w:sz w:val="22"/>
          <w:szCs w:val="22"/>
          <w:shd w:val="clear" w:color="auto" w:fill="FFFFFF"/>
        </w:rPr>
      </w:pPr>
    </w:p>
    <w:p w14:paraId="454F1F30" w14:textId="2732CBEB" w:rsidR="007568E7" w:rsidRPr="002E2B5B" w:rsidRDefault="007568E7" w:rsidP="002E2B5B">
      <w:pPr>
        <w:ind w:right="-85"/>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 xml:space="preserve">NOTA </w:t>
      </w:r>
      <w:r w:rsidR="003648BA">
        <w:rPr>
          <w:rFonts w:ascii="Calibri" w:hAnsi="Calibri" w:cs="Calibri"/>
          <w:b/>
          <w:sz w:val="22"/>
          <w:szCs w:val="22"/>
          <w:shd w:val="clear" w:color="auto" w:fill="FFFFFF"/>
        </w:rPr>
        <w:t>8</w:t>
      </w:r>
      <w:r w:rsidRPr="002E2B5B">
        <w:rPr>
          <w:rFonts w:ascii="Calibri" w:hAnsi="Calibri" w:cs="Calibri"/>
          <w:b/>
          <w:sz w:val="22"/>
          <w:szCs w:val="22"/>
          <w:shd w:val="clear" w:color="auto" w:fill="FFFFFF"/>
        </w:rPr>
        <w:t xml:space="preserve"> – IMOBILIZADO</w:t>
      </w:r>
      <w:r w:rsidR="00DB7529" w:rsidRPr="002E2B5B">
        <w:rPr>
          <w:rFonts w:ascii="Calibri" w:hAnsi="Calibri" w:cs="Calibri"/>
          <w:b/>
          <w:sz w:val="22"/>
          <w:szCs w:val="22"/>
          <w:shd w:val="clear" w:color="auto" w:fill="FFFFFF"/>
        </w:rPr>
        <w:t xml:space="preserve"> </w:t>
      </w:r>
    </w:p>
    <w:p w14:paraId="41BF4BD6" w14:textId="77777777" w:rsidR="009165D8" w:rsidRPr="002E2B5B" w:rsidRDefault="009165D8" w:rsidP="002E2B5B">
      <w:pPr>
        <w:ind w:right="-85"/>
        <w:jc w:val="both"/>
        <w:rPr>
          <w:rFonts w:ascii="Calibri" w:hAnsi="Calibri" w:cs="Calibri"/>
          <w:b/>
          <w:sz w:val="22"/>
          <w:szCs w:val="22"/>
          <w:shd w:val="clear" w:color="auto" w:fill="FFFFFF"/>
        </w:rPr>
      </w:pPr>
    </w:p>
    <w:p w14:paraId="076C46DD" w14:textId="77777777" w:rsidR="004A5C0E" w:rsidRPr="002E2B5B" w:rsidRDefault="004A5C0E" w:rsidP="002E2B5B">
      <w:pPr>
        <w:ind w:right="-85"/>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I – COMPOSIÇÃO E FLUXO DO ATIVO IMOBILIZADO:</w:t>
      </w:r>
    </w:p>
    <w:p w14:paraId="0DF02A22" w14:textId="77777777" w:rsidR="00484222" w:rsidRDefault="00484222" w:rsidP="002E2B5B">
      <w:pPr>
        <w:ind w:right="-85"/>
        <w:jc w:val="both"/>
        <w:rPr>
          <w:rFonts w:ascii="Calibri" w:hAnsi="Calibri" w:cs="Calibri"/>
          <w:bCs/>
          <w:sz w:val="22"/>
          <w:szCs w:val="22"/>
          <w:shd w:val="clear" w:color="auto" w:fill="FFFFFF"/>
        </w:rPr>
      </w:pPr>
    </w:p>
    <w:p w14:paraId="75997445" w14:textId="768F793E" w:rsidR="009165D8" w:rsidRDefault="00A32466" w:rsidP="002E2B5B">
      <w:pPr>
        <w:ind w:right="-85"/>
        <w:jc w:val="both"/>
        <w:rPr>
          <w:rFonts w:ascii="Calibri" w:hAnsi="Calibri" w:cs="Calibri"/>
          <w:bCs/>
          <w:sz w:val="22"/>
          <w:szCs w:val="22"/>
          <w:shd w:val="clear" w:color="auto" w:fill="FFFFFF"/>
        </w:rPr>
      </w:pPr>
      <w:r w:rsidRPr="002E2B5B">
        <w:rPr>
          <w:rFonts w:ascii="Calibri" w:hAnsi="Calibri" w:cs="Calibri"/>
          <w:bCs/>
          <w:sz w:val="22"/>
          <w:szCs w:val="22"/>
          <w:shd w:val="clear" w:color="auto" w:fill="FFFFFF"/>
        </w:rPr>
        <w:t xml:space="preserve">O fluxo de movimentação do ativo imobilizado da VALEC no </w:t>
      </w:r>
      <w:r w:rsidR="00484222">
        <w:rPr>
          <w:rFonts w:ascii="Calibri" w:hAnsi="Calibri" w:cs="Calibri"/>
          <w:bCs/>
          <w:sz w:val="22"/>
          <w:szCs w:val="22"/>
          <w:shd w:val="clear" w:color="auto" w:fill="FFFFFF"/>
        </w:rPr>
        <w:t>ano</w:t>
      </w:r>
      <w:r w:rsidR="003A6036">
        <w:rPr>
          <w:rFonts w:ascii="Calibri" w:hAnsi="Calibri" w:cs="Calibri"/>
          <w:bCs/>
          <w:sz w:val="22"/>
          <w:szCs w:val="22"/>
          <w:shd w:val="clear" w:color="auto" w:fill="FFFFFF"/>
        </w:rPr>
        <w:t xml:space="preserve"> de</w:t>
      </w:r>
      <w:r w:rsidRPr="002E2B5B">
        <w:rPr>
          <w:rFonts w:ascii="Calibri" w:hAnsi="Calibri" w:cs="Calibri"/>
          <w:bCs/>
          <w:sz w:val="22"/>
          <w:szCs w:val="22"/>
          <w:shd w:val="clear" w:color="auto" w:fill="FFFFFF"/>
        </w:rPr>
        <w:t xml:space="preserve"> 20</w:t>
      </w:r>
      <w:r w:rsidR="007E07A3" w:rsidRPr="002E2B5B">
        <w:rPr>
          <w:rFonts w:ascii="Calibri" w:hAnsi="Calibri" w:cs="Calibri"/>
          <w:bCs/>
          <w:sz w:val="22"/>
          <w:szCs w:val="22"/>
          <w:shd w:val="clear" w:color="auto" w:fill="FFFFFF"/>
        </w:rPr>
        <w:t>2</w:t>
      </w:r>
      <w:r w:rsidR="003A6036">
        <w:rPr>
          <w:rFonts w:ascii="Calibri" w:hAnsi="Calibri" w:cs="Calibri"/>
          <w:bCs/>
          <w:sz w:val="22"/>
          <w:szCs w:val="22"/>
          <w:shd w:val="clear" w:color="auto" w:fill="FFFFFF"/>
        </w:rPr>
        <w:t>1</w:t>
      </w:r>
      <w:r w:rsidR="00484222">
        <w:rPr>
          <w:rFonts w:ascii="Calibri" w:hAnsi="Calibri" w:cs="Calibri"/>
          <w:bCs/>
          <w:sz w:val="22"/>
          <w:szCs w:val="22"/>
          <w:shd w:val="clear" w:color="auto" w:fill="FFFFFF"/>
        </w:rPr>
        <w:t>, até o segundo trimestre,</w:t>
      </w:r>
      <w:r w:rsidR="007E07A3" w:rsidRPr="002E2B5B">
        <w:rPr>
          <w:rFonts w:ascii="Calibri" w:hAnsi="Calibri" w:cs="Calibri"/>
          <w:bCs/>
          <w:sz w:val="22"/>
          <w:szCs w:val="22"/>
          <w:shd w:val="clear" w:color="auto" w:fill="FFFFFF"/>
        </w:rPr>
        <w:t xml:space="preserve"> </w:t>
      </w:r>
      <w:r w:rsidRPr="002E2B5B">
        <w:rPr>
          <w:rFonts w:ascii="Calibri" w:hAnsi="Calibri" w:cs="Calibri"/>
          <w:bCs/>
          <w:sz w:val="22"/>
          <w:szCs w:val="22"/>
          <w:shd w:val="clear" w:color="auto" w:fill="FFFFFF"/>
        </w:rPr>
        <w:t>está representado na tabela abaixo e justificado nos itens que segue:</w:t>
      </w:r>
    </w:p>
    <w:p w14:paraId="792B2C8A" w14:textId="77777777" w:rsidR="00484222" w:rsidRPr="002E2B5B" w:rsidRDefault="00484222" w:rsidP="002E2B5B">
      <w:pPr>
        <w:ind w:right="-85"/>
        <w:jc w:val="both"/>
        <w:rPr>
          <w:rFonts w:ascii="Calibri" w:hAnsi="Calibri" w:cs="Calibri"/>
          <w:bCs/>
          <w:sz w:val="22"/>
          <w:szCs w:val="22"/>
          <w:shd w:val="clear" w:color="auto" w:fill="FFFFFF"/>
        </w:rPr>
      </w:pPr>
    </w:p>
    <w:tbl>
      <w:tblPr>
        <w:tblW w:w="10400" w:type="dxa"/>
        <w:tblCellMar>
          <w:left w:w="70" w:type="dxa"/>
          <w:right w:w="70" w:type="dxa"/>
        </w:tblCellMar>
        <w:tblLook w:val="04A0" w:firstRow="1" w:lastRow="0" w:firstColumn="1" w:lastColumn="0" w:noHBand="0" w:noVBand="1"/>
      </w:tblPr>
      <w:tblGrid>
        <w:gridCol w:w="3280"/>
        <w:gridCol w:w="1340"/>
        <w:gridCol w:w="1180"/>
        <w:gridCol w:w="1100"/>
        <w:gridCol w:w="1220"/>
        <w:gridCol w:w="1320"/>
        <w:gridCol w:w="960"/>
      </w:tblGrid>
      <w:tr w:rsidR="007D5C15" w14:paraId="10F8CB6E" w14:textId="77777777" w:rsidTr="007D5C15">
        <w:trPr>
          <w:trHeight w:val="465"/>
        </w:trPr>
        <w:tc>
          <w:tcPr>
            <w:tcW w:w="3280" w:type="dxa"/>
            <w:tcBorders>
              <w:top w:val="nil"/>
              <w:left w:val="nil"/>
              <w:bottom w:val="single" w:sz="8" w:space="0" w:color="auto"/>
              <w:right w:val="nil"/>
            </w:tcBorders>
            <w:shd w:val="clear" w:color="auto" w:fill="auto"/>
            <w:vAlign w:val="center"/>
            <w:hideMark/>
          </w:tcPr>
          <w:p w14:paraId="085EBB0E"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IMOBILIZADO BENS MÓVEIS</w:t>
            </w:r>
          </w:p>
        </w:tc>
        <w:tc>
          <w:tcPr>
            <w:tcW w:w="1340" w:type="dxa"/>
            <w:tcBorders>
              <w:top w:val="nil"/>
              <w:left w:val="nil"/>
              <w:bottom w:val="single" w:sz="8" w:space="0" w:color="auto"/>
              <w:right w:val="nil"/>
            </w:tcBorders>
            <w:shd w:val="clear" w:color="auto" w:fill="auto"/>
            <w:vAlign w:val="center"/>
            <w:hideMark/>
          </w:tcPr>
          <w:p w14:paraId="353AB891"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SALDO EM 31/12/2020</w:t>
            </w:r>
          </w:p>
        </w:tc>
        <w:tc>
          <w:tcPr>
            <w:tcW w:w="1180" w:type="dxa"/>
            <w:tcBorders>
              <w:top w:val="nil"/>
              <w:left w:val="nil"/>
              <w:bottom w:val="single" w:sz="8" w:space="0" w:color="auto"/>
              <w:right w:val="nil"/>
            </w:tcBorders>
            <w:shd w:val="clear" w:color="auto" w:fill="auto"/>
            <w:vAlign w:val="center"/>
            <w:hideMark/>
          </w:tcPr>
          <w:p w14:paraId="28C75A29"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100" w:type="dxa"/>
            <w:tcBorders>
              <w:top w:val="nil"/>
              <w:left w:val="nil"/>
              <w:bottom w:val="single" w:sz="8" w:space="0" w:color="auto"/>
              <w:right w:val="nil"/>
            </w:tcBorders>
            <w:shd w:val="clear" w:color="auto" w:fill="auto"/>
            <w:vAlign w:val="center"/>
            <w:hideMark/>
          </w:tcPr>
          <w:p w14:paraId="02DA9550"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BAIXAS</w:t>
            </w:r>
          </w:p>
        </w:tc>
        <w:tc>
          <w:tcPr>
            <w:tcW w:w="1220" w:type="dxa"/>
            <w:tcBorders>
              <w:top w:val="nil"/>
              <w:left w:val="nil"/>
              <w:bottom w:val="single" w:sz="8" w:space="0" w:color="auto"/>
              <w:right w:val="nil"/>
            </w:tcBorders>
            <w:shd w:val="clear" w:color="auto" w:fill="auto"/>
            <w:vAlign w:val="center"/>
            <w:hideMark/>
          </w:tcPr>
          <w:p w14:paraId="169EDD4E"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TRANSF.</w:t>
            </w:r>
          </w:p>
        </w:tc>
        <w:tc>
          <w:tcPr>
            <w:tcW w:w="1320" w:type="dxa"/>
            <w:tcBorders>
              <w:top w:val="nil"/>
              <w:left w:val="nil"/>
              <w:bottom w:val="single" w:sz="8" w:space="0" w:color="auto"/>
              <w:right w:val="nil"/>
            </w:tcBorders>
            <w:shd w:val="clear" w:color="auto" w:fill="auto"/>
            <w:vAlign w:val="center"/>
            <w:hideMark/>
          </w:tcPr>
          <w:p w14:paraId="679CB880" w14:textId="53E8956F"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 xml:space="preserve">SALDO EM </w:t>
            </w:r>
            <w:r w:rsidR="0076757E">
              <w:rPr>
                <w:rFonts w:ascii="Calibri" w:hAnsi="Calibri" w:cs="Calibri"/>
                <w:b/>
                <w:bCs/>
                <w:color w:val="000000"/>
                <w:sz w:val="16"/>
                <w:szCs w:val="16"/>
              </w:rPr>
              <w:t>30/06</w:t>
            </w:r>
            <w:r>
              <w:rPr>
                <w:rFonts w:ascii="Calibri" w:hAnsi="Calibri" w:cs="Calibri"/>
                <w:b/>
                <w:bCs/>
                <w:color w:val="000000"/>
                <w:sz w:val="16"/>
                <w:szCs w:val="16"/>
              </w:rPr>
              <w:t>/2021</w:t>
            </w:r>
          </w:p>
        </w:tc>
        <w:tc>
          <w:tcPr>
            <w:tcW w:w="960" w:type="dxa"/>
            <w:tcBorders>
              <w:top w:val="nil"/>
              <w:left w:val="nil"/>
              <w:bottom w:val="single" w:sz="8" w:space="0" w:color="auto"/>
              <w:right w:val="nil"/>
            </w:tcBorders>
            <w:shd w:val="clear" w:color="auto" w:fill="auto"/>
            <w:vAlign w:val="center"/>
            <w:hideMark/>
          </w:tcPr>
          <w:p w14:paraId="025EFC11"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TAXA DEPREC. (%)</w:t>
            </w:r>
          </w:p>
        </w:tc>
      </w:tr>
      <w:tr w:rsidR="007D5C15" w14:paraId="5D327E7A" w14:textId="77777777" w:rsidTr="007D5C15">
        <w:trPr>
          <w:trHeight w:val="300"/>
        </w:trPr>
        <w:tc>
          <w:tcPr>
            <w:tcW w:w="3280" w:type="dxa"/>
            <w:tcBorders>
              <w:top w:val="nil"/>
              <w:left w:val="nil"/>
              <w:bottom w:val="nil"/>
              <w:right w:val="nil"/>
            </w:tcBorders>
            <w:shd w:val="clear" w:color="auto" w:fill="auto"/>
            <w:noWrap/>
            <w:vAlign w:val="center"/>
            <w:hideMark/>
          </w:tcPr>
          <w:p w14:paraId="33A0F7BB" w14:textId="77777777" w:rsidR="007D5C15" w:rsidRDefault="007D5C15">
            <w:pPr>
              <w:rPr>
                <w:rFonts w:ascii="Calibri" w:hAnsi="Calibri" w:cs="Calibri"/>
                <w:color w:val="000000"/>
                <w:sz w:val="16"/>
                <w:szCs w:val="16"/>
              </w:rPr>
            </w:pPr>
            <w:r>
              <w:rPr>
                <w:rFonts w:ascii="Calibri" w:hAnsi="Calibri" w:cs="Calibri"/>
                <w:color w:val="000000"/>
                <w:sz w:val="16"/>
                <w:szCs w:val="16"/>
              </w:rPr>
              <w:t>Mobiliário em Geral</w:t>
            </w:r>
          </w:p>
        </w:tc>
        <w:tc>
          <w:tcPr>
            <w:tcW w:w="1340" w:type="dxa"/>
            <w:tcBorders>
              <w:top w:val="nil"/>
              <w:left w:val="nil"/>
              <w:bottom w:val="nil"/>
              <w:right w:val="nil"/>
            </w:tcBorders>
            <w:shd w:val="clear" w:color="auto" w:fill="auto"/>
            <w:noWrap/>
            <w:vAlign w:val="center"/>
            <w:hideMark/>
          </w:tcPr>
          <w:p w14:paraId="414C975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8.626.848</w:t>
            </w:r>
          </w:p>
        </w:tc>
        <w:tc>
          <w:tcPr>
            <w:tcW w:w="1180" w:type="dxa"/>
            <w:tcBorders>
              <w:top w:val="nil"/>
              <w:left w:val="nil"/>
              <w:bottom w:val="nil"/>
              <w:right w:val="nil"/>
            </w:tcBorders>
            <w:shd w:val="clear" w:color="auto" w:fill="auto"/>
            <w:noWrap/>
            <w:vAlign w:val="center"/>
            <w:hideMark/>
          </w:tcPr>
          <w:p w14:paraId="3256358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3051395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37128824"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103.557</w:t>
            </w:r>
          </w:p>
        </w:tc>
        <w:tc>
          <w:tcPr>
            <w:tcW w:w="1320" w:type="dxa"/>
            <w:tcBorders>
              <w:top w:val="nil"/>
              <w:left w:val="nil"/>
              <w:bottom w:val="nil"/>
              <w:right w:val="nil"/>
            </w:tcBorders>
            <w:shd w:val="clear" w:color="auto" w:fill="auto"/>
            <w:noWrap/>
            <w:vAlign w:val="center"/>
            <w:hideMark/>
          </w:tcPr>
          <w:p w14:paraId="5CFDA15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8.730.405</w:t>
            </w:r>
          </w:p>
        </w:tc>
        <w:tc>
          <w:tcPr>
            <w:tcW w:w="960" w:type="dxa"/>
            <w:tcBorders>
              <w:top w:val="nil"/>
              <w:left w:val="nil"/>
              <w:bottom w:val="nil"/>
              <w:right w:val="nil"/>
            </w:tcBorders>
            <w:shd w:val="clear" w:color="auto" w:fill="auto"/>
            <w:noWrap/>
            <w:vAlign w:val="center"/>
            <w:hideMark/>
          </w:tcPr>
          <w:p w14:paraId="0924A09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10</w:t>
            </w:r>
          </w:p>
        </w:tc>
      </w:tr>
      <w:tr w:rsidR="007D5C15" w14:paraId="52345AAD" w14:textId="77777777" w:rsidTr="007D5C15">
        <w:trPr>
          <w:trHeight w:val="300"/>
        </w:trPr>
        <w:tc>
          <w:tcPr>
            <w:tcW w:w="3280" w:type="dxa"/>
            <w:tcBorders>
              <w:top w:val="nil"/>
              <w:left w:val="nil"/>
              <w:bottom w:val="nil"/>
              <w:right w:val="nil"/>
            </w:tcBorders>
            <w:shd w:val="clear" w:color="auto" w:fill="auto"/>
            <w:noWrap/>
            <w:vAlign w:val="center"/>
            <w:hideMark/>
          </w:tcPr>
          <w:p w14:paraId="752AE72F" w14:textId="77777777" w:rsidR="007D5C15" w:rsidRDefault="007D5C15">
            <w:pPr>
              <w:rPr>
                <w:rFonts w:ascii="Calibri" w:hAnsi="Calibri" w:cs="Calibri"/>
                <w:color w:val="000000"/>
                <w:sz w:val="16"/>
                <w:szCs w:val="16"/>
              </w:rPr>
            </w:pPr>
            <w:r>
              <w:rPr>
                <w:rFonts w:ascii="Calibri" w:hAnsi="Calibri" w:cs="Calibri"/>
                <w:color w:val="000000"/>
                <w:sz w:val="16"/>
                <w:szCs w:val="16"/>
              </w:rPr>
              <w:t>Ativos de Concessão (Pátios)</w:t>
            </w:r>
          </w:p>
        </w:tc>
        <w:tc>
          <w:tcPr>
            <w:tcW w:w="1340" w:type="dxa"/>
            <w:tcBorders>
              <w:top w:val="nil"/>
              <w:left w:val="nil"/>
              <w:bottom w:val="nil"/>
              <w:right w:val="nil"/>
            </w:tcBorders>
            <w:shd w:val="clear" w:color="auto" w:fill="auto"/>
            <w:noWrap/>
            <w:vAlign w:val="center"/>
            <w:hideMark/>
          </w:tcPr>
          <w:p w14:paraId="09F3E04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5.524.762</w:t>
            </w:r>
          </w:p>
        </w:tc>
        <w:tc>
          <w:tcPr>
            <w:tcW w:w="1180" w:type="dxa"/>
            <w:tcBorders>
              <w:top w:val="nil"/>
              <w:left w:val="nil"/>
              <w:bottom w:val="nil"/>
              <w:right w:val="nil"/>
            </w:tcBorders>
            <w:shd w:val="clear" w:color="auto" w:fill="auto"/>
            <w:noWrap/>
            <w:vAlign w:val="center"/>
            <w:hideMark/>
          </w:tcPr>
          <w:p w14:paraId="6BEEB98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405199A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157FD144"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638BE96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5.524.762</w:t>
            </w:r>
          </w:p>
        </w:tc>
        <w:tc>
          <w:tcPr>
            <w:tcW w:w="960" w:type="dxa"/>
            <w:tcBorders>
              <w:top w:val="nil"/>
              <w:left w:val="nil"/>
              <w:bottom w:val="nil"/>
              <w:right w:val="nil"/>
            </w:tcBorders>
            <w:shd w:val="clear" w:color="auto" w:fill="auto"/>
            <w:noWrap/>
            <w:vAlign w:val="center"/>
            <w:hideMark/>
          </w:tcPr>
          <w:p w14:paraId="0985199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10</w:t>
            </w:r>
          </w:p>
        </w:tc>
      </w:tr>
      <w:tr w:rsidR="007D5C15" w14:paraId="73A40DAF" w14:textId="77777777" w:rsidTr="007D5C15">
        <w:trPr>
          <w:trHeight w:val="300"/>
        </w:trPr>
        <w:tc>
          <w:tcPr>
            <w:tcW w:w="3280" w:type="dxa"/>
            <w:tcBorders>
              <w:top w:val="nil"/>
              <w:left w:val="nil"/>
              <w:bottom w:val="nil"/>
              <w:right w:val="nil"/>
            </w:tcBorders>
            <w:shd w:val="clear" w:color="auto" w:fill="auto"/>
            <w:noWrap/>
            <w:vAlign w:val="center"/>
            <w:hideMark/>
          </w:tcPr>
          <w:p w14:paraId="3D8772FE" w14:textId="77777777" w:rsidR="007D5C15" w:rsidRDefault="007D5C15">
            <w:pPr>
              <w:rPr>
                <w:rFonts w:ascii="Calibri" w:hAnsi="Calibri" w:cs="Calibri"/>
                <w:color w:val="000000"/>
                <w:sz w:val="16"/>
                <w:szCs w:val="16"/>
              </w:rPr>
            </w:pPr>
            <w:r>
              <w:rPr>
                <w:rFonts w:ascii="Calibri" w:hAnsi="Calibri" w:cs="Calibri"/>
                <w:color w:val="000000"/>
                <w:sz w:val="16"/>
                <w:szCs w:val="16"/>
              </w:rPr>
              <w:t>Equipamentos</w:t>
            </w:r>
          </w:p>
        </w:tc>
        <w:tc>
          <w:tcPr>
            <w:tcW w:w="1340" w:type="dxa"/>
            <w:tcBorders>
              <w:top w:val="nil"/>
              <w:left w:val="nil"/>
              <w:bottom w:val="nil"/>
              <w:right w:val="nil"/>
            </w:tcBorders>
            <w:shd w:val="clear" w:color="auto" w:fill="auto"/>
            <w:noWrap/>
            <w:vAlign w:val="center"/>
            <w:hideMark/>
          </w:tcPr>
          <w:p w14:paraId="1053537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22.508.972</w:t>
            </w:r>
          </w:p>
        </w:tc>
        <w:tc>
          <w:tcPr>
            <w:tcW w:w="1180" w:type="dxa"/>
            <w:tcBorders>
              <w:top w:val="nil"/>
              <w:left w:val="nil"/>
              <w:bottom w:val="nil"/>
              <w:right w:val="nil"/>
            </w:tcBorders>
            <w:shd w:val="clear" w:color="auto" w:fill="auto"/>
            <w:noWrap/>
            <w:vAlign w:val="center"/>
            <w:hideMark/>
          </w:tcPr>
          <w:p w14:paraId="67B4CF5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1E8447A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53BCB65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1.167</w:t>
            </w:r>
          </w:p>
        </w:tc>
        <w:tc>
          <w:tcPr>
            <w:tcW w:w="1320" w:type="dxa"/>
            <w:tcBorders>
              <w:top w:val="nil"/>
              <w:left w:val="nil"/>
              <w:bottom w:val="nil"/>
              <w:right w:val="nil"/>
            </w:tcBorders>
            <w:shd w:val="clear" w:color="auto" w:fill="auto"/>
            <w:noWrap/>
            <w:vAlign w:val="center"/>
            <w:hideMark/>
          </w:tcPr>
          <w:p w14:paraId="09AC130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22.510.139</w:t>
            </w:r>
          </w:p>
        </w:tc>
        <w:tc>
          <w:tcPr>
            <w:tcW w:w="960" w:type="dxa"/>
            <w:tcBorders>
              <w:top w:val="nil"/>
              <w:left w:val="nil"/>
              <w:bottom w:val="nil"/>
              <w:right w:val="nil"/>
            </w:tcBorders>
            <w:shd w:val="clear" w:color="auto" w:fill="auto"/>
            <w:noWrap/>
            <w:vAlign w:val="center"/>
            <w:hideMark/>
          </w:tcPr>
          <w:p w14:paraId="2963C5B2"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10 e 20</w:t>
            </w:r>
          </w:p>
        </w:tc>
      </w:tr>
      <w:tr w:rsidR="007D5C15" w14:paraId="32DCD01A" w14:textId="77777777" w:rsidTr="007D5C15">
        <w:trPr>
          <w:trHeight w:val="300"/>
        </w:trPr>
        <w:tc>
          <w:tcPr>
            <w:tcW w:w="3280" w:type="dxa"/>
            <w:tcBorders>
              <w:top w:val="nil"/>
              <w:left w:val="nil"/>
              <w:bottom w:val="nil"/>
              <w:right w:val="nil"/>
            </w:tcBorders>
            <w:shd w:val="clear" w:color="auto" w:fill="auto"/>
            <w:noWrap/>
            <w:vAlign w:val="center"/>
            <w:hideMark/>
          </w:tcPr>
          <w:p w14:paraId="77ADF279" w14:textId="77777777" w:rsidR="007D5C15" w:rsidRDefault="007D5C15">
            <w:pPr>
              <w:rPr>
                <w:rFonts w:ascii="Calibri" w:hAnsi="Calibri" w:cs="Calibri"/>
                <w:color w:val="000000"/>
                <w:sz w:val="16"/>
                <w:szCs w:val="16"/>
              </w:rPr>
            </w:pPr>
            <w:r>
              <w:rPr>
                <w:rFonts w:ascii="Calibri" w:hAnsi="Calibri" w:cs="Calibri"/>
                <w:color w:val="000000"/>
                <w:sz w:val="16"/>
                <w:szCs w:val="16"/>
              </w:rPr>
              <w:t>Equipamentos de Comunicação</w:t>
            </w:r>
          </w:p>
        </w:tc>
        <w:tc>
          <w:tcPr>
            <w:tcW w:w="1340" w:type="dxa"/>
            <w:tcBorders>
              <w:top w:val="nil"/>
              <w:left w:val="nil"/>
              <w:bottom w:val="nil"/>
              <w:right w:val="nil"/>
            </w:tcBorders>
            <w:shd w:val="clear" w:color="auto" w:fill="auto"/>
            <w:noWrap/>
            <w:vAlign w:val="center"/>
            <w:hideMark/>
          </w:tcPr>
          <w:p w14:paraId="673C0E8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80" w:type="dxa"/>
            <w:tcBorders>
              <w:top w:val="nil"/>
              <w:left w:val="nil"/>
              <w:bottom w:val="nil"/>
              <w:right w:val="nil"/>
            </w:tcBorders>
            <w:shd w:val="clear" w:color="auto" w:fill="auto"/>
            <w:noWrap/>
            <w:vAlign w:val="center"/>
            <w:hideMark/>
          </w:tcPr>
          <w:p w14:paraId="06074E82"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46.130</w:t>
            </w:r>
          </w:p>
        </w:tc>
        <w:tc>
          <w:tcPr>
            <w:tcW w:w="1100" w:type="dxa"/>
            <w:tcBorders>
              <w:top w:val="nil"/>
              <w:left w:val="nil"/>
              <w:bottom w:val="nil"/>
              <w:right w:val="nil"/>
            </w:tcBorders>
            <w:shd w:val="clear" w:color="auto" w:fill="auto"/>
            <w:noWrap/>
            <w:vAlign w:val="center"/>
            <w:hideMark/>
          </w:tcPr>
          <w:p w14:paraId="615B7A6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0D74F0C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5A45F72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46.130</w:t>
            </w:r>
          </w:p>
        </w:tc>
        <w:tc>
          <w:tcPr>
            <w:tcW w:w="960" w:type="dxa"/>
            <w:tcBorders>
              <w:top w:val="nil"/>
              <w:left w:val="nil"/>
              <w:bottom w:val="nil"/>
              <w:right w:val="nil"/>
            </w:tcBorders>
            <w:shd w:val="clear" w:color="auto" w:fill="auto"/>
            <w:noWrap/>
            <w:vAlign w:val="center"/>
            <w:hideMark/>
          </w:tcPr>
          <w:p w14:paraId="49288756" w14:textId="77777777" w:rsidR="007D5C15" w:rsidRDefault="007D5C15">
            <w:pPr>
              <w:jc w:val="right"/>
              <w:rPr>
                <w:rFonts w:ascii="Calibri" w:hAnsi="Calibri" w:cs="Calibri"/>
                <w:color w:val="000000"/>
                <w:sz w:val="16"/>
                <w:szCs w:val="16"/>
              </w:rPr>
            </w:pPr>
          </w:p>
        </w:tc>
      </w:tr>
      <w:tr w:rsidR="007D5C15" w14:paraId="7CD75DFF" w14:textId="77777777" w:rsidTr="007D5C15">
        <w:trPr>
          <w:trHeight w:val="300"/>
        </w:trPr>
        <w:tc>
          <w:tcPr>
            <w:tcW w:w="3280" w:type="dxa"/>
            <w:tcBorders>
              <w:top w:val="nil"/>
              <w:left w:val="nil"/>
              <w:bottom w:val="nil"/>
              <w:right w:val="nil"/>
            </w:tcBorders>
            <w:shd w:val="clear" w:color="auto" w:fill="auto"/>
            <w:noWrap/>
            <w:vAlign w:val="center"/>
            <w:hideMark/>
          </w:tcPr>
          <w:p w14:paraId="5C283176" w14:textId="77777777" w:rsidR="007D5C15" w:rsidRDefault="007D5C15">
            <w:pPr>
              <w:rPr>
                <w:rFonts w:ascii="Calibri" w:hAnsi="Calibri" w:cs="Calibri"/>
                <w:color w:val="000000"/>
                <w:sz w:val="16"/>
                <w:szCs w:val="16"/>
              </w:rPr>
            </w:pPr>
            <w:r>
              <w:rPr>
                <w:rFonts w:ascii="Calibri" w:hAnsi="Calibri" w:cs="Calibri"/>
                <w:color w:val="000000"/>
                <w:sz w:val="16"/>
                <w:szCs w:val="16"/>
              </w:rPr>
              <w:t>Utensílios de Escritório</w:t>
            </w:r>
          </w:p>
        </w:tc>
        <w:tc>
          <w:tcPr>
            <w:tcW w:w="1340" w:type="dxa"/>
            <w:tcBorders>
              <w:top w:val="nil"/>
              <w:left w:val="nil"/>
              <w:bottom w:val="nil"/>
              <w:right w:val="nil"/>
            </w:tcBorders>
            <w:shd w:val="clear" w:color="auto" w:fill="auto"/>
            <w:noWrap/>
            <w:vAlign w:val="center"/>
            <w:hideMark/>
          </w:tcPr>
          <w:p w14:paraId="0CFE68A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289.845</w:t>
            </w:r>
          </w:p>
        </w:tc>
        <w:tc>
          <w:tcPr>
            <w:tcW w:w="1180" w:type="dxa"/>
            <w:tcBorders>
              <w:top w:val="nil"/>
              <w:left w:val="nil"/>
              <w:bottom w:val="nil"/>
              <w:right w:val="nil"/>
            </w:tcBorders>
            <w:shd w:val="clear" w:color="auto" w:fill="auto"/>
            <w:noWrap/>
            <w:vAlign w:val="center"/>
            <w:hideMark/>
          </w:tcPr>
          <w:p w14:paraId="170211B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456E1F5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2CB4937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81.647</w:t>
            </w:r>
          </w:p>
        </w:tc>
        <w:tc>
          <w:tcPr>
            <w:tcW w:w="1320" w:type="dxa"/>
            <w:tcBorders>
              <w:top w:val="nil"/>
              <w:left w:val="nil"/>
              <w:bottom w:val="nil"/>
              <w:right w:val="nil"/>
            </w:tcBorders>
            <w:shd w:val="clear" w:color="auto" w:fill="auto"/>
            <w:noWrap/>
            <w:vAlign w:val="center"/>
            <w:hideMark/>
          </w:tcPr>
          <w:p w14:paraId="2688F2D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371.492</w:t>
            </w:r>
          </w:p>
        </w:tc>
        <w:tc>
          <w:tcPr>
            <w:tcW w:w="960" w:type="dxa"/>
            <w:tcBorders>
              <w:top w:val="nil"/>
              <w:left w:val="nil"/>
              <w:bottom w:val="nil"/>
              <w:right w:val="nil"/>
            </w:tcBorders>
            <w:shd w:val="clear" w:color="auto" w:fill="auto"/>
            <w:noWrap/>
            <w:vAlign w:val="center"/>
            <w:hideMark/>
          </w:tcPr>
          <w:p w14:paraId="6ED858E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10</w:t>
            </w:r>
          </w:p>
        </w:tc>
      </w:tr>
      <w:tr w:rsidR="007D5C15" w14:paraId="6280339F" w14:textId="77777777" w:rsidTr="007D5C15">
        <w:trPr>
          <w:trHeight w:val="300"/>
        </w:trPr>
        <w:tc>
          <w:tcPr>
            <w:tcW w:w="3280" w:type="dxa"/>
            <w:tcBorders>
              <w:top w:val="nil"/>
              <w:left w:val="nil"/>
              <w:bottom w:val="nil"/>
              <w:right w:val="nil"/>
            </w:tcBorders>
            <w:shd w:val="clear" w:color="auto" w:fill="auto"/>
            <w:noWrap/>
            <w:vAlign w:val="center"/>
            <w:hideMark/>
          </w:tcPr>
          <w:p w14:paraId="6D3DF5F2" w14:textId="77777777" w:rsidR="007D5C15" w:rsidRDefault="007D5C15">
            <w:pPr>
              <w:rPr>
                <w:rFonts w:ascii="Calibri" w:hAnsi="Calibri" w:cs="Calibri"/>
                <w:color w:val="000000"/>
                <w:sz w:val="16"/>
                <w:szCs w:val="16"/>
              </w:rPr>
            </w:pPr>
            <w:r>
              <w:rPr>
                <w:rFonts w:ascii="Calibri" w:hAnsi="Calibri" w:cs="Calibri"/>
                <w:color w:val="000000"/>
                <w:sz w:val="16"/>
                <w:szCs w:val="16"/>
              </w:rPr>
              <w:t>(Redução ao Valor Recuperável - FNS)</w:t>
            </w:r>
          </w:p>
        </w:tc>
        <w:tc>
          <w:tcPr>
            <w:tcW w:w="1340" w:type="dxa"/>
            <w:tcBorders>
              <w:top w:val="nil"/>
              <w:left w:val="nil"/>
              <w:bottom w:val="nil"/>
              <w:right w:val="nil"/>
            </w:tcBorders>
            <w:shd w:val="clear" w:color="auto" w:fill="auto"/>
            <w:noWrap/>
            <w:vAlign w:val="center"/>
            <w:hideMark/>
          </w:tcPr>
          <w:p w14:paraId="7D113DEB" w14:textId="56BF74B7" w:rsidR="007D5C15" w:rsidRDefault="00783738">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17.094</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19816E1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156821E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56E83B7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263EC4DD" w14:textId="013687F3" w:rsidR="007D5C15" w:rsidRDefault="00783738">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17.094</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bottom"/>
            <w:hideMark/>
          </w:tcPr>
          <w:p w14:paraId="51130A55" w14:textId="77777777" w:rsidR="007D5C15" w:rsidRDefault="007D5C15">
            <w:pPr>
              <w:jc w:val="right"/>
              <w:rPr>
                <w:rFonts w:ascii="Calibri" w:hAnsi="Calibri" w:cs="Calibri"/>
                <w:color w:val="000000"/>
                <w:sz w:val="16"/>
                <w:szCs w:val="16"/>
              </w:rPr>
            </w:pPr>
          </w:p>
        </w:tc>
      </w:tr>
      <w:tr w:rsidR="007D5C15" w14:paraId="6A28105E" w14:textId="77777777" w:rsidTr="007D5C15">
        <w:trPr>
          <w:trHeight w:val="105"/>
        </w:trPr>
        <w:tc>
          <w:tcPr>
            <w:tcW w:w="3280" w:type="dxa"/>
            <w:tcBorders>
              <w:top w:val="nil"/>
              <w:left w:val="nil"/>
              <w:bottom w:val="nil"/>
              <w:right w:val="nil"/>
            </w:tcBorders>
            <w:shd w:val="clear" w:color="auto" w:fill="auto"/>
            <w:noWrap/>
            <w:vAlign w:val="bottom"/>
            <w:hideMark/>
          </w:tcPr>
          <w:p w14:paraId="6B49454F" w14:textId="77777777" w:rsidR="007D5C15" w:rsidRDefault="007D5C15">
            <w:pPr>
              <w:rPr>
                <w:sz w:val="20"/>
                <w:szCs w:val="20"/>
              </w:rPr>
            </w:pPr>
          </w:p>
        </w:tc>
        <w:tc>
          <w:tcPr>
            <w:tcW w:w="1340" w:type="dxa"/>
            <w:tcBorders>
              <w:top w:val="nil"/>
              <w:left w:val="nil"/>
              <w:bottom w:val="nil"/>
              <w:right w:val="nil"/>
            </w:tcBorders>
            <w:shd w:val="clear" w:color="auto" w:fill="auto"/>
            <w:noWrap/>
            <w:vAlign w:val="bottom"/>
            <w:hideMark/>
          </w:tcPr>
          <w:p w14:paraId="74F4CCC6" w14:textId="77777777" w:rsidR="007D5C15" w:rsidRDefault="007D5C15">
            <w:pPr>
              <w:rPr>
                <w:sz w:val="20"/>
                <w:szCs w:val="20"/>
              </w:rPr>
            </w:pPr>
          </w:p>
        </w:tc>
        <w:tc>
          <w:tcPr>
            <w:tcW w:w="1180" w:type="dxa"/>
            <w:tcBorders>
              <w:top w:val="nil"/>
              <w:left w:val="nil"/>
              <w:bottom w:val="nil"/>
              <w:right w:val="nil"/>
            </w:tcBorders>
            <w:shd w:val="clear" w:color="auto" w:fill="auto"/>
            <w:noWrap/>
            <w:vAlign w:val="bottom"/>
            <w:hideMark/>
          </w:tcPr>
          <w:p w14:paraId="6E60C97A" w14:textId="77777777" w:rsidR="007D5C15" w:rsidRDefault="007D5C15">
            <w:pPr>
              <w:rPr>
                <w:sz w:val="20"/>
                <w:szCs w:val="20"/>
              </w:rPr>
            </w:pPr>
          </w:p>
        </w:tc>
        <w:tc>
          <w:tcPr>
            <w:tcW w:w="1100" w:type="dxa"/>
            <w:tcBorders>
              <w:top w:val="nil"/>
              <w:left w:val="nil"/>
              <w:bottom w:val="nil"/>
              <w:right w:val="nil"/>
            </w:tcBorders>
            <w:shd w:val="clear" w:color="auto" w:fill="auto"/>
            <w:noWrap/>
            <w:vAlign w:val="bottom"/>
            <w:hideMark/>
          </w:tcPr>
          <w:p w14:paraId="121E4FC6" w14:textId="77777777" w:rsidR="007D5C15" w:rsidRDefault="007D5C15">
            <w:pPr>
              <w:rPr>
                <w:sz w:val="20"/>
                <w:szCs w:val="20"/>
              </w:rPr>
            </w:pPr>
          </w:p>
        </w:tc>
        <w:tc>
          <w:tcPr>
            <w:tcW w:w="1220" w:type="dxa"/>
            <w:tcBorders>
              <w:top w:val="nil"/>
              <w:left w:val="nil"/>
              <w:bottom w:val="nil"/>
              <w:right w:val="nil"/>
            </w:tcBorders>
            <w:shd w:val="clear" w:color="auto" w:fill="auto"/>
            <w:noWrap/>
            <w:vAlign w:val="bottom"/>
            <w:hideMark/>
          </w:tcPr>
          <w:p w14:paraId="2FE71B8C" w14:textId="77777777" w:rsidR="007D5C15" w:rsidRDefault="007D5C15">
            <w:pPr>
              <w:rPr>
                <w:sz w:val="20"/>
                <w:szCs w:val="20"/>
              </w:rPr>
            </w:pPr>
          </w:p>
        </w:tc>
        <w:tc>
          <w:tcPr>
            <w:tcW w:w="1320" w:type="dxa"/>
            <w:tcBorders>
              <w:top w:val="nil"/>
              <w:left w:val="nil"/>
              <w:bottom w:val="nil"/>
              <w:right w:val="nil"/>
            </w:tcBorders>
            <w:shd w:val="clear" w:color="auto" w:fill="auto"/>
            <w:noWrap/>
            <w:vAlign w:val="bottom"/>
            <w:hideMark/>
          </w:tcPr>
          <w:p w14:paraId="5018A1AD" w14:textId="77777777" w:rsidR="007D5C15" w:rsidRDefault="007D5C15">
            <w:pPr>
              <w:rPr>
                <w:sz w:val="20"/>
                <w:szCs w:val="20"/>
              </w:rPr>
            </w:pPr>
          </w:p>
        </w:tc>
        <w:tc>
          <w:tcPr>
            <w:tcW w:w="960" w:type="dxa"/>
            <w:tcBorders>
              <w:top w:val="nil"/>
              <w:left w:val="nil"/>
              <w:bottom w:val="nil"/>
              <w:right w:val="nil"/>
            </w:tcBorders>
            <w:shd w:val="clear" w:color="auto" w:fill="auto"/>
            <w:noWrap/>
            <w:vAlign w:val="bottom"/>
            <w:hideMark/>
          </w:tcPr>
          <w:p w14:paraId="5BFF3F31" w14:textId="77777777" w:rsidR="007D5C15" w:rsidRDefault="007D5C15">
            <w:pPr>
              <w:rPr>
                <w:sz w:val="20"/>
                <w:szCs w:val="20"/>
              </w:rPr>
            </w:pPr>
          </w:p>
        </w:tc>
      </w:tr>
      <w:tr w:rsidR="007D5C15" w14:paraId="1EFEF517" w14:textId="77777777" w:rsidTr="007D5C15">
        <w:trPr>
          <w:trHeight w:val="315"/>
        </w:trPr>
        <w:tc>
          <w:tcPr>
            <w:tcW w:w="3280" w:type="dxa"/>
            <w:tcBorders>
              <w:top w:val="single" w:sz="8" w:space="0" w:color="auto"/>
              <w:left w:val="nil"/>
              <w:bottom w:val="single" w:sz="8" w:space="0" w:color="auto"/>
              <w:right w:val="nil"/>
            </w:tcBorders>
            <w:shd w:val="clear" w:color="auto" w:fill="auto"/>
            <w:noWrap/>
            <w:vAlign w:val="center"/>
            <w:hideMark/>
          </w:tcPr>
          <w:p w14:paraId="1E08D0A0"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Total Bens Móveis (1)</w:t>
            </w:r>
          </w:p>
        </w:tc>
        <w:tc>
          <w:tcPr>
            <w:tcW w:w="1340" w:type="dxa"/>
            <w:tcBorders>
              <w:top w:val="single" w:sz="8" w:space="0" w:color="auto"/>
              <w:left w:val="nil"/>
              <w:bottom w:val="single" w:sz="8" w:space="0" w:color="auto"/>
              <w:right w:val="nil"/>
            </w:tcBorders>
            <w:shd w:val="clear" w:color="auto" w:fill="auto"/>
            <w:noWrap/>
            <w:vAlign w:val="center"/>
            <w:hideMark/>
          </w:tcPr>
          <w:p w14:paraId="533841DF"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36.933.333</w:t>
            </w:r>
          </w:p>
        </w:tc>
        <w:tc>
          <w:tcPr>
            <w:tcW w:w="1180" w:type="dxa"/>
            <w:tcBorders>
              <w:top w:val="single" w:sz="8" w:space="0" w:color="auto"/>
              <w:left w:val="nil"/>
              <w:bottom w:val="single" w:sz="8" w:space="0" w:color="auto"/>
              <w:right w:val="nil"/>
            </w:tcBorders>
            <w:shd w:val="clear" w:color="auto" w:fill="auto"/>
            <w:noWrap/>
            <w:vAlign w:val="center"/>
            <w:hideMark/>
          </w:tcPr>
          <w:p w14:paraId="3043E73F"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46.130</w:t>
            </w:r>
          </w:p>
        </w:tc>
        <w:tc>
          <w:tcPr>
            <w:tcW w:w="1100" w:type="dxa"/>
            <w:tcBorders>
              <w:top w:val="single" w:sz="8" w:space="0" w:color="auto"/>
              <w:left w:val="nil"/>
              <w:bottom w:val="single" w:sz="8" w:space="0" w:color="auto"/>
              <w:right w:val="nil"/>
            </w:tcBorders>
            <w:shd w:val="clear" w:color="auto" w:fill="auto"/>
            <w:noWrap/>
            <w:vAlign w:val="center"/>
            <w:hideMark/>
          </w:tcPr>
          <w:p w14:paraId="380B308E"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220" w:type="dxa"/>
            <w:tcBorders>
              <w:top w:val="single" w:sz="8" w:space="0" w:color="auto"/>
              <w:left w:val="nil"/>
              <w:bottom w:val="single" w:sz="8" w:space="0" w:color="auto"/>
              <w:right w:val="nil"/>
            </w:tcBorders>
            <w:shd w:val="clear" w:color="auto" w:fill="auto"/>
            <w:noWrap/>
            <w:vAlign w:val="center"/>
            <w:hideMark/>
          </w:tcPr>
          <w:p w14:paraId="20529B2B"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186.371</w:t>
            </w:r>
          </w:p>
        </w:tc>
        <w:tc>
          <w:tcPr>
            <w:tcW w:w="1320" w:type="dxa"/>
            <w:tcBorders>
              <w:top w:val="single" w:sz="8" w:space="0" w:color="auto"/>
              <w:left w:val="nil"/>
              <w:bottom w:val="single" w:sz="8" w:space="0" w:color="auto"/>
              <w:right w:val="nil"/>
            </w:tcBorders>
            <w:shd w:val="clear" w:color="auto" w:fill="auto"/>
            <w:noWrap/>
            <w:vAlign w:val="center"/>
            <w:hideMark/>
          </w:tcPr>
          <w:p w14:paraId="1C178376"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37.165.834</w:t>
            </w:r>
          </w:p>
        </w:tc>
        <w:tc>
          <w:tcPr>
            <w:tcW w:w="960" w:type="dxa"/>
            <w:tcBorders>
              <w:top w:val="single" w:sz="8" w:space="0" w:color="auto"/>
              <w:left w:val="nil"/>
              <w:bottom w:val="single" w:sz="8" w:space="0" w:color="auto"/>
              <w:right w:val="nil"/>
            </w:tcBorders>
            <w:shd w:val="clear" w:color="auto" w:fill="auto"/>
            <w:noWrap/>
            <w:vAlign w:val="center"/>
            <w:hideMark/>
          </w:tcPr>
          <w:p w14:paraId="4D1AFA3E"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w:t>
            </w:r>
          </w:p>
        </w:tc>
      </w:tr>
      <w:tr w:rsidR="007D5C15" w14:paraId="576BEA59" w14:textId="77777777" w:rsidTr="007D5C15">
        <w:trPr>
          <w:trHeight w:val="195"/>
        </w:trPr>
        <w:tc>
          <w:tcPr>
            <w:tcW w:w="3280" w:type="dxa"/>
            <w:tcBorders>
              <w:top w:val="nil"/>
              <w:left w:val="nil"/>
              <w:bottom w:val="nil"/>
              <w:right w:val="nil"/>
            </w:tcBorders>
            <w:shd w:val="clear" w:color="auto" w:fill="auto"/>
            <w:noWrap/>
            <w:vAlign w:val="bottom"/>
            <w:hideMark/>
          </w:tcPr>
          <w:p w14:paraId="360D41A8" w14:textId="77777777" w:rsidR="007D5C15" w:rsidRDefault="007D5C15">
            <w:pPr>
              <w:jc w:val="right"/>
              <w:rPr>
                <w:rFonts w:ascii="Calibri" w:hAnsi="Calibri" w:cs="Calibri"/>
                <w:b/>
                <w:bCs/>
                <w:color w:val="000000"/>
                <w:sz w:val="16"/>
                <w:szCs w:val="16"/>
              </w:rPr>
            </w:pPr>
          </w:p>
        </w:tc>
        <w:tc>
          <w:tcPr>
            <w:tcW w:w="1340" w:type="dxa"/>
            <w:tcBorders>
              <w:top w:val="nil"/>
              <w:left w:val="nil"/>
              <w:bottom w:val="nil"/>
              <w:right w:val="nil"/>
            </w:tcBorders>
            <w:shd w:val="clear" w:color="auto" w:fill="auto"/>
            <w:noWrap/>
            <w:vAlign w:val="bottom"/>
            <w:hideMark/>
          </w:tcPr>
          <w:p w14:paraId="359C9CC1" w14:textId="77777777" w:rsidR="007D5C15" w:rsidRDefault="007D5C15">
            <w:pPr>
              <w:rPr>
                <w:sz w:val="20"/>
                <w:szCs w:val="20"/>
              </w:rPr>
            </w:pPr>
          </w:p>
        </w:tc>
        <w:tc>
          <w:tcPr>
            <w:tcW w:w="1180" w:type="dxa"/>
            <w:tcBorders>
              <w:top w:val="nil"/>
              <w:left w:val="nil"/>
              <w:bottom w:val="nil"/>
              <w:right w:val="nil"/>
            </w:tcBorders>
            <w:shd w:val="clear" w:color="auto" w:fill="auto"/>
            <w:noWrap/>
            <w:vAlign w:val="bottom"/>
            <w:hideMark/>
          </w:tcPr>
          <w:p w14:paraId="54365FF8" w14:textId="77777777" w:rsidR="007D5C15" w:rsidRDefault="007D5C15">
            <w:pPr>
              <w:rPr>
                <w:sz w:val="20"/>
                <w:szCs w:val="20"/>
              </w:rPr>
            </w:pPr>
          </w:p>
        </w:tc>
        <w:tc>
          <w:tcPr>
            <w:tcW w:w="1100" w:type="dxa"/>
            <w:tcBorders>
              <w:top w:val="nil"/>
              <w:left w:val="nil"/>
              <w:bottom w:val="nil"/>
              <w:right w:val="nil"/>
            </w:tcBorders>
            <w:shd w:val="clear" w:color="auto" w:fill="auto"/>
            <w:noWrap/>
            <w:vAlign w:val="bottom"/>
            <w:hideMark/>
          </w:tcPr>
          <w:p w14:paraId="450C8E5A" w14:textId="77777777" w:rsidR="007D5C15" w:rsidRDefault="007D5C15">
            <w:pPr>
              <w:rPr>
                <w:sz w:val="20"/>
                <w:szCs w:val="20"/>
              </w:rPr>
            </w:pPr>
          </w:p>
        </w:tc>
        <w:tc>
          <w:tcPr>
            <w:tcW w:w="1220" w:type="dxa"/>
            <w:tcBorders>
              <w:top w:val="nil"/>
              <w:left w:val="nil"/>
              <w:bottom w:val="nil"/>
              <w:right w:val="nil"/>
            </w:tcBorders>
            <w:shd w:val="clear" w:color="auto" w:fill="auto"/>
            <w:noWrap/>
            <w:vAlign w:val="bottom"/>
            <w:hideMark/>
          </w:tcPr>
          <w:p w14:paraId="0DBDE3B2" w14:textId="77777777" w:rsidR="007D5C15" w:rsidRDefault="007D5C15">
            <w:pPr>
              <w:rPr>
                <w:sz w:val="20"/>
                <w:szCs w:val="20"/>
              </w:rPr>
            </w:pPr>
          </w:p>
        </w:tc>
        <w:tc>
          <w:tcPr>
            <w:tcW w:w="1320" w:type="dxa"/>
            <w:tcBorders>
              <w:top w:val="nil"/>
              <w:left w:val="nil"/>
              <w:bottom w:val="nil"/>
              <w:right w:val="nil"/>
            </w:tcBorders>
            <w:shd w:val="clear" w:color="auto" w:fill="auto"/>
            <w:noWrap/>
            <w:vAlign w:val="bottom"/>
            <w:hideMark/>
          </w:tcPr>
          <w:p w14:paraId="48D4E4B4" w14:textId="77777777" w:rsidR="007D5C15" w:rsidRDefault="007D5C15">
            <w:pPr>
              <w:rPr>
                <w:sz w:val="20"/>
                <w:szCs w:val="20"/>
              </w:rPr>
            </w:pPr>
          </w:p>
        </w:tc>
        <w:tc>
          <w:tcPr>
            <w:tcW w:w="960" w:type="dxa"/>
            <w:tcBorders>
              <w:top w:val="nil"/>
              <w:left w:val="nil"/>
              <w:bottom w:val="nil"/>
              <w:right w:val="nil"/>
            </w:tcBorders>
            <w:shd w:val="clear" w:color="auto" w:fill="auto"/>
            <w:noWrap/>
            <w:vAlign w:val="bottom"/>
            <w:hideMark/>
          </w:tcPr>
          <w:p w14:paraId="2A569A58" w14:textId="77777777" w:rsidR="007D5C15" w:rsidRDefault="007D5C15">
            <w:pPr>
              <w:rPr>
                <w:sz w:val="20"/>
                <w:szCs w:val="20"/>
              </w:rPr>
            </w:pPr>
          </w:p>
        </w:tc>
      </w:tr>
      <w:tr w:rsidR="007D5C15" w14:paraId="74D4A2B6" w14:textId="77777777" w:rsidTr="007D5C15">
        <w:trPr>
          <w:trHeight w:val="450"/>
        </w:trPr>
        <w:tc>
          <w:tcPr>
            <w:tcW w:w="3280" w:type="dxa"/>
            <w:tcBorders>
              <w:top w:val="nil"/>
              <w:left w:val="nil"/>
              <w:bottom w:val="single" w:sz="8" w:space="0" w:color="auto"/>
              <w:right w:val="nil"/>
            </w:tcBorders>
            <w:shd w:val="clear" w:color="auto" w:fill="auto"/>
            <w:vAlign w:val="center"/>
            <w:hideMark/>
          </w:tcPr>
          <w:p w14:paraId="620A4401"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IMOBILIZADO BENS IMÓVEIS</w:t>
            </w:r>
          </w:p>
        </w:tc>
        <w:tc>
          <w:tcPr>
            <w:tcW w:w="1340" w:type="dxa"/>
            <w:tcBorders>
              <w:top w:val="nil"/>
              <w:left w:val="nil"/>
              <w:bottom w:val="single" w:sz="8" w:space="0" w:color="auto"/>
              <w:right w:val="nil"/>
            </w:tcBorders>
            <w:shd w:val="clear" w:color="auto" w:fill="auto"/>
            <w:vAlign w:val="center"/>
            <w:hideMark/>
          </w:tcPr>
          <w:p w14:paraId="3EDFB4E1"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SALDO EM 31/12/2020</w:t>
            </w:r>
          </w:p>
        </w:tc>
        <w:tc>
          <w:tcPr>
            <w:tcW w:w="1180" w:type="dxa"/>
            <w:tcBorders>
              <w:top w:val="nil"/>
              <w:left w:val="nil"/>
              <w:bottom w:val="single" w:sz="8" w:space="0" w:color="auto"/>
              <w:right w:val="nil"/>
            </w:tcBorders>
            <w:shd w:val="clear" w:color="auto" w:fill="auto"/>
            <w:vAlign w:val="center"/>
            <w:hideMark/>
          </w:tcPr>
          <w:p w14:paraId="272ADF66"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100" w:type="dxa"/>
            <w:tcBorders>
              <w:top w:val="nil"/>
              <w:left w:val="nil"/>
              <w:bottom w:val="single" w:sz="8" w:space="0" w:color="auto"/>
              <w:right w:val="nil"/>
            </w:tcBorders>
            <w:shd w:val="clear" w:color="auto" w:fill="auto"/>
            <w:vAlign w:val="center"/>
            <w:hideMark/>
          </w:tcPr>
          <w:p w14:paraId="32C926B8"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BAIXAS</w:t>
            </w:r>
          </w:p>
        </w:tc>
        <w:tc>
          <w:tcPr>
            <w:tcW w:w="1220" w:type="dxa"/>
            <w:tcBorders>
              <w:top w:val="nil"/>
              <w:left w:val="nil"/>
              <w:bottom w:val="single" w:sz="8" w:space="0" w:color="auto"/>
              <w:right w:val="nil"/>
            </w:tcBorders>
            <w:shd w:val="clear" w:color="auto" w:fill="auto"/>
            <w:vAlign w:val="center"/>
            <w:hideMark/>
          </w:tcPr>
          <w:p w14:paraId="69DF3270"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TRANSF.</w:t>
            </w:r>
          </w:p>
        </w:tc>
        <w:tc>
          <w:tcPr>
            <w:tcW w:w="1320" w:type="dxa"/>
            <w:tcBorders>
              <w:top w:val="nil"/>
              <w:left w:val="nil"/>
              <w:bottom w:val="single" w:sz="8" w:space="0" w:color="auto"/>
              <w:right w:val="nil"/>
            </w:tcBorders>
            <w:shd w:val="clear" w:color="auto" w:fill="auto"/>
            <w:vAlign w:val="center"/>
            <w:hideMark/>
          </w:tcPr>
          <w:p w14:paraId="329EEB79" w14:textId="07E8CA48"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 xml:space="preserve">SALDO EM </w:t>
            </w:r>
            <w:r w:rsidR="0076757E">
              <w:rPr>
                <w:rFonts w:ascii="Calibri" w:hAnsi="Calibri" w:cs="Calibri"/>
                <w:b/>
                <w:bCs/>
                <w:color w:val="000000"/>
                <w:sz w:val="16"/>
                <w:szCs w:val="16"/>
              </w:rPr>
              <w:t>30/06/2021</w:t>
            </w:r>
          </w:p>
        </w:tc>
        <w:tc>
          <w:tcPr>
            <w:tcW w:w="960" w:type="dxa"/>
            <w:tcBorders>
              <w:top w:val="nil"/>
              <w:left w:val="nil"/>
              <w:bottom w:val="single" w:sz="8" w:space="0" w:color="auto"/>
              <w:right w:val="nil"/>
            </w:tcBorders>
            <w:shd w:val="clear" w:color="auto" w:fill="auto"/>
            <w:vAlign w:val="center"/>
            <w:hideMark/>
          </w:tcPr>
          <w:p w14:paraId="15BC534E"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TAXA DEPREC. (%)</w:t>
            </w:r>
          </w:p>
        </w:tc>
      </w:tr>
      <w:tr w:rsidR="007D5C15" w14:paraId="778F735E" w14:textId="77777777" w:rsidTr="007D5C15">
        <w:trPr>
          <w:trHeight w:val="300"/>
        </w:trPr>
        <w:tc>
          <w:tcPr>
            <w:tcW w:w="3280" w:type="dxa"/>
            <w:tcBorders>
              <w:top w:val="nil"/>
              <w:left w:val="nil"/>
              <w:bottom w:val="nil"/>
              <w:right w:val="nil"/>
            </w:tcBorders>
            <w:shd w:val="clear" w:color="auto" w:fill="auto"/>
            <w:noWrap/>
            <w:vAlign w:val="center"/>
            <w:hideMark/>
          </w:tcPr>
          <w:p w14:paraId="1C7315FB" w14:textId="77777777" w:rsidR="007D5C15" w:rsidRDefault="007D5C15">
            <w:pPr>
              <w:rPr>
                <w:rFonts w:ascii="Calibri" w:hAnsi="Calibri" w:cs="Calibri"/>
                <w:color w:val="000000"/>
                <w:sz w:val="16"/>
                <w:szCs w:val="16"/>
              </w:rPr>
            </w:pPr>
            <w:r>
              <w:rPr>
                <w:rFonts w:ascii="Calibri" w:hAnsi="Calibri" w:cs="Calibri"/>
                <w:color w:val="000000"/>
                <w:sz w:val="16"/>
                <w:szCs w:val="16"/>
              </w:rPr>
              <w:t>Terrenos</w:t>
            </w:r>
          </w:p>
        </w:tc>
        <w:tc>
          <w:tcPr>
            <w:tcW w:w="1340" w:type="dxa"/>
            <w:tcBorders>
              <w:top w:val="nil"/>
              <w:left w:val="nil"/>
              <w:bottom w:val="nil"/>
              <w:right w:val="nil"/>
            </w:tcBorders>
            <w:shd w:val="clear" w:color="auto" w:fill="auto"/>
            <w:noWrap/>
            <w:vAlign w:val="center"/>
            <w:hideMark/>
          </w:tcPr>
          <w:p w14:paraId="061F0D6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404.396.914</w:t>
            </w:r>
          </w:p>
        </w:tc>
        <w:tc>
          <w:tcPr>
            <w:tcW w:w="1180" w:type="dxa"/>
            <w:tcBorders>
              <w:top w:val="nil"/>
              <w:left w:val="nil"/>
              <w:bottom w:val="nil"/>
              <w:right w:val="nil"/>
            </w:tcBorders>
            <w:shd w:val="clear" w:color="auto" w:fill="auto"/>
            <w:noWrap/>
            <w:vAlign w:val="center"/>
            <w:hideMark/>
          </w:tcPr>
          <w:p w14:paraId="70514237" w14:textId="15DB3285" w:rsidR="007D5C15" w:rsidRDefault="0076757E">
            <w:pPr>
              <w:jc w:val="right"/>
              <w:rPr>
                <w:rFonts w:ascii="Calibri" w:hAnsi="Calibri" w:cs="Calibri"/>
                <w:color w:val="000000"/>
                <w:sz w:val="16"/>
                <w:szCs w:val="16"/>
              </w:rPr>
            </w:pPr>
            <w:r>
              <w:rPr>
                <w:rFonts w:ascii="Calibri" w:hAnsi="Calibri" w:cs="Calibri"/>
                <w:color w:val="000000"/>
                <w:sz w:val="16"/>
                <w:szCs w:val="16"/>
              </w:rPr>
              <w:t>1.017.150</w:t>
            </w:r>
          </w:p>
        </w:tc>
        <w:tc>
          <w:tcPr>
            <w:tcW w:w="1100" w:type="dxa"/>
            <w:tcBorders>
              <w:top w:val="nil"/>
              <w:left w:val="nil"/>
              <w:bottom w:val="nil"/>
              <w:right w:val="nil"/>
            </w:tcBorders>
            <w:shd w:val="clear" w:color="auto" w:fill="auto"/>
            <w:noWrap/>
            <w:vAlign w:val="center"/>
            <w:hideMark/>
          </w:tcPr>
          <w:p w14:paraId="78661B1C"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002AE70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08ECBF26" w14:textId="5BABD95E" w:rsidR="007D5C15" w:rsidRDefault="0076757E">
            <w:pPr>
              <w:jc w:val="right"/>
              <w:rPr>
                <w:rFonts w:ascii="Calibri" w:hAnsi="Calibri" w:cs="Calibri"/>
                <w:color w:val="000000"/>
                <w:sz w:val="16"/>
                <w:szCs w:val="16"/>
              </w:rPr>
            </w:pPr>
            <w:r>
              <w:rPr>
                <w:rFonts w:ascii="Calibri" w:hAnsi="Calibri" w:cs="Calibri"/>
                <w:color w:val="000000"/>
                <w:sz w:val="16"/>
                <w:szCs w:val="16"/>
              </w:rPr>
              <w:t>405.414.064</w:t>
            </w:r>
          </w:p>
        </w:tc>
        <w:tc>
          <w:tcPr>
            <w:tcW w:w="960" w:type="dxa"/>
            <w:tcBorders>
              <w:top w:val="nil"/>
              <w:left w:val="nil"/>
              <w:bottom w:val="nil"/>
              <w:right w:val="nil"/>
            </w:tcBorders>
            <w:shd w:val="clear" w:color="auto" w:fill="auto"/>
            <w:noWrap/>
            <w:vAlign w:val="center"/>
            <w:hideMark/>
          </w:tcPr>
          <w:p w14:paraId="7D6DC79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w:t>
            </w:r>
          </w:p>
        </w:tc>
      </w:tr>
      <w:tr w:rsidR="007D5C15" w14:paraId="2EA0F83F" w14:textId="77777777" w:rsidTr="007D5C15">
        <w:trPr>
          <w:trHeight w:val="300"/>
        </w:trPr>
        <w:tc>
          <w:tcPr>
            <w:tcW w:w="3280" w:type="dxa"/>
            <w:tcBorders>
              <w:top w:val="nil"/>
              <w:left w:val="nil"/>
              <w:bottom w:val="nil"/>
              <w:right w:val="nil"/>
            </w:tcBorders>
            <w:shd w:val="clear" w:color="auto" w:fill="auto"/>
            <w:noWrap/>
            <w:vAlign w:val="center"/>
            <w:hideMark/>
          </w:tcPr>
          <w:p w14:paraId="5549C79F" w14:textId="77777777" w:rsidR="007D5C15" w:rsidRDefault="007D5C15">
            <w:pPr>
              <w:rPr>
                <w:rFonts w:ascii="Calibri" w:hAnsi="Calibri" w:cs="Calibri"/>
                <w:color w:val="000000"/>
                <w:sz w:val="16"/>
                <w:szCs w:val="16"/>
              </w:rPr>
            </w:pPr>
            <w:r>
              <w:rPr>
                <w:rFonts w:ascii="Calibri" w:hAnsi="Calibri" w:cs="Calibri"/>
                <w:color w:val="000000"/>
                <w:sz w:val="16"/>
                <w:szCs w:val="16"/>
              </w:rPr>
              <w:t>Terrenos – Permissão de Uso de Pátios</w:t>
            </w:r>
          </w:p>
        </w:tc>
        <w:tc>
          <w:tcPr>
            <w:tcW w:w="1340" w:type="dxa"/>
            <w:tcBorders>
              <w:top w:val="nil"/>
              <w:left w:val="nil"/>
              <w:bottom w:val="nil"/>
              <w:right w:val="nil"/>
            </w:tcBorders>
            <w:shd w:val="clear" w:color="auto" w:fill="auto"/>
            <w:noWrap/>
            <w:vAlign w:val="center"/>
            <w:hideMark/>
          </w:tcPr>
          <w:p w14:paraId="0A7BFCF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480.985</w:t>
            </w:r>
          </w:p>
        </w:tc>
        <w:tc>
          <w:tcPr>
            <w:tcW w:w="1180" w:type="dxa"/>
            <w:tcBorders>
              <w:top w:val="nil"/>
              <w:left w:val="nil"/>
              <w:bottom w:val="nil"/>
              <w:right w:val="nil"/>
            </w:tcBorders>
            <w:shd w:val="clear" w:color="auto" w:fill="auto"/>
            <w:noWrap/>
            <w:vAlign w:val="center"/>
            <w:hideMark/>
          </w:tcPr>
          <w:p w14:paraId="51A3B61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108E6D7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4309925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614105D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480.985</w:t>
            </w:r>
          </w:p>
        </w:tc>
        <w:tc>
          <w:tcPr>
            <w:tcW w:w="960" w:type="dxa"/>
            <w:tcBorders>
              <w:top w:val="nil"/>
              <w:left w:val="nil"/>
              <w:bottom w:val="nil"/>
              <w:right w:val="nil"/>
            </w:tcBorders>
            <w:shd w:val="clear" w:color="auto" w:fill="auto"/>
            <w:noWrap/>
            <w:vAlign w:val="center"/>
            <w:hideMark/>
          </w:tcPr>
          <w:p w14:paraId="16895C2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w:t>
            </w:r>
          </w:p>
        </w:tc>
      </w:tr>
      <w:tr w:rsidR="007D5C15" w14:paraId="30E42C7C" w14:textId="77777777" w:rsidTr="007D5C15">
        <w:trPr>
          <w:trHeight w:val="300"/>
        </w:trPr>
        <w:tc>
          <w:tcPr>
            <w:tcW w:w="3280" w:type="dxa"/>
            <w:tcBorders>
              <w:top w:val="nil"/>
              <w:left w:val="nil"/>
              <w:bottom w:val="nil"/>
              <w:right w:val="nil"/>
            </w:tcBorders>
            <w:shd w:val="clear" w:color="auto" w:fill="auto"/>
            <w:noWrap/>
            <w:vAlign w:val="center"/>
            <w:hideMark/>
          </w:tcPr>
          <w:p w14:paraId="70604593" w14:textId="77777777" w:rsidR="007D5C15" w:rsidRDefault="007D5C15">
            <w:pPr>
              <w:rPr>
                <w:rFonts w:ascii="Calibri" w:hAnsi="Calibri" w:cs="Calibri"/>
                <w:color w:val="000000"/>
                <w:sz w:val="16"/>
                <w:szCs w:val="16"/>
              </w:rPr>
            </w:pPr>
            <w:r>
              <w:rPr>
                <w:rFonts w:ascii="Calibri" w:hAnsi="Calibri" w:cs="Calibri"/>
                <w:color w:val="000000"/>
                <w:sz w:val="16"/>
                <w:szCs w:val="16"/>
              </w:rPr>
              <w:t>Salas e Escritórios</w:t>
            </w:r>
          </w:p>
        </w:tc>
        <w:tc>
          <w:tcPr>
            <w:tcW w:w="1340" w:type="dxa"/>
            <w:tcBorders>
              <w:top w:val="nil"/>
              <w:left w:val="nil"/>
              <w:bottom w:val="nil"/>
              <w:right w:val="nil"/>
            </w:tcBorders>
            <w:shd w:val="clear" w:color="auto" w:fill="auto"/>
            <w:noWrap/>
            <w:vAlign w:val="center"/>
            <w:hideMark/>
          </w:tcPr>
          <w:p w14:paraId="385A1D8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6.324.576</w:t>
            </w:r>
          </w:p>
        </w:tc>
        <w:tc>
          <w:tcPr>
            <w:tcW w:w="1180" w:type="dxa"/>
            <w:tcBorders>
              <w:top w:val="nil"/>
              <w:left w:val="nil"/>
              <w:bottom w:val="nil"/>
              <w:right w:val="nil"/>
            </w:tcBorders>
            <w:shd w:val="clear" w:color="auto" w:fill="auto"/>
            <w:noWrap/>
            <w:vAlign w:val="center"/>
            <w:hideMark/>
          </w:tcPr>
          <w:p w14:paraId="742C7B84"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698B7A3A" w14:textId="51093330" w:rsidR="007D5C15" w:rsidRDefault="00783738">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871.806</w:t>
            </w:r>
            <w:r>
              <w:rPr>
                <w:rFonts w:ascii="Calibri" w:hAnsi="Calibri" w:cs="Calibri"/>
                <w:color w:val="000000"/>
                <w:sz w:val="16"/>
                <w:szCs w:val="16"/>
              </w:rPr>
              <w:t>)</w:t>
            </w:r>
          </w:p>
        </w:tc>
        <w:tc>
          <w:tcPr>
            <w:tcW w:w="1220" w:type="dxa"/>
            <w:tcBorders>
              <w:top w:val="nil"/>
              <w:left w:val="nil"/>
              <w:bottom w:val="nil"/>
              <w:right w:val="nil"/>
            </w:tcBorders>
            <w:shd w:val="clear" w:color="auto" w:fill="auto"/>
            <w:noWrap/>
            <w:vAlign w:val="center"/>
            <w:hideMark/>
          </w:tcPr>
          <w:p w14:paraId="26DCE5E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036C98C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5.452.770</w:t>
            </w:r>
          </w:p>
        </w:tc>
        <w:tc>
          <w:tcPr>
            <w:tcW w:w="960" w:type="dxa"/>
            <w:tcBorders>
              <w:top w:val="nil"/>
              <w:left w:val="nil"/>
              <w:bottom w:val="nil"/>
              <w:right w:val="nil"/>
            </w:tcBorders>
            <w:shd w:val="clear" w:color="auto" w:fill="auto"/>
            <w:noWrap/>
            <w:vAlign w:val="center"/>
            <w:hideMark/>
          </w:tcPr>
          <w:p w14:paraId="782EA7B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10</w:t>
            </w:r>
          </w:p>
        </w:tc>
      </w:tr>
      <w:tr w:rsidR="007D5C15" w14:paraId="2BDB9A1A" w14:textId="77777777" w:rsidTr="007D5C15">
        <w:trPr>
          <w:trHeight w:val="300"/>
        </w:trPr>
        <w:tc>
          <w:tcPr>
            <w:tcW w:w="3280" w:type="dxa"/>
            <w:tcBorders>
              <w:top w:val="nil"/>
              <w:left w:val="nil"/>
              <w:bottom w:val="nil"/>
              <w:right w:val="nil"/>
            </w:tcBorders>
            <w:shd w:val="clear" w:color="auto" w:fill="auto"/>
            <w:noWrap/>
            <w:vAlign w:val="center"/>
            <w:hideMark/>
          </w:tcPr>
          <w:p w14:paraId="3C8B5C33" w14:textId="77777777" w:rsidR="007D5C15" w:rsidRDefault="007D5C15">
            <w:pPr>
              <w:rPr>
                <w:rFonts w:ascii="Calibri" w:hAnsi="Calibri" w:cs="Calibri"/>
                <w:color w:val="000000"/>
                <w:sz w:val="16"/>
                <w:szCs w:val="16"/>
              </w:rPr>
            </w:pPr>
            <w:r>
              <w:rPr>
                <w:rFonts w:ascii="Calibri" w:hAnsi="Calibri" w:cs="Calibri"/>
                <w:color w:val="000000"/>
                <w:sz w:val="16"/>
                <w:szCs w:val="16"/>
              </w:rPr>
              <w:t>Estudos e Projetos</w:t>
            </w:r>
          </w:p>
        </w:tc>
        <w:tc>
          <w:tcPr>
            <w:tcW w:w="1340" w:type="dxa"/>
            <w:tcBorders>
              <w:top w:val="nil"/>
              <w:left w:val="nil"/>
              <w:bottom w:val="nil"/>
              <w:right w:val="nil"/>
            </w:tcBorders>
            <w:shd w:val="clear" w:color="auto" w:fill="auto"/>
            <w:noWrap/>
            <w:vAlign w:val="center"/>
            <w:hideMark/>
          </w:tcPr>
          <w:p w14:paraId="495CF17C"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161.631.305</w:t>
            </w:r>
          </w:p>
        </w:tc>
        <w:tc>
          <w:tcPr>
            <w:tcW w:w="1180" w:type="dxa"/>
            <w:tcBorders>
              <w:top w:val="nil"/>
              <w:left w:val="nil"/>
              <w:bottom w:val="nil"/>
              <w:right w:val="nil"/>
            </w:tcBorders>
            <w:shd w:val="clear" w:color="auto" w:fill="auto"/>
            <w:noWrap/>
            <w:vAlign w:val="center"/>
            <w:hideMark/>
          </w:tcPr>
          <w:p w14:paraId="0DA8FD8A" w14:textId="7DF78D74" w:rsidR="007D5C15" w:rsidRDefault="0076757E">
            <w:pPr>
              <w:jc w:val="right"/>
              <w:rPr>
                <w:rFonts w:ascii="Calibri" w:hAnsi="Calibri" w:cs="Calibri"/>
                <w:color w:val="000000"/>
                <w:sz w:val="16"/>
                <w:szCs w:val="16"/>
              </w:rPr>
            </w:pPr>
            <w:r>
              <w:rPr>
                <w:rFonts w:ascii="Calibri" w:hAnsi="Calibri" w:cs="Calibri"/>
                <w:color w:val="000000"/>
                <w:sz w:val="16"/>
                <w:szCs w:val="16"/>
              </w:rPr>
              <w:t>7.664</w:t>
            </w:r>
          </w:p>
        </w:tc>
        <w:tc>
          <w:tcPr>
            <w:tcW w:w="1100" w:type="dxa"/>
            <w:tcBorders>
              <w:top w:val="nil"/>
              <w:left w:val="nil"/>
              <w:bottom w:val="nil"/>
              <w:right w:val="nil"/>
            </w:tcBorders>
            <w:shd w:val="clear" w:color="auto" w:fill="auto"/>
            <w:noWrap/>
            <w:vAlign w:val="center"/>
            <w:hideMark/>
          </w:tcPr>
          <w:p w14:paraId="2713424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28E302B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27EB637F" w14:textId="367C13FB" w:rsidR="007D5C15" w:rsidRDefault="007D5C15">
            <w:pPr>
              <w:jc w:val="right"/>
              <w:rPr>
                <w:rFonts w:ascii="Calibri" w:hAnsi="Calibri" w:cs="Calibri"/>
                <w:color w:val="000000"/>
                <w:sz w:val="16"/>
                <w:szCs w:val="16"/>
              </w:rPr>
            </w:pPr>
            <w:r>
              <w:rPr>
                <w:rFonts w:ascii="Calibri" w:hAnsi="Calibri" w:cs="Calibri"/>
                <w:color w:val="000000"/>
                <w:sz w:val="16"/>
                <w:szCs w:val="16"/>
              </w:rPr>
              <w:t>161.</w:t>
            </w:r>
            <w:r w:rsidR="0076757E">
              <w:rPr>
                <w:rFonts w:ascii="Calibri" w:hAnsi="Calibri" w:cs="Calibri"/>
                <w:color w:val="000000"/>
                <w:sz w:val="16"/>
                <w:szCs w:val="16"/>
              </w:rPr>
              <w:t>638.969</w:t>
            </w:r>
          </w:p>
        </w:tc>
        <w:tc>
          <w:tcPr>
            <w:tcW w:w="960" w:type="dxa"/>
            <w:tcBorders>
              <w:top w:val="nil"/>
              <w:left w:val="nil"/>
              <w:bottom w:val="nil"/>
              <w:right w:val="nil"/>
            </w:tcBorders>
            <w:shd w:val="clear" w:color="auto" w:fill="auto"/>
            <w:noWrap/>
            <w:vAlign w:val="center"/>
            <w:hideMark/>
          </w:tcPr>
          <w:p w14:paraId="0C54CA25"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w:t>
            </w:r>
          </w:p>
        </w:tc>
      </w:tr>
      <w:tr w:rsidR="007D5C15" w14:paraId="109E909E" w14:textId="77777777" w:rsidTr="007D5C15">
        <w:trPr>
          <w:trHeight w:val="300"/>
        </w:trPr>
        <w:tc>
          <w:tcPr>
            <w:tcW w:w="3280" w:type="dxa"/>
            <w:tcBorders>
              <w:top w:val="nil"/>
              <w:left w:val="nil"/>
              <w:bottom w:val="nil"/>
              <w:right w:val="nil"/>
            </w:tcBorders>
            <w:shd w:val="clear" w:color="auto" w:fill="auto"/>
            <w:noWrap/>
            <w:vAlign w:val="center"/>
            <w:hideMark/>
          </w:tcPr>
          <w:p w14:paraId="22B394D0"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340" w:type="dxa"/>
            <w:tcBorders>
              <w:top w:val="nil"/>
              <w:left w:val="nil"/>
              <w:bottom w:val="nil"/>
              <w:right w:val="nil"/>
            </w:tcBorders>
            <w:shd w:val="clear" w:color="auto" w:fill="auto"/>
            <w:noWrap/>
            <w:vAlign w:val="center"/>
            <w:hideMark/>
          </w:tcPr>
          <w:p w14:paraId="5E60C055"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80" w:type="dxa"/>
            <w:tcBorders>
              <w:top w:val="nil"/>
              <w:left w:val="nil"/>
              <w:bottom w:val="nil"/>
              <w:right w:val="nil"/>
            </w:tcBorders>
            <w:shd w:val="clear" w:color="auto" w:fill="auto"/>
            <w:noWrap/>
            <w:vAlign w:val="center"/>
            <w:hideMark/>
          </w:tcPr>
          <w:p w14:paraId="40BF75B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0C14ACF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103CBA15"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04BB6125"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960" w:type="dxa"/>
            <w:tcBorders>
              <w:top w:val="nil"/>
              <w:left w:val="nil"/>
              <w:bottom w:val="nil"/>
              <w:right w:val="nil"/>
            </w:tcBorders>
            <w:shd w:val="clear" w:color="auto" w:fill="auto"/>
            <w:noWrap/>
            <w:vAlign w:val="bottom"/>
            <w:hideMark/>
          </w:tcPr>
          <w:p w14:paraId="238A6DAF" w14:textId="77777777" w:rsidR="007D5C15" w:rsidRDefault="007D5C15">
            <w:pPr>
              <w:jc w:val="right"/>
              <w:rPr>
                <w:rFonts w:ascii="Calibri" w:hAnsi="Calibri" w:cs="Calibri"/>
                <w:color w:val="000000"/>
                <w:sz w:val="16"/>
                <w:szCs w:val="16"/>
              </w:rPr>
            </w:pPr>
          </w:p>
        </w:tc>
      </w:tr>
      <w:tr w:rsidR="007D5C15" w14:paraId="4574C3AA" w14:textId="77777777" w:rsidTr="007D5C15">
        <w:trPr>
          <w:trHeight w:val="300"/>
        </w:trPr>
        <w:tc>
          <w:tcPr>
            <w:tcW w:w="3280" w:type="dxa"/>
            <w:tcBorders>
              <w:top w:val="nil"/>
              <w:left w:val="nil"/>
              <w:bottom w:val="nil"/>
              <w:right w:val="nil"/>
            </w:tcBorders>
            <w:shd w:val="clear" w:color="auto" w:fill="auto"/>
            <w:noWrap/>
            <w:vAlign w:val="center"/>
            <w:hideMark/>
          </w:tcPr>
          <w:p w14:paraId="2E1EC029" w14:textId="77777777" w:rsidR="007D5C15" w:rsidRDefault="007D5C15">
            <w:pPr>
              <w:rPr>
                <w:rFonts w:ascii="Calibri" w:hAnsi="Calibri" w:cs="Calibri"/>
                <w:color w:val="000000"/>
                <w:sz w:val="16"/>
                <w:szCs w:val="16"/>
              </w:rPr>
            </w:pPr>
            <w:r>
              <w:rPr>
                <w:rFonts w:ascii="Calibri" w:hAnsi="Calibri" w:cs="Calibri"/>
                <w:color w:val="000000"/>
                <w:sz w:val="16"/>
                <w:szCs w:val="16"/>
              </w:rPr>
              <w:lastRenderedPageBreak/>
              <w:t xml:space="preserve">      FIOL - Ferrovia de Integração Oeste-Leste </w:t>
            </w:r>
          </w:p>
        </w:tc>
        <w:tc>
          <w:tcPr>
            <w:tcW w:w="1340" w:type="dxa"/>
            <w:tcBorders>
              <w:top w:val="nil"/>
              <w:left w:val="nil"/>
              <w:bottom w:val="nil"/>
              <w:right w:val="nil"/>
            </w:tcBorders>
            <w:shd w:val="clear" w:color="auto" w:fill="auto"/>
            <w:noWrap/>
            <w:vAlign w:val="center"/>
            <w:hideMark/>
          </w:tcPr>
          <w:p w14:paraId="6CBEB8A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4.128.336</w:t>
            </w:r>
          </w:p>
        </w:tc>
        <w:tc>
          <w:tcPr>
            <w:tcW w:w="1180" w:type="dxa"/>
            <w:tcBorders>
              <w:top w:val="nil"/>
              <w:left w:val="nil"/>
              <w:bottom w:val="nil"/>
              <w:right w:val="nil"/>
            </w:tcBorders>
            <w:shd w:val="clear" w:color="auto" w:fill="auto"/>
            <w:noWrap/>
            <w:vAlign w:val="center"/>
            <w:hideMark/>
          </w:tcPr>
          <w:p w14:paraId="6BBF2E7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2065996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74BB54C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51B0CF0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4.128.336</w:t>
            </w:r>
          </w:p>
        </w:tc>
        <w:tc>
          <w:tcPr>
            <w:tcW w:w="960" w:type="dxa"/>
            <w:tcBorders>
              <w:top w:val="nil"/>
              <w:left w:val="nil"/>
              <w:bottom w:val="nil"/>
              <w:right w:val="nil"/>
            </w:tcBorders>
            <w:shd w:val="clear" w:color="auto" w:fill="auto"/>
            <w:noWrap/>
            <w:vAlign w:val="bottom"/>
            <w:hideMark/>
          </w:tcPr>
          <w:p w14:paraId="070427BA" w14:textId="77777777" w:rsidR="007D5C15" w:rsidRDefault="007D5C15">
            <w:pPr>
              <w:jc w:val="right"/>
              <w:rPr>
                <w:rFonts w:ascii="Calibri" w:hAnsi="Calibri" w:cs="Calibri"/>
                <w:color w:val="000000"/>
                <w:sz w:val="16"/>
                <w:szCs w:val="16"/>
              </w:rPr>
            </w:pPr>
          </w:p>
        </w:tc>
      </w:tr>
      <w:tr w:rsidR="007D5C15" w14:paraId="4633BCCF" w14:textId="77777777" w:rsidTr="007D5C15">
        <w:trPr>
          <w:trHeight w:val="300"/>
        </w:trPr>
        <w:tc>
          <w:tcPr>
            <w:tcW w:w="3280" w:type="dxa"/>
            <w:tcBorders>
              <w:top w:val="nil"/>
              <w:left w:val="nil"/>
              <w:bottom w:val="nil"/>
              <w:right w:val="nil"/>
            </w:tcBorders>
            <w:shd w:val="clear" w:color="auto" w:fill="auto"/>
            <w:noWrap/>
            <w:vAlign w:val="center"/>
            <w:hideMark/>
          </w:tcPr>
          <w:p w14:paraId="2B833A55"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Ferrovia Transcontinental</w:t>
            </w:r>
          </w:p>
        </w:tc>
        <w:tc>
          <w:tcPr>
            <w:tcW w:w="1340" w:type="dxa"/>
            <w:tcBorders>
              <w:top w:val="nil"/>
              <w:left w:val="nil"/>
              <w:bottom w:val="nil"/>
              <w:right w:val="nil"/>
            </w:tcBorders>
            <w:shd w:val="clear" w:color="auto" w:fill="auto"/>
            <w:noWrap/>
            <w:vAlign w:val="center"/>
            <w:hideMark/>
          </w:tcPr>
          <w:p w14:paraId="6461A618"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131.977.882</w:t>
            </w:r>
          </w:p>
        </w:tc>
        <w:tc>
          <w:tcPr>
            <w:tcW w:w="1180" w:type="dxa"/>
            <w:tcBorders>
              <w:top w:val="nil"/>
              <w:left w:val="nil"/>
              <w:bottom w:val="nil"/>
              <w:right w:val="nil"/>
            </w:tcBorders>
            <w:shd w:val="clear" w:color="auto" w:fill="auto"/>
            <w:noWrap/>
            <w:vAlign w:val="center"/>
            <w:hideMark/>
          </w:tcPr>
          <w:p w14:paraId="112DD10C" w14:textId="075BA775" w:rsidR="007D5C15" w:rsidRDefault="0076757E">
            <w:pPr>
              <w:jc w:val="right"/>
              <w:rPr>
                <w:rFonts w:ascii="Calibri" w:hAnsi="Calibri" w:cs="Calibri"/>
                <w:color w:val="000000"/>
                <w:sz w:val="16"/>
                <w:szCs w:val="16"/>
              </w:rPr>
            </w:pPr>
            <w:r>
              <w:rPr>
                <w:rFonts w:ascii="Calibri" w:hAnsi="Calibri" w:cs="Calibri"/>
                <w:color w:val="000000"/>
                <w:sz w:val="16"/>
                <w:szCs w:val="16"/>
              </w:rPr>
              <w:t>7.6</w:t>
            </w:r>
            <w:r w:rsidR="00D84A3D">
              <w:rPr>
                <w:rFonts w:ascii="Calibri" w:hAnsi="Calibri" w:cs="Calibri"/>
                <w:color w:val="000000"/>
                <w:sz w:val="16"/>
                <w:szCs w:val="16"/>
              </w:rPr>
              <w:t>6</w:t>
            </w:r>
            <w:r>
              <w:rPr>
                <w:rFonts w:ascii="Calibri" w:hAnsi="Calibri" w:cs="Calibri"/>
                <w:color w:val="000000"/>
                <w:sz w:val="16"/>
                <w:szCs w:val="16"/>
              </w:rPr>
              <w:t>4</w:t>
            </w:r>
          </w:p>
        </w:tc>
        <w:tc>
          <w:tcPr>
            <w:tcW w:w="1100" w:type="dxa"/>
            <w:tcBorders>
              <w:top w:val="nil"/>
              <w:left w:val="nil"/>
              <w:bottom w:val="nil"/>
              <w:right w:val="nil"/>
            </w:tcBorders>
            <w:shd w:val="clear" w:color="auto" w:fill="auto"/>
            <w:noWrap/>
            <w:vAlign w:val="center"/>
            <w:hideMark/>
          </w:tcPr>
          <w:p w14:paraId="25B9632C"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541E501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29F3A301" w14:textId="440F350D" w:rsidR="007D5C15" w:rsidRDefault="0076757E">
            <w:pPr>
              <w:jc w:val="right"/>
              <w:rPr>
                <w:rFonts w:ascii="Calibri" w:hAnsi="Calibri" w:cs="Calibri"/>
                <w:color w:val="000000"/>
                <w:sz w:val="16"/>
                <w:szCs w:val="16"/>
              </w:rPr>
            </w:pPr>
            <w:r>
              <w:rPr>
                <w:rFonts w:ascii="Calibri" w:hAnsi="Calibri" w:cs="Calibri"/>
                <w:color w:val="000000"/>
                <w:sz w:val="16"/>
                <w:szCs w:val="16"/>
              </w:rPr>
              <w:t>131.985.546</w:t>
            </w:r>
          </w:p>
        </w:tc>
        <w:tc>
          <w:tcPr>
            <w:tcW w:w="960" w:type="dxa"/>
            <w:tcBorders>
              <w:top w:val="nil"/>
              <w:left w:val="nil"/>
              <w:bottom w:val="nil"/>
              <w:right w:val="nil"/>
            </w:tcBorders>
            <w:shd w:val="clear" w:color="auto" w:fill="auto"/>
            <w:noWrap/>
            <w:vAlign w:val="bottom"/>
            <w:hideMark/>
          </w:tcPr>
          <w:p w14:paraId="02C121A1" w14:textId="77777777" w:rsidR="007D5C15" w:rsidRDefault="007D5C15">
            <w:pPr>
              <w:jc w:val="right"/>
              <w:rPr>
                <w:rFonts w:ascii="Calibri" w:hAnsi="Calibri" w:cs="Calibri"/>
                <w:color w:val="000000"/>
                <w:sz w:val="16"/>
                <w:szCs w:val="16"/>
              </w:rPr>
            </w:pPr>
          </w:p>
        </w:tc>
      </w:tr>
      <w:tr w:rsidR="007D5C15" w14:paraId="5C158F91" w14:textId="77777777" w:rsidTr="007D5C15">
        <w:trPr>
          <w:trHeight w:val="300"/>
        </w:trPr>
        <w:tc>
          <w:tcPr>
            <w:tcW w:w="3280" w:type="dxa"/>
            <w:tcBorders>
              <w:top w:val="nil"/>
              <w:left w:val="nil"/>
              <w:bottom w:val="nil"/>
              <w:right w:val="nil"/>
            </w:tcBorders>
            <w:shd w:val="clear" w:color="auto" w:fill="auto"/>
            <w:noWrap/>
            <w:vAlign w:val="center"/>
            <w:hideMark/>
          </w:tcPr>
          <w:p w14:paraId="49DF2831"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Outros Empreendimentos</w:t>
            </w:r>
          </w:p>
        </w:tc>
        <w:tc>
          <w:tcPr>
            <w:tcW w:w="1340" w:type="dxa"/>
            <w:tcBorders>
              <w:top w:val="nil"/>
              <w:left w:val="nil"/>
              <w:bottom w:val="nil"/>
              <w:right w:val="nil"/>
            </w:tcBorders>
            <w:shd w:val="clear" w:color="auto" w:fill="auto"/>
            <w:noWrap/>
            <w:vAlign w:val="center"/>
            <w:hideMark/>
          </w:tcPr>
          <w:p w14:paraId="1115CC3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25.525.087</w:t>
            </w:r>
          </w:p>
        </w:tc>
        <w:tc>
          <w:tcPr>
            <w:tcW w:w="1180" w:type="dxa"/>
            <w:tcBorders>
              <w:top w:val="nil"/>
              <w:left w:val="nil"/>
              <w:bottom w:val="nil"/>
              <w:right w:val="nil"/>
            </w:tcBorders>
            <w:shd w:val="clear" w:color="auto" w:fill="auto"/>
            <w:noWrap/>
            <w:vAlign w:val="center"/>
            <w:hideMark/>
          </w:tcPr>
          <w:p w14:paraId="0C487A2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5383F78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08BBAE18"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23127D1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25.525.087</w:t>
            </w:r>
          </w:p>
        </w:tc>
        <w:tc>
          <w:tcPr>
            <w:tcW w:w="960" w:type="dxa"/>
            <w:tcBorders>
              <w:top w:val="nil"/>
              <w:left w:val="nil"/>
              <w:bottom w:val="nil"/>
              <w:right w:val="nil"/>
            </w:tcBorders>
            <w:shd w:val="clear" w:color="auto" w:fill="auto"/>
            <w:noWrap/>
            <w:vAlign w:val="bottom"/>
            <w:hideMark/>
          </w:tcPr>
          <w:p w14:paraId="175612A2" w14:textId="77777777" w:rsidR="007D5C15" w:rsidRDefault="007D5C15">
            <w:pPr>
              <w:jc w:val="right"/>
              <w:rPr>
                <w:rFonts w:ascii="Calibri" w:hAnsi="Calibri" w:cs="Calibri"/>
                <w:color w:val="000000"/>
                <w:sz w:val="16"/>
                <w:szCs w:val="16"/>
              </w:rPr>
            </w:pPr>
          </w:p>
        </w:tc>
      </w:tr>
      <w:tr w:rsidR="007D5C15" w14:paraId="59BEDBD7" w14:textId="77777777" w:rsidTr="007D5C15">
        <w:trPr>
          <w:trHeight w:val="300"/>
        </w:trPr>
        <w:tc>
          <w:tcPr>
            <w:tcW w:w="3280" w:type="dxa"/>
            <w:tcBorders>
              <w:top w:val="nil"/>
              <w:left w:val="nil"/>
              <w:bottom w:val="nil"/>
              <w:right w:val="nil"/>
            </w:tcBorders>
            <w:shd w:val="clear" w:color="auto" w:fill="auto"/>
            <w:noWrap/>
            <w:vAlign w:val="center"/>
            <w:hideMark/>
          </w:tcPr>
          <w:p w14:paraId="423188CA" w14:textId="77777777" w:rsidR="007D5C15" w:rsidRDefault="007D5C15">
            <w:pPr>
              <w:rPr>
                <w:rFonts w:ascii="Calibri" w:hAnsi="Calibri" w:cs="Calibri"/>
                <w:color w:val="000000"/>
                <w:sz w:val="16"/>
                <w:szCs w:val="16"/>
              </w:rPr>
            </w:pPr>
            <w:r>
              <w:rPr>
                <w:rFonts w:ascii="Calibri" w:hAnsi="Calibri" w:cs="Calibri"/>
                <w:color w:val="000000"/>
                <w:sz w:val="16"/>
                <w:szCs w:val="16"/>
              </w:rPr>
              <w:t>Implantação - Ferrovias</w:t>
            </w:r>
          </w:p>
        </w:tc>
        <w:tc>
          <w:tcPr>
            <w:tcW w:w="1340" w:type="dxa"/>
            <w:tcBorders>
              <w:top w:val="nil"/>
              <w:left w:val="nil"/>
              <w:bottom w:val="nil"/>
              <w:right w:val="nil"/>
            </w:tcBorders>
            <w:shd w:val="clear" w:color="auto" w:fill="auto"/>
            <w:noWrap/>
            <w:vAlign w:val="center"/>
            <w:hideMark/>
          </w:tcPr>
          <w:p w14:paraId="0159826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5.324.234.547</w:t>
            </w:r>
          </w:p>
        </w:tc>
        <w:tc>
          <w:tcPr>
            <w:tcW w:w="1180" w:type="dxa"/>
            <w:tcBorders>
              <w:top w:val="nil"/>
              <w:left w:val="nil"/>
              <w:bottom w:val="nil"/>
              <w:right w:val="nil"/>
            </w:tcBorders>
            <w:shd w:val="clear" w:color="auto" w:fill="auto"/>
            <w:noWrap/>
            <w:vAlign w:val="center"/>
            <w:hideMark/>
          </w:tcPr>
          <w:p w14:paraId="61ED6FA7" w14:textId="318CD86A" w:rsidR="007D5C15" w:rsidRDefault="0076757E">
            <w:pPr>
              <w:jc w:val="right"/>
              <w:rPr>
                <w:rFonts w:ascii="Calibri" w:hAnsi="Calibri" w:cs="Calibri"/>
                <w:color w:val="000000"/>
                <w:sz w:val="16"/>
                <w:szCs w:val="16"/>
              </w:rPr>
            </w:pPr>
            <w:r>
              <w:rPr>
                <w:rFonts w:ascii="Calibri" w:hAnsi="Calibri" w:cs="Calibri"/>
                <w:color w:val="000000"/>
                <w:sz w:val="16"/>
                <w:szCs w:val="16"/>
              </w:rPr>
              <w:t>149.511.67</w:t>
            </w:r>
            <w:r w:rsidR="006D5717">
              <w:rPr>
                <w:rFonts w:ascii="Calibri" w:hAnsi="Calibri" w:cs="Calibri"/>
                <w:color w:val="000000"/>
                <w:sz w:val="16"/>
                <w:szCs w:val="16"/>
              </w:rPr>
              <w:t>3</w:t>
            </w:r>
          </w:p>
        </w:tc>
        <w:tc>
          <w:tcPr>
            <w:tcW w:w="1100" w:type="dxa"/>
            <w:tcBorders>
              <w:top w:val="nil"/>
              <w:left w:val="nil"/>
              <w:bottom w:val="nil"/>
              <w:right w:val="nil"/>
            </w:tcBorders>
            <w:shd w:val="clear" w:color="auto" w:fill="auto"/>
            <w:noWrap/>
            <w:vAlign w:val="center"/>
            <w:hideMark/>
          </w:tcPr>
          <w:p w14:paraId="6CE154A0" w14:textId="70B3BE17"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163</w:t>
            </w:r>
            <w:r>
              <w:rPr>
                <w:rFonts w:ascii="Calibri" w:hAnsi="Calibri" w:cs="Calibri"/>
                <w:color w:val="000000"/>
                <w:sz w:val="16"/>
                <w:szCs w:val="16"/>
              </w:rPr>
              <w:t>)</w:t>
            </w:r>
          </w:p>
        </w:tc>
        <w:tc>
          <w:tcPr>
            <w:tcW w:w="1220" w:type="dxa"/>
            <w:tcBorders>
              <w:top w:val="nil"/>
              <w:left w:val="nil"/>
              <w:bottom w:val="nil"/>
              <w:right w:val="nil"/>
            </w:tcBorders>
            <w:shd w:val="clear" w:color="auto" w:fill="auto"/>
            <w:noWrap/>
            <w:vAlign w:val="center"/>
            <w:hideMark/>
          </w:tcPr>
          <w:p w14:paraId="1B786634" w14:textId="06F70525"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186.371</w:t>
            </w:r>
            <w:r>
              <w:rPr>
                <w:rFonts w:ascii="Calibri" w:hAnsi="Calibri" w:cs="Calibri"/>
                <w:color w:val="000000"/>
                <w:sz w:val="16"/>
                <w:szCs w:val="16"/>
              </w:rPr>
              <w:t>)</w:t>
            </w:r>
          </w:p>
        </w:tc>
        <w:tc>
          <w:tcPr>
            <w:tcW w:w="1320" w:type="dxa"/>
            <w:tcBorders>
              <w:top w:val="nil"/>
              <w:left w:val="nil"/>
              <w:bottom w:val="nil"/>
              <w:right w:val="nil"/>
            </w:tcBorders>
            <w:shd w:val="clear" w:color="auto" w:fill="auto"/>
            <w:noWrap/>
            <w:vAlign w:val="center"/>
            <w:hideMark/>
          </w:tcPr>
          <w:p w14:paraId="74F597E7" w14:textId="42D673A2" w:rsidR="007D5C15" w:rsidRDefault="0076757E">
            <w:pPr>
              <w:jc w:val="right"/>
              <w:rPr>
                <w:rFonts w:ascii="Calibri" w:hAnsi="Calibri" w:cs="Calibri"/>
                <w:color w:val="000000"/>
                <w:sz w:val="16"/>
                <w:szCs w:val="16"/>
              </w:rPr>
            </w:pPr>
            <w:r>
              <w:rPr>
                <w:rFonts w:ascii="Calibri" w:hAnsi="Calibri" w:cs="Calibri"/>
                <w:color w:val="000000"/>
                <w:sz w:val="16"/>
                <w:szCs w:val="16"/>
              </w:rPr>
              <w:t>5.</w:t>
            </w:r>
            <w:r w:rsidR="00A83503">
              <w:rPr>
                <w:rFonts w:ascii="Calibri" w:hAnsi="Calibri" w:cs="Calibri"/>
                <w:color w:val="000000"/>
                <w:sz w:val="16"/>
                <w:szCs w:val="16"/>
              </w:rPr>
              <w:t>473.559.68</w:t>
            </w:r>
            <w:r w:rsidR="006D5717">
              <w:rPr>
                <w:rFonts w:ascii="Calibri" w:hAnsi="Calibri" w:cs="Calibri"/>
                <w:color w:val="000000"/>
                <w:sz w:val="16"/>
                <w:szCs w:val="16"/>
              </w:rPr>
              <w:t>6</w:t>
            </w:r>
          </w:p>
        </w:tc>
        <w:tc>
          <w:tcPr>
            <w:tcW w:w="960" w:type="dxa"/>
            <w:tcBorders>
              <w:top w:val="nil"/>
              <w:left w:val="nil"/>
              <w:bottom w:val="nil"/>
              <w:right w:val="nil"/>
            </w:tcBorders>
            <w:shd w:val="clear" w:color="auto" w:fill="auto"/>
            <w:noWrap/>
            <w:vAlign w:val="bottom"/>
            <w:hideMark/>
          </w:tcPr>
          <w:p w14:paraId="0CD16FE8" w14:textId="77777777" w:rsidR="007D5C15" w:rsidRDefault="007D5C15">
            <w:pPr>
              <w:jc w:val="right"/>
              <w:rPr>
                <w:rFonts w:ascii="Calibri" w:hAnsi="Calibri" w:cs="Calibri"/>
                <w:color w:val="000000"/>
                <w:sz w:val="16"/>
                <w:szCs w:val="16"/>
              </w:rPr>
            </w:pPr>
          </w:p>
        </w:tc>
      </w:tr>
      <w:tr w:rsidR="007D5C15" w14:paraId="64D7761E" w14:textId="77777777" w:rsidTr="007D5C15">
        <w:trPr>
          <w:trHeight w:val="300"/>
        </w:trPr>
        <w:tc>
          <w:tcPr>
            <w:tcW w:w="3280" w:type="dxa"/>
            <w:tcBorders>
              <w:top w:val="nil"/>
              <w:left w:val="nil"/>
              <w:bottom w:val="nil"/>
              <w:right w:val="nil"/>
            </w:tcBorders>
            <w:shd w:val="clear" w:color="auto" w:fill="auto"/>
            <w:noWrap/>
            <w:vAlign w:val="center"/>
            <w:hideMark/>
          </w:tcPr>
          <w:p w14:paraId="0A04A8AA"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340" w:type="dxa"/>
            <w:tcBorders>
              <w:top w:val="nil"/>
              <w:left w:val="nil"/>
              <w:bottom w:val="nil"/>
              <w:right w:val="nil"/>
            </w:tcBorders>
            <w:shd w:val="clear" w:color="auto" w:fill="auto"/>
            <w:noWrap/>
            <w:vAlign w:val="center"/>
            <w:hideMark/>
          </w:tcPr>
          <w:p w14:paraId="6FC7484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80" w:type="dxa"/>
            <w:tcBorders>
              <w:top w:val="nil"/>
              <w:left w:val="nil"/>
              <w:bottom w:val="nil"/>
              <w:right w:val="nil"/>
            </w:tcBorders>
            <w:shd w:val="clear" w:color="auto" w:fill="auto"/>
            <w:noWrap/>
            <w:vAlign w:val="center"/>
            <w:hideMark/>
          </w:tcPr>
          <w:p w14:paraId="4B2C2F9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792BB535"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1CD3B94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0177989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960" w:type="dxa"/>
            <w:tcBorders>
              <w:top w:val="nil"/>
              <w:left w:val="nil"/>
              <w:bottom w:val="nil"/>
              <w:right w:val="nil"/>
            </w:tcBorders>
            <w:shd w:val="clear" w:color="auto" w:fill="auto"/>
            <w:noWrap/>
            <w:vAlign w:val="bottom"/>
            <w:hideMark/>
          </w:tcPr>
          <w:p w14:paraId="64246F87" w14:textId="77777777" w:rsidR="007D5C15" w:rsidRDefault="007D5C15">
            <w:pPr>
              <w:jc w:val="right"/>
              <w:rPr>
                <w:rFonts w:ascii="Calibri" w:hAnsi="Calibri" w:cs="Calibri"/>
                <w:color w:val="000000"/>
                <w:sz w:val="16"/>
                <w:szCs w:val="16"/>
              </w:rPr>
            </w:pPr>
          </w:p>
        </w:tc>
      </w:tr>
      <w:tr w:rsidR="007D5C15" w14:paraId="060CB062" w14:textId="77777777" w:rsidTr="007D5C15">
        <w:trPr>
          <w:trHeight w:val="300"/>
        </w:trPr>
        <w:tc>
          <w:tcPr>
            <w:tcW w:w="3280" w:type="dxa"/>
            <w:tcBorders>
              <w:top w:val="nil"/>
              <w:left w:val="nil"/>
              <w:bottom w:val="nil"/>
              <w:right w:val="nil"/>
            </w:tcBorders>
            <w:shd w:val="clear" w:color="auto" w:fill="auto"/>
            <w:noWrap/>
            <w:vAlign w:val="center"/>
            <w:hideMark/>
          </w:tcPr>
          <w:p w14:paraId="38DB4DAB"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FNS - Ouro Verde/GO - Estrela D'Oeste/SP</w:t>
            </w:r>
          </w:p>
        </w:tc>
        <w:tc>
          <w:tcPr>
            <w:tcW w:w="1340" w:type="dxa"/>
            <w:tcBorders>
              <w:top w:val="nil"/>
              <w:left w:val="nil"/>
              <w:bottom w:val="nil"/>
              <w:right w:val="nil"/>
            </w:tcBorders>
            <w:shd w:val="clear" w:color="auto" w:fill="auto"/>
            <w:noWrap/>
            <w:vAlign w:val="center"/>
            <w:hideMark/>
          </w:tcPr>
          <w:p w14:paraId="503F5AC2"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49.144.521</w:t>
            </w:r>
          </w:p>
        </w:tc>
        <w:tc>
          <w:tcPr>
            <w:tcW w:w="1180" w:type="dxa"/>
            <w:tcBorders>
              <w:top w:val="nil"/>
              <w:left w:val="nil"/>
              <w:bottom w:val="nil"/>
              <w:right w:val="nil"/>
            </w:tcBorders>
            <w:shd w:val="clear" w:color="auto" w:fill="auto"/>
            <w:noWrap/>
            <w:vAlign w:val="center"/>
            <w:hideMark/>
          </w:tcPr>
          <w:p w14:paraId="2989A2D0" w14:textId="505DF4E1" w:rsidR="007D5C15" w:rsidRDefault="00A83503">
            <w:pPr>
              <w:jc w:val="right"/>
              <w:rPr>
                <w:rFonts w:ascii="Calibri" w:hAnsi="Calibri" w:cs="Calibri"/>
                <w:color w:val="000000"/>
                <w:sz w:val="16"/>
                <w:szCs w:val="16"/>
              </w:rPr>
            </w:pPr>
            <w:r>
              <w:rPr>
                <w:rFonts w:ascii="Calibri" w:hAnsi="Calibri" w:cs="Calibri"/>
                <w:color w:val="000000"/>
                <w:sz w:val="16"/>
                <w:szCs w:val="16"/>
              </w:rPr>
              <w:t>6.231.090</w:t>
            </w:r>
          </w:p>
        </w:tc>
        <w:tc>
          <w:tcPr>
            <w:tcW w:w="1100" w:type="dxa"/>
            <w:tcBorders>
              <w:top w:val="nil"/>
              <w:left w:val="nil"/>
              <w:bottom w:val="nil"/>
              <w:right w:val="nil"/>
            </w:tcBorders>
            <w:shd w:val="clear" w:color="auto" w:fill="auto"/>
            <w:noWrap/>
            <w:vAlign w:val="center"/>
            <w:hideMark/>
          </w:tcPr>
          <w:p w14:paraId="2037D35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18B378E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38326759" w14:textId="7B031EAB" w:rsidR="007D5C15" w:rsidRDefault="00A83503">
            <w:pPr>
              <w:jc w:val="right"/>
              <w:rPr>
                <w:rFonts w:ascii="Calibri" w:hAnsi="Calibri" w:cs="Calibri"/>
                <w:color w:val="000000"/>
                <w:sz w:val="16"/>
                <w:szCs w:val="16"/>
              </w:rPr>
            </w:pPr>
            <w:r>
              <w:rPr>
                <w:rFonts w:ascii="Calibri" w:hAnsi="Calibri" w:cs="Calibri"/>
                <w:color w:val="000000"/>
                <w:sz w:val="16"/>
                <w:szCs w:val="16"/>
              </w:rPr>
              <w:t>55.375.611</w:t>
            </w:r>
          </w:p>
        </w:tc>
        <w:tc>
          <w:tcPr>
            <w:tcW w:w="960" w:type="dxa"/>
            <w:tcBorders>
              <w:top w:val="nil"/>
              <w:left w:val="nil"/>
              <w:bottom w:val="nil"/>
              <w:right w:val="nil"/>
            </w:tcBorders>
            <w:shd w:val="clear" w:color="auto" w:fill="auto"/>
            <w:noWrap/>
            <w:vAlign w:val="bottom"/>
            <w:hideMark/>
          </w:tcPr>
          <w:p w14:paraId="00B39FF8" w14:textId="77777777" w:rsidR="007D5C15" w:rsidRDefault="007D5C15">
            <w:pPr>
              <w:jc w:val="right"/>
              <w:rPr>
                <w:rFonts w:ascii="Calibri" w:hAnsi="Calibri" w:cs="Calibri"/>
                <w:color w:val="000000"/>
                <w:sz w:val="16"/>
                <w:szCs w:val="16"/>
              </w:rPr>
            </w:pPr>
          </w:p>
        </w:tc>
      </w:tr>
      <w:tr w:rsidR="007D5C15" w14:paraId="2A6859CC" w14:textId="77777777" w:rsidTr="007D5C15">
        <w:trPr>
          <w:trHeight w:val="300"/>
        </w:trPr>
        <w:tc>
          <w:tcPr>
            <w:tcW w:w="3280" w:type="dxa"/>
            <w:tcBorders>
              <w:top w:val="nil"/>
              <w:left w:val="nil"/>
              <w:bottom w:val="nil"/>
              <w:right w:val="nil"/>
            </w:tcBorders>
            <w:shd w:val="clear" w:color="auto" w:fill="auto"/>
            <w:noWrap/>
            <w:vAlign w:val="center"/>
            <w:hideMark/>
          </w:tcPr>
          <w:p w14:paraId="2FD7576D"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FIOL - Ferrovia de Integração Oeste-Leste </w:t>
            </w:r>
          </w:p>
        </w:tc>
        <w:tc>
          <w:tcPr>
            <w:tcW w:w="1340" w:type="dxa"/>
            <w:tcBorders>
              <w:top w:val="nil"/>
              <w:left w:val="nil"/>
              <w:bottom w:val="nil"/>
              <w:right w:val="nil"/>
            </w:tcBorders>
            <w:shd w:val="clear" w:color="auto" w:fill="auto"/>
            <w:noWrap/>
            <w:vAlign w:val="center"/>
            <w:hideMark/>
          </w:tcPr>
          <w:p w14:paraId="7341BBE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5.275.090.026</w:t>
            </w:r>
          </w:p>
        </w:tc>
        <w:tc>
          <w:tcPr>
            <w:tcW w:w="1180" w:type="dxa"/>
            <w:tcBorders>
              <w:top w:val="nil"/>
              <w:left w:val="nil"/>
              <w:bottom w:val="nil"/>
              <w:right w:val="nil"/>
            </w:tcBorders>
            <w:shd w:val="clear" w:color="auto" w:fill="auto"/>
            <w:noWrap/>
            <w:vAlign w:val="center"/>
            <w:hideMark/>
          </w:tcPr>
          <w:p w14:paraId="3BD39761" w14:textId="667745A8" w:rsidR="007D5C15" w:rsidRDefault="00A83503">
            <w:pPr>
              <w:jc w:val="right"/>
              <w:rPr>
                <w:rFonts w:ascii="Calibri" w:hAnsi="Calibri" w:cs="Calibri"/>
                <w:color w:val="000000"/>
                <w:sz w:val="16"/>
                <w:szCs w:val="16"/>
              </w:rPr>
            </w:pPr>
            <w:r>
              <w:rPr>
                <w:rFonts w:ascii="Calibri" w:hAnsi="Calibri" w:cs="Calibri"/>
                <w:color w:val="000000"/>
                <w:sz w:val="16"/>
                <w:szCs w:val="16"/>
              </w:rPr>
              <w:t>143.280.58</w:t>
            </w:r>
            <w:r w:rsidR="00E5570F">
              <w:rPr>
                <w:rFonts w:ascii="Calibri" w:hAnsi="Calibri" w:cs="Calibri"/>
                <w:color w:val="000000"/>
                <w:sz w:val="16"/>
                <w:szCs w:val="16"/>
              </w:rPr>
              <w:t>3</w:t>
            </w:r>
          </w:p>
        </w:tc>
        <w:tc>
          <w:tcPr>
            <w:tcW w:w="1100" w:type="dxa"/>
            <w:tcBorders>
              <w:top w:val="nil"/>
              <w:left w:val="nil"/>
              <w:bottom w:val="nil"/>
              <w:right w:val="nil"/>
            </w:tcBorders>
            <w:shd w:val="clear" w:color="auto" w:fill="auto"/>
            <w:noWrap/>
            <w:vAlign w:val="center"/>
            <w:hideMark/>
          </w:tcPr>
          <w:p w14:paraId="3F63347D" w14:textId="04880FFE"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163</w:t>
            </w:r>
            <w:r>
              <w:rPr>
                <w:rFonts w:ascii="Calibri" w:hAnsi="Calibri" w:cs="Calibri"/>
                <w:color w:val="000000"/>
                <w:sz w:val="16"/>
                <w:szCs w:val="16"/>
              </w:rPr>
              <w:t>)</w:t>
            </w:r>
          </w:p>
        </w:tc>
        <w:tc>
          <w:tcPr>
            <w:tcW w:w="1220" w:type="dxa"/>
            <w:tcBorders>
              <w:top w:val="nil"/>
              <w:left w:val="nil"/>
              <w:bottom w:val="nil"/>
              <w:right w:val="nil"/>
            </w:tcBorders>
            <w:shd w:val="clear" w:color="auto" w:fill="auto"/>
            <w:noWrap/>
            <w:vAlign w:val="center"/>
            <w:hideMark/>
          </w:tcPr>
          <w:p w14:paraId="5BE1677D" w14:textId="52DCF4EC"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186.37</w:t>
            </w:r>
            <w:r w:rsidR="00A83503">
              <w:rPr>
                <w:rFonts w:ascii="Calibri" w:hAnsi="Calibri" w:cs="Calibri"/>
                <w:color w:val="000000"/>
                <w:sz w:val="16"/>
                <w:szCs w:val="16"/>
              </w:rPr>
              <w:t>1</w:t>
            </w:r>
            <w:r>
              <w:rPr>
                <w:rFonts w:ascii="Calibri" w:hAnsi="Calibri" w:cs="Calibri"/>
                <w:color w:val="000000"/>
                <w:sz w:val="16"/>
                <w:szCs w:val="16"/>
              </w:rPr>
              <w:t>)</w:t>
            </w:r>
          </w:p>
        </w:tc>
        <w:tc>
          <w:tcPr>
            <w:tcW w:w="1320" w:type="dxa"/>
            <w:tcBorders>
              <w:top w:val="nil"/>
              <w:left w:val="nil"/>
              <w:bottom w:val="nil"/>
              <w:right w:val="nil"/>
            </w:tcBorders>
            <w:shd w:val="clear" w:color="auto" w:fill="auto"/>
            <w:noWrap/>
            <w:vAlign w:val="center"/>
            <w:hideMark/>
          </w:tcPr>
          <w:p w14:paraId="714C1C92" w14:textId="1E4CA013" w:rsidR="007D5C15" w:rsidRDefault="00A83503">
            <w:pPr>
              <w:jc w:val="right"/>
              <w:rPr>
                <w:rFonts w:ascii="Calibri" w:hAnsi="Calibri" w:cs="Calibri"/>
                <w:color w:val="000000"/>
                <w:sz w:val="16"/>
                <w:szCs w:val="16"/>
              </w:rPr>
            </w:pPr>
            <w:r>
              <w:rPr>
                <w:rFonts w:ascii="Calibri" w:hAnsi="Calibri" w:cs="Calibri"/>
                <w:color w:val="000000"/>
                <w:sz w:val="16"/>
                <w:szCs w:val="16"/>
              </w:rPr>
              <w:t>5.418.184.07</w:t>
            </w:r>
            <w:r w:rsidR="00E5570F">
              <w:rPr>
                <w:rFonts w:ascii="Calibri" w:hAnsi="Calibri" w:cs="Calibri"/>
                <w:color w:val="000000"/>
                <w:sz w:val="16"/>
                <w:szCs w:val="16"/>
              </w:rPr>
              <w:t>5</w:t>
            </w:r>
          </w:p>
        </w:tc>
        <w:tc>
          <w:tcPr>
            <w:tcW w:w="960" w:type="dxa"/>
            <w:tcBorders>
              <w:top w:val="nil"/>
              <w:left w:val="nil"/>
              <w:bottom w:val="nil"/>
              <w:right w:val="nil"/>
            </w:tcBorders>
            <w:shd w:val="clear" w:color="auto" w:fill="auto"/>
            <w:noWrap/>
            <w:vAlign w:val="bottom"/>
            <w:hideMark/>
          </w:tcPr>
          <w:p w14:paraId="0FF0F80A" w14:textId="77777777" w:rsidR="007D5C15" w:rsidRDefault="007D5C15">
            <w:pPr>
              <w:jc w:val="right"/>
              <w:rPr>
                <w:rFonts w:ascii="Calibri" w:hAnsi="Calibri" w:cs="Calibri"/>
                <w:color w:val="000000"/>
                <w:sz w:val="16"/>
                <w:szCs w:val="16"/>
              </w:rPr>
            </w:pPr>
          </w:p>
        </w:tc>
      </w:tr>
      <w:tr w:rsidR="007D5C15" w14:paraId="397F1842" w14:textId="77777777" w:rsidTr="007D5C15">
        <w:trPr>
          <w:trHeight w:val="300"/>
        </w:trPr>
        <w:tc>
          <w:tcPr>
            <w:tcW w:w="3280" w:type="dxa"/>
            <w:tcBorders>
              <w:top w:val="nil"/>
              <w:left w:val="nil"/>
              <w:bottom w:val="nil"/>
              <w:right w:val="nil"/>
            </w:tcBorders>
            <w:shd w:val="clear" w:color="auto" w:fill="auto"/>
            <w:noWrap/>
            <w:vAlign w:val="center"/>
            <w:hideMark/>
          </w:tcPr>
          <w:p w14:paraId="0049A980" w14:textId="77777777" w:rsidR="007D5C15" w:rsidRDefault="007D5C15">
            <w:pPr>
              <w:rPr>
                <w:rFonts w:ascii="Calibri" w:hAnsi="Calibri" w:cs="Calibri"/>
                <w:color w:val="000000"/>
                <w:sz w:val="16"/>
                <w:szCs w:val="16"/>
              </w:rPr>
            </w:pPr>
            <w:r>
              <w:rPr>
                <w:rFonts w:ascii="Calibri" w:hAnsi="Calibri" w:cs="Calibri"/>
                <w:color w:val="000000"/>
                <w:sz w:val="16"/>
                <w:szCs w:val="16"/>
              </w:rPr>
              <w:t>Ativos de Concessão</w:t>
            </w:r>
          </w:p>
        </w:tc>
        <w:tc>
          <w:tcPr>
            <w:tcW w:w="1340" w:type="dxa"/>
            <w:tcBorders>
              <w:top w:val="nil"/>
              <w:left w:val="nil"/>
              <w:bottom w:val="nil"/>
              <w:right w:val="nil"/>
            </w:tcBorders>
            <w:shd w:val="clear" w:color="auto" w:fill="auto"/>
            <w:noWrap/>
            <w:vAlign w:val="center"/>
            <w:hideMark/>
          </w:tcPr>
          <w:p w14:paraId="24F8446E" w14:textId="4AFE582E" w:rsidR="007D5C15" w:rsidRDefault="007D5C15">
            <w:pPr>
              <w:jc w:val="right"/>
              <w:rPr>
                <w:rFonts w:ascii="Calibri" w:hAnsi="Calibri" w:cs="Calibri"/>
                <w:color w:val="000000"/>
                <w:sz w:val="16"/>
                <w:szCs w:val="16"/>
              </w:rPr>
            </w:pPr>
            <w:r>
              <w:rPr>
                <w:rFonts w:ascii="Calibri" w:hAnsi="Calibri" w:cs="Calibri"/>
                <w:color w:val="000000"/>
                <w:sz w:val="16"/>
                <w:szCs w:val="16"/>
              </w:rPr>
              <w:t>12.230.673.12</w:t>
            </w:r>
            <w:r w:rsidR="00F16303">
              <w:rPr>
                <w:rFonts w:ascii="Calibri" w:hAnsi="Calibri" w:cs="Calibri"/>
                <w:color w:val="000000"/>
                <w:sz w:val="16"/>
                <w:szCs w:val="16"/>
              </w:rPr>
              <w:t>8</w:t>
            </w:r>
          </w:p>
        </w:tc>
        <w:tc>
          <w:tcPr>
            <w:tcW w:w="1180" w:type="dxa"/>
            <w:tcBorders>
              <w:top w:val="nil"/>
              <w:left w:val="nil"/>
              <w:bottom w:val="nil"/>
              <w:right w:val="nil"/>
            </w:tcBorders>
            <w:shd w:val="clear" w:color="auto" w:fill="auto"/>
            <w:noWrap/>
            <w:vAlign w:val="center"/>
            <w:hideMark/>
          </w:tcPr>
          <w:p w14:paraId="6365FAE4"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5A56D744" w14:textId="42DA339E"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2.151</w:t>
            </w:r>
            <w:r>
              <w:rPr>
                <w:rFonts w:ascii="Calibri" w:hAnsi="Calibri" w:cs="Calibri"/>
                <w:color w:val="000000"/>
                <w:sz w:val="16"/>
                <w:szCs w:val="16"/>
              </w:rPr>
              <w:t>)</w:t>
            </w:r>
          </w:p>
        </w:tc>
        <w:tc>
          <w:tcPr>
            <w:tcW w:w="1220" w:type="dxa"/>
            <w:tcBorders>
              <w:top w:val="nil"/>
              <w:left w:val="nil"/>
              <w:bottom w:val="nil"/>
              <w:right w:val="nil"/>
            </w:tcBorders>
            <w:shd w:val="clear" w:color="auto" w:fill="auto"/>
            <w:noWrap/>
            <w:vAlign w:val="center"/>
            <w:hideMark/>
          </w:tcPr>
          <w:p w14:paraId="508D2EC2"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5347A743" w14:textId="2E24C84E" w:rsidR="007D5C15" w:rsidRDefault="007D5C15">
            <w:pPr>
              <w:jc w:val="right"/>
              <w:rPr>
                <w:rFonts w:ascii="Calibri" w:hAnsi="Calibri" w:cs="Calibri"/>
                <w:color w:val="000000"/>
                <w:sz w:val="16"/>
                <w:szCs w:val="16"/>
              </w:rPr>
            </w:pPr>
            <w:r>
              <w:rPr>
                <w:rFonts w:ascii="Calibri" w:hAnsi="Calibri" w:cs="Calibri"/>
                <w:color w:val="000000"/>
                <w:sz w:val="16"/>
                <w:szCs w:val="16"/>
              </w:rPr>
              <w:t>12.230.670.97</w:t>
            </w:r>
            <w:r w:rsidR="00F16303">
              <w:rPr>
                <w:rFonts w:ascii="Calibri" w:hAnsi="Calibri" w:cs="Calibri"/>
                <w:color w:val="000000"/>
                <w:sz w:val="16"/>
                <w:szCs w:val="16"/>
              </w:rPr>
              <w:t>7</w:t>
            </w:r>
          </w:p>
        </w:tc>
        <w:tc>
          <w:tcPr>
            <w:tcW w:w="960" w:type="dxa"/>
            <w:tcBorders>
              <w:top w:val="nil"/>
              <w:left w:val="nil"/>
              <w:bottom w:val="nil"/>
              <w:right w:val="nil"/>
            </w:tcBorders>
            <w:shd w:val="clear" w:color="auto" w:fill="auto"/>
            <w:noWrap/>
            <w:vAlign w:val="bottom"/>
            <w:hideMark/>
          </w:tcPr>
          <w:p w14:paraId="7EE8868F" w14:textId="77777777" w:rsidR="007D5C15" w:rsidRDefault="007D5C15">
            <w:pPr>
              <w:jc w:val="right"/>
              <w:rPr>
                <w:rFonts w:ascii="Calibri" w:hAnsi="Calibri" w:cs="Calibri"/>
                <w:color w:val="000000"/>
                <w:sz w:val="16"/>
                <w:szCs w:val="16"/>
              </w:rPr>
            </w:pPr>
          </w:p>
        </w:tc>
      </w:tr>
      <w:tr w:rsidR="007D5C15" w14:paraId="317C6064" w14:textId="77777777" w:rsidTr="007D5C15">
        <w:trPr>
          <w:trHeight w:val="300"/>
        </w:trPr>
        <w:tc>
          <w:tcPr>
            <w:tcW w:w="3280" w:type="dxa"/>
            <w:tcBorders>
              <w:top w:val="nil"/>
              <w:left w:val="nil"/>
              <w:bottom w:val="nil"/>
              <w:right w:val="nil"/>
            </w:tcBorders>
            <w:shd w:val="clear" w:color="auto" w:fill="auto"/>
            <w:noWrap/>
            <w:vAlign w:val="center"/>
            <w:hideMark/>
          </w:tcPr>
          <w:p w14:paraId="5BD25CA3"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FNS - Açailândia/MA - Palmas/TO</w:t>
            </w:r>
          </w:p>
        </w:tc>
        <w:tc>
          <w:tcPr>
            <w:tcW w:w="1340" w:type="dxa"/>
            <w:tcBorders>
              <w:top w:val="nil"/>
              <w:left w:val="nil"/>
              <w:bottom w:val="nil"/>
              <w:right w:val="nil"/>
            </w:tcBorders>
            <w:shd w:val="clear" w:color="auto" w:fill="auto"/>
            <w:noWrap/>
            <w:vAlign w:val="center"/>
            <w:hideMark/>
          </w:tcPr>
          <w:p w14:paraId="3038D00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2.606.984.696</w:t>
            </w:r>
          </w:p>
        </w:tc>
        <w:tc>
          <w:tcPr>
            <w:tcW w:w="1180" w:type="dxa"/>
            <w:tcBorders>
              <w:top w:val="nil"/>
              <w:left w:val="nil"/>
              <w:bottom w:val="nil"/>
              <w:right w:val="nil"/>
            </w:tcBorders>
            <w:shd w:val="clear" w:color="auto" w:fill="auto"/>
            <w:noWrap/>
            <w:vAlign w:val="center"/>
            <w:hideMark/>
          </w:tcPr>
          <w:p w14:paraId="0E925FB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206E8C8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4C12E958"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0C8EB2E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2.606.984.696</w:t>
            </w:r>
          </w:p>
        </w:tc>
        <w:tc>
          <w:tcPr>
            <w:tcW w:w="960" w:type="dxa"/>
            <w:tcBorders>
              <w:top w:val="nil"/>
              <w:left w:val="nil"/>
              <w:bottom w:val="nil"/>
              <w:right w:val="nil"/>
            </w:tcBorders>
            <w:shd w:val="clear" w:color="auto" w:fill="auto"/>
            <w:noWrap/>
            <w:vAlign w:val="center"/>
            <w:hideMark/>
          </w:tcPr>
          <w:p w14:paraId="597325C2"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 e 2,86</w:t>
            </w:r>
          </w:p>
        </w:tc>
      </w:tr>
      <w:tr w:rsidR="007D5C15" w14:paraId="23079A14" w14:textId="77777777" w:rsidTr="007D5C15">
        <w:trPr>
          <w:trHeight w:val="300"/>
        </w:trPr>
        <w:tc>
          <w:tcPr>
            <w:tcW w:w="3280" w:type="dxa"/>
            <w:tcBorders>
              <w:top w:val="nil"/>
              <w:left w:val="nil"/>
              <w:bottom w:val="nil"/>
              <w:right w:val="nil"/>
            </w:tcBorders>
            <w:shd w:val="clear" w:color="auto" w:fill="auto"/>
            <w:noWrap/>
            <w:vAlign w:val="center"/>
            <w:hideMark/>
          </w:tcPr>
          <w:p w14:paraId="0B8A98CC"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340" w:type="dxa"/>
            <w:tcBorders>
              <w:top w:val="nil"/>
              <w:left w:val="nil"/>
              <w:bottom w:val="nil"/>
              <w:right w:val="nil"/>
            </w:tcBorders>
            <w:shd w:val="clear" w:color="auto" w:fill="auto"/>
            <w:noWrap/>
            <w:vAlign w:val="center"/>
            <w:hideMark/>
          </w:tcPr>
          <w:p w14:paraId="5F1493F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4.928.867.968</w:t>
            </w:r>
          </w:p>
        </w:tc>
        <w:tc>
          <w:tcPr>
            <w:tcW w:w="1180" w:type="dxa"/>
            <w:tcBorders>
              <w:top w:val="nil"/>
              <w:left w:val="nil"/>
              <w:bottom w:val="nil"/>
              <w:right w:val="nil"/>
            </w:tcBorders>
            <w:shd w:val="clear" w:color="auto" w:fill="auto"/>
            <w:noWrap/>
            <w:vAlign w:val="center"/>
            <w:hideMark/>
          </w:tcPr>
          <w:p w14:paraId="337E2E7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0ACA92F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18748C2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4A31BB7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4.928.867.968</w:t>
            </w:r>
          </w:p>
        </w:tc>
        <w:tc>
          <w:tcPr>
            <w:tcW w:w="960" w:type="dxa"/>
            <w:tcBorders>
              <w:top w:val="nil"/>
              <w:left w:val="nil"/>
              <w:bottom w:val="nil"/>
              <w:right w:val="nil"/>
            </w:tcBorders>
            <w:shd w:val="clear" w:color="auto" w:fill="auto"/>
            <w:noWrap/>
            <w:vAlign w:val="center"/>
            <w:hideMark/>
          </w:tcPr>
          <w:p w14:paraId="70F285E5"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 e 2,86</w:t>
            </w:r>
          </w:p>
        </w:tc>
      </w:tr>
      <w:tr w:rsidR="007D5C15" w14:paraId="177F0033" w14:textId="77777777" w:rsidTr="007D5C15">
        <w:trPr>
          <w:trHeight w:val="300"/>
        </w:trPr>
        <w:tc>
          <w:tcPr>
            <w:tcW w:w="3280" w:type="dxa"/>
            <w:tcBorders>
              <w:top w:val="nil"/>
              <w:left w:val="nil"/>
              <w:bottom w:val="nil"/>
              <w:right w:val="nil"/>
            </w:tcBorders>
            <w:shd w:val="clear" w:color="auto" w:fill="auto"/>
            <w:noWrap/>
            <w:vAlign w:val="center"/>
            <w:hideMark/>
          </w:tcPr>
          <w:p w14:paraId="75AEBCB7"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FNS - Ouro Verde/GO - Estrela D'Oeste/SP</w:t>
            </w:r>
          </w:p>
        </w:tc>
        <w:tc>
          <w:tcPr>
            <w:tcW w:w="1340" w:type="dxa"/>
            <w:tcBorders>
              <w:top w:val="nil"/>
              <w:left w:val="nil"/>
              <w:bottom w:val="nil"/>
              <w:right w:val="nil"/>
            </w:tcBorders>
            <w:shd w:val="clear" w:color="auto" w:fill="auto"/>
            <w:noWrap/>
            <w:vAlign w:val="center"/>
            <w:hideMark/>
          </w:tcPr>
          <w:p w14:paraId="4B8AB55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4.685.811.003</w:t>
            </w:r>
          </w:p>
        </w:tc>
        <w:tc>
          <w:tcPr>
            <w:tcW w:w="1180" w:type="dxa"/>
            <w:tcBorders>
              <w:top w:val="nil"/>
              <w:left w:val="nil"/>
              <w:bottom w:val="nil"/>
              <w:right w:val="nil"/>
            </w:tcBorders>
            <w:shd w:val="clear" w:color="auto" w:fill="auto"/>
            <w:noWrap/>
            <w:vAlign w:val="center"/>
            <w:hideMark/>
          </w:tcPr>
          <w:p w14:paraId="235A8938"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634EE3F0" w14:textId="17D77828"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2.151</w:t>
            </w:r>
            <w:r>
              <w:rPr>
                <w:rFonts w:ascii="Calibri" w:hAnsi="Calibri" w:cs="Calibri"/>
                <w:color w:val="000000"/>
                <w:sz w:val="16"/>
                <w:szCs w:val="16"/>
              </w:rPr>
              <w:t>)</w:t>
            </w:r>
          </w:p>
        </w:tc>
        <w:tc>
          <w:tcPr>
            <w:tcW w:w="1220" w:type="dxa"/>
            <w:tcBorders>
              <w:top w:val="nil"/>
              <w:left w:val="nil"/>
              <w:bottom w:val="nil"/>
              <w:right w:val="nil"/>
            </w:tcBorders>
            <w:shd w:val="clear" w:color="auto" w:fill="auto"/>
            <w:noWrap/>
            <w:vAlign w:val="center"/>
            <w:hideMark/>
          </w:tcPr>
          <w:p w14:paraId="648B49AC"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4E96435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4.685.808.852</w:t>
            </w:r>
          </w:p>
        </w:tc>
        <w:tc>
          <w:tcPr>
            <w:tcW w:w="960" w:type="dxa"/>
            <w:tcBorders>
              <w:top w:val="nil"/>
              <w:left w:val="nil"/>
              <w:bottom w:val="nil"/>
              <w:right w:val="nil"/>
            </w:tcBorders>
            <w:shd w:val="clear" w:color="auto" w:fill="auto"/>
            <w:noWrap/>
            <w:vAlign w:val="bottom"/>
            <w:hideMark/>
          </w:tcPr>
          <w:p w14:paraId="75A35EF6" w14:textId="77777777" w:rsidR="007D5C15" w:rsidRDefault="007D5C15">
            <w:pPr>
              <w:jc w:val="right"/>
              <w:rPr>
                <w:rFonts w:ascii="Calibri" w:hAnsi="Calibri" w:cs="Calibri"/>
                <w:color w:val="000000"/>
                <w:sz w:val="16"/>
                <w:szCs w:val="16"/>
              </w:rPr>
            </w:pPr>
          </w:p>
        </w:tc>
      </w:tr>
      <w:tr w:rsidR="007D5C15" w14:paraId="2A48AE01" w14:textId="77777777" w:rsidTr="007D5C15">
        <w:trPr>
          <w:trHeight w:val="300"/>
        </w:trPr>
        <w:tc>
          <w:tcPr>
            <w:tcW w:w="3280" w:type="dxa"/>
            <w:tcBorders>
              <w:top w:val="nil"/>
              <w:left w:val="nil"/>
              <w:bottom w:val="nil"/>
              <w:right w:val="nil"/>
            </w:tcBorders>
            <w:shd w:val="clear" w:color="auto" w:fill="auto"/>
            <w:noWrap/>
            <w:vAlign w:val="center"/>
            <w:hideMark/>
          </w:tcPr>
          <w:p w14:paraId="7E376FAD"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Pátio Porto Franco</w:t>
            </w:r>
          </w:p>
        </w:tc>
        <w:tc>
          <w:tcPr>
            <w:tcW w:w="1340" w:type="dxa"/>
            <w:tcBorders>
              <w:top w:val="nil"/>
              <w:left w:val="nil"/>
              <w:bottom w:val="nil"/>
              <w:right w:val="nil"/>
            </w:tcBorders>
            <w:shd w:val="clear" w:color="auto" w:fill="auto"/>
            <w:noWrap/>
            <w:vAlign w:val="center"/>
            <w:hideMark/>
          </w:tcPr>
          <w:p w14:paraId="2FC4472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9.009.461</w:t>
            </w:r>
          </w:p>
        </w:tc>
        <w:tc>
          <w:tcPr>
            <w:tcW w:w="1180" w:type="dxa"/>
            <w:tcBorders>
              <w:top w:val="nil"/>
              <w:left w:val="nil"/>
              <w:bottom w:val="nil"/>
              <w:right w:val="nil"/>
            </w:tcBorders>
            <w:shd w:val="clear" w:color="auto" w:fill="auto"/>
            <w:noWrap/>
            <w:vAlign w:val="center"/>
            <w:hideMark/>
          </w:tcPr>
          <w:p w14:paraId="17EB184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310E7B7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13A23AE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51BA60C5"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9.009.461</w:t>
            </w:r>
          </w:p>
        </w:tc>
        <w:tc>
          <w:tcPr>
            <w:tcW w:w="960" w:type="dxa"/>
            <w:tcBorders>
              <w:top w:val="nil"/>
              <w:left w:val="nil"/>
              <w:bottom w:val="nil"/>
              <w:right w:val="nil"/>
            </w:tcBorders>
            <w:shd w:val="clear" w:color="auto" w:fill="auto"/>
            <w:noWrap/>
            <w:vAlign w:val="center"/>
            <w:hideMark/>
          </w:tcPr>
          <w:p w14:paraId="761F4FE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5 a 30</w:t>
            </w:r>
          </w:p>
        </w:tc>
      </w:tr>
      <w:tr w:rsidR="007D5C15" w14:paraId="3F811CE5" w14:textId="77777777" w:rsidTr="007D5C15">
        <w:trPr>
          <w:trHeight w:val="300"/>
        </w:trPr>
        <w:tc>
          <w:tcPr>
            <w:tcW w:w="3280" w:type="dxa"/>
            <w:tcBorders>
              <w:top w:val="nil"/>
              <w:left w:val="nil"/>
              <w:bottom w:val="nil"/>
              <w:right w:val="nil"/>
            </w:tcBorders>
            <w:shd w:val="clear" w:color="auto" w:fill="auto"/>
            <w:noWrap/>
            <w:vAlign w:val="center"/>
            <w:hideMark/>
          </w:tcPr>
          <w:p w14:paraId="41481DA0" w14:textId="77777777" w:rsidR="007D5C15" w:rsidRDefault="007D5C15">
            <w:pPr>
              <w:rPr>
                <w:rFonts w:ascii="Calibri" w:hAnsi="Calibri" w:cs="Calibri"/>
                <w:color w:val="000000"/>
                <w:sz w:val="16"/>
                <w:szCs w:val="16"/>
              </w:rPr>
            </w:pPr>
            <w:r>
              <w:rPr>
                <w:rFonts w:ascii="Calibri" w:hAnsi="Calibri" w:cs="Calibri"/>
                <w:color w:val="000000"/>
                <w:sz w:val="16"/>
                <w:szCs w:val="16"/>
              </w:rPr>
              <w:t>CMT Lei 8.200/91</w:t>
            </w:r>
          </w:p>
        </w:tc>
        <w:tc>
          <w:tcPr>
            <w:tcW w:w="1340" w:type="dxa"/>
            <w:tcBorders>
              <w:top w:val="nil"/>
              <w:left w:val="nil"/>
              <w:bottom w:val="nil"/>
              <w:right w:val="nil"/>
            </w:tcBorders>
            <w:shd w:val="clear" w:color="auto" w:fill="auto"/>
            <w:noWrap/>
            <w:vAlign w:val="center"/>
            <w:hideMark/>
          </w:tcPr>
          <w:p w14:paraId="06A564FC" w14:textId="40FEC22D" w:rsidR="007D5C15" w:rsidRDefault="007D5C15">
            <w:pPr>
              <w:jc w:val="right"/>
              <w:rPr>
                <w:rFonts w:ascii="Calibri" w:hAnsi="Calibri" w:cs="Calibri"/>
                <w:color w:val="000000"/>
                <w:sz w:val="16"/>
                <w:szCs w:val="16"/>
              </w:rPr>
            </w:pPr>
            <w:r>
              <w:rPr>
                <w:rFonts w:ascii="Calibri" w:hAnsi="Calibri" w:cs="Calibri"/>
                <w:color w:val="000000"/>
                <w:sz w:val="16"/>
                <w:szCs w:val="16"/>
              </w:rPr>
              <w:t>283.96</w:t>
            </w:r>
            <w:r w:rsidR="00F16303">
              <w:rPr>
                <w:rFonts w:ascii="Calibri" w:hAnsi="Calibri" w:cs="Calibri"/>
                <w:color w:val="000000"/>
                <w:sz w:val="16"/>
                <w:szCs w:val="16"/>
              </w:rPr>
              <w:t>8</w:t>
            </w:r>
          </w:p>
        </w:tc>
        <w:tc>
          <w:tcPr>
            <w:tcW w:w="1180" w:type="dxa"/>
            <w:tcBorders>
              <w:top w:val="nil"/>
              <w:left w:val="nil"/>
              <w:bottom w:val="nil"/>
              <w:right w:val="nil"/>
            </w:tcBorders>
            <w:shd w:val="clear" w:color="auto" w:fill="auto"/>
            <w:noWrap/>
            <w:vAlign w:val="center"/>
            <w:hideMark/>
          </w:tcPr>
          <w:p w14:paraId="121FD39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6A04281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3C838A1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1D5699D6" w14:textId="35FCA1DC" w:rsidR="007D5C15" w:rsidRDefault="007D5C15">
            <w:pPr>
              <w:jc w:val="right"/>
              <w:rPr>
                <w:rFonts w:ascii="Calibri" w:hAnsi="Calibri" w:cs="Calibri"/>
                <w:color w:val="000000"/>
                <w:sz w:val="16"/>
                <w:szCs w:val="16"/>
              </w:rPr>
            </w:pPr>
            <w:r>
              <w:rPr>
                <w:rFonts w:ascii="Calibri" w:hAnsi="Calibri" w:cs="Calibri"/>
                <w:color w:val="000000"/>
                <w:sz w:val="16"/>
                <w:szCs w:val="16"/>
              </w:rPr>
              <w:t>283.96</w:t>
            </w:r>
            <w:r w:rsidR="00F16303">
              <w:rPr>
                <w:rFonts w:ascii="Calibri" w:hAnsi="Calibri" w:cs="Calibri"/>
                <w:color w:val="000000"/>
                <w:sz w:val="16"/>
                <w:szCs w:val="16"/>
              </w:rPr>
              <w:t>8</w:t>
            </w:r>
          </w:p>
        </w:tc>
        <w:tc>
          <w:tcPr>
            <w:tcW w:w="960" w:type="dxa"/>
            <w:tcBorders>
              <w:top w:val="nil"/>
              <w:left w:val="nil"/>
              <w:bottom w:val="nil"/>
              <w:right w:val="nil"/>
            </w:tcBorders>
            <w:shd w:val="clear" w:color="auto" w:fill="auto"/>
            <w:noWrap/>
            <w:vAlign w:val="bottom"/>
            <w:hideMark/>
          </w:tcPr>
          <w:p w14:paraId="1E5860AA" w14:textId="77777777" w:rsidR="007D5C15" w:rsidRDefault="007D5C15">
            <w:pPr>
              <w:jc w:val="right"/>
              <w:rPr>
                <w:rFonts w:ascii="Calibri" w:hAnsi="Calibri" w:cs="Calibri"/>
                <w:color w:val="000000"/>
                <w:sz w:val="16"/>
                <w:szCs w:val="16"/>
              </w:rPr>
            </w:pPr>
          </w:p>
        </w:tc>
      </w:tr>
      <w:tr w:rsidR="007D5C15" w14:paraId="031252E9" w14:textId="77777777" w:rsidTr="007D5C15">
        <w:trPr>
          <w:trHeight w:val="75"/>
        </w:trPr>
        <w:tc>
          <w:tcPr>
            <w:tcW w:w="3280" w:type="dxa"/>
            <w:tcBorders>
              <w:top w:val="nil"/>
              <w:left w:val="nil"/>
              <w:bottom w:val="nil"/>
              <w:right w:val="nil"/>
            </w:tcBorders>
            <w:shd w:val="clear" w:color="auto" w:fill="auto"/>
            <w:noWrap/>
            <w:vAlign w:val="bottom"/>
            <w:hideMark/>
          </w:tcPr>
          <w:p w14:paraId="573E4D70" w14:textId="77777777" w:rsidR="007D5C15" w:rsidRDefault="007D5C15">
            <w:pPr>
              <w:rPr>
                <w:sz w:val="20"/>
                <w:szCs w:val="20"/>
              </w:rPr>
            </w:pPr>
          </w:p>
        </w:tc>
        <w:tc>
          <w:tcPr>
            <w:tcW w:w="1340" w:type="dxa"/>
            <w:tcBorders>
              <w:top w:val="nil"/>
              <w:left w:val="nil"/>
              <w:bottom w:val="nil"/>
              <w:right w:val="nil"/>
            </w:tcBorders>
            <w:shd w:val="clear" w:color="auto" w:fill="auto"/>
            <w:noWrap/>
            <w:vAlign w:val="bottom"/>
            <w:hideMark/>
          </w:tcPr>
          <w:p w14:paraId="0C2DB023" w14:textId="77777777" w:rsidR="007D5C15" w:rsidRDefault="007D5C15">
            <w:pPr>
              <w:rPr>
                <w:sz w:val="20"/>
                <w:szCs w:val="20"/>
              </w:rPr>
            </w:pPr>
          </w:p>
        </w:tc>
        <w:tc>
          <w:tcPr>
            <w:tcW w:w="1180" w:type="dxa"/>
            <w:tcBorders>
              <w:top w:val="nil"/>
              <w:left w:val="nil"/>
              <w:bottom w:val="nil"/>
              <w:right w:val="nil"/>
            </w:tcBorders>
            <w:shd w:val="clear" w:color="auto" w:fill="auto"/>
            <w:noWrap/>
            <w:vAlign w:val="bottom"/>
            <w:hideMark/>
          </w:tcPr>
          <w:p w14:paraId="4FCAD826" w14:textId="77777777" w:rsidR="007D5C15" w:rsidRDefault="007D5C15">
            <w:pPr>
              <w:rPr>
                <w:sz w:val="20"/>
                <w:szCs w:val="20"/>
              </w:rPr>
            </w:pPr>
          </w:p>
        </w:tc>
        <w:tc>
          <w:tcPr>
            <w:tcW w:w="1100" w:type="dxa"/>
            <w:tcBorders>
              <w:top w:val="nil"/>
              <w:left w:val="nil"/>
              <w:bottom w:val="nil"/>
              <w:right w:val="nil"/>
            </w:tcBorders>
            <w:shd w:val="clear" w:color="auto" w:fill="auto"/>
            <w:noWrap/>
            <w:vAlign w:val="bottom"/>
            <w:hideMark/>
          </w:tcPr>
          <w:p w14:paraId="33D314CE" w14:textId="77777777" w:rsidR="007D5C15" w:rsidRDefault="007D5C15">
            <w:pPr>
              <w:rPr>
                <w:sz w:val="20"/>
                <w:szCs w:val="20"/>
              </w:rPr>
            </w:pPr>
          </w:p>
        </w:tc>
        <w:tc>
          <w:tcPr>
            <w:tcW w:w="1220" w:type="dxa"/>
            <w:tcBorders>
              <w:top w:val="nil"/>
              <w:left w:val="nil"/>
              <w:bottom w:val="nil"/>
              <w:right w:val="nil"/>
            </w:tcBorders>
            <w:shd w:val="clear" w:color="auto" w:fill="auto"/>
            <w:noWrap/>
            <w:vAlign w:val="bottom"/>
            <w:hideMark/>
          </w:tcPr>
          <w:p w14:paraId="43D1E4FF" w14:textId="77777777" w:rsidR="007D5C15" w:rsidRDefault="007D5C15">
            <w:pPr>
              <w:rPr>
                <w:sz w:val="20"/>
                <w:szCs w:val="20"/>
              </w:rPr>
            </w:pPr>
          </w:p>
        </w:tc>
        <w:tc>
          <w:tcPr>
            <w:tcW w:w="1320" w:type="dxa"/>
            <w:tcBorders>
              <w:top w:val="nil"/>
              <w:left w:val="nil"/>
              <w:bottom w:val="nil"/>
              <w:right w:val="nil"/>
            </w:tcBorders>
            <w:shd w:val="clear" w:color="auto" w:fill="auto"/>
            <w:noWrap/>
            <w:vAlign w:val="bottom"/>
            <w:hideMark/>
          </w:tcPr>
          <w:p w14:paraId="664AF362" w14:textId="77777777" w:rsidR="007D5C15" w:rsidRDefault="007D5C15">
            <w:pPr>
              <w:rPr>
                <w:sz w:val="20"/>
                <w:szCs w:val="20"/>
              </w:rPr>
            </w:pPr>
          </w:p>
        </w:tc>
        <w:tc>
          <w:tcPr>
            <w:tcW w:w="960" w:type="dxa"/>
            <w:tcBorders>
              <w:top w:val="nil"/>
              <w:left w:val="nil"/>
              <w:bottom w:val="nil"/>
              <w:right w:val="nil"/>
            </w:tcBorders>
            <w:shd w:val="clear" w:color="auto" w:fill="auto"/>
            <w:noWrap/>
            <w:vAlign w:val="bottom"/>
            <w:hideMark/>
          </w:tcPr>
          <w:p w14:paraId="6467F441" w14:textId="77777777" w:rsidR="007D5C15" w:rsidRDefault="007D5C15">
            <w:pPr>
              <w:rPr>
                <w:sz w:val="20"/>
                <w:szCs w:val="20"/>
              </w:rPr>
            </w:pPr>
          </w:p>
        </w:tc>
      </w:tr>
      <w:tr w:rsidR="007D5C15" w14:paraId="5A9D7E48" w14:textId="77777777" w:rsidTr="007D5C15">
        <w:trPr>
          <w:trHeight w:val="315"/>
        </w:trPr>
        <w:tc>
          <w:tcPr>
            <w:tcW w:w="3280" w:type="dxa"/>
            <w:tcBorders>
              <w:top w:val="single" w:sz="8" w:space="0" w:color="auto"/>
              <w:left w:val="nil"/>
              <w:bottom w:val="single" w:sz="8" w:space="0" w:color="auto"/>
              <w:right w:val="nil"/>
            </w:tcBorders>
            <w:shd w:val="clear" w:color="auto" w:fill="auto"/>
            <w:noWrap/>
            <w:vAlign w:val="center"/>
            <w:hideMark/>
          </w:tcPr>
          <w:p w14:paraId="71035A55"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Total Bens Imóveis (2)</w:t>
            </w:r>
          </w:p>
        </w:tc>
        <w:tc>
          <w:tcPr>
            <w:tcW w:w="1340" w:type="dxa"/>
            <w:tcBorders>
              <w:top w:val="single" w:sz="8" w:space="0" w:color="auto"/>
              <w:left w:val="nil"/>
              <w:bottom w:val="single" w:sz="8" w:space="0" w:color="auto"/>
              <w:right w:val="nil"/>
            </w:tcBorders>
            <w:shd w:val="clear" w:color="auto" w:fill="auto"/>
            <w:noWrap/>
            <w:vAlign w:val="center"/>
            <w:hideMark/>
          </w:tcPr>
          <w:p w14:paraId="28AD56BC" w14:textId="5C2D5DDD"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18.128.025.42</w:t>
            </w:r>
            <w:r w:rsidR="00A02464">
              <w:rPr>
                <w:rFonts w:ascii="Calibri" w:hAnsi="Calibri" w:cs="Calibri"/>
                <w:b/>
                <w:bCs/>
                <w:color w:val="000000"/>
                <w:sz w:val="16"/>
                <w:szCs w:val="16"/>
              </w:rPr>
              <w:t>2</w:t>
            </w:r>
          </w:p>
        </w:tc>
        <w:tc>
          <w:tcPr>
            <w:tcW w:w="1180" w:type="dxa"/>
            <w:tcBorders>
              <w:top w:val="single" w:sz="8" w:space="0" w:color="auto"/>
              <w:left w:val="nil"/>
              <w:bottom w:val="single" w:sz="8" w:space="0" w:color="auto"/>
              <w:right w:val="nil"/>
            </w:tcBorders>
            <w:shd w:val="clear" w:color="auto" w:fill="auto"/>
            <w:noWrap/>
            <w:vAlign w:val="center"/>
            <w:hideMark/>
          </w:tcPr>
          <w:p w14:paraId="1CE52B69" w14:textId="1FEE171D" w:rsidR="007D5C15" w:rsidRDefault="00A83503">
            <w:pPr>
              <w:jc w:val="right"/>
              <w:rPr>
                <w:rFonts w:ascii="Calibri" w:hAnsi="Calibri" w:cs="Calibri"/>
                <w:b/>
                <w:bCs/>
                <w:color w:val="000000"/>
                <w:sz w:val="16"/>
                <w:szCs w:val="16"/>
              </w:rPr>
            </w:pPr>
            <w:r>
              <w:rPr>
                <w:rFonts w:ascii="Calibri" w:hAnsi="Calibri" w:cs="Calibri"/>
                <w:b/>
                <w:bCs/>
                <w:color w:val="000000"/>
                <w:sz w:val="16"/>
                <w:szCs w:val="16"/>
              </w:rPr>
              <w:t>150.536.488</w:t>
            </w:r>
          </w:p>
        </w:tc>
        <w:tc>
          <w:tcPr>
            <w:tcW w:w="1100" w:type="dxa"/>
            <w:tcBorders>
              <w:top w:val="single" w:sz="8" w:space="0" w:color="auto"/>
              <w:left w:val="nil"/>
              <w:bottom w:val="single" w:sz="8" w:space="0" w:color="auto"/>
              <w:right w:val="nil"/>
            </w:tcBorders>
            <w:shd w:val="clear" w:color="auto" w:fill="auto"/>
            <w:noWrap/>
            <w:vAlign w:val="center"/>
            <w:hideMark/>
          </w:tcPr>
          <w:p w14:paraId="1EBF2F11" w14:textId="52ADE9FE"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874.120</w:t>
            </w:r>
            <w:r>
              <w:rPr>
                <w:rFonts w:ascii="Calibri" w:hAnsi="Calibri" w:cs="Calibri"/>
                <w:b/>
                <w:bCs/>
                <w:color w:val="000000"/>
                <w:sz w:val="16"/>
                <w:szCs w:val="16"/>
              </w:rPr>
              <w:t>)</w:t>
            </w:r>
          </w:p>
        </w:tc>
        <w:tc>
          <w:tcPr>
            <w:tcW w:w="1220" w:type="dxa"/>
            <w:tcBorders>
              <w:top w:val="single" w:sz="8" w:space="0" w:color="auto"/>
              <w:left w:val="nil"/>
              <w:bottom w:val="single" w:sz="8" w:space="0" w:color="auto"/>
              <w:right w:val="nil"/>
            </w:tcBorders>
            <w:shd w:val="clear" w:color="auto" w:fill="auto"/>
            <w:noWrap/>
            <w:vAlign w:val="center"/>
            <w:hideMark/>
          </w:tcPr>
          <w:p w14:paraId="277D6370" w14:textId="161FAC2E"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186.371</w:t>
            </w:r>
            <w:r>
              <w:rPr>
                <w:rFonts w:ascii="Calibri" w:hAnsi="Calibri" w:cs="Calibri"/>
                <w:b/>
                <w:bCs/>
                <w:color w:val="000000"/>
                <w:sz w:val="16"/>
                <w:szCs w:val="16"/>
              </w:rPr>
              <w:t>)</w:t>
            </w:r>
          </w:p>
        </w:tc>
        <w:tc>
          <w:tcPr>
            <w:tcW w:w="1320" w:type="dxa"/>
            <w:tcBorders>
              <w:top w:val="single" w:sz="8" w:space="0" w:color="auto"/>
              <w:left w:val="nil"/>
              <w:bottom w:val="single" w:sz="8" w:space="0" w:color="auto"/>
              <w:right w:val="nil"/>
            </w:tcBorders>
            <w:shd w:val="clear" w:color="auto" w:fill="auto"/>
            <w:noWrap/>
            <w:vAlign w:val="center"/>
            <w:hideMark/>
          </w:tcPr>
          <w:p w14:paraId="105C8560" w14:textId="7F67A224" w:rsidR="007D5C15" w:rsidRDefault="00A02464">
            <w:pPr>
              <w:jc w:val="right"/>
              <w:rPr>
                <w:rFonts w:ascii="Calibri" w:hAnsi="Calibri" w:cs="Calibri"/>
                <w:b/>
                <w:bCs/>
                <w:color w:val="000000"/>
                <w:sz w:val="16"/>
                <w:szCs w:val="16"/>
              </w:rPr>
            </w:pPr>
            <w:r>
              <w:rPr>
                <w:rFonts w:ascii="Calibri" w:hAnsi="Calibri" w:cs="Calibri"/>
                <w:b/>
                <w:bCs/>
                <w:color w:val="000000"/>
                <w:sz w:val="16"/>
                <w:szCs w:val="16"/>
              </w:rPr>
              <w:t>18.277.501.</w:t>
            </w:r>
            <w:r w:rsidR="00D84A3D">
              <w:rPr>
                <w:rFonts w:ascii="Calibri" w:hAnsi="Calibri" w:cs="Calibri"/>
                <w:b/>
                <w:bCs/>
                <w:color w:val="000000"/>
                <w:sz w:val="16"/>
                <w:szCs w:val="16"/>
              </w:rPr>
              <w:t>4</w:t>
            </w:r>
            <w:r>
              <w:rPr>
                <w:rFonts w:ascii="Calibri" w:hAnsi="Calibri" w:cs="Calibri"/>
                <w:b/>
                <w:bCs/>
                <w:color w:val="000000"/>
                <w:sz w:val="16"/>
                <w:szCs w:val="16"/>
              </w:rPr>
              <w:t>1</w:t>
            </w:r>
            <w:r w:rsidR="00E5570F">
              <w:rPr>
                <w:rFonts w:ascii="Calibri" w:hAnsi="Calibri" w:cs="Calibri"/>
                <w:b/>
                <w:bCs/>
                <w:color w:val="000000"/>
                <w:sz w:val="16"/>
                <w:szCs w:val="16"/>
              </w:rPr>
              <w:t>8</w:t>
            </w:r>
          </w:p>
        </w:tc>
        <w:tc>
          <w:tcPr>
            <w:tcW w:w="960" w:type="dxa"/>
            <w:tcBorders>
              <w:top w:val="single" w:sz="8" w:space="0" w:color="auto"/>
              <w:left w:val="nil"/>
              <w:bottom w:val="single" w:sz="8" w:space="0" w:color="auto"/>
              <w:right w:val="nil"/>
            </w:tcBorders>
            <w:shd w:val="clear" w:color="auto" w:fill="auto"/>
            <w:noWrap/>
            <w:vAlign w:val="center"/>
            <w:hideMark/>
          </w:tcPr>
          <w:p w14:paraId="48756481"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w:t>
            </w:r>
          </w:p>
        </w:tc>
      </w:tr>
      <w:tr w:rsidR="007D5C15" w14:paraId="708CE1A1" w14:textId="77777777" w:rsidTr="007D5C15">
        <w:trPr>
          <w:trHeight w:val="120"/>
        </w:trPr>
        <w:tc>
          <w:tcPr>
            <w:tcW w:w="3280" w:type="dxa"/>
            <w:tcBorders>
              <w:top w:val="nil"/>
              <w:left w:val="nil"/>
              <w:bottom w:val="nil"/>
              <w:right w:val="nil"/>
            </w:tcBorders>
            <w:shd w:val="clear" w:color="auto" w:fill="auto"/>
            <w:noWrap/>
            <w:vAlign w:val="bottom"/>
            <w:hideMark/>
          </w:tcPr>
          <w:p w14:paraId="67026CB1" w14:textId="77777777" w:rsidR="007D5C15" w:rsidRDefault="007D5C15">
            <w:pPr>
              <w:jc w:val="right"/>
              <w:rPr>
                <w:rFonts w:ascii="Calibri" w:hAnsi="Calibri" w:cs="Calibri"/>
                <w:b/>
                <w:bCs/>
                <w:color w:val="000000"/>
                <w:sz w:val="16"/>
                <w:szCs w:val="16"/>
              </w:rPr>
            </w:pPr>
          </w:p>
        </w:tc>
        <w:tc>
          <w:tcPr>
            <w:tcW w:w="1340" w:type="dxa"/>
            <w:tcBorders>
              <w:top w:val="nil"/>
              <w:left w:val="nil"/>
              <w:bottom w:val="nil"/>
              <w:right w:val="nil"/>
            </w:tcBorders>
            <w:shd w:val="clear" w:color="auto" w:fill="auto"/>
            <w:noWrap/>
            <w:vAlign w:val="bottom"/>
            <w:hideMark/>
          </w:tcPr>
          <w:p w14:paraId="6310A8A7" w14:textId="77777777" w:rsidR="007D5C15" w:rsidRDefault="007D5C15">
            <w:pPr>
              <w:rPr>
                <w:sz w:val="20"/>
                <w:szCs w:val="20"/>
              </w:rPr>
            </w:pPr>
          </w:p>
        </w:tc>
        <w:tc>
          <w:tcPr>
            <w:tcW w:w="1180" w:type="dxa"/>
            <w:tcBorders>
              <w:top w:val="nil"/>
              <w:left w:val="nil"/>
              <w:bottom w:val="nil"/>
              <w:right w:val="nil"/>
            </w:tcBorders>
            <w:shd w:val="clear" w:color="auto" w:fill="auto"/>
            <w:noWrap/>
            <w:vAlign w:val="bottom"/>
            <w:hideMark/>
          </w:tcPr>
          <w:p w14:paraId="1122ED28" w14:textId="77777777" w:rsidR="007D5C15" w:rsidRDefault="007D5C15">
            <w:pPr>
              <w:rPr>
                <w:sz w:val="20"/>
                <w:szCs w:val="20"/>
              </w:rPr>
            </w:pPr>
          </w:p>
        </w:tc>
        <w:tc>
          <w:tcPr>
            <w:tcW w:w="1100" w:type="dxa"/>
            <w:tcBorders>
              <w:top w:val="nil"/>
              <w:left w:val="nil"/>
              <w:bottom w:val="nil"/>
              <w:right w:val="nil"/>
            </w:tcBorders>
            <w:shd w:val="clear" w:color="auto" w:fill="auto"/>
            <w:noWrap/>
            <w:vAlign w:val="bottom"/>
            <w:hideMark/>
          </w:tcPr>
          <w:p w14:paraId="03F0CCE2" w14:textId="77777777" w:rsidR="007D5C15" w:rsidRDefault="007D5C15">
            <w:pPr>
              <w:rPr>
                <w:sz w:val="20"/>
                <w:szCs w:val="20"/>
              </w:rPr>
            </w:pPr>
          </w:p>
        </w:tc>
        <w:tc>
          <w:tcPr>
            <w:tcW w:w="1220" w:type="dxa"/>
            <w:tcBorders>
              <w:top w:val="nil"/>
              <w:left w:val="nil"/>
              <w:bottom w:val="nil"/>
              <w:right w:val="nil"/>
            </w:tcBorders>
            <w:shd w:val="clear" w:color="auto" w:fill="auto"/>
            <w:noWrap/>
            <w:vAlign w:val="bottom"/>
            <w:hideMark/>
          </w:tcPr>
          <w:p w14:paraId="47F0BA2A" w14:textId="77777777" w:rsidR="007D5C15" w:rsidRDefault="007D5C15">
            <w:pPr>
              <w:rPr>
                <w:sz w:val="20"/>
                <w:szCs w:val="20"/>
              </w:rPr>
            </w:pPr>
          </w:p>
        </w:tc>
        <w:tc>
          <w:tcPr>
            <w:tcW w:w="1320" w:type="dxa"/>
            <w:tcBorders>
              <w:top w:val="nil"/>
              <w:left w:val="nil"/>
              <w:bottom w:val="nil"/>
              <w:right w:val="nil"/>
            </w:tcBorders>
            <w:shd w:val="clear" w:color="auto" w:fill="auto"/>
            <w:noWrap/>
            <w:vAlign w:val="bottom"/>
            <w:hideMark/>
          </w:tcPr>
          <w:p w14:paraId="7922C2B5" w14:textId="77777777" w:rsidR="007D5C15" w:rsidRDefault="007D5C15">
            <w:pPr>
              <w:rPr>
                <w:sz w:val="20"/>
                <w:szCs w:val="20"/>
              </w:rPr>
            </w:pPr>
          </w:p>
        </w:tc>
        <w:tc>
          <w:tcPr>
            <w:tcW w:w="960" w:type="dxa"/>
            <w:tcBorders>
              <w:top w:val="nil"/>
              <w:left w:val="nil"/>
              <w:bottom w:val="nil"/>
              <w:right w:val="nil"/>
            </w:tcBorders>
            <w:shd w:val="clear" w:color="auto" w:fill="auto"/>
            <w:noWrap/>
            <w:vAlign w:val="bottom"/>
            <w:hideMark/>
          </w:tcPr>
          <w:p w14:paraId="459497B5" w14:textId="77777777" w:rsidR="007D5C15" w:rsidRDefault="007D5C15">
            <w:pPr>
              <w:rPr>
                <w:sz w:val="20"/>
                <w:szCs w:val="20"/>
              </w:rPr>
            </w:pPr>
          </w:p>
        </w:tc>
      </w:tr>
      <w:tr w:rsidR="007D5C15" w14:paraId="69F8E8D7" w14:textId="77777777" w:rsidTr="007D5C15">
        <w:trPr>
          <w:trHeight w:val="315"/>
        </w:trPr>
        <w:tc>
          <w:tcPr>
            <w:tcW w:w="3280" w:type="dxa"/>
            <w:tcBorders>
              <w:top w:val="single" w:sz="8" w:space="0" w:color="auto"/>
              <w:left w:val="nil"/>
              <w:bottom w:val="single" w:sz="8" w:space="0" w:color="auto"/>
              <w:right w:val="nil"/>
            </w:tcBorders>
            <w:shd w:val="clear" w:color="auto" w:fill="auto"/>
            <w:noWrap/>
            <w:vAlign w:val="center"/>
            <w:hideMark/>
          </w:tcPr>
          <w:p w14:paraId="67B8C663"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(Redução ao Valor Recuperável - FNS) (3)</w:t>
            </w:r>
          </w:p>
        </w:tc>
        <w:tc>
          <w:tcPr>
            <w:tcW w:w="1340" w:type="dxa"/>
            <w:tcBorders>
              <w:top w:val="single" w:sz="8" w:space="0" w:color="auto"/>
              <w:left w:val="nil"/>
              <w:bottom w:val="single" w:sz="8" w:space="0" w:color="auto"/>
              <w:right w:val="nil"/>
            </w:tcBorders>
            <w:shd w:val="clear" w:color="auto" w:fill="auto"/>
            <w:noWrap/>
            <w:vAlign w:val="center"/>
            <w:hideMark/>
          </w:tcPr>
          <w:p w14:paraId="369FA932" w14:textId="764ED30C"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11.354.416.372</w:t>
            </w:r>
            <w:r>
              <w:rPr>
                <w:rFonts w:ascii="Calibri" w:hAnsi="Calibri" w:cs="Calibri"/>
                <w:b/>
                <w:bCs/>
                <w:color w:val="000000"/>
                <w:sz w:val="16"/>
                <w:szCs w:val="16"/>
              </w:rPr>
              <w:t>)</w:t>
            </w:r>
          </w:p>
        </w:tc>
        <w:tc>
          <w:tcPr>
            <w:tcW w:w="1180" w:type="dxa"/>
            <w:tcBorders>
              <w:top w:val="single" w:sz="8" w:space="0" w:color="auto"/>
              <w:left w:val="nil"/>
              <w:bottom w:val="single" w:sz="8" w:space="0" w:color="auto"/>
              <w:right w:val="nil"/>
            </w:tcBorders>
            <w:shd w:val="clear" w:color="auto" w:fill="auto"/>
            <w:noWrap/>
            <w:vAlign w:val="center"/>
            <w:hideMark/>
          </w:tcPr>
          <w:p w14:paraId="262AA5DA"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100" w:type="dxa"/>
            <w:tcBorders>
              <w:top w:val="single" w:sz="8" w:space="0" w:color="auto"/>
              <w:left w:val="nil"/>
              <w:bottom w:val="single" w:sz="8" w:space="0" w:color="auto"/>
              <w:right w:val="nil"/>
            </w:tcBorders>
            <w:shd w:val="clear" w:color="auto" w:fill="auto"/>
            <w:noWrap/>
            <w:vAlign w:val="center"/>
            <w:hideMark/>
          </w:tcPr>
          <w:p w14:paraId="4D2968FF"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220" w:type="dxa"/>
            <w:tcBorders>
              <w:top w:val="single" w:sz="8" w:space="0" w:color="auto"/>
              <w:left w:val="nil"/>
              <w:bottom w:val="single" w:sz="8" w:space="0" w:color="auto"/>
              <w:right w:val="nil"/>
            </w:tcBorders>
            <w:shd w:val="clear" w:color="auto" w:fill="auto"/>
            <w:noWrap/>
            <w:vAlign w:val="center"/>
            <w:hideMark/>
          </w:tcPr>
          <w:p w14:paraId="48ADDF72"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320" w:type="dxa"/>
            <w:tcBorders>
              <w:top w:val="single" w:sz="8" w:space="0" w:color="auto"/>
              <w:left w:val="nil"/>
              <w:bottom w:val="single" w:sz="8" w:space="0" w:color="auto"/>
              <w:right w:val="nil"/>
            </w:tcBorders>
            <w:shd w:val="clear" w:color="auto" w:fill="auto"/>
            <w:noWrap/>
            <w:vAlign w:val="center"/>
            <w:hideMark/>
          </w:tcPr>
          <w:p w14:paraId="5161E5F7" w14:textId="4E7E822C"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11.354.416.372</w:t>
            </w:r>
            <w:r>
              <w:rPr>
                <w:rFonts w:ascii="Calibri" w:hAnsi="Calibri" w:cs="Calibri"/>
                <w:b/>
                <w:bCs/>
                <w:color w:val="000000"/>
                <w:sz w:val="16"/>
                <w:szCs w:val="16"/>
              </w:rPr>
              <w:t>)</w:t>
            </w:r>
          </w:p>
        </w:tc>
        <w:tc>
          <w:tcPr>
            <w:tcW w:w="960" w:type="dxa"/>
            <w:tcBorders>
              <w:top w:val="single" w:sz="8" w:space="0" w:color="auto"/>
              <w:left w:val="nil"/>
              <w:bottom w:val="single" w:sz="8" w:space="0" w:color="auto"/>
              <w:right w:val="nil"/>
            </w:tcBorders>
            <w:shd w:val="clear" w:color="auto" w:fill="auto"/>
            <w:noWrap/>
            <w:vAlign w:val="center"/>
            <w:hideMark/>
          </w:tcPr>
          <w:p w14:paraId="33C00E7F"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 </w:t>
            </w:r>
          </w:p>
        </w:tc>
      </w:tr>
      <w:tr w:rsidR="007D5C15" w14:paraId="6AE8CDC9" w14:textId="77777777" w:rsidTr="007D5C15">
        <w:trPr>
          <w:trHeight w:val="300"/>
        </w:trPr>
        <w:tc>
          <w:tcPr>
            <w:tcW w:w="3280" w:type="dxa"/>
            <w:tcBorders>
              <w:top w:val="nil"/>
              <w:left w:val="nil"/>
              <w:bottom w:val="nil"/>
              <w:right w:val="nil"/>
            </w:tcBorders>
            <w:shd w:val="clear" w:color="auto" w:fill="auto"/>
            <w:noWrap/>
            <w:vAlign w:val="center"/>
            <w:hideMark/>
          </w:tcPr>
          <w:p w14:paraId="0D095D9F"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Estudos e Projetos - FNS</w:t>
            </w:r>
          </w:p>
        </w:tc>
        <w:tc>
          <w:tcPr>
            <w:tcW w:w="1340" w:type="dxa"/>
            <w:tcBorders>
              <w:top w:val="nil"/>
              <w:left w:val="nil"/>
              <w:bottom w:val="nil"/>
              <w:right w:val="nil"/>
            </w:tcBorders>
            <w:shd w:val="clear" w:color="auto" w:fill="auto"/>
            <w:noWrap/>
            <w:vAlign w:val="center"/>
            <w:hideMark/>
          </w:tcPr>
          <w:p w14:paraId="3B59444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80" w:type="dxa"/>
            <w:tcBorders>
              <w:top w:val="nil"/>
              <w:left w:val="nil"/>
              <w:bottom w:val="nil"/>
              <w:right w:val="nil"/>
            </w:tcBorders>
            <w:shd w:val="clear" w:color="auto" w:fill="auto"/>
            <w:noWrap/>
            <w:vAlign w:val="center"/>
            <w:hideMark/>
          </w:tcPr>
          <w:p w14:paraId="6A9C1A8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01B26744"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3430545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3D20C07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960" w:type="dxa"/>
            <w:tcBorders>
              <w:top w:val="nil"/>
              <w:left w:val="nil"/>
              <w:bottom w:val="nil"/>
              <w:right w:val="nil"/>
            </w:tcBorders>
            <w:shd w:val="clear" w:color="auto" w:fill="auto"/>
            <w:noWrap/>
            <w:vAlign w:val="center"/>
            <w:hideMark/>
          </w:tcPr>
          <w:p w14:paraId="2C844F74" w14:textId="77777777" w:rsidR="007D5C15" w:rsidRDefault="007D5C15">
            <w:pPr>
              <w:jc w:val="right"/>
              <w:rPr>
                <w:rFonts w:ascii="Calibri" w:hAnsi="Calibri" w:cs="Calibri"/>
                <w:color w:val="000000"/>
                <w:sz w:val="16"/>
                <w:szCs w:val="16"/>
              </w:rPr>
            </w:pPr>
          </w:p>
        </w:tc>
      </w:tr>
      <w:tr w:rsidR="007D5C15" w14:paraId="6AF730EF" w14:textId="77777777" w:rsidTr="007D5C15">
        <w:trPr>
          <w:trHeight w:val="300"/>
        </w:trPr>
        <w:tc>
          <w:tcPr>
            <w:tcW w:w="3280" w:type="dxa"/>
            <w:tcBorders>
              <w:top w:val="nil"/>
              <w:left w:val="nil"/>
              <w:bottom w:val="nil"/>
              <w:right w:val="nil"/>
            </w:tcBorders>
            <w:shd w:val="clear" w:color="auto" w:fill="auto"/>
            <w:noWrap/>
            <w:vAlign w:val="center"/>
            <w:hideMark/>
          </w:tcPr>
          <w:p w14:paraId="002B7E27"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Implantação - Ferrovias - FNS</w:t>
            </w:r>
          </w:p>
        </w:tc>
        <w:tc>
          <w:tcPr>
            <w:tcW w:w="1340" w:type="dxa"/>
            <w:tcBorders>
              <w:top w:val="nil"/>
              <w:left w:val="nil"/>
              <w:bottom w:val="nil"/>
              <w:right w:val="nil"/>
            </w:tcBorders>
            <w:shd w:val="clear" w:color="auto" w:fill="auto"/>
            <w:noWrap/>
            <w:vAlign w:val="center"/>
            <w:hideMark/>
          </w:tcPr>
          <w:p w14:paraId="1F934176" w14:textId="043FE665"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49.144.520</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6F43148C"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7B782E6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4C99F745"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49AFECA8" w14:textId="0A1D5C84"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49.144.520</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center"/>
            <w:hideMark/>
          </w:tcPr>
          <w:p w14:paraId="7D16B3A8" w14:textId="77777777" w:rsidR="007D5C15" w:rsidRDefault="007D5C15">
            <w:pPr>
              <w:jc w:val="right"/>
              <w:rPr>
                <w:rFonts w:ascii="Calibri" w:hAnsi="Calibri" w:cs="Calibri"/>
                <w:color w:val="000000"/>
                <w:sz w:val="16"/>
                <w:szCs w:val="16"/>
              </w:rPr>
            </w:pPr>
          </w:p>
        </w:tc>
      </w:tr>
      <w:tr w:rsidR="007D5C15" w14:paraId="4A9E2C22" w14:textId="77777777" w:rsidTr="007D5C15">
        <w:trPr>
          <w:trHeight w:val="300"/>
        </w:trPr>
        <w:tc>
          <w:tcPr>
            <w:tcW w:w="3280" w:type="dxa"/>
            <w:tcBorders>
              <w:top w:val="nil"/>
              <w:left w:val="nil"/>
              <w:bottom w:val="nil"/>
              <w:right w:val="nil"/>
            </w:tcBorders>
            <w:shd w:val="clear" w:color="auto" w:fill="auto"/>
            <w:noWrap/>
            <w:vAlign w:val="center"/>
            <w:hideMark/>
          </w:tcPr>
          <w:p w14:paraId="281D393C"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Ativos de Concessão Imóveis - FNS</w:t>
            </w:r>
          </w:p>
        </w:tc>
        <w:tc>
          <w:tcPr>
            <w:tcW w:w="1340" w:type="dxa"/>
            <w:tcBorders>
              <w:top w:val="nil"/>
              <w:left w:val="nil"/>
              <w:bottom w:val="nil"/>
              <w:right w:val="nil"/>
            </w:tcBorders>
            <w:shd w:val="clear" w:color="auto" w:fill="auto"/>
            <w:noWrap/>
            <w:vAlign w:val="center"/>
            <w:hideMark/>
          </w:tcPr>
          <w:p w14:paraId="042988BE" w14:textId="16A75DD1"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12.221.663.667</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486FA19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7D97CD8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43B5083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1309F596" w14:textId="234A2910"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12.221.663.667</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center"/>
            <w:hideMark/>
          </w:tcPr>
          <w:p w14:paraId="001F44C7" w14:textId="77777777" w:rsidR="007D5C15" w:rsidRDefault="007D5C15">
            <w:pPr>
              <w:jc w:val="right"/>
              <w:rPr>
                <w:rFonts w:ascii="Calibri" w:hAnsi="Calibri" w:cs="Calibri"/>
                <w:color w:val="000000"/>
                <w:sz w:val="16"/>
                <w:szCs w:val="16"/>
              </w:rPr>
            </w:pPr>
          </w:p>
        </w:tc>
      </w:tr>
      <w:tr w:rsidR="007D5C15" w14:paraId="4D99600C" w14:textId="77777777" w:rsidTr="007D5C15">
        <w:trPr>
          <w:trHeight w:val="300"/>
        </w:trPr>
        <w:tc>
          <w:tcPr>
            <w:tcW w:w="3280" w:type="dxa"/>
            <w:tcBorders>
              <w:top w:val="nil"/>
              <w:left w:val="nil"/>
              <w:bottom w:val="nil"/>
              <w:right w:val="nil"/>
            </w:tcBorders>
            <w:shd w:val="clear" w:color="auto" w:fill="auto"/>
            <w:noWrap/>
            <w:vAlign w:val="center"/>
            <w:hideMark/>
          </w:tcPr>
          <w:p w14:paraId="310FE3C7"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CMT Lei 8.200/91</w:t>
            </w:r>
          </w:p>
        </w:tc>
        <w:tc>
          <w:tcPr>
            <w:tcW w:w="1340" w:type="dxa"/>
            <w:tcBorders>
              <w:top w:val="nil"/>
              <w:left w:val="nil"/>
              <w:bottom w:val="nil"/>
              <w:right w:val="nil"/>
            </w:tcBorders>
            <w:shd w:val="clear" w:color="auto" w:fill="auto"/>
            <w:noWrap/>
            <w:vAlign w:val="center"/>
            <w:hideMark/>
          </w:tcPr>
          <w:p w14:paraId="49A21FD6" w14:textId="4FDCDE90"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283.968</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6BAC26B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4656096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6DB2B26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7B738716" w14:textId="40246615"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283.968</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center"/>
            <w:hideMark/>
          </w:tcPr>
          <w:p w14:paraId="1A125D7E" w14:textId="77777777" w:rsidR="007D5C15" w:rsidRDefault="007D5C15">
            <w:pPr>
              <w:jc w:val="right"/>
              <w:rPr>
                <w:rFonts w:ascii="Calibri" w:hAnsi="Calibri" w:cs="Calibri"/>
                <w:color w:val="000000"/>
                <w:sz w:val="16"/>
                <w:szCs w:val="16"/>
              </w:rPr>
            </w:pPr>
          </w:p>
        </w:tc>
      </w:tr>
      <w:tr w:rsidR="007D5C15" w14:paraId="6FFD75B1" w14:textId="77777777" w:rsidTr="007D5C15">
        <w:trPr>
          <w:trHeight w:val="315"/>
        </w:trPr>
        <w:tc>
          <w:tcPr>
            <w:tcW w:w="3280" w:type="dxa"/>
            <w:tcBorders>
              <w:top w:val="nil"/>
              <w:left w:val="nil"/>
              <w:bottom w:val="nil"/>
              <w:right w:val="nil"/>
            </w:tcBorders>
            <w:shd w:val="clear" w:color="auto" w:fill="auto"/>
            <w:noWrap/>
            <w:vAlign w:val="center"/>
            <w:hideMark/>
          </w:tcPr>
          <w:p w14:paraId="10068BD2"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Depreciação Acumulada das Ferrovias - FNS</w:t>
            </w:r>
          </w:p>
        </w:tc>
        <w:tc>
          <w:tcPr>
            <w:tcW w:w="1340" w:type="dxa"/>
            <w:tcBorders>
              <w:top w:val="nil"/>
              <w:left w:val="nil"/>
              <w:bottom w:val="nil"/>
              <w:right w:val="nil"/>
            </w:tcBorders>
            <w:shd w:val="clear" w:color="auto" w:fill="auto"/>
            <w:noWrap/>
            <w:vAlign w:val="center"/>
            <w:hideMark/>
          </w:tcPr>
          <w:p w14:paraId="662EBA7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916.675.783</w:t>
            </w:r>
          </w:p>
        </w:tc>
        <w:tc>
          <w:tcPr>
            <w:tcW w:w="1180" w:type="dxa"/>
            <w:tcBorders>
              <w:top w:val="nil"/>
              <w:left w:val="nil"/>
              <w:bottom w:val="nil"/>
              <w:right w:val="nil"/>
            </w:tcBorders>
            <w:shd w:val="clear" w:color="auto" w:fill="auto"/>
            <w:noWrap/>
            <w:vAlign w:val="center"/>
            <w:hideMark/>
          </w:tcPr>
          <w:p w14:paraId="29B597B8"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368A31C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6EA57C02"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5D93403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916.675.783</w:t>
            </w:r>
          </w:p>
        </w:tc>
        <w:tc>
          <w:tcPr>
            <w:tcW w:w="960" w:type="dxa"/>
            <w:tcBorders>
              <w:top w:val="nil"/>
              <w:left w:val="nil"/>
              <w:bottom w:val="nil"/>
              <w:right w:val="nil"/>
            </w:tcBorders>
            <w:shd w:val="clear" w:color="auto" w:fill="auto"/>
            <w:noWrap/>
            <w:vAlign w:val="center"/>
            <w:hideMark/>
          </w:tcPr>
          <w:p w14:paraId="7512DEE2" w14:textId="77777777" w:rsidR="007D5C15" w:rsidRDefault="007D5C15">
            <w:pPr>
              <w:jc w:val="right"/>
              <w:rPr>
                <w:rFonts w:ascii="Calibri" w:hAnsi="Calibri" w:cs="Calibri"/>
                <w:color w:val="000000"/>
                <w:sz w:val="16"/>
                <w:szCs w:val="16"/>
              </w:rPr>
            </w:pPr>
          </w:p>
        </w:tc>
      </w:tr>
      <w:tr w:rsidR="007D5C15" w14:paraId="218C7F0F" w14:textId="77777777" w:rsidTr="007D5C15">
        <w:trPr>
          <w:trHeight w:val="135"/>
        </w:trPr>
        <w:tc>
          <w:tcPr>
            <w:tcW w:w="3280" w:type="dxa"/>
            <w:tcBorders>
              <w:top w:val="single" w:sz="8" w:space="0" w:color="auto"/>
              <w:left w:val="nil"/>
              <w:bottom w:val="single" w:sz="8" w:space="0" w:color="auto"/>
              <w:right w:val="nil"/>
            </w:tcBorders>
            <w:shd w:val="clear" w:color="auto" w:fill="auto"/>
            <w:noWrap/>
            <w:vAlign w:val="bottom"/>
            <w:hideMark/>
          </w:tcPr>
          <w:p w14:paraId="6998EF39" w14:textId="77777777" w:rsidR="007D5C15" w:rsidRDefault="007D5C15">
            <w:pPr>
              <w:rPr>
                <w:color w:val="000000"/>
                <w:sz w:val="20"/>
                <w:szCs w:val="20"/>
              </w:rPr>
            </w:pPr>
            <w:r>
              <w:rPr>
                <w:color w:val="000000"/>
                <w:sz w:val="20"/>
                <w:szCs w:val="20"/>
              </w:rPr>
              <w:t> </w:t>
            </w:r>
          </w:p>
        </w:tc>
        <w:tc>
          <w:tcPr>
            <w:tcW w:w="1340" w:type="dxa"/>
            <w:tcBorders>
              <w:top w:val="single" w:sz="8" w:space="0" w:color="auto"/>
              <w:left w:val="nil"/>
              <w:bottom w:val="single" w:sz="8" w:space="0" w:color="auto"/>
              <w:right w:val="nil"/>
            </w:tcBorders>
            <w:shd w:val="clear" w:color="auto" w:fill="auto"/>
            <w:noWrap/>
            <w:vAlign w:val="bottom"/>
            <w:hideMark/>
          </w:tcPr>
          <w:p w14:paraId="2B1E5B83" w14:textId="77777777" w:rsidR="007D5C15" w:rsidRDefault="007D5C15">
            <w:pPr>
              <w:rPr>
                <w:color w:val="000000"/>
                <w:sz w:val="20"/>
                <w:szCs w:val="20"/>
              </w:rPr>
            </w:pPr>
            <w:r>
              <w:rPr>
                <w:color w:val="000000"/>
                <w:sz w:val="20"/>
                <w:szCs w:val="20"/>
              </w:rPr>
              <w:t> </w:t>
            </w:r>
          </w:p>
        </w:tc>
        <w:tc>
          <w:tcPr>
            <w:tcW w:w="1180" w:type="dxa"/>
            <w:tcBorders>
              <w:top w:val="single" w:sz="8" w:space="0" w:color="auto"/>
              <w:left w:val="nil"/>
              <w:bottom w:val="single" w:sz="8" w:space="0" w:color="auto"/>
              <w:right w:val="nil"/>
            </w:tcBorders>
            <w:shd w:val="clear" w:color="auto" w:fill="auto"/>
            <w:noWrap/>
            <w:vAlign w:val="bottom"/>
            <w:hideMark/>
          </w:tcPr>
          <w:p w14:paraId="46A98974" w14:textId="77777777" w:rsidR="007D5C15" w:rsidRDefault="007D5C15">
            <w:pPr>
              <w:rPr>
                <w:color w:val="000000"/>
                <w:sz w:val="20"/>
                <w:szCs w:val="20"/>
              </w:rPr>
            </w:pPr>
            <w:r>
              <w:rPr>
                <w:color w:val="000000"/>
                <w:sz w:val="20"/>
                <w:szCs w:val="20"/>
              </w:rPr>
              <w:t> </w:t>
            </w:r>
          </w:p>
        </w:tc>
        <w:tc>
          <w:tcPr>
            <w:tcW w:w="1100" w:type="dxa"/>
            <w:tcBorders>
              <w:top w:val="single" w:sz="8" w:space="0" w:color="auto"/>
              <w:left w:val="nil"/>
              <w:bottom w:val="single" w:sz="8" w:space="0" w:color="auto"/>
              <w:right w:val="nil"/>
            </w:tcBorders>
            <w:shd w:val="clear" w:color="auto" w:fill="auto"/>
            <w:noWrap/>
            <w:vAlign w:val="bottom"/>
            <w:hideMark/>
          </w:tcPr>
          <w:p w14:paraId="710B1150" w14:textId="77777777" w:rsidR="007D5C15" w:rsidRDefault="007D5C15">
            <w:pPr>
              <w:rPr>
                <w:color w:val="000000"/>
                <w:sz w:val="20"/>
                <w:szCs w:val="20"/>
              </w:rPr>
            </w:pPr>
            <w:r>
              <w:rPr>
                <w:color w:val="000000"/>
                <w:sz w:val="20"/>
                <w:szCs w:val="20"/>
              </w:rPr>
              <w:t> </w:t>
            </w:r>
          </w:p>
        </w:tc>
        <w:tc>
          <w:tcPr>
            <w:tcW w:w="1220" w:type="dxa"/>
            <w:tcBorders>
              <w:top w:val="single" w:sz="8" w:space="0" w:color="auto"/>
              <w:left w:val="nil"/>
              <w:bottom w:val="single" w:sz="8" w:space="0" w:color="auto"/>
              <w:right w:val="nil"/>
            </w:tcBorders>
            <w:shd w:val="clear" w:color="auto" w:fill="auto"/>
            <w:noWrap/>
            <w:vAlign w:val="bottom"/>
            <w:hideMark/>
          </w:tcPr>
          <w:p w14:paraId="50A412A9" w14:textId="77777777" w:rsidR="007D5C15" w:rsidRDefault="007D5C15">
            <w:pPr>
              <w:rPr>
                <w:color w:val="000000"/>
                <w:sz w:val="20"/>
                <w:szCs w:val="20"/>
              </w:rPr>
            </w:pPr>
            <w:r>
              <w:rPr>
                <w:color w:val="000000"/>
                <w:sz w:val="20"/>
                <w:szCs w:val="20"/>
              </w:rPr>
              <w:t> </w:t>
            </w:r>
          </w:p>
        </w:tc>
        <w:tc>
          <w:tcPr>
            <w:tcW w:w="1320" w:type="dxa"/>
            <w:tcBorders>
              <w:top w:val="single" w:sz="8" w:space="0" w:color="auto"/>
              <w:left w:val="nil"/>
              <w:bottom w:val="single" w:sz="8" w:space="0" w:color="auto"/>
              <w:right w:val="nil"/>
            </w:tcBorders>
            <w:shd w:val="clear" w:color="auto" w:fill="auto"/>
            <w:noWrap/>
            <w:vAlign w:val="bottom"/>
            <w:hideMark/>
          </w:tcPr>
          <w:p w14:paraId="416CCD1D" w14:textId="77777777" w:rsidR="007D5C15" w:rsidRDefault="007D5C15">
            <w:pPr>
              <w:rPr>
                <w:color w:val="000000"/>
                <w:sz w:val="20"/>
                <w:szCs w:val="20"/>
              </w:rPr>
            </w:pPr>
            <w:r>
              <w:rPr>
                <w:color w:val="000000"/>
                <w:sz w:val="20"/>
                <w:szCs w:val="20"/>
              </w:rPr>
              <w:t> </w:t>
            </w:r>
          </w:p>
        </w:tc>
        <w:tc>
          <w:tcPr>
            <w:tcW w:w="960" w:type="dxa"/>
            <w:tcBorders>
              <w:top w:val="single" w:sz="8" w:space="0" w:color="auto"/>
              <w:left w:val="nil"/>
              <w:bottom w:val="single" w:sz="8" w:space="0" w:color="auto"/>
              <w:right w:val="nil"/>
            </w:tcBorders>
            <w:shd w:val="clear" w:color="auto" w:fill="auto"/>
            <w:noWrap/>
            <w:vAlign w:val="bottom"/>
            <w:hideMark/>
          </w:tcPr>
          <w:p w14:paraId="0605A4B6" w14:textId="77777777" w:rsidR="007D5C15" w:rsidRDefault="007D5C15">
            <w:pPr>
              <w:rPr>
                <w:color w:val="000000"/>
                <w:sz w:val="20"/>
                <w:szCs w:val="20"/>
              </w:rPr>
            </w:pPr>
            <w:r>
              <w:rPr>
                <w:color w:val="000000"/>
                <w:sz w:val="20"/>
                <w:szCs w:val="20"/>
              </w:rPr>
              <w:t> </w:t>
            </w:r>
          </w:p>
        </w:tc>
      </w:tr>
      <w:tr w:rsidR="007D5C15" w14:paraId="579B9AFA" w14:textId="77777777" w:rsidTr="007D5C15">
        <w:trPr>
          <w:trHeight w:val="315"/>
        </w:trPr>
        <w:tc>
          <w:tcPr>
            <w:tcW w:w="3280" w:type="dxa"/>
            <w:tcBorders>
              <w:top w:val="nil"/>
              <w:left w:val="nil"/>
              <w:bottom w:val="single" w:sz="8" w:space="0" w:color="auto"/>
              <w:right w:val="nil"/>
            </w:tcBorders>
            <w:shd w:val="clear" w:color="auto" w:fill="auto"/>
            <w:noWrap/>
            <w:vAlign w:val="center"/>
            <w:hideMark/>
          </w:tcPr>
          <w:p w14:paraId="25F32AFB"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(Redução ao Valor Recuperável - FIOL I) (4)</w:t>
            </w:r>
          </w:p>
        </w:tc>
        <w:tc>
          <w:tcPr>
            <w:tcW w:w="1340" w:type="dxa"/>
            <w:tcBorders>
              <w:top w:val="nil"/>
              <w:left w:val="nil"/>
              <w:bottom w:val="single" w:sz="8" w:space="0" w:color="auto"/>
              <w:right w:val="nil"/>
            </w:tcBorders>
            <w:shd w:val="clear" w:color="auto" w:fill="auto"/>
            <w:noWrap/>
            <w:vAlign w:val="center"/>
            <w:hideMark/>
          </w:tcPr>
          <w:p w14:paraId="7CC4B26D" w14:textId="240BBDF3"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3.245.937.256</w:t>
            </w:r>
            <w:r>
              <w:rPr>
                <w:rFonts w:ascii="Calibri" w:hAnsi="Calibri" w:cs="Calibri"/>
                <w:b/>
                <w:bCs/>
                <w:color w:val="000000"/>
                <w:sz w:val="16"/>
                <w:szCs w:val="16"/>
              </w:rPr>
              <w:t>)</w:t>
            </w:r>
          </w:p>
        </w:tc>
        <w:tc>
          <w:tcPr>
            <w:tcW w:w="1180" w:type="dxa"/>
            <w:tcBorders>
              <w:top w:val="nil"/>
              <w:left w:val="nil"/>
              <w:bottom w:val="single" w:sz="8" w:space="0" w:color="auto"/>
              <w:right w:val="nil"/>
            </w:tcBorders>
            <w:shd w:val="clear" w:color="auto" w:fill="auto"/>
            <w:noWrap/>
            <w:vAlign w:val="center"/>
            <w:hideMark/>
          </w:tcPr>
          <w:p w14:paraId="20FDF83C"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100" w:type="dxa"/>
            <w:tcBorders>
              <w:top w:val="nil"/>
              <w:left w:val="nil"/>
              <w:bottom w:val="single" w:sz="8" w:space="0" w:color="auto"/>
              <w:right w:val="nil"/>
            </w:tcBorders>
            <w:shd w:val="clear" w:color="auto" w:fill="auto"/>
            <w:noWrap/>
            <w:vAlign w:val="center"/>
            <w:hideMark/>
          </w:tcPr>
          <w:p w14:paraId="4A28DA5B"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220" w:type="dxa"/>
            <w:tcBorders>
              <w:top w:val="nil"/>
              <w:left w:val="nil"/>
              <w:bottom w:val="single" w:sz="8" w:space="0" w:color="auto"/>
              <w:right w:val="nil"/>
            </w:tcBorders>
            <w:shd w:val="clear" w:color="auto" w:fill="auto"/>
            <w:noWrap/>
            <w:vAlign w:val="center"/>
            <w:hideMark/>
          </w:tcPr>
          <w:p w14:paraId="1C4DB69E"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320" w:type="dxa"/>
            <w:tcBorders>
              <w:top w:val="nil"/>
              <w:left w:val="nil"/>
              <w:bottom w:val="single" w:sz="8" w:space="0" w:color="auto"/>
              <w:right w:val="nil"/>
            </w:tcBorders>
            <w:shd w:val="clear" w:color="auto" w:fill="auto"/>
            <w:noWrap/>
            <w:vAlign w:val="center"/>
            <w:hideMark/>
          </w:tcPr>
          <w:p w14:paraId="6C6391E7" w14:textId="18D9A7D1"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3.245.937.256</w:t>
            </w:r>
            <w:r>
              <w:rPr>
                <w:rFonts w:ascii="Calibri" w:hAnsi="Calibri" w:cs="Calibri"/>
                <w:b/>
                <w:bCs/>
                <w:color w:val="000000"/>
                <w:sz w:val="16"/>
                <w:szCs w:val="16"/>
              </w:rPr>
              <w:t>)</w:t>
            </w:r>
          </w:p>
        </w:tc>
        <w:tc>
          <w:tcPr>
            <w:tcW w:w="960" w:type="dxa"/>
            <w:tcBorders>
              <w:top w:val="nil"/>
              <w:left w:val="nil"/>
              <w:bottom w:val="single" w:sz="8" w:space="0" w:color="auto"/>
              <w:right w:val="nil"/>
            </w:tcBorders>
            <w:shd w:val="clear" w:color="auto" w:fill="auto"/>
            <w:noWrap/>
            <w:vAlign w:val="bottom"/>
            <w:hideMark/>
          </w:tcPr>
          <w:p w14:paraId="42E14833" w14:textId="77777777" w:rsidR="007D5C15" w:rsidRDefault="007D5C15">
            <w:pPr>
              <w:rPr>
                <w:color w:val="000000"/>
                <w:sz w:val="20"/>
                <w:szCs w:val="20"/>
              </w:rPr>
            </w:pPr>
            <w:r>
              <w:rPr>
                <w:color w:val="000000"/>
                <w:sz w:val="20"/>
                <w:szCs w:val="20"/>
              </w:rPr>
              <w:t> </w:t>
            </w:r>
          </w:p>
        </w:tc>
      </w:tr>
      <w:tr w:rsidR="007D5C15" w14:paraId="1CD34446" w14:textId="77777777" w:rsidTr="007D5C15">
        <w:trPr>
          <w:trHeight w:val="135"/>
        </w:trPr>
        <w:tc>
          <w:tcPr>
            <w:tcW w:w="3280" w:type="dxa"/>
            <w:tcBorders>
              <w:top w:val="nil"/>
              <w:left w:val="nil"/>
              <w:bottom w:val="single" w:sz="8" w:space="0" w:color="auto"/>
              <w:right w:val="nil"/>
            </w:tcBorders>
            <w:shd w:val="clear" w:color="auto" w:fill="auto"/>
            <w:noWrap/>
            <w:vAlign w:val="bottom"/>
            <w:hideMark/>
          </w:tcPr>
          <w:p w14:paraId="0795497B" w14:textId="77777777" w:rsidR="007D5C15" w:rsidRDefault="007D5C15">
            <w:pPr>
              <w:rPr>
                <w:color w:val="000000"/>
                <w:sz w:val="20"/>
                <w:szCs w:val="20"/>
              </w:rPr>
            </w:pPr>
            <w:r>
              <w:rPr>
                <w:color w:val="000000"/>
                <w:sz w:val="20"/>
                <w:szCs w:val="20"/>
              </w:rPr>
              <w:t> </w:t>
            </w:r>
          </w:p>
        </w:tc>
        <w:tc>
          <w:tcPr>
            <w:tcW w:w="1340" w:type="dxa"/>
            <w:tcBorders>
              <w:top w:val="nil"/>
              <w:left w:val="nil"/>
              <w:bottom w:val="single" w:sz="8" w:space="0" w:color="auto"/>
              <w:right w:val="nil"/>
            </w:tcBorders>
            <w:shd w:val="clear" w:color="auto" w:fill="auto"/>
            <w:noWrap/>
            <w:vAlign w:val="bottom"/>
            <w:hideMark/>
          </w:tcPr>
          <w:p w14:paraId="0530B34D" w14:textId="77777777" w:rsidR="007D5C15" w:rsidRDefault="007D5C15">
            <w:pPr>
              <w:rPr>
                <w:color w:val="000000"/>
                <w:sz w:val="20"/>
                <w:szCs w:val="20"/>
              </w:rPr>
            </w:pPr>
            <w:r>
              <w:rPr>
                <w:color w:val="000000"/>
                <w:sz w:val="20"/>
                <w:szCs w:val="20"/>
              </w:rPr>
              <w:t> </w:t>
            </w:r>
          </w:p>
        </w:tc>
        <w:tc>
          <w:tcPr>
            <w:tcW w:w="1180" w:type="dxa"/>
            <w:tcBorders>
              <w:top w:val="nil"/>
              <w:left w:val="nil"/>
              <w:bottom w:val="single" w:sz="8" w:space="0" w:color="auto"/>
              <w:right w:val="nil"/>
            </w:tcBorders>
            <w:shd w:val="clear" w:color="auto" w:fill="auto"/>
            <w:noWrap/>
            <w:vAlign w:val="bottom"/>
            <w:hideMark/>
          </w:tcPr>
          <w:p w14:paraId="385B4C9E" w14:textId="77777777" w:rsidR="007D5C15" w:rsidRDefault="007D5C15">
            <w:pPr>
              <w:rPr>
                <w:color w:val="000000"/>
                <w:sz w:val="20"/>
                <w:szCs w:val="20"/>
              </w:rPr>
            </w:pPr>
            <w:r>
              <w:rPr>
                <w:color w:val="000000"/>
                <w:sz w:val="20"/>
                <w:szCs w:val="20"/>
              </w:rPr>
              <w:t> </w:t>
            </w:r>
          </w:p>
        </w:tc>
        <w:tc>
          <w:tcPr>
            <w:tcW w:w="1100" w:type="dxa"/>
            <w:tcBorders>
              <w:top w:val="nil"/>
              <w:left w:val="nil"/>
              <w:bottom w:val="single" w:sz="8" w:space="0" w:color="auto"/>
              <w:right w:val="nil"/>
            </w:tcBorders>
            <w:shd w:val="clear" w:color="auto" w:fill="auto"/>
            <w:noWrap/>
            <w:vAlign w:val="bottom"/>
            <w:hideMark/>
          </w:tcPr>
          <w:p w14:paraId="2197135B" w14:textId="77777777" w:rsidR="007D5C15" w:rsidRDefault="007D5C15">
            <w:pPr>
              <w:rPr>
                <w:color w:val="000000"/>
                <w:sz w:val="20"/>
                <w:szCs w:val="20"/>
              </w:rPr>
            </w:pPr>
            <w:r>
              <w:rPr>
                <w:color w:val="000000"/>
                <w:sz w:val="20"/>
                <w:szCs w:val="20"/>
              </w:rPr>
              <w:t> </w:t>
            </w:r>
          </w:p>
        </w:tc>
        <w:tc>
          <w:tcPr>
            <w:tcW w:w="1220" w:type="dxa"/>
            <w:tcBorders>
              <w:top w:val="nil"/>
              <w:left w:val="nil"/>
              <w:bottom w:val="single" w:sz="8" w:space="0" w:color="auto"/>
              <w:right w:val="nil"/>
            </w:tcBorders>
            <w:shd w:val="clear" w:color="auto" w:fill="auto"/>
            <w:noWrap/>
            <w:vAlign w:val="bottom"/>
            <w:hideMark/>
          </w:tcPr>
          <w:p w14:paraId="3BCE4840" w14:textId="77777777" w:rsidR="007D5C15" w:rsidRDefault="007D5C15">
            <w:pPr>
              <w:rPr>
                <w:color w:val="000000"/>
                <w:sz w:val="20"/>
                <w:szCs w:val="20"/>
              </w:rPr>
            </w:pPr>
            <w:r>
              <w:rPr>
                <w:color w:val="000000"/>
                <w:sz w:val="20"/>
                <w:szCs w:val="20"/>
              </w:rPr>
              <w:t> </w:t>
            </w:r>
          </w:p>
        </w:tc>
        <w:tc>
          <w:tcPr>
            <w:tcW w:w="1320" w:type="dxa"/>
            <w:tcBorders>
              <w:top w:val="nil"/>
              <w:left w:val="nil"/>
              <w:bottom w:val="single" w:sz="8" w:space="0" w:color="auto"/>
              <w:right w:val="nil"/>
            </w:tcBorders>
            <w:shd w:val="clear" w:color="auto" w:fill="auto"/>
            <w:noWrap/>
            <w:vAlign w:val="bottom"/>
            <w:hideMark/>
          </w:tcPr>
          <w:p w14:paraId="73B68FF2" w14:textId="77777777" w:rsidR="007D5C15" w:rsidRDefault="007D5C15">
            <w:pPr>
              <w:rPr>
                <w:color w:val="000000"/>
                <w:sz w:val="20"/>
                <w:szCs w:val="20"/>
              </w:rPr>
            </w:pPr>
            <w:r>
              <w:rPr>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3DBD28CE" w14:textId="77777777" w:rsidR="007D5C15" w:rsidRDefault="007D5C15">
            <w:pPr>
              <w:rPr>
                <w:color w:val="000000"/>
                <w:sz w:val="20"/>
                <w:szCs w:val="20"/>
              </w:rPr>
            </w:pPr>
            <w:r>
              <w:rPr>
                <w:color w:val="000000"/>
                <w:sz w:val="20"/>
                <w:szCs w:val="20"/>
              </w:rPr>
              <w:t> </w:t>
            </w:r>
          </w:p>
        </w:tc>
      </w:tr>
      <w:tr w:rsidR="007D5C15" w14:paraId="166EC26E" w14:textId="77777777" w:rsidTr="007D5C15">
        <w:trPr>
          <w:trHeight w:val="300"/>
        </w:trPr>
        <w:tc>
          <w:tcPr>
            <w:tcW w:w="3280" w:type="dxa"/>
            <w:tcBorders>
              <w:top w:val="nil"/>
              <w:left w:val="nil"/>
              <w:bottom w:val="single" w:sz="8" w:space="0" w:color="auto"/>
              <w:right w:val="nil"/>
            </w:tcBorders>
            <w:shd w:val="clear" w:color="auto" w:fill="auto"/>
            <w:noWrap/>
            <w:vAlign w:val="center"/>
            <w:hideMark/>
          </w:tcPr>
          <w:p w14:paraId="6FEEF84F"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Depreciação de Bens Móveis e Imóveis (5)</w:t>
            </w:r>
          </w:p>
        </w:tc>
        <w:tc>
          <w:tcPr>
            <w:tcW w:w="1340" w:type="dxa"/>
            <w:tcBorders>
              <w:top w:val="nil"/>
              <w:left w:val="nil"/>
              <w:bottom w:val="single" w:sz="8" w:space="0" w:color="auto"/>
              <w:right w:val="nil"/>
            </w:tcBorders>
            <w:shd w:val="clear" w:color="auto" w:fill="auto"/>
            <w:noWrap/>
            <w:vAlign w:val="center"/>
            <w:hideMark/>
          </w:tcPr>
          <w:p w14:paraId="3DB8E875" w14:textId="55AFF4B0"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949.433.536</w:t>
            </w:r>
            <w:r>
              <w:rPr>
                <w:rFonts w:ascii="Calibri" w:hAnsi="Calibri" w:cs="Calibri"/>
                <w:b/>
                <w:bCs/>
                <w:color w:val="000000"/>
                <w:sz w:val="16"/>
                <w:szCs w:val="16"/>
              </w:rPr>
              <w:t>)</w:t>
            </w:r>
          </w:p>
        </w:tc>
        <w:tc>
          <w:tcPr>
            <w:tcW w:w="1180" w:type="dxa"/>
            <w:tcBorders>
              <w:top w:val="nil"/>
              <w:left w:val="nil"/>
              <w:bottom w:val="single" w:sz="8" w:space="0" w:color="auto"/>
              <w:right w:val="nil"/>
            </w:tcBorders>
            <w:shd w:val="clear" w:color="auto" w:fill="auto"/>
            <w:noWrap/>
            <w:vAlign w:val="center"/>
            <w:hideMark/>
          </w:tcPr>
          <w:p w14:paraId="79BAB0C9" w14:textId="2BFACACA"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A02464">
              <w:rPr>
                <w:rFonts w:ascii="Calibri" w:hAnsi="Calibri" w:cs="Calibri"/>
                <w:b/>
                <w:bCs/>
                <w:color w:val="000000"/>
                <w:sz w:val="16"/>
                <w:szCs w:val="16"/>
              </w:rPr>
              <w:t>2.170.86</w:t>
            </w:r>
            <w:r w:rsidR="003C0660">
              <w:rPr>
                <w:rFonts w:ascii="Calibri" w:hAnsi="Calibri" w:cs="Calibri"/>
                <w:b/>
                <w:bCs/>
                <w:color w:val="000000"/>
                <w:sz w:val="16"/>
                <w:szCs w:val="16"/>
              </w:rPr>
              <w:t>8</w:t>
            </w:r>
            <w:r>
              <w:rPr>
                <w:rFonts w:ascii="Calibri" w:hAnsi="Calibri" w:cs="Calibri"/>
                <w:b/>
                <w:bCs/>
                <w:color w:val="000000"/>
                <w:sz w:val="16"/>
                <w:szCs w:val="16"/>
              </w:rPr>
              <w:t>)</w:t>
            </w:r>
          </w:p>
        </w:tc>
        <w:tc>
          <w:tcPr>
            <w:tcW w:w="1100" w:type="dxa"/>
            <w:tcBorders>
              <w:top w:val="nil"/>
              <w:left w:val="nil"/>
              <w:bottom w:val="single" w:sz="8" w:space="0" w:color="auto"/>
              <w:right w:val="nil"/>
            </w:tcBorders>
            <w:shd w:val="clear" w:color="auto" w:fill="auto"/>
            <w:noWrap/>
            <w:vAlign w:val="center"/>
            <w:hideMark/>
          </w:tcPr>
          <w:p w14:paraId="0A1CF886"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828.216</w:t>
            </w:r>
          </w:p>
        </w:tc>
        <w:tc>
          <w:tcPr>
            <w:tcW w:w="1220" w:type="dxa"/>
            <w:tcBorders>
              <w:top w:val="nil"/>
              <w:left w:val="nil"/>
              <w:bottom w:val="single" w:sz="8" w:space="0" w:color="auto"/>
              <w:right w:val="nil"/>
            </w:tcBorders>
            <w:shd w:val="clear" w:color="auto" w:fill="auto"/>
            <w:noWrap/>
            <w:vAlign w:val="center"/>
            <w:hideMark/>
          </w:tcPr>
          <w:p w14:paraId="1476D691"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320" w:type="dxa"/>
            <w:tcBorders>
              <w:top w:val="nil"/>
              <w:left w:val="nil"/>
              <w:bottom w:val="single" w:sz="8" w:space="0" w:color="auto"/>
              <w:right w:val="nil"/>
            </w:tcBorders>
            <w:shd w:val="clear" w:color="auto" w:fill="auto"/>
            <w:noWrap/>
            <w:vAlign w:val="center"/>
            <w:hideMark/>
          </w:tcPr>
          <w:p w14:paraId="2E1240C2" w14:textId="44B4E145"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A02464">
              <w:rPr>
                <w:rFonts w:ascii="Calibri" w:hAnsi="Calibri" w:cs="Calibri"/>
                <w:b/>
                <w:bCs/>
                <w:color w:val="000000"/>
                <w:sz w:val="16"/>
                <w:szCs w:val="16"/>
              </w:rPr>
              <w:t>950.776.18</w:t>
            </w:r>
            <w:r w:rsidR="003C0660">
              <w:rPr>
                <w:rFonts w:ascii="Calibri" w:hAnsi="Calibri" w:cs="Calibri"/>
                <w:b/>
                <w:bCs/>
                <w:color w:val="000000"/>
                <w:sz w:val="16"/>
                <w:szCs w:val="16"/>
              </w:rPr>
              <w:t>8</w:t>
            </w:r>
            <w:r>
              <w:rPr>
                <w:rFonts w:ascii="Calibri" w:hAnsi="Calibri" w:cs="Calibri"/>
                <w:b/>
                <w:bCs/>
                <w:color w:val="000000"/>
                <w:sz w:val="16"/>
                <w:szCs w:val="16"/>
              </w:rPr>
              <w:t>)</w:t>
            </w:r>
          </w:p>
        </w:tc>
        <w:tc>
          <w:tcPr>
            <w:tcW w:w="960" w:type="dxa"/>
            <w:tcBorders>
              <w:top w:val="nil"/>
              <w:left w:val="nil"/>
              <w:bottom w:val="single" w:sz="8" w:space="0" w:color="auto"/>
              <w:right w:val="nil"/>
            </w:tcBorders>
            <w:shd w:val="clear" w:color="auto" w:fill="auto"/>
            <w:noWrap/>
            <w:vAlign w:val="center"/>
            <w:hideMark/>
          </w:tcPr>
          <w:p w14:paraId="0D4B2247"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 xml:space="preserve"> </w:t>
            </w:r>
          </w:p>
        </w:tc>
      </w:tr>
      <w:tr w:rsidR="007D5C15" w14:paraId="3CF1DFE4" w14:textId="77777777" w:rsidTr="007D5C15">
        <w:trPr>
          <w:trHeight w:val="300"/>
        </w:trPr>
        <w:tc>
          <w:tcPr>
            <w:tcW w:w="3280" w:type="dxa"/>
            <w:tcBorders>
              <w:top w:val="nil"/>
              <w:left w:val="nil"/>
              <w:bottom w:val="nil"/>
              <w:right w:val="nil"/>
            </w:tcBorders>
            <w:shd w:val="clear" w:color="auto" w:fill="auto"/>
            <w:noWrap/>
            <w:vAlign w:val="center"/>
            <w:hideMark/>
          </w:tcPr>
          <w:p w14:paraId="3225B820"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 xml:space="preserve">Depreciação de Bens Móveis </w:t>
            </w:r>
          </w:p>
        </w:tc>
        <w:tc>
          <w:tcPr>
            <w:tcW w:w="1340" w:type="dxa"/>
            <w:tcBorders>
              <w:top w:val="nil"/>
              <w:left w:val="nil"/>
              <w:bottom w:val="nil"/>
              <w:right w:val="nil"/>
            </w:tcBorders>
            <w:shd w:val="clear" w:color="auto" w:fill="auto"/>
            <w:noWrap/>
            <w:vAlign w:val="center"/>
            <w:hideMark/>
          </w:tcPr>
          <w:p w14:paraId="6C156602" w14:textId="4ECCAF34"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26.263.300</w:t>
            </w:r>
            <w:r>
              <w:rPr>
                <w:rFonts w:ascii="Calibri" w:hAnsi="Calibri" w:cs="Calibri"/>
                <w:b/>
                <w:bCs/>
                <w:color w:val="000000"/>
                <w:sz w:val="16"/>
                <w:szCs w:val="16"/>
              </w:rPr>
              <w:t>)</w:t>
            </w:r>
          </w:p>
        </w:tc>
        <w:tc>
          <w:tcPr>
            <w:tcW w:w="1180" w:type="dxa"/>
            <w:tcBorders>
              <w:top w:val="nil"/>
              <w:left w:val="nil"/>
              <w:bottom w:val="nil"/>
              <w:right w:val="nil"/>
            </w:tcBorders>
            <w:shd w:val="clear" w:color="auto" w:fill="auto"/>
            <w:noWrap/>
            <w:vAlign w:val="center"/>
            <w:hideMark/>
          </w:tcPr>
          <w:p w14:paraId="0BF75863" w14:textId="21B96901"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A02464">
              <w:rPr>
                <w:rFonts w:ascii="Calibri" w:hAnsi="Calibri" w:cs="Calibri"/>
                <w:b/>
                <w:bCs/>
                <w:color w:val="000000"/>
                <w:sz w:val="16"/>
                <w:szCs w:val="16"/>
              </w:rPr>
              <w:t>1.769.997</w:t>
            </w:r>
            <w:r>
              <w:rPr>
                <w:rFonts w:ascii="Calibri" w:hAnsi="Calibri" w:cs="Calibri"/>
                <w:b/>
                <w:bCs/>
                <w:color w:val="000000"/>
                <w:sz w:val="16"/>
                <w:szCs w:val="16"/>
              </w:rPr>
              <w:t>)</w:t>
            </w:r>
          </w:p>
        </w:tc>
        <w:tc>
          <w:tcPr>
            <w:tcW w:w="1100" w:type="dxa"/>
            <w:tcBorders>
              <w:top w:val="nil"/>
              <w:left w:val="nil"/>
              <w:bottom w:val="nil"/>
              <w:right w:val="nil"/>
            </w:tcBorders>
            <w:shd w:val="clear" w:color="auto" w:fill="auto"/>
            <w:noWrap/>
            <w:vAlign w:val="center"/>
            <w:hideMark/>
          </w:tcPr>
          <w:p w14:paraId="2B06729B"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220" w:type="dxa"/>
            <w:tcBorders>
              <w:top w:val="nil"/>
              <w:left w:val="nil"/>
              <w:bottom w:val="nil"/>
              <w:right w:val="nil"/>
            </w:tcBorders>
            <w:shd w:val="clear" w:color="auto" w:fill="auto"/>
            <w:noWrap/>
            <w:vAlign w:val="center"/>
            <w:hideMark/>
          </w:tcPr>
          <w:p w14:paraId="31677755"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320" w:type="dxa"/>
            <w:tcBorders>
              <w:top w:val="nil"/>
              <w:left w:val="nil"/>
              <w:bottom w:val="nil"/>
              <w:right w:val="nil"/>
            </w:tcBorders>
            <w:shd w:val="clear" w:color="auto" w:fill="auto"/>
            <w:noWrap/>
            <w:vAlign w:val="center"/>
            <w:hideMark/>
          </w:tcPr>
          <w:p w14:paraId="6959B53E" w14:textId="5B8EFF67"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A02464">
              <w:rPr>
                <w:rFonts w:ascii="Calibri" w:hAnsi="Calibri" w:cs="Calibri"/>
                <w:b/>
                <w:bCs/>
                <w:color w:val="000000"/>
                <w:sz w:val="16"/>
                <w:szCs w:val="16"/>
              </w:rPr>
              <w:t>28.033.297</w:t>
            </w:r>
            <w:r>
              <w:rPr>
                <w:rFonts w:ascii="Calibri" w:hAnsi="Calibri" w:cs="Calibri"/>
                <w:b/>
                <w:bCs/>
                <w:color w:val="000000"/>
                <w:sz w:val="16"/>
                <w:szCs w:val="16"/>
              </w:rPr>
              <w:t>)</w:t>
            </w:r>
          </w:p>
        </w:tc>
        <w:tc>
          <w:tcPr>
            <w:tcW w:w="960" w:type="dxa"/>
            <w:tcBorders>
              <w:top w:val="nil"/>
              <w:left w:val="nil"/>
              <w:bottom w:val="nil"/>
              <w:right w:val="nil"/>
            </w:tcBorders>
            <w:shd w:val="clear" w:color="auto" w:fill="auto"/>
            <w:noWrap/>
            <w:vAlign w:val="center"/>
            <w:hideMark/>
          </w:tcPr>
          <w:p w14:paraId="318B02A9" w14:textId="77777777" w:rsidR="007D5C15" w:rsidRDefault="007D5C15">
            <w:pPr>
              <w:jc w:val="right"/>
              <w:rPr>
                <w:rFonts w:ascii="Calibri" w:hAnsi="Calibri" w:cs="Calibri"/>
                <w:b/>
                <w:bCs/>
                <w:color w:val="000000"/>
                <w:sz w:val="16"/>
                <w:szCs w:val="16"/>
              </w:rPr>
            </w:pPr>
          </w:p>
        </w:tc>
      </w:tr>
      <w:tr w:rsidR="007D5C15" w14:paraId="3193D91F" w14:textId="77777777" w:rsidTr="007D5C15">
        <w:trPr>
          <w:trHeight w:val="300"/>
        </w:trPr>
        <w:tc>
          <w:tcPr>
            <w:tcW w:w="3280" w:type="dxa"/>
            <w:tcBorders>
              <w:top w:val="nil"/>
              <w:left w:val="nil"/>
              <w:bottom w:val="nil"/>
              <w:right w:val="nil"/>
            </w:tcBorders>
            <w:shd w:val="clear" w:color="auto" w:fill="auto"/>
            <w:noWrap/>
            <w:vAlign w:val="center"/>
            <w:hideMark/>
          </w:tcPr>
          <w:p w14:paraId="26270725"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 xml:space="preserve">Depreciação de Bens Imóveis </w:t>
            </w:r>
          </w:p>
        </w:tc>
        <w:tc>
          <w:tcPr>
            <w:tcW w:w="1340" w:type="dxa"/>
            <w:tcBorders>
              <w:top w:val="nil"/>
              <w:left w:val="nil"/>
              <w:bottom w:val="nil"/>
              <w:right w:val="nil"/>
            </w:tcBorders>
            <w:shd w:val="clear" w:color="auto" w:fill="auto"/>
            <w:noWrap/>
            <w:vAlign w:val="center"/>
            <w:hideMark/>
          </w:tcPr>
          <w:p w14:paraId="4249DDB3" w14:textId="0755E70A"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923.170.236</w:t>
            </w:r>
            <w:r>
              <w:rPr>
                <w:rFonts w:ascii="Calibri" w:hAnsi="Calibri" w:cs="Calibri"/>
                <w:b/>
                <w:bCs/>
                <w:color w:val="000000"/>
                <w:sz w:val="16"/>
                <w:szCs w:val="16"/>
              </w:rPr>
              <w:t>)</w:t>
            </w:r>
          </w:p>
        </w:tc>
        <w:tc>
          <w:tcPr>
            <w:tcW w:w="1180" w:type="dxa"/>
            <w:tcBorders>
              <w:top w:val="nil"/>
              <w:left w:val="nil"/>
              <w:bottom w:val="nil"/>
              <w:right w:val="nil"/>
            </w:tcBorders>
            <w:shd w:val="clear" w:color="auto" w:fill="auto"/>
            <w:noWrap/>
            <w:vAlign w:val="center"/>
            <w:hideMark/>
          </w:tcPr>
          <w:p w14:paraId="26CAEBE7" w14:textId="3B1E2D7D"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A02464">
              <w:rPr>
                <w:rFonts w:ascii="Calibri" w:hAnsi="Calibri" w:cs="Calibri"/>
                <w:b/>
                <w:bCs/>
                <w:color w:val="000000"/>
                <w:sz w:val="16"/>
                <w:szCs w:val="16"/>
              </w:rPr>
              <w:t>400.871</w:t>
            </w:r>
            <w:r>
              <w:rPr>
                <w:rFonts w:ascii="Calibri" w:hAnsi="Calibri" w:cs="Calibri"/>
                <w:b/>
                <w:bCs/>
                <w:color w:val="000000"/>
                <w:sz w:val="16"/>
                <w:szCs w:val="16"/>
              </w:rPr>
              <w:t>)</w:t>
            </w:r>
          </w:p>
        </w:tc>
        <w:tc>
          <w:tcPr>
            <w:tcW w:w="1100" w:type="dxa"/>
            <w:tcBorders>
              <w:top w:val="nil"/>
              <w:left w:val="nil"/>
              <w:bottom w:val="nil"/>
              <w:right w:val="nil"/>
            </w:tcBorders>
            <w:shd w:val="clear" w:color="auto" w:fill="auto"/>
            <w:noWrap/>
            <w:vAlign w:val="center"/>
            <w:hideMark/>
          </w:tcPr>
          <w:p w14:paraId="51C8C885"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828.216</w:t>
            </w:r>
          </w:p>
        </w:tc>
        <w:tc>
          <w:tcPr>
            <w:tcW w:w="1220" w:type="dxa"/>
            <w:tcBorders>
              <w:top w:val="nil"/>
              <w:left w:val="nil"/>
              <w:bottom w:val="nil"/>
              <w:right w:val="nil"/>
            </w:tcBorders>
            <w:shd w:val="clear" w:color="auto" w:fill="auto"/>
            <w:noWrap/>
            <w:vAlign w:val="center"/>
            <w:hideMark/>
          </w:tcPr>
          <w:p w14:paraId="1EC17AB9"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320" w:type="dxa"/>
            <w:tcBorders>
              <w:top w:val="nil"/>
              <w:left w:val="nil"/>
              <w:bottom w:val="nil"/>
              <w:right w:val="nil"/>
            </w:tcBorders>
            <w:shd w:val="clear" w:color="auto" w:fill="auto"/>
            <w:noWrap/>
            <w:vAlign w:val="center"/>
            <w:hideMark/>
          </w:tcPr>
          <w:p w14:paraId="7F8DCDF7" w14:textId="3C3A2D58"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A02464">
              <w:rPr>
                <w:rFonts w:ascii="Calibri" w:hAnsi="Calibri" w:cs="Calibri"/>
                <w:b/>
                <w:bCs/>
                <w:color w:val="000000"/>
                <w:sz w:val="16"/>
                <w:szCs w:val="16"/>
              </w:rPr>
              <w:t>922.742.89</w:t>
            </w:r>
            <w:r w:rsidR="003C0660">
              <w:rPr>
                <w:rFonts w:ascii="Calibri" w:hAnsi="Calibri" w:cs="Calibri"/>
                <w:b/>
                <w:bCs/>
                <w:color w:val="000000"/>
                <w:sz w:val="16"/>
                <w:szCs w:val="16"/>
              </w:rPr>
              <w:t>1</w:t>
            </w:r>
            <w:r>
              <w:rPr>
                <w:rFonts w:ascii="Calibri" w:hAnsi="Calibri" w:cs="Calibri"/>
                <w:b/>
                <w:bCs/>
                <w:color w:val="000000"/>
                <w:sz w:val="16"/>
                <w:szCs w:val="16"/>
              </w:rPr>
              <w:t>)</w:t>
            </w:r>
          </w:p>
        </w:tc>
        <w:tc>
          <w:tcPr>
            <w:tcW w:w="960" w:type="dxa"/>
            <w:tcBorders>
              <w:top w:val="nil"/>
              <w:left w:val="nil"/>
              <w:bottom w:val="nil"/>
              <w:right w:val="nil"/>
            </w:tcBorders>
            <w:shd w:val="clear" w:color="auto" w:fill="auto"/>
            <w:noWrap/>
            <w:vAlign w:val="center"/>
            <w:hideMark/>
          </w:tcPr>
          <w:p w14:paraId="7E2376DC" w14:textId="77777777" w:rsidR="007D5C15" w:rsidRDefault="007D5C15">
            <w:pPr>
              <w:jc w:val="right"/>
              <w:rPr>
                <w:rFonts w:ascii="Calibri" w:hAnsi="Calibri" w:cs="Calibri"/>
                <w:b/>
                <w:bCs/>
                <w:color w:val="000000"/>
                <w:sz w:val="16"/>
                <w:szCs w:val="16"/>
              </w:rPr>
            </w:pPr>
          </w:p>
        </w:tc>
      </w:tr>
      <w:tr w:rsidR="007D5C15" w14:paraId="31A96D47" w14:textId="77777777" w:rsidTr="007D5C15">
        <w:trPr>
          <w:trHeight w:val="300"/>
        </w:trPr>
        <w:tc>
          <w:tcPr>
            <w:tcW w:w="3280" w:type="dxa"/>
            <w:tcBorders>
              <w:top w:val="nil"/>
              <w:left w:val="nil"/>
              <w:bottom w:val="nil"/>
              <w:right w:val="nil"/>
            </w:tcBorders>
            <w:shd w:val="clear" w:color="auto" w:fill="auto"/>
            <w:noWrap/>
            <w:vAlign w:val="center"/>
            <w:hideMark/>
          </w:tcPr>
          <w:p w14:paraId="0FFD5634"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Salas e Escritórios</w:t>
            </w:r>
          </w:p>
        </w:tc>
        <w:tc>
          <w:tcPr>
            <w:tcW w:w="1340" w:type="dxa"/>
            <w:tcBorders>
              <w:top w:val="nil"/>
              <w:left w:val="nil"/>
              <w:bottom w:val="nil"/>
              <w:right w:val="nil"/>
            </w:tcBorders>
            <w:shd w:val="clear" w:color="auto" w:fill="auto"/>
            <w:noWrap/>
            <w:vAlign w:val="center"/>
            <w:hideMark/>
          </w:tcPr>
          <w:p w14:paraId="04E0B780" w14:textId="74FCFE89"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5.680.648</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3BEC5C3A" w14:textId="5A869FB8"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A02464">
              <w:rPr>
                <w:rFonts w:ascii="Calibri" w:hAnsi="Calibri" w:cs="Calibri"/>
                <w:color w:val="000000"/>
                <w:sz w:val="16"/>
                <w:szCs w:val="16"/>
              </w:rPr>
              <w:t>220.026</w:t>
            </w:r>
            <w:r>
              <w:rPr>
                <w:rFonts w:ascii="Calibri" w:hAnsi="Calibri" w:cs="Calibri"/>
                <w:color w:val="000000"/>
                <w:sz w:val="16"/>
                <w:szCs w:val="16"/>
              </w:rPr>
              <w:t>)</w:t>
            </w:r>
          </w:p>
        </w:tc>
        <w:tc>
          <w:tcPr>
            <w:tcW w:w="1100" w:type="dxa"/>
            <w:tcBorders>
              <w:top w:val="nil"/>
              <w:left w:val="nil"/>
              <w:bottom w:val="nil"/>
              <w:right w:val="nil"/>
            </w:tcBorders>
            <w:shd w:val="clear" w:color="auto" w:fill="auto"/>
            <w:noWrap/>
            <w:vAlign w:val="center"/>
            <w:hideMark/>
          </w:tcPr>
          <w:p w14:paraId="759AF5C8"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828.216</w:t>
            </w:r>
          </w:p>
        </w:tc>
        <w:tc>
          <w:tcPr>
            <w:tcW w:w="1220" w:type="dxa"/>
            <w:tcBorders>
              <w:top w:val="nil"/>
              <w:left w:val="nil"/>
              <w:bottom w:val="nil"/>
              <w:right w:val="nil"/>
            </w:tcBorders>
            <w:shd w:val="clear" w:color="auto" w:fill="auto"/>
            <w:noWrap/>
            <w:vAlign w:val="center"/>
            <w:hideMark/>
          </w:tcPr>
          <w:p w14:paraId="54D3FC4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63813A87" w14:textId="2233817C"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4.976.77</w:t>
            </w:r>
            <w:r w:rsidR="003C0660">
              <w:rPr>
                <w:rFonts w:ascii="Calibri" w:hAnsi="Calibri" w:cs="Calibri"/>
                <w:color w:val="000000"/>
                <w:sz w:val="16"/>
                <w:szCs w:val="16"/>
              </w:rPr>
              <w:t>8</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center"/>
            <w:hideMark/>
          </w:tcPr>
          <w:p w14:paraId="6FAF42FA" w14:textId="77777777" w:rsidR="007D5C15" w:rsidRDefault="007D5C15">
            <w:pPr>
              <w:jc w:val="right"/>
              <w:rPr>
                <w:rFonts w:ascii="Calibri" w:hAnsi="Calibri" w:cs="Calibri"/>
                <w:color w:val="000000"/>
                <w:sz w:val="16"/>
                <w:szCs w:val="16"/>
              </w:rPr>
            </w:pPr>
          </w:p>
        </w:tc>
      </w:tr>
      <w:tr w:rsidR="007D5C15" w14:paraId="2EF8BFD8" w14:textId="77777777" w:rsidTr="007D5C15">
        <w:trPr>
          <w:trHeight w:val="300"/>
        </w:trPr>
        <w:tc>
          <w:tcPr>
            <w:tcW w:w="3280" w:type="dxa"/>
            <w:tcBorders>
              <w:top w:val="nil"/>
              <w:left w:val="nil"/>
              <w:bottom w:val="nil"/>
              <w:right w:val="nil"/>
            </w:tcBorders>
            <w:shd w:val="clear" w:color="auto" w:fill="auto"/>
            <w:noWrap/>
            <w:vAlign w:val="center"/>
            <w:hideMark/>
          </w:tcPr>
          <w:p w14:paraId="4BD20B64"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FNS - Açailândia/MA - Palmas/TO</w:t>
            </w:r>
          </w:p>
        </w:tc>
        <w:tc>
          <w:tcPr>
            <w:tcW w:w="1340" w:type="dxa"/>
            <w:tcBorders>
              <w:top w:val="nil"/>
              <w:left w:val="nil"/>
              <w:bottom w:val="nil"/>
              <w:right w:val="nil"/>
            </w:tcBorders>
            <w:shd w:val="clear" w:color="auto" w:fill="auto"/>
            <w:noWrap/>
            <w:vAlign w:val="center"/>
            <w:hideMark/>
          </w:tcPr>
          <w:p w14:paraId="540BE9EC" w14:textId="759DF590"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293.414.824</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6819E078"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43C53E5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00F5C59C"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6FAAAD03" w14:textId="2D03C8F1"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293.414.824</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center"/>
            <w:hideMark/>
          </w:tcPr>
          <w:p w14:paraId="01BC46E7" w14:textId="77777777" w:rsidR="007D5C15" w:rsidRDefault="007D5C15">
            <w:pPr>
              <w:jc w:val="right"/>
              <w:rPr>
                <w:rFonts w:ascii="Calibri" w:hAnsi="Calibri" w:cs="Calibri"/>
                <w:color w:val="000000"/>
                <w:sz w:val="16"/>
                <w:szCs w:val="16"/>
              </w:rPr>
            </w:pPr>
          </w:p>
        </w:tc>
      </w:tr>
      <w:tr w:rsidR="007D5C15" w14:paraId="4B252D26" w14:textId="77777777" w:rsidTr="007D5C15">
        <w:trPr>
          <w:trHeight w:val="300"/>
        </w:trPr>
        <w:tc>
          <w:tcPr>
            <w:tcW w:w="3280" w:type="dxa"/>
            <w:tcBorders>
              <w:top w:val="nil"/>
              <w:left w:val="nil"/>
              <w:bottom w:val="nil"/>
              <w:right w:val="nil"/>
            </w:tcBorders>
            <w:shd w:val="clear" w:color="auto" w:fill="auto"/>
            <w:noWrap/>
            <w:vAlign w:val="center"/>
            <w:hideMark/>
          </w:tcPr>
          <w:p w14:paraId="17E49698"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340" w:type="dxa"/>
            <w:tcBorders>
              <w:top w:val="nil"/>
              <w:left w:val="nil"/>
              <w:bottom w:val="nil"/>
              <w:right w:val="nil"/>
            </w:tcBorders>
            <w:shd w:val="clear" w:color="auto" w:fill="auto"/>
            <w:noWrap/>
            <w:vAlign w:val="center"/>
            <w:hideMark/>
          </w:tcPr>
          <w:p w14:paraId="3771F686" w14:textId="058E88EA"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623.260.959</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2A0B3A1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0BC03BC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68C31132"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1E779052" w14:textId="2CA508C2"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623.260.959</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center"/>
            <w:hideMark/>
          </w:tcPr>
          <w:p w14:paraId="6BE85581" w14:textId="77777777" w:rsidR="007D5C15" w:rsidRDefault="007D5C15">
            <w:pPr>
              <w:jc w:val="right"/>
              <w:rPr>
                <w:rFonts w:ascii="Calibri" w:hAnsi="Calibri" w:cs="Calibri"/>
                <w:color w:val="000000"/>
                <w:sz w:val="16"/>
                <w:szCs w:val="16"/>
              </w:rPr>
            </w:pPr>
          </w:p>
        </w:tc>
      </w:tr>
      <w:tr w:rsidR="007D5C15" w14:paraId="2E96D0FD" w14:textId="77777777" w:rsidTr="007D5C15">
        <w:trPr>
          <w:trHeight w:val="300"/>
        </w:trPr>
        <w:tc>
          <w:tcPr>
            <w:tcW w:w="3280" w:type="dxa"/>
            <w:tcBorders>
              <w:top w:val="nil"/>
              <w:left w:val="nil"/>
              <w:bottom w:val="single" w:sz="8" w:space="0" w:color="000000"/>
              <w:right w:val="nil"/>
            </w:tcBorders>
            <w:shd w:val="clear" w:color="auto" w:fill="auto"/>
            <w:vAlign w:val="center"/>
            <w:hideMark/>
          </w:tcPr>
          <w:p w14:paraId="6C41EB3C"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Pátio Porto Franco</w:t>
            </w:r>
          </w:p>
        </w:tc>
        <w:tc>
          <w:tcPr>
            <w:tcW w:w="1340" w:type="dxa"/>
            <w:tcBorders>
              <w:top w:val="nil"/>
              <w:left w:val="nil"/>
              <w:bottom w:val="single" w:sz="8" w:space="0" w:color="000000"/>
              <w:right w:val="nil"/>
            </w:tcBorders>
            <w:shd w:val="clear" w:color="auto" w:fill="auto"/>
            <w:noWrap/>
            <w:vAlign w:val="center"/>
            <w:hideMark/>
          </w:tcPr>
          <w:p w14:paraId="37EA543C" w14:textId="518D0ADD"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813.805</w:t>
            </w:r>
            <w:r>
              <w:rPr>
                <w:rFonts w:ascii="Calibri" w:hAnsi="Calibri" w:cs="Calibri"/>
                <w:color w:val="000000"/>
                <w:sz w:val="16"/>
                <w:szCs w:val="16"/>
              </w:rPr>
              <w:t>)</w:t>
            </w:r>
          </w:p>
        </w:tc>
        <w:tc>
          <w:tcPr>
            <w:tcW w:w="1180" w:type="dxa"/>
            <w:tcBorders>
              <w:top w:val="nil"/>
              <w:left w:val="nil"/>
              <w:bottom w:val="single" w:sz="8" w:space="0" w:color="000000"/>
              <w:right w:val="nil"/>
            </w:tcBorders>
            <w:shd w:val="clear" w:color="auto" w:fill="auto"/>
            <w:noWrap/>
            <w:vAlign w:val="center"/>
            <w:hideMark/>
          </w:tcPr>
          <w:p w14:paraId="33AE49F4" w14:textId="62A578FF"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A02464">
              <w:rPr>
                <w:rFonts w:ascii="Calibri" w:hAnsi="Calibri" w:cs="Calibri"/>
                <w:color w:val="000000"/>
                <w:sz w:val="16"/>
                <w:szCs w:val="16"/>
              </w:rPr>
              <w:t>180.845</w:t>
            </w:r>
            <w:r>
              <w:rPr>
                <w:rFonts w:ascii="Calibri" w:hAnsi="Calibri" w:cs="Calibri"/>
                <w:color w:val="000000"/>
                <w:sz w:val="16"/>
                <w:szCs w:val="16"/>
              </w:rPr>
              <w:t>)</w:t>
            </w:r>
          </w:p>
        </w:tc>
        <w:tc>
          <w:tcPr>
            <w:tcW w:w="1100" w:type="dxa"/>
            <w:tcBorders>
              <w:top w:val="nil"/>
              <w:left w:val="nil"/>
              <w:bottom w:val="single" w:sz="8" w:space="0" w:color="000000"/>
              <w:right w:val="nil"/>
            </w:tcBorders>
            <w:shd w:val="clear" w:color="auto" w:fill="auto"/>
            <w:noWrap/>
            <w:vAlign w:val="center"/>
            <w:hideMark/>
          </w:tcPr>
          <w:p w14:paraId="4057EC68"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single" w:sz="8" w:space="0" w:color="000000"/>
              <w:right w:val="nil"/>
            </w:tcBorders>
            <w:shd w:val="clear" w:color="auto" w:fill="auto"/>
            <w:noWrap/>
            <w:vAlign w:val="center"/>
            <w:hideMark/>
          </w:tcPr>
          <w:p w14:paraId="081538A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single" w:sz="8" w:space="0" w:color="000000"/>
              <w:right w:val="nil"/>
            </w:tcBorders>
            <w:shd w:val="clear" w:color="auto" w:fill="auto"/>
            <w:noWrap/>
            <w:vAlign w:val="center"/>
            <w:hideMark/>
          </w:tcPr>
          <w:p w14:paraId="312B6DEF" w14:textId="62E8518B"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A02464">
              <w:rPr>
                <w:rFonts w:ascii="Calibri" w:hAnsi="Calibri" w:cs="Calibri"/>
                <w:color w:val="000000"/>
                <w:sz w:val="16"/>
                <w:szCs w:val="16"/>
              </w:rPr>
              <w:t>994.550</w:t>
            </w:r>
            <w:r>
              <w:rPr>
                <w:rFonts w:ascii="Calibri" w:hAnsi="Calibri" w:cs="Calibri"/>
                <w:color w:val="000000"/>
                <w:sz w:val="16"/>
                <w:szCs w:val="16"/>
              </w:rPr>
              <w:t>)</w:t>
            </w:r>
          </w:p>
        </w:tc>
        <w:tc>
          <w:tcPr>
            <w:tcW w:w="960" w:type="dxa"/>
            <w:tcBorders>
              <w:top w:val="nil"/>
              <w:left w:val="nil"/>
              <w:bottom w:val="single" w:sz="8" w:space="0" w:color="000000"/>
              <w:right w:val="nil"/>
            </w:tcBorders>
            <w:shd w:val="clear" w:color="auto" w:fill="auto"/>
            <w:noWrap/>
            <w:vAlign w:val="center"/>
            <w:hideMark/>
          </w:tcPr>
          <w:p w14:paraId="6A2528B0" w14:textId="77777777" w:rsidR="007D5C15" w:rsidRDefault="007D5C15">
            <w:pPr>
              <w:rPr>
                <w:rFonts w:ascii="Calibri" w:hAnsi="Calibri" w:cs="Calibri"/>
                <w:color w:val="000000"/>
                <w:sz w:val="16"/>
                <w:szCs w:val="16"/>
              </w:rPr>
            </w:pPr>
            <w:r>
              <w:rPr>
                <w:rFonts w:ascii="Calibri" w:hAnsi="Calibri" w:cs="Calibri"/>
                <w:color w:val="000000"/>
                <w:sz w:val="16"/>
                <w:szCs w:val="16"/>
              </w:rPr>
              <w:t> </w:t>
            </w:r>
          </w:p>
        </w:tc>
      </w:tr>
      <w:tr w:rsidR="007D5C15" w14:paraId="3733C389" w14:textId="77777777" w:rsidTr="007D5C15">
        <w:trPr>
          <w:trHeight w:val="150"/>
        </w:trPr>
        <w:tc>
          <w:tcPr>
            <w:tcW w:w="3280" w:type="dxa"/>
            <w:tcBorders>
              <w:top w:val="nil"/>
              <w:left w:val="nil"/>
              <w:bottom w:val="nil"/>
              <w:right w:val="nil"/>
            </w:tcBorders>
            <w:shd w:val="clear" w:color="auto" w:fill="auto"/>
            <w:vAlign w:val="center"/>
            <w:hideMark/>
          </w:tcPr>
          <w:p w14:paraId="6ADC46B6" w14:textId="77777777" w:rsidR="007D5C15" w:rsidRDefault="007D5C15">
            <w:pPr>
              <w:rPr>
                <w:rFonts w:ascii="Calibri" w:hAnsi="Calibri" w:cs="Calibri"/>
                <w:color w:val="000000"/>
                <w:sz w:val="16"/>
                <w:szCs w:val="16"/>
              </w:rPr>
            </w:pPr>
          </w:p>
        </w:tc>
        <w:tc>
          <w:tcPr>
            <w:tcW w:w="1340" w:type="dxa"/>
            <w:tcBorders>
              <w:top w:val="nil"/>
              <w:left w:val="nil"/>
              <w:bottom w:val="nil"/>
              <w:right w:val="nil"/>
            </w:tcBorders>
            <w:shd w:val="clear" w:color="auto" w:fill="auto"/>
            <w:noWrap/>
            <w:vAlign w:val="center"/>
            <w:hideMark/>
          </w:tcPr>
          <w:p w14:paraId="1F9194ED" w14:textId="77777777" w:rsidR="007D5C15" w:rsidRDefault="007D5C15">
            <w:pPr>
              <w:rPr>
                <w:sz w:val="20"/>
                <w:szCs w:val="20"/>
              </w:rPr>
            </w:pPr>
          </w:p>
        </w:tc>
        <w:tc>
          <w:tcPr>
            <w:tcW w:w="1180" w:type="dxa"/>
            <w:tcBorders>
              <w:top w:val="nil"/>
              <w:left w:val="nil"/>
              <w:bottom w:val="nil"/>
              <w:right w:val="nil"/>
            </w:tcBorders>
            <w:shd w:val="clear" w:color="auto" w:fill="auto"/>
            <w:noWrap/>
            <w:vAlign w:val="center"/>
            <w:hideMark/>
          </w:tcPr>
          <w:p w14:paraId="2F0B15A6" w14:textId="77777777" w:rsidR="007D5C15" w:rsidRDefault="007D5C15">
            <w:pPr>
              <w:jc w:val="right"/>
              <w:rPr>
                <w:sz w:val="20"/>
                <w:szCs w:val="20"/>
              </w:rPr>
            </w:pPr>
          </w:p>
        </w:tc>
        <w:tc>
          <w:tcPr>
            <w:tcW w:w="1100" w:type="dxa"/>
            <w:tcBorders>
              <w:top w:val="nil"/>
              <w:left w:val="nil"/>
              <w:bottom w:val="nil"/>
              <w:right w:val="nil"/>
            </w:tcBorders>
            <w:shd w:val="clear" w:color="auto" w:fill="auto"/>
            <w:noWrap/>
            <w:vAlign w:val="center"/>
            <w:hideMark/>
          </w:tcPr>
          <w:p w14:paraId="574A5B11" w14:textId="77777777" w:rsidR="007D5C15" w:rsidRDefault="007D5C15">
            <w:pPr>
              <w:jc w:val="right"/>
              <w:rPr>
                <w:sz w:val="20"/>
                <w:szCs w:val="20"/>
              </w:rPr>
            </w:pPr>
          </w:p>
        </w:tc>
        <w:tc>
          <w:tcPr>
            <w:tcW w:w="1220" w:type="dxa"/>
            <w:tcBorders>
              <w:top w:val="nil"/>
              <w:left w:val="nil"/>
              <w:bottom w:val="nil"/>
              <w:right w:val="nil"/>
            </w:tcBorders>
            <w:shd w:val="clear" w:color="auto" w:fill="auto"/>
            <w:noWrap/>
            <w:vAlign w:val="center"/>
            <w:hideMark/>
          </w:tcPr>
          <w:p w14:paraId="5A948C3E" w14:textId="77777777" w:rsidR="007D5C15" w:rsidRDefault="007D5C15">
            <w:pPr>
              <w:jc w:val="right"/>
              <w:rPr>
                <w:sz w:val="20"/>
                <w:szCs w:val="20"/>
              </w:rPr>
            </w:pPr>
          </w:p>
        </w:tc>
        <w:tc>
          <w:tcPr>
            <w:tcW w:w="1320" w:type="dxa"/>
            <w:tcBorders>
              <w:top w:val="nil"/>
              <w:left w:val="nil"/>
              <w:bottom w:val="nil"/>
              <w:right w:val="nil"/>
            </w:tcBorders>
            <w:shd w:val="clear" w:color="auto" w:fill="auto"/>
            <w:noWrap/>
            <w:vAlign w:val="center"/>
            <w:hideMark/>
          </w:tcPr>
          <w:p w14:paraId="0FD5040A" w14:textId="77777777" w:rsidR="007D5C15" w:rsidRDefault="007D5C15">
            <w:pPr>
              <w:jc w:val="right"/>
              <w:rPr>
                <w:sz w:val="20"/>
                <w:szCs w:val="20"/>
              </w:rPr>
            </w:pPr>
          </w:p>
        </w:tc>
        <w:tc>
          <w:tcPr>
            <w:tcW w:w="960" w:type="dxa"/>
            <w:tcBorders>
              <w:top w:val="nil"/>
              <w:left w:val="nil"/>
              <w:bottom w:val="nil"/>
              <w:right w:val="nil"/>
            </w:tcBorders>
            <w:shd w:val="clear" w:color="auto" w:fill="auto"/>
            <w:noWrap/>
            <w:vAlign w:val="center"/>
            <w:hideMark/>
          </w:tcPr>
          <w:p w14:paraId="7A089B1E" w14:textId="77777777" w:rsidR="007D5C15" w:rsidRDefault="007D5C15">
            <w:pPr>
              <w:jc w:val="right"/>
              <w:rPr>
                <w:sz w:val="20"/>
                <w:szCs w:val="20"/>
              </w:rPr>
            </w:pPr>
          </w:p>
        </w:tc>
      </w:tr>
      <w:tr w:rsidR="007D5C15" w14:paraId="5A24F27F" w14:textId="77777777" w:rsidTr="007D5C15">
        <w:trPr>
          <w:trHeight w:val="315"/>
        </w:trPr>
        <w:tc>
          <w:tcPr>
            <w:tcW w:w="3280" w:type="dxa"/>
            <w:tcBorders>
              <w:top w:val="single" w:sz="8" w:space="0" w:color="auto"/>
              <w:left w:val="nil"/>
              <w:bottom w:val="single" w:sz="8" w:space="0" w:color="auto"/>
              <w:right w:val="nil"/>
            </w:tcBorders>
            <w:shd w:val="clear" w:color="auto" w:fill="auto"/>
            <w:noWrap/>
            <w:vAlign w:val="center"/>
            <w:hideMark/>
          </w:tcPr>
          <w:p w14:paraId="57E13F80"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Total Líquido (5) =1+ 2+3+4+5</w:t>
            </w:r>
          </w:p>
        </w:tc>
        <w:tc>
          <w:tcPr>
            <w:tcW w:w="1340" w:type="dxa"/>
            <w:tcBorders>
              <w:top w:val="single" w:sz="8" w:space="0" w:color="auto"/>
              <w:left w:val="nil"/>
              <w:bottom w:val="single" w:sz="8" w:space="0" w:color="auto"/>
              <w:right w:val="nil"/>
            </w:tcBorders>
            <w:shd w:val="clear" w:color="auto" w:fill="auto"/>
            <w:noWrap/>
            <w:vAlign w:val="center"/>
            <w:hideMark/>
          </w:tcPr>
          <w:p w14:paraId="774DFE71"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2.615.171.591</w:t>
            </w:r>
          </w:p>
        </w:tc>
        <w:tc>
          <w:tcPr>
            <w:tcW w:w="1180" w:type="dxa"/>
            <w:tcBorders>
              <w:top w:val="single" w:sz="8" w:space="0" w:color="auto"/>
              <w:left w:val="nil"/>
              <w:bottom w:val="single" w:sz="8" w:space="0" w:color="auto"/>
              <w:right w:val="nil"/>
            </w:tcBorders>
            <w:shd w:val="clear" w:color="auto" w:fill="auto"/>
            <w:noWrap/>
            <w:vAlign w:val="center"/>
            <w:hideMark/>
          </w:tcPr>
          <w:p w14:paraId="0627394E" w14:textId="7C248C81" w:rsidR="007D5C15" w:rsidRDefault="00A02464">
            <w:pPr>
              <w:jc w:val="right"/>
              <w:rPr>
                <w:rFonts w:ascii="Calibri" w:hAnsi="Calibri" w:cs="Calibri"/>
                <w:b/>
                <w:bCs/>
                <w:color w:val="000000"/>
                <w:sz w:val="16"/>
                <w:szCs w:val="16"/>
              </w:rPr>
            </w:pPr>
            <w:r>
              <w:rPr>
                <w:rFonts w:ascii="Calibri" w:hAnsi="Calibri" w:cs="Calibri"/>
                <w:b/>
                <w:bCs/>
                <w:color w:val="000000"/>
                <w:sz w:val="16"/>
                <w:szCs w:val="16"/>
              </w:rPr>
              <w:t>148.411.7</w:t>
            </w:r>
            <w:r w:rsidR="003C0660">
              <w:rPr>
                <w:rFonts w:ascii="Calibri" w:hAnsi="Calibri" w:cs="Calibri"/>
                <w:b/>
                <w:bCs/>
                <w:color w:val="000000"/>
                <w:sz w:val="16"/>
                <w:szCs w:val="16"/>
              </w:rPr>
              <w:t>50</w:t>
            </w:r>
          </w:p>
        </w:tc>
        <w:tc>
          <w:tcPr>
            <w:tcW w:w="1100" w:type="dxa"/>
            <w:tcBorders>
              <w:top w:val="single" w:sz="8" w:space="0" w:color="auto"/>
              <w:left w:val="nil"/>
              <w:bottom w:val="single" w:sz="8" w:space="0" w:color="auto"/>
              <w:right w:val="nil"/>
            </w:tcBorders>
            <w:shd w:val="clear" w:color="auto" w:fill="auto"/>
            <w:noWrap/>
            <w:vAlign w:val="center"/>
            <w:hideMark/>
          </w:tcPr>
          <w:p w14:paraId="29CE0961" w14:textId="7A4EFC14" w:rsidR="007D5C15" w:rsidRDefault="00412EC8">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45.90</w:t>
            </w:r>
            <w:r w:rsidR="003C0660">
              <w:rPr>
                <w:rFonts w:ascii="Calibri" w:hAnsi="Calibri" w:cs="Calibri"/>
                <w:b/>
                <w:bCs/>
                <w:color w:val="000000"/>
                <w:sz w:val="16"/>
                <w:szCs w:val="16"/>
              </w:rPr>
              <w:t>4</w:t>
            </w:r>
            <w:r>
              <w:rPr>
                <w:rFonts w:ascii="Calibri" w:hAnsi="Calibri" w:cs="Calibri"/>
                <w:b/>
                <w:bCs/>
                <w:color w:val="000000"/>
                <w:sz w:val="16"/>
                <w:szCs w:val="16"/>
              </w:rPr>
              <w:t>)</w:t>
            </w:r>
          </w:p>
        </w:tc>
        <w:tc>
          <w:tcPr>
            <w:tcW w:w="1220" w:type="dxa"/>
            <w:tcBorders>
              <w:top w:val="single" w:sz="8" w:space="0" w:color="auto"/>
              <w:left w:val="nil"/>
              <w:bottom w:val="single" w:sz="8" w:space="0" w:color="auto"/>
              <w:right w:val="nil"/>
            </w:tcBorders>
            <w:shd w:val="clear" w:color="auto" w:fill="auto"/>
            <w:noWrap/>
            <w:vAlign w:val="center"/>
            <w:hideMark/>
          </w:tcPr>
          <w:p w14:paraId="604A8FE0"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320" w:type="dxa"/>
            <w:tcBorders>
              <w:top w:val="single" w:sz="8" w:space="0" w:color="auto"/>
              <w:left w:val="nil"/>
              <w:bottom w:val="single" w:sz="8" w:space="0" w:color="auto"/>
              <w:right w:val="nil"/>
            </w:tcBorders>
            <w:shd w:val="clear" w:color="auto" w:fill="auto"/>
            <w:noWrap/>
            <w:vAlign w:val="center"/>
            <w:hideMark/>
          </w:tcPr>
          <w:p w14:paraId="277E62B6" w14:textId="71C803CD" w:rsidR="007D5C15" w:rsidRDefault="006D5717">
            <w:pPr>
              <w:jc w:val="right"/>
              <w:rPr>
                <w:rFonts w:ascii="Calibri" w:hAnsi="Calibri" w:cs="Calibri"/>
                <w:b/>
                <w:bCs/>
                <w:color w:val="000000"/>
                <w:sz w:val="16"/>
                <w:szCs w:val="16"/>
              </w:rPr>
            </w:pPr>
            <w:r>
              <w:rPr>
                <w:rFonts w:ascii="Calibri" w:hAnsi="Calibri" w:cs="Calibri"/>
                <w:b/>
                <w:bCs/>
                <w:color w:val="000000"/>
                <w:sz w:val="16"/>
                <w:szCs w:val="16"/>
              </w:rPr>
              <w:t>2.763.537.436</w:t>
            </w:r>
          </w:p>
        </w:tc>
        <w:tc>
          <w:tcPr>
            <w:tcW w:w="960" w:type="dxa"/>
            <w:tcBorders>
              <w:top w:val="single" w:sz="8" w:space="0" w:color="auto"/>
              <w:left w:val="nil"/>
              <w:bottom w:val="single" w:sz="8" w:space="0" w:color="auto"/>
              <w:right w:val="nil"/>
            </w:tcBorders>
            <w:shd w:val="clear" w:color="auto" w:fill="auto"/>
            <w:noWrap/>
            <w:vAlign w:val="center"/>
            <w:hideMark/>
          </w:tcPr>
          <w:p w14:paraId="369DADE5"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 xml:space="preserve"> </w:t>
            </w:r>
          </w:p>
        </w:tc>
      </w:tr>
      <w:tr w:rsidR="007D5C15" w14:paraId="749700C3" w14:textId="77777777" w:rsidTr="007D5C15">
        <w:trPr>
          <w:trHeight w:val="105"/>
        </w:trPr>
        <w:tc>
          <w:tcPr>
            <w:tcW w:w="3280" w:type="dxa"/>
            <w:tcBorders>
              <w:top w:val="nil"/>
              <w:left w:val="nil"/>
              <w:bottom w:val="nil"/>
              <w:right w:val="nil"/>
            </w:tcBorders>
            <w:shd w:val="clear" w:color="auto" w:fill="auto"/>
            <w:noWrap/>
            <w:vAlign w:val="bottom"/>
            <w:hideMark/>
          </w:tcPr>
          <w:p w14:paraId="5677D6D7" w14:textId="77777777" w:rsidR="007D5C15" w:rsidRDefault="007D5C15">
            <w:pPr>
              <w:rPr>
                <w:rFonts w:ascii="Calibri" w:hAnsi="Calibri" w:cs="Calibri"/>
                <w:b/>
                <w:bCs/>
                <w:color w:val="000000"/>
                <w:sz w:val="16"/>
                <w:szCs w:val="16"/>
              </w:rPr>
            </w:pPr>
          </w:p>
        </w:tc>
        <w:tc>
          <w:tcPr>
            <w:tcW w:w="1340" w:type="dxa"/>
            <w:tcBorders>
              <w:top w:val="nil"/>
              <w:left w:val="nil"/>
              <w:bottom w:val="nil"/>
              <w:right w:val="nil"/>
            </w:tcBorders>
            <w:shd w:val="clear" w:color="auto" w:fill="auto"/>
            <w:noWrap/>
            <w:vAlign w:val="bottom"/>
            <w:hideMark/>
          </w:tcPr>
          <w:p w14:paraId="4E79D4BD" w14:textId="77777777" w:rsidR="007D5C15" w:rsidRDefault="007D5C15">
            <w:pPr>
              <w:rPr>
                <w:sz w:val="20"/>
                <w:szCs w:val="20"/>
              </w:rPr>
            </w:pPr>
          </w:p>
        </w:tc>
        <w:tc>
          <w:tcPr>
            <w:tcW w:w="1180" w:type="dxa"/>
            <w:tcBorders>
              <w:top w:val="nil"/>
              <w:left w:val="nil"/>
              <w:bottom w:val="nil"/>
              <w:right w:val="nil"/>
            </w:tcBorders>
            <w:shd w:val="clear" w:color="auto" w:fill="auto"/>
            <w:noWrap/>
            <w:vAlign w:val="bottom"/>
            <w:hideMark/>
          </w:tcPr>
          <w:p w14:paraId="32E3404F" w14:textId="77777777" w:rsidR="007D5C15" w:rsidRDefault="007D5C15">
            <w:pPr>
              <w:rPr>
                <w:sz w:val="20"/>
                <w:szCs w:val="20"/>
              </w:rPr>
            </w:pPr>
          </w:p>
        </w:tc>
        <w:tc>
          <w:tcPr>
            <w:tcW w:w="1100" w:type="dxa"/>
            <w:tcBorders>
              <w:top w:val="nil"/>
              <w:left w:val="nil"/>
              <w:bottom w:val="nil"/>
              <w:right w:val="nil"/>
            </w:tcBorders>
            <w:shd w:val="clear" w:color="auto" w:fill="auto"/>
            <w:noWrap/>
            <w:vAlign w:val="bottom"/>
            <w:hideMark/>
          </w:tcPr>
          <w:p w14:paraId="5326F4E2" w14:textId="77777777" w:rsidR="007D5C15" w:rsidRDefault="007D5C15">
            <w:pPr>
              <w:rPr>
                <w:sz w:val="20"/>
                <w:szCs w:val="20"/>
              </w:rPr>
            </w:pPr>
          </w:p>
        </w:tc>
        <w:tc>
          <w:tcPr>
            <w:tcW w:w="1220" w:type="dxa"/>
            <w:tcBorders>
              <w:top w:val="nil"/>
              <w:left w:val="nil"/>
              <w:bottom w:val="nil"/>
              <w:right w:val="nil"/>
            </w:tcBorders>
            <w:shd w:val="clear" w:color="auto" w:fill="auto"/>
            <w:noWrap/>
            <w:vAlign w:val="bottom"/>
            <w:hideMark/>
          </w:tcPr>
          <w:p w14:paraId="188D684E" w14:textId="77777777" w:rsidR="007D5C15" w:rsidRDefault="007D5C15">
            <w:pPr>
              <w:rPr>
                <w:sz w:val="20"/>
                <w:szCs w:val="20"/>
              </w:rPr>
            </w:pPr>
          </w:p>
        </w:tc>
        <w:tc>
          <w:tcPr>
            <w:tcW w:w="1320" w:type="dxa"/>
            <w:tcBorders>
              <w:top w:val="nil"/>
              <w:left w:val="nil"/>
              <w:bottom w:val="nil"/>
              <w:right w:val="nil"/>
            </w:tcBorders>
            <w:shd w:val="clear" w:color="auto" w:fill="auto"/>
            <w:noWrap/>
            <w:vAlign w:val="bottom"/>
            <w:hideMark/>
          </w:tcPr>
          <w:p w14:paraId="03E748E3" w14:textId="77777777" w:rsidR="007D5C15" w:rsidRDefault="007D5C15">
            <w:pPr>
              <w:rPr>
                <w:sz w:val="20"/>
                <w:szCs w:val="20"/>
              </w:rPr>
            </w:pPr>
          </w:p>
        </w:tc>
        <w:tc>
          <w:tcPr>
            <w:tcW w:w="960" w:type="dxa"/>
            <w:tcBorders>
              <w:top w:val="nil"/>
              <w:left w:val="nil"/>
              <w:bottom w:val="nil"/>
              <w:right w:val="nil"/>
            </w:tcBorders>
            <w:shd w:val="clear" w:color="auto" w:fill="auto"/>
            <w:noWrap/>
            <w:vAlign w:val="bottom"/>
            <w:hideMark/>
          </w:tcPr>
          <w:p w14:paraId="5AE3EA0E" w14:textId="77777777" w:rsidR="007D5C15" w:rsidRDefault="007D5C15">
            <w:pPr>
              <w:rPr>
                <w:sz w:val="20"/>
                <w:szCs w:val="20"/>
              </w:rPr>
            </w:pPr>
          </w:p>
        </w:tc>
      </w:tr>
      <w:tr w:rsidR="007D5C15" w14:paraId="02607968" w14:textId="77777777" w:rsidTr="007D5C15">
        <w:trPr>
          <w:trHeight w:val="465"/>
        </w:trPr>
        <w:tc>
          <w:tcPr>
            <w:tcW w:w="3280" w:type="dxa"/>
            <w:tcBorders>
              <w:top w:val="nil"/>
              <w:left w:val="nil"/>
              <w:bottom w:val="single" w:sz="8" w:space="0" w:color="auto"/>
              <w:right w:val="nil"/>
            </w:tcBorders>
            <w:shd w:val="clear" w:color="auto" w:fill="auto"/>
            <w:vAlign w:val="center"/>
            <w:hideMark/>
          </w:tcPr>
          <w:p w14:paraId="60052556"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IMOBILIZADO CONSOLIDADO</w:t>
            </w:r>
          </w:p>
        </w:tc>
        <w:tc>
          <w:tcPr>
            <w:tcW w:w="1340" w:type="dxa"/>
            <w:tcBorders>
              <w:top w:val="nil"/>
              <w:left w:val="nil"/>
              <w:bottom w:val="single" w:sz="8" w:space="0" w:color="auto"/>
              <w:right w:val="nil"/>
            </w:tcBorders>
            <w:shd w:val="clear" w:color="auto" w:fill="auto"/>
            <w:vAlign w:val="center"/>
            <w:hideMark/>
          </w:tcPr>
          <w:p w14:paraId="40762EAE"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SALDO EM 31/12/2020</w:t>
            </w:r>
          </w:p>
        </w:tc>
        <w:tc>
          <w:tcPr>
            <w:tcW w:w="1180" w:type="dxa"/>
            <w:tcBorders>
              <w:top w:val="nil"/>
              <w:left w:val="nil"/>
              <w:bottom w:val="single" w:sz="8" w:space="0" w:color="auto"/>
              <w:right w:val="nil"/>
            </w:tcBorders>
            <w:shd w:val="clear" w:color="auto" w:fill="auto"/>
            <w:vAlign w:val="center"/>
            <w:hideMark/>
          </w:tcPr>
          <w:p w14:paraId="10E9AC45"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100" w:type="dxa"/>
            <w:tcBorders>
              <w:top w:val="nil"/>
              <w:left w:val="nil"/>
              <w:bottom w:val="single" w:sz="8" w:space="0" w:color="auto"/>
              <w:right w:val="nil"/>
            </w:tcBorders>
            <w:shd w:val="clear" w:color="auto" w:fill="auto"/>
            <w:vAlign w:val="center"/>
            <w:hideMark/>
          </w:tcPr>
          <w:p w14:paraId="6F828B7C"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BAIXAS</w:t>
            </w:r>
          </w:p>
        </w:tc>
        <w:tc>
          <w:tcPr>
            <w:tcW w:w="1220" w:type="dxa"/>
            <w:tcBorders>
              <w:top w:val="nil"/>
              <w:left w:val="nil"/>
              <w:bottom w:val="single" w:sz="8" w:space="0" w:color="auto"/>
              <w:right w:val="nil"/>
            </w:tcBorders>
            <w:shd w:val="clear" w:color="auto" w:fill="auto"/>
            <w:vAlign w:val="center"/>
            <w:hideMark/>
          </w:tcPr>
          <w:p w14:paraId="7E2E0BA1"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TRANSF.</w:t>
            </w:r>
          </w:p>
        </w:tc>
        <w:tc>
          <w:tcPr>
            <w:tcW w:w="1320" w:type="dxa"/>
            <w:tcBorders>
              <w:top w:val="nil"/>
              <w:left w:val="nil"/>
              <w:bottom w:val="single" w:sz="8" w:space="0" w:color="auto"/>
              <w:right w:val="nil"/>
            </w:tcBorders>
            <w:shd w:val="clear" w:color="auto" w:fill="auto"/>
            <w:vAlign w:val="center"/>
            <w:hideMark/>
          </w:tcPr>
          <w:p w14:paraId="47811BCB"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SALDO EM 31/03/2021</w:t>
            </w:r>
          </w:p>
        </w:tc>
        <w:tc>
          <w:tcPr>
            <w:tcW w:w="960" w:type="dxa"/>
            <w:tcBorders>
              <w:top w:val="nil"/>
              <w:left w:val="nil"/>
              <w:bottom w:val="single" w:sz="8" w:space="0" w:color="auto"/>
              <w:right w:val="nil"/>
            </w:tcBorders>
            <w:shd w:val="clear" w:color="auto" w:fill="auto"/>
            <w:vAlign w:val="center"/>
            <w:hideMark/>
          </w:tcPr>
          <w:p w14:paraId="3F1421C6"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 </w:t>
            </w:r>
          </w:p>
        </w:tc>
      </w:tr>
      <w:tr w:rsidR="007D5C15" w14:paraId="19D641DF" w14:textId="77777777" w:rsidTr="007D5C15">
        <w:trPr>
          <w:trHeight w:val="300"/>
        </w:trPr>
        <w:tc>
          <w:tcPr>
            <w:tcW w:w="3280" w:type="dxa"/>
            <w:tcBorders>
              <w:top w:val="nil"/>
              <w:left w:val="nil"/>
              <w:bottom w:val="nil"/>
              <w:right w:val="nil"/>
            </w:tcBorders>
            <w:shd w:val="clear" w:color="auto" w:fill="auto"/>
            <w:noWrap/>
            <w:vAlign w:val="center"/>
            <w:hideMark/>
          </w:tcPr>
          <w:p w14:paraId="4A1E4167" w14:textId="77777777" w:rsidR="007D5C15" w:rsidRDefault="007D5C15">
            <w:pPr>
              <w:rPr>
                <w:rFonts w:ascii="Calibri" w:hAnsi="Calibri" w:cs="Calibri"/>
                <w:color w:val="000000"/>
                <w:sz w:val="16"/>
                <w:szCs w:val="16"/>
              </w:rPr>
            </w:pPr>
            <w:r>
              <w:rPr>
                <w:rFonts w:ascii="Calibri" w:hAnsi="Calibri" w:cs="Calibri"/>
                <w:color w:val="000000"/>
                <w:sz w:val="16"/>
                <w:szCs w:val="16"/>
              </w:rPr>
              <w:t>Total Bens Móveis (1)</w:t>
            </w:r>
          </w:p>
        </w:tc>
        <w:tc>
          <w:tcPr>
            <w:tcW w:w="1340" w:type="dxa"/>
            <w:tcBorders>
              <w:top w:val="nil"/>
              <w:left w:val="nil"/>
              <w:bottom w:val="nil"/>
              <w:right w:val="nil"/>
            </w:tcBorders>
            <w:shd w:val="clear" w:color="auto" w:fill="auto"/>
            <w:noWrap/>
            <w:vAlign w:val="center"/>
            <w:hideMark/>
          </w:tcPr>
          <w:p w14:paraId="05BFF63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36.933.333</w:t>
            </w:r>
          </w:p>
        </w:tc>
        <w:tc>
          <w:tcPr>
            <w:tcW w:w="1180" w:type="dxa"/>
            <w:tcBorders>
              <w:top w:val="nil"/>
              <w:left w:val="nil"/>
              <w:bottom w:val="nil"/>
              <w:right w:val="nil"/>
            </w:tcBorders>
            <w:shd w:val="clear" w:color="auto" w:fill="auto"/>
            <w:noWrap/>
            <w:vAlign w:val="center"/>
            <w:hideMark/>
          </w:tcPr>
          <w:p w14:paraId="30559F1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46.130</w:t>
            </w:r>
          </w:p>
        </w:tc>
        <w:tc>
          <w:tcPr>
            <w:tcW w:w="1100" w:type="dxa"/>
            <w:tcBorders>
              <w:top w:val="nil"/>
              <w:left w:val="nil"/>
              <w:bottom w:val="nil"/>
              <w:right w:val="nil"/>
            </w:tcBorders>
            <w:shd w:val="clear" w:color="auto" w:fill="auto"/>
            <w:noWrap/>
            <w:vAlign w:val="center"/>
            <w:hideMark/>
          </w:tcPr>
          <w:p w14:paraId="5FC5A3B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3C26028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186.371</w:t>
            </w:r>
          </w:p>
        </w:tc>
        <w:tc>
          <w:tcPr>
            <w:tcW w:w="1320" w:type="dxa"/>
            <w:tcBorders>
              <w:top w:val="nil"/>
              <w:left w:val="nil"/>
              <w:bottom w:val="nil"/>
              <w:right w:val="nil"/>
            </w:tcBorders>
            <w:shd w:val="clear" w:color="auto" w:fill="auto"/>
            <w:noWrap/>
            <w:vAlign w:val="center"/>
            <w:hideMark/>
          </w:tcPr>
          <w:p w14:paraId="193B386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37.165.834</w:t>
            </w:r>
          </w:p>
        </w:tc>
        <w:tc>
          <w:tcPr>
            <w:tcW w:w="960" w:type="dxa"/>
            <w:tcBorders>
              <w:top w:val="nil"/>
              <w:left w:val="nil"/>
              <w:bottom w:val="nil"/>
              <w:right w:val="nil"/>
            </w:tcBorders>
            <w:shd w:val="clear" w:color="auto" w:fill="auto"/>
            <w:noWrap/>
            <w:vAlign w:val="bottom"/>
            <w:hideMark/>
          </w:tcPr>
          <w:p w14:paraId="0FF08977" w14:textId="77777777" w:rsidR="007D5C15" w:rsidRDefault="007D5C15">
            <w:pPr>
              <w:jc w:val="right"/>
              <w:rPr>
                <w:rFonts w:ascii="Calibri" w:hAnsi="Calibri" w:cs="Calibri"/>
                <w:color w:val="000000"/>
                <w:sz w:val="16"/>
                <w:szCs w:val="16"/>
              </w:rPr>
            </w:pPr>
          </w:p>
        </w:tc>
      </w:tr>
      <w:tr w:rsidR="007D5C15" w14:paraId="64F98759" w14:textId="77777777" w:rsidTr="007D5C15">
        <w:trPr>
          <w:trHeight w:val="300"/>
        </w:trPr>
        <w:tc>
          <w:tcPr>
            <w:tcW w:w="3280" w:type="dxa"/>
            <w:tcBorders>
              <w:top w:val="nil"/>
              <w:left w:val="nil"/>
              <w:bottom w:val="nil"/>
              <w:right w:val="nil"/>
            </w:tcBorders>
            <w:shd w:val="clear" w:color="auto" w:fill="auto"/>
            <w:noWrap/>
            <w:vAlign w:val="center"/>
            <w:hideMark/>
          </w:tcPr>
          <w:p w14:paraId="4BA9BEDC" w14:textId="77777777" w:rsidR="007D5C15" w:rsidRDefault="007D5C15">
            <w:pPr>
              <w:rPr>
                <w:rFonts w:ascii="Calibri" w:hAnsi="Calibri" w:cs="Calibri"/>
                <w:color w:val="000000"/>
                <w:sz w:val="16"/>
                <w:szCs w:val="16"/>
              </w:rPr>
            </w:pPr>
            <w:r>
              <w:rPr>
                <w:rFonts w:ascii="Calibri" w:hAnsi="Calibri" w:cs="Calibri"/>
                <w:color w:val="000000"/>
                <w:sz w:val="16"/>
                <w:szCs w:val="16"/>
              </w:rPr>
              <w:t>Total Bens Imóveis (2)</w:t>
            </w:r>
          </w:p>
        </w:tc>
        <w:tc>
          <w:tcPr>
            <w:tcW w:w="1340" w:type="dxa"/>
            <w:tcBorders>
              <w:top w:val="nil"/>
              <w:left w:val="nil"/>
              <w:bottom w:val="nil"/>
              <w:right w:val="nil"/>
            </w:tcBorders>
            <w:shd w:val="clear" w:color="auto" w:fill="auto"/>
            <w:noWrap/>
            <w:vAlign w:val="center"/>
            <w:hideMark/>
          </w:tcPr>
          <w:p w14:paraId="4A0BD643" w14:textId="47FFAEC4" w:rsidR="007D5C15" w:rsidRDefault="007D5C15">
            <w:pPr>
              <w:jc w:val="right"/>
              <w:rPr>
                <w:rFonts w:ascii="Calibri" w:hAnsi="Calibri" w:cs="Calibri"/>
                <w:color w:val="000000"/>
                <w:sz w:val="16"/>
                <w:szCs w:val="16"/>
              </w:rPr>
            </w:pPr>
            <w:r>
              <w:rPr>
                <w:rFonts w:ascii="Calibri" w:hAnsi="Calibri" w:cs="Calibri"/>
                <w:color w:val="000000"/>
                <w:sz w:val="16"/>
                <w:szCs w:val="16"/>
              </w:rPr>
              <w:t>18.128.025.42</w:t>
            </w:r>
            <w:r w:rsidR="00A02464">
              <w:rPr>
                <w:rFonts w:ascii="Calibri" w:hAnsi="Calibri" w:cs="Calibri"/>
                <w:color w:val="000000"/>
                <w:sz w:val="16"/>
                <w:szCs w:val="16"/>
              </w:rPr>
              <w:t>2</w:t>
            </w:r>
          </w:p>
        </w:tc>
        <w:tc>
          <w:tcPr>
            <w:tcW w:w="1180" w:type="dxa"/>
            <w:tcBorders>
              <w:top w:val="nil"/>
              <w:left w:val="nil"/>
              <w:bottom w:val="nil"/>
              <w:right w:val="nil"/>
            </w:tcBorders>
            <w:shd w:val="clear" w:color="auto" w:fill="auto"/>
            <w:noWrap/>
            <w:vAlign w:val="center"/>
            <w:hideMark/>
          </w:tcPr>
          <w:p w14:paraId="4327A819" w14:textId="298BE228" w:rsidR="007D5C15" w:rsidRDefault="003C0660">
            <w:pPr>
              <w:jc w:val="right"/>
              <w:rPr>
                <w:rFonts w:ascii="Calibri" w:hAnsi="Calibri" w:cs="Calibri"/>
                <w:color w:val="000000"/>
                <w:sz w:val="16"/>
                <w:szCs w:val="16"/>
              </w:rPr>
            </w:pPr>
            <w:r>
              <w:rPr>
                <w:rFonts w:ascii="Calibri" w:hAnsi="Calibri" w:cs="Calibri"/>
                <w:color w:val="000000"/>
                <w:sz w:val="16"/>
                <w:szCs w:val="16"/>
              </w:rPr>
              <w:t>150.536.488</w:t>
            </w:r>
          </w:p>
        </w:tc>
        <w:tc>
          <w:tcPr>
            <w:tcW w:w="1100" w:type="dxa"/>
            <w:tcBorders>
              <w:top w:val="nil"/>
              <w:left w:val="nil"/>
              <w:bottom w:val="nil"/>
              <w:right w:val="nil"/>
            </w:tcBorders>
            <w:shd w:val="clear" w:color="auto" w:fill="auto"/>
            <w:noWrap/>
            <w:vAlign w:val="center"/>
            <w:hideMark/>
          </w:tcPr>
          <w:p w14:paraId="6368A62A" w14:textId="5EA04DF2"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874.120</w:t>
            </w:r>
            <w:r>
              <w:rPr>
                <w:rFonts w:ascii="Calibri" w:hAnsi="Calibri" w:cs="Calibri"/>
                <w:color w:val="000000"/>
                <w:sz w:val="16"/>
                <w:szCs w:val="16"/>
              </w:rPr>
              <w:t>)</w:t>
            </w:r>
          </w:p>
        </w:tc>
        <w:tc>
          <w:tcPr>
            <w:tcW w:w="1220" w:type="dxa"/>
            <w:tcBorders>
              <w:top w:val="nil"/>
              <w:left w:val="nil"/>
              <w:bottom w:val="nil"/>
              <w:right w:val="nil"/>
            </w:tcBorders>
            <w:shd w:val="clear" w:color="auto" w:fill="auto"/>
            <w:noWrap/>
            <w:vAlign w:val="center"/>
            <w:hideMark/>
          </w:tcPr>
          <w:p w14:paraId="40BB865B" w14:textId="13DCE817" w:rsidR="007D5C15" w:rsidRDefault="00500C0F">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186.371</w:t>
            </w:r>
            <w:r>
              <w:rPr>
                <w:rFonts w:ascii="Calibri" w:hAnsi="Calibri" w:cs="Calibri"/>
                <w:color w:val="000000"/>
                <w:sz w:val="16"/>
                <w:szCs w:val="16"/>
              </w:rPr>
              <w:t>)</w:t>
            </w:r>
          </w:p>
        </w:tc>
        <w:tc>
          <w:tcPr>
            <w:tcW w:w="1320" w:type="dxa"/>
            <w:tcBorders>
              <w:top w:val="nil"/>
              <w:left w:val="nil"/>
              <w:bottom w:val="nil"/>
              <w:right w:val="nil"/>
            </w:tcBorders>
            <w:shd w:val="clear" w:color="auto" w:fill="auto"/>
            <w:noWrap/>
            <w:vAlign w:val="center"/>
            <w:hideMark/>
          </w:tcPr>
          <w:p w14:paraId="751E1684" w14:textId="5845FBD8" w:rsidR="00F424FD" w:rsidRDefault="00F424FD" w:rsidP="00F424FD">
            <w:pPr>
              <w:jc w:val="right"/>
              <w:rPr>
                <w:rFonts w:ascii="Calibri" w:hAnsi="Calibri" w:cs="Calibri"/>
                <w:color w:val="000000"/>
                <w:sz w:val="16"/>
                <w:szCs w:val="16"/>
              </w:rPr>
            </w:pPr>
            <w:r>
              <w:rPr>
                <w:rFonts w:ascii="Calibri" w:hAnsi="Calibri" w:cs="Calibri"/>
                <w:color w:val="000000"/>
                <w:sz w:val="16"/>
                <w:szCs w:val="16"/>
              </w:rPr>
              <w:t>18.277.501.419</w:t>
            </w:r>
          </w:p>
        </w:tc>
        <w:tc>
          <w:tcPr>
            <w:tcW w:w="960" w:type="dxa"/>
            <w:tcBorders>
              <w:top w:val="nil"/>
              <w:left w:val="nil"/>
              <w:bottom w:val="nil"/>
              <w:right w:val="nil"/>
            </w:tcBorders>
            <w:shd w:val="clear" w:color="auto" w:fill="auto"/>
            <w:noWrap/>
            <w:vAlign w:val="bottom"/>
            <w:hideMark/>
          </w:tcPr>
          <w:p w14:paraId="1E52AE68" w14:textId="77777777" w:rsidR="007D5C15" w:rsidRDefault="007D5C15">
            <w:pPr>
              <w:jc w:val="right"/>
              <w:rPr>
                <w:rFonts w:ascii="Calibri" w:hAnsi="Calibri" w:cs="Calibri"/>
                <w:color w:val="000000"/>
                <w:sz w:val="16"/>
                <w:szCs w:val="16"/>
              </w:rPr>
            </w:pPr>
          </w:p>
        </w:tc>
      </w:tr>
      <w:tr w:rsidR="007D5C15" w14:paraId="520342E1" w14:textId="77777777" w:rsidTr="007D5C15">
        <w:trPr>
          <w:trHeight w:val="300"/>
        </w:trPr>
        <w:tc>
          <w:tcPr>
            <w:tcW w:w="3280" w:type="dxa"/>
            <w:tcBorders>
              <w:top w:val="nil"/>
              <w:left w:val="nil"/>
              <w:bottom w:val="nil"/>
              <w:right w:val="nil"/>
            </w:tcBorders>
            <w:shd w:val="clear" w:color="auto" w:fill="auto"/>
            <w:noWrap/>
            <w:vAlign w:val="center"/>
            <w:hideMark/>
          </w:tcPr>
          <w:p w14:paraId="53CA4AAE" w14:textId="77777777" w:rsidR="007D5C15" w:rsidRDefault="007D5C15">
            <w:pPr>
              <w:rPr>
                <w:rFonts w:ascii="Calibri" w:hAnsi="Calibri" w:cs="Calibri"/>
                <w:color w:val="000000"/>
                <w:sz w:val="16"/>
                <w:szCs w:val="16"/>
              </w:rPr>
            </w:pPr>
            <w:r>
              <w:rPr>
                <w:rFonts w:ascii="Calibri" w:hAnsi="Calibri" w:cs="Calibri"/>
                <w:color w:val="000000"/>
                <w:sz w:val="16"/>
                <w:szCs w:val="16"/>
              </w:rPr>
              <w:t>(Redução ao Valor Recuperável - FNS) (3)</w:t>
            </w:r>
          </w:p>
        </w:tc>
        <w:tc>
          <w:tcPr>
            <w:tcW w:w="1340" w:type="dxa"/>
            <w:tcBorders>
              <w:top w:val="nil"/>
              <w:left w:val="nil"/>
              <w:bottom w:val="nil"/>
              <w:right w:val="nil"/>
            </w:tcBorders>
            <w:shd w:val="clear" w:color="auto" w:fill="auto"/>
            <w:noWrap/>
            <w:vAlign w:val="center"/>
            <w:hideMark/>
          </w:tcPr>
          <w:p w14:paraId="129FDDE4" w14:textId="4AF89448"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11.354.416.372</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1A101DC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77539D6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5DCB770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61A12685" w14:textId="4B534965"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11.354.416.372</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bottom"/>
            <w:hideMark/>
          </w:tcPr>
          <w:p w14:paraId="7E4FAF41" w14:textId="77777777" w:rsidR="007D5C15" w:rsidRDefault="007D5C15">
            <w:pPr>
              <w:jc w:val="right"/>
              <w:rPr>
                <w:rFonts w:ascii="Calibri" w:hAnsi="Calibri" w:cs="Calibri"/>
                <w:color w:val="000000"/>
                <w:sz w:val="16"/>
                <w:szCs w:val="16"/>
              </w:rPr>
            </w:pPr>
          </w:p>
        </w:tc>
      </w:tr>
      <w:tr w:rsidR="007D5C15" w14:paraId="5777CDF7" w14:textId="77777777" w:rsidTr="007D5C15">
        <w:trPr>
          <w:trHeight w:val="300"/>
        </w:trPr>
        <w:tc>
          <w:tcPr>
            <w:tcW w:w="3280" w:type="dxa"/>
            <w:tcBorders>
              <w:top w:val="nil"/>
              <w:left w:val="nil"/>
              <w:bottom w:val="nil"/>
              <w:right w:val="nil"/>
            </w:tcBorders>
            <w:shd w:val="clear" w:color="auto" w:fill="auto"/>
            <w:noWrap/>
            <w:vAlign w:val="center"/>
            <w:hideMark/>
          </w:tcPr>
          <w:p w14:paraId="62298BBA" w14:textId="77777777" w:rsidR="007D5C15" w:rsidRDefault="007D5C15">
            <w:pPr>
              <w:rPr>
                <w:rFonts w:ascii="Calibri" w:hAnsi="Calibri" w:cs="Calibri"/>
                <w:color w:val="000000"/>
                <w:sz w:val="16"/>
                <w:szCs w:val="16"/>
              </w:rPr>
            </w:pPr>
            <w:r>
              <w:rPr>
                <w:rFonts w:ascii="Calibri" w:hAnsi="Calibri" w:cs="Calibri"/>
                <w:color w:val="000000"/>
                <w:sz w:val="16"/>
                <w:szCs w:val="16"/>
              </w:rPr>
              <w:t>(Redução ao Valor Recuperável - FIOL I) (4)</w:t>
            </w:r>
          </w:p>
        </w:tc>
        <w:tc>
          <w:tcPr>
            <w:tcW w:w="1340" w:type="dxa"/>
            <w:tcBorders>
              <w:top w:val="nil"/>
              <w:left w:val="nil"/>
              <w:bottom w:val="nil"/>
              <w:right w:val="nil"/>
            </w:tcBorders>
            <w:shd w:val="clear" w:color="auto" w:fill="auto"/>
            <w:noWrap/>
            <w:vAlign w:val="center"/>
            <w:hideMark/>
          </w:tcPr>
          <w:p w14:paraId="6EE23E2D" w14:textId="3DD0AB81"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3.245.937.256</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78783BD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379D35F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252C5D3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3200AC98" w14:textId="1E957A53" w:rsidR="007D5C15" w:rsidRDefault="00500C0F">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3.245.937.256</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bottom"/>
            <w:hideMark/>
          </w:tcPr>
          <w:p w14:paraId="5EEA2419" w14:textId="77777777" w:rsidR="007D5C15" w:rsidRDefault="007D5C15">
            <w:pPr>
              <w:jc w:val="right"/>
              <w:rPr>
                <w:rFonts w:ascii="Calibri" w:hAnsi="Calibri" w:cs="Calibri"/>
                <w:color w:val="000000"/>
                <w:sz w:val="16"/>
                <w:szCs w:val="16"/>
              </w:rPr>
            </w:pPr>
          </w:p>
        </w:tc>
      </w:tr>
      <w:tr w:rsidR="007D5C15" w14:paraId="1AEA590F" w14:textId="77777777" w:rsidTr="007D5C15">
        <w:trPr>
          <w:trHeight w:val="315"/>
        </w:trPr>
        <w:tc>
          <w:tcPr>
            <w:tcW w:w="3280" w:type="dxa"/>
            <w:tcBorders>
              <w:top w:val="nil"/>
              <w:left w:val="nil"/>
              <w:bottom w:val="nil"/>
              <w:right w:val="nil"/>
            </w:tcBorders>
            <w:shd w:val="clear" w:color="auto" w:fill="auto"/>
            <w:noWrap/>
            <w:vAlign w:val="center"/>
            <w:hideMark/>
          </w:tcPr>
          <w:p w14:paraId="2A255260"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Depreciação Acumulada (5) </w:t>
            </w:r>
          </w:p>
        </w:tc>
        <w:tc>
          <w:tcPr>
            <w:tcW w:w="1340" w:type="dxa"/>
            <w:tcBorders>
              <w:top w:val="nil"/>
              <w:left w:val="nil"/>
              <w:bottom w:val="nil"/>
              <w:right w:val="nil"/>
            </w:tcBorders>
            <w:shd w:val="clear" w:color="auto" w:fill="auto"/>
            <w:noWrap/>
            <w:vAlign w:val="center"/>
            <w:hideMark/>
          </w:tcPr>
          <w:p w14:paraId="74D5F7F3" w14:textId="7F3F0DDB"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949.433.53</w:t>
            </w:r>
            <w:r w:rsidR="00E5570F">
              <w:rPr>
                <w:rFonts w:ascii="Calibri" w:hAnsi="Calibri" w:cs="Calibri"/>
                <w:color w:val="000000"/>
                <w:sz w:val="16"/>
                <w:szCs w:val="16"/>
              </w:rPr>
              <w:t>5</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4F9625A1" w14:textId="67B98DFA"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3C0660">
              <w:rPr>
                <w:rFonts w:ascii="Calibri" w:hAnsi="Calibri" w:cs="Calibri"/>
                <w:color w:val="000000"/>
                <w:sz w:val="16"/>
                <w:szCs w:val="16"/>
              </w:rPr>
              <w:t>2.170.869</w:t>
            </w:r>
            <w:r>
              <w:rPr>
                <w:rFonts w:ascii="Calibri" w:hAnsi="Calibri" w:cs="Calibri"/>
                <w:color w:val="000000"/>
                <w:sz w:val="16"/>
                <w:szCs w:val="16"/>
              </w:rPr>
              <w:t>)</w:t>
            </w:r>
          </w:p>
        </w:tc>
        <w:tc>
          <w:tcPr>
            <w:tcW w:w="1100" w:type="dxa"/>
            <w:tcBorders>
              <w:top w:val="nil"/>
              <w:left w:val="nil"/>
              <w:bottom w:val="nil"/>
              <w:right w:val="nil"/>
            </w:tcBorders>
            <w:shd w:val="clear" w:color="auto" w:fill="auto"/>
            <w:noWrap/>
            <w:vAlign w:val="center"/>
            <w:hideMark/>
          </w:tcPr>
          <w:p w14:paraId="4E2E712C"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828.216</w:t>
            </w:r>
          </w:p>
        </w:tc>
        <w:tc>
          <w:tcPr>
            <w:tcW w:w="1220" w:type="dxa"/>
            <w:tcBorders>
              <w:top w:val="nil"/>
              <w:left w:val="nil"/>
              <w:bottom w:val="nil"/>
              <w:right w:val="nil"/>
            </w:tcBorders>
            <w:shd w:val="clear" w:color="auto" w:fill="auto"/>
            <w:noWrap/>
            <w:vAlign w:val="center"/>
            <w:hideMark/>
          </w:tcPr>
          <w:p w14:paraId="66B87D1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4EA4194C" w14:textId="525AB611" w:rsidR="007D5C15" w:rsidRDefault="00500C0F">
            <w:pPr>
              <w:jc w:val="right"/>
              <w:rPr>
                <w:rFonts w:ascii="Calibri" w:hAnsi="Calibri" w:cs="Calibri"/>
                <w:color w:val="000000"/>
                <w:sz w:val="16"/>
                <w:szCs w:val="16"/>
              </w:rPr>
            </w:pPr>
            <w:r>
              <w:rPr>
                <w:rFonts w:ascii="Calibri" w:hAnsi="Calibri" w:cs="Calibri"/>
                <w:color w:val="000000"/>
                <w:sz w:val="16"/>
                <w:szCs w:val="16"/>
              </w:rPr>
              <w:t>(</w:t>
            </w:r>
            <w:r w:rsidR="00F424FD">
              <w:rPr>
                <w:rFonts w:ascii="Calibri" w:hAnsi="Calibri" w:cs="Calibri"/>
                <w:color w:val="000000"/>
                <w:sz w:val="16"/>
                <w:szCs w:val="16"/>
              </w:rPr>
              <w:t>950.776.189</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center"/>
            <w:hideMark/>
          </w:tcPr>
          <w:p w14:paraId="086B640F"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w:t>
            </w:r>
          </w:p>
        </w:tc>
      </w:tr>
      <w:tr w:rsidR="007D5C15" w14:paraId="6A6F928C" w14:textId="77777777" w:rsidTr="007D5C15">
        <w:trPr>
          <w:trHeight w:val="315"/>
        </w:trPr>
        <w:tc>
          <w:tcPr>
            <w:tcW w:w="3280" w:type="dxa"/>
            <w:tcBorders>
              <w:top w:val="single" w:sz="8" w:space="0" w:color="auto"/>
              <w:left w:val="nil"/>
              <w:bottom w:val="single" w:sz="8" w:space="0" w:color="auto"/>
              <w:right w:val="nil"/>
            </w:tcBorders>
            <w:shd w:val="clear" w:color="auto" w:fill="auto"/>
            <w:noWrap/>
            <w:vAlign w:val="center"/>
            <w:hideMark/>
          </w:tcPr>
          <w:p w14:paraId="2B676479"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 xml:space="preserve">TOTAL DO IMOBILIZADO </w:t>
            </w:r>
          </w:p>
        </w:tc>
        <w:tc>
          <w:tcPr>
            <w:tcW w:w="1340" w:type="dxa"/>
            <w:tcBorders>
              <w:top w:val="single" w:sz="8" w:space="0" w:color="auto"/>
              <w:left w:val="nil"/>
              <w:bottom w:val="single" w:sz="8" w:space="0" w:color="auto"/>
              <w:right w:val="nil"/>
            </w:tcBorders>
            <w:shd w:val="clear" w:color="auto" w:fill="auto"/>
            <w:noWrap/>
            <w:vAlign w:val="center"/>
            <w:hideMark/>
          </w:tcPr>
          <w:p w14:paraId="38864F7F" w14:textId="2EBE3FA8"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2.615.171.59</w:t>
            </w:r>
            <w:r w:rsidR="00F16303">
              <w:rPr>
                <w:rFonts w:ascii="Calibri" w:hAnsi="Calibri" w:cs="Calibri"/>
                <w:b/>
                <w:bCs/>
                <w:color w:val="000000"/>
                <w:sz w:val="16"/>
                <w:szCs w:val="16"/>
              </w:rPr>
              <w:t>1</w:t>
            </w:r>
          </w:p>
        </w:tc>
        <w:tc>
          <w:tcPr>
            <w:tcW w:w="1180" w:type="dxa"/>
            <w:tcBorders>
              <w:top w:val="single" w:sz="8" w:space="0" w:color="auto"/>
              <w:left w:val="nil"/>
              <w:bottom w:val="single" w:sz="8" w:space="0" w:color="auto"/>
              <w:right w:val="nil"/>
            </w:tcBorders>
            <w:shd w:val="clear" w:color="auto" w:fill="auto"/>
            <w:noWrap/>
            <w:vAlign w:val="center"/>
            <w:hideMark/>
          </w:tcPr>
          <w:p w14:paraId="13A4974D" w14:textId="46B4014C" w:rsidR="007D5C15" w:rsidRDefault="003C0660">
            <w:pPr>
              <w:jc w:val="right"/>
              <w:rPr>
                <w:rFonts w:ascii="Calibri" w:hAnsi="Calibri" w:cs="Calibri"/>
                <w:b/>
                <w:bCs/>
                <w:color w:val="000000"/>
                <w:sz w:val="16"/>
                <w:szCs w:val="16"/>
              </w:rPr>
            </w:pPr>
            <w:r>
              <w:rPr>
                <w:rFonts w:ascii="Calibri" w:hAnsi="Calibri" w:cs="Calibri"/>
                <w:b/>
                <w:bCs/>
                <w:color w:val="000000"/>
                <w:sz w:val="16"/>
                <w:szCs w:val="16"/>
              </w:rPr>
              <w:t>148.411.750</w:t>
            </w:r>
          </w:p>
        </w:tc>
        <w:tc>
          <w:tcPr>
            <w:tcW w:w="1100" w:type="dxa"/>
            <w:tcBorders>
              <w:top w:val="single" w:sz="8" w:space="0" w:color="auto"/>
              <w:left w:val="nil"/>
              <w:bottom w:val="single" w:sz="8" w:space="0" w:color="auto"/>
              <w:right w:val="nil"/>
            </w:tcBorders>
            <w:shd w:val="clear" w:color="auto" w:fill="auto"/>
            <w:noWrap/>
            <w:vAlign w:val="center"/>
            <w:hideMark/>
          </w:tcPr>
          <w:p w14:paraId="2C4D287C" w14:textId="01EF22B0"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45.904</w:t>
            </w:r>
            <w:r>
              <w:rPr>
                <w:rFonts w:ascii="Calibri" w:hAnsi="Calibri" w:cs="Calibri"/>
                <w:b/>
                <w:bCs/>
                <w:color w:val="000000"/>
                <w:sz w:val="16"/>
                <w:szCs w:val="16"/>
              </w:rPr>
              <w:t>)</w:t>
            </w:r>
          </w:p>
        </w:tc>
        <w:tc>
          <w:tcPr>
            <w:tcW w:w="1220" w:type="dxa"/>
            <w:tcBorders>
              <w:top w:val="single" w:sz="8" w:space="0" w:color="auto"/>
              <w:left w:val="nil"/>
              <w:bottom w:val="single" w:sz="8" w:space="0" w:color="auto"/>
              <w:right w:val="nil"/>
            </w:tcBorders>
            <w:shd w:val="clear" w:color="auto" w:fill="auto"/>
            <w:noWrap/>
            <w:vAlign w:val="center"/>
            <w:hideMark/>
          </w:tcPr>
          <w:p w14:paraId="2716E9C6"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320" w:type="dxa"/>
            <w:tcBorders>
              <w:top w:val="single" w:sz="8" w:space="0" w:color="auto"/>
              <w:left w:val="nil"/>
              <w:bottom w:val="single" w:sz="8" w:space="0" w:color="auto"/>
              <w:right w:val="nil"/>
            </w:tcBorders>
            <w:shd w:val="clear" w:color="auto" w:fill="auto"/>
            <w:noWrap/>
            <w:vAlign w:val="center"/>
            <w:hideMark/>
          </w:tcPr>
          <w:p w14:paraId="35132AC5" w14:textId="52A9FC5A" w:rsidR="007D5C15" w:rsidRDefault="00F424FD">
            <w:pPr>
              <w:jc w:val="right"/>
              <w:rPr>
                <w:rFonts w:ascii="Calibri" w:hAnsi="Calibri" w:cs="Calibri"/>
                <w:b/>
                <w:bCs/>
                <w:color w:val="000000"/>
                <w:sz w:val="16"/>
                <w:szCs w:val="16"/>
              </w:rPr>
            </w:pPr>
            <w:r>
              <w:rPr>
                <w:rFonts w:ascii="Calibri" w:hAnsi="Calibri" w:cs="Calibri"/>
                <w:b/>
                <w:bCs/>
                <w:color w:val="000000"/>
                <w:sz w:val="16"/>
                <w:szCs w:val="16"/>
              </w:rPr>
              <w:t>2.763.537.43</w:t>
            </w:r>
            <w:r w:rsidR="001F13A3">
              <w:rPr>
                <w:rFonts w:ascii="Calibri" w:hAnsi="Calibri" w:cs="Calibri"/>
                <w:b/>
                <w:bCs/>
                <w:color w:val="000000"/>
                <w:sz w:val="16"/>
                <w:szCs w:val="16"/>
              </w:rPr>
              <w:t>6</w:t>
            </w:r>
          </w:p>
        </w:tc>
        <w:tc>
          <w:tcPr>
            <w:tcW w:w="960" w:type="dxa"/>
            <w:tcBorders>
              <w:top w:val="single" w:sz="8" w:space="0" w:color="auto"/>
              <w:left w:val="nil"/>
              <w:bottom w:val="single" w:sz="8" w:space="0" w:color="auto"/>
              <w:right w:val="nil"/>
            </w:tcBorders>
            <w:shd w:val="clear" w:color="auto" w:fill="auto"/>
            <w:noWrap/>
            <w:vAlign w:val="center"/>
            <w:hideMark/>
          </w:tcPr>
          <w:p w14:paraId="3B5C993D"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 </w:t>
            </w:r>
          </w:p>
        </w:tc>
      </w:tr>
    </w:tbl>
    <w:p w14:paraId="5B40FC6F" w14:textId="77777777" w:rsidR="004E7131" w:rsidRPr="002E2B5B" w:rsidRDefault="004E7131" w:rsidP="002E2B5B">
      <w:pPr>
        <w:spacing w:after="120"/>
        <w:ind w:left="720" w:right="57"/>
        <w:jc w:val="both"/>
        <w:rPr>
          <w:rFonts w:ascii="Calibri" w:hAnsi="Calibri" w:cs="Calibri"/>
          <w:sz w:val="22"/>
          <w:szCs w:val="22"/>
        </w:rPr>
      </w:pPr>
    </w:p>
    <w:p w14:paraId="39899948" w14:textId="7CEE4103" w:rsidR="00C07BEB" w:rsidRPr="002E2B5B" w:rsidRDefault="00C07BEB" w:rsidP="002E2B5B">
      <w:pPr>
        <w:numPr>
          <w:ilvl w:val="0"/>
          <w:numId w:val="15"/>
        </w:numPr>
        <w:spacing w:after="120"/>
        <w:ind w:right="57"/>
        <w:jc w:val="both"/>
        <w:rPr>
          <w:rFonts w:ascii="Calibri" w:hAnsi="Calibri" w:cs="Calibri"/>
          <w:sz w:val="22"/>
          <w:szCs w:val="22"/>
        </w:rPr>
      </w:pPr>
      <w:r w:rsidRPr="002E2B5B">
        <w:rPr>
          <w:rFonts w:ascii="Calibri" w:hAnsi="Calibri" w:cs="Calibri"/>
          <w:sz w:val="22"/>
          <w:szCs w:val="22"/>
        </w:rPr>
        <w:t xml:space="preserve">Os bens corpóreos </w:t>
      </w:r>
      <w:r w:rsidR="00054CE1" w:rsidRPr="002E2B5B">
        <w:rPr>
          <w:rFonts w:ascii="Calibri" w:hAnsi="Calibri" w:cs="Calibri"/>
          <w:sz w:val="22"/>
          <w:szCs w:val="22"/>
        </w:rPr>
        <w:t xml:space="preserve">são </w:t>
      </w:r>
      <w:r w:rsidRPr="002E2B5B">
        <w:rPr>
          <w:rFonts w:ascii="Calibri" w:hAnsi="Calibri" w:cs="Calibri"/>
          <w:sz w:val="22"/>
          <w:szCs w:val="22"/>
        </w:rPr>
        <w:t>reconhecid</w:t>
      </w:r>
      <w:r w:rsidR="00054CE1" w:rsidRPr="002E2B5B">
        <w:rPr>
          <w:rFonts w:ascii="Calibri" w:hAnsi="Calibri" w:cs="Calibri"/>
          <w:sz w:val="22"/>
          <w:szCs w:val="22"/>
        </w:rPr>
        <w:t>o</w:t>
      </w:r>
      <w:r w:rsidRPr="002E2B5B">
        <w:rPr>
          <w:rFonts w:ascii="Calibri" w:hAnsi="Calibri" w:cs="Calibri"/>
          <w:sz w:val="22"/>
          <w:szCs w:val="22"/>
        </w:rPr>
        <w:t xml:space="preserve">s pelo registro original do bem. </w:t>
      </w:r>
      <w:r w:rsidR="00505049" w:rsidRPr="002E2B5B">
        <w:rPr>
          <w:rFonts w:ascii="Calibri" w:hAnsi="Calibri" w:cs="Calibri"/>
          <w:sz w:val="22"/>
          <w:szCs w:val="22"/>
        </w:rPr>
        <w:t xml:space="preserve">Devido ao desgaste e </w:t>
      </w:r>
      <w:r w:rsidRPr="002E2B5B">
        <w:rPr>
          <w:rFonts w:ascii="Calibri" w:hAnsi="Calibri" w:cs="Calibri"/>
          <w:sz w:val="22"/>
          <w:szCs w:val="22"/>
        </w:rPr>
        <w:t>a obsolescência</w:t>
      </w:r>
      <w:r w:rsidR="00A40B2C" w:rsidRPr="002E2B5B">
        <w:rPr>
          <w:rFonts w:ascii="Calibri" w:hAnsi="Calibri" w:cs="Calibri"/>
          <w:sz w:val="22"/>
          <w:szCs w:val="22"/>
        </w:rPr>
        <w:t xml:space="preserve"> desses bens</w:t>
      </w:r>
      <w:r w:rsidRPr="002E2B5B">
        <w:rPr>
          <w:rFonts w:ascii="Calibri" w:hAnsi="Calibri" w:cs="Calibri"/>
          <w:sz w:val="22"/>
          <w:szCs w:val="22"/>
        </w:rPr>
        <w:t xml:space="preserve"> ao longo do tempo, exigem-se o reconhecimento da despesa em virtude da depreciação </w:t>
      </w:r>
      <w:r w:rsidRPr="002E2B5B">
        <w:rPr>
          <w:rFonts w:ascii="Calibri" w:hAnsi="Calibri" w:cs="Calibri"/>
          <w:sz w:val="22"/>
          <w:szCs w:val="22"/>
        </w:rPr>
        <w:lastRenderedPageBreak/>
        <w:t>calculada por meio do método linear, em função de taxas estabelecidas e do tempo de vida útil, fixadas por espécies de bens</w:t>
      </w:r>
      <w:r w:rsidR="00054CE1" w:rsidRPr="002E2B5B">
        <w:rPr>
          <w:rFonts w:ascii="Calibri" w:hAnsi="Calibri" w:cs="Calibri"/>
          <w:sz w:val="22"/>
          <w:szCs w:val="22"/>
        </w:rPr>
        <w:t>;</w:t>
      </w:r>
    </w:p>
    <w:p w14:paraId="6ECA2F7A" w14:textId="77777777" w:rsidR="00D54B55" w:rsidRPr="002E2B5B" w:rsidRDefault="00D54B55"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As ferrovias construídas foram depreciadas retroativamente pela tabela fisco até 31 de dezembro de 2016, a partir dessa data foi utilizada a tabela da ANTT, conforme Resolução ANTT N° 4540, de 19 de dezembro de 2014</w:t>
      </w:r>
      <w:r w:rsidR="00054CE1" w:rsidRPr="002E2B5B">
        <w:rPr>
          <w:rFonts w:ascii="Calibri" w:hAnsi="Calibri" w:cs="Calibri"/>
          <w:sz w:val="22"/>
          <w:szCs w:val="22"/>
        </w:rPr>
        <w:t>;</w:t>
      </w:r>
    </w:p>
    <w:p w14:paraId="5D8C50BB" w14:textId="77777777" w:rsidR="00D54B55" w:rsidRPr="002E2B5B" w:rsidRDefault="00D54B55"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Anualmente, é realizado o inventário dos bens móveis da VALEC e verificado in loco as condições de uso dos bens. Os bens que se apresentam como inservíveis são reparados, doados ou baixados do sistema patrimonial bem como da contabilidade</w:t>
      </w:r>
      <w:r w:rsidR="00054CE1" w:rsidRPr="002E2B5B">
        <w:rPr>
          <w:rFonts w:ascii="Calibri" w:hAnsi="Calibri" w:cs="Calibri"/>
          <w:sz w:val="22"/>
          <w:szCs w:val="22"/>
        </w:rPr>
        <w:t>;</w:t>
      </w:r>
    </w:p>
    <w:p w14:paraId="6B02080C" w14:textId="6DDAD049" w:rsidR="00D54B55" w:rsidRDefault="00D54B55"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Os Ativos Imobilizados da VALEC são registrados em um sistema informatizado que permite controlar sequencialmente os bens móveis</w:t>
      </w:r>
      <w:r w:rsidR="00B54457" w:rsidRPr="002E2B5B">
        <w:rPr>
          <w:rFonts w:ascii="Calibri" w:hAnsi="Calibri" w:cs="Calibri"/>
          <w:sz w:val="22"/>
          <w:szCs w:val="22"/>
        </w:rPr>
        <w:t>,</w:t>
      </w:r>
      <w:r w:rsidRPr="002E2B5B">
        <w:rPr>
          <w:rFonts w:ascii="Calibri" w:hAnsi="Calibri" w:cs="Calibri"/>
          <w:sz w:val="22"/>
          <w:szCs w:val="22"/>
        </w:rPr>
        <w:t xml:space="preserve"> gerando relatórios por localidade ou descrição do bem e são depreciados periodicamente</w:t>
      </w:r>
      <w:r w:rsidR="00054CE1" w:rsidRPr="002E2B5B">
        <w:rPr>
          <w:rFonts w:ascii="Calibri" w:hAnsi="Calibri" w:cs="Calibri"/>
          <w:sz w:val="22"/>
          <w:szCs w:val="22"/>
        </w:rPr>
        <w:t>;</w:t>
      </w:r>
    </w:p>
    <w:p w14:paraId="7E756F2F" w14:textId="61118FA4" w:rsidR="007D5C15" w:rsidRPr="002E2B5B" w:rsidRDefault="007D5C15" w:rsidP="002E2B5B">
      <w:pPr>
        <w:pStyle w:val="NormalWeb"/>
        <w:numPr>
          <w:ilvl w:val="0"/>
          <w:numId w:val="15"/>
        </w:numPr>
        <w:spacing w:before="0" w:beforeAutospacing="0" w:after="120" w:afterAutospacing="0"/>
        <w:jc w:val="both"/>
        <w:rPr>
          <w:rFonts w:ascii="Calibri" w:hAnsi="Calibri" w:cs="Calibri"/>
          <w:sz w:val="22"/>
          <w:szCs w:val="22"/>
        </w:rPr>
      </w:pPr>
      <w:r>
        <w:rPr>
          <w:rFonts w:ascii="Calibri" w:hAnsi="Calibri" w:cs="Calibri"/>
          <w:sz w:val="22"/>
          <w:szCs w:val="22"/>
        </w:rPr>
        <w:t>Em março de 2021, fo</w:t>
      </w:r>
      <w:r w:rsidRPr="007D5C15">
        <w:rPr>
          <w:rFonts w:ascii="Calibri" w:hAnsi="Calibri" w:cs="Calibri"/>
          <w:sz w:val="22"/>
          <w:szCs w:val="22"/>
        </w:rPr>
        <w:t>ram adquiridos Aparelhos e Equipamentos de Comunicação</w:t>
      </w:r>
      <w:r>
        <w:rPr>
          <w:rFonts w:ascii="Calibri" w:hAnsi="Calibri" w:cs="Calibri"/>
          <w:sz w:val="22"/>
          <w:szCs w:val="22"/>
        </w:rPr>
        <w:t xml:space="preserve"> </w:t>
      </w:r>
      <w:r w:rsidRPr="007D5C15">
        <w:rPr>
          <w:rFonts w:ascii="Calibri" w:hAnsi="Calibri" w:cs="Calibri"/>
          <w:sz w:val="22"/>
          <w:szCs w:val="22"/>
        </w:rPr>
        <w:t>no valor de R$ 46</w:t>
      </w:r>
      <w:r w:rsidR="00D67F9D">
        <w:rPr>
          <w:rFonts w:ascii="Calibri" w:hAnsi="Calibri" w:cs="Calibri"/>
          <w:sz w:val="22"/>
          <w:szCs w:val="22"/>
        </w:rPr>
        <w:t xml:space="preserve"> mil</w:t>
      </w:r>
      <w:r w:rsidRPr="007D5C15">
        <w:rPr>
          <w:rFonts w:ascii="Calibri" w:hAnsi="Calibri" w:cs="Calibri"/>
          <w:sz w:val="22"/>
          <w:szCs w:val="22"/>
        </w:rPr>
        <w:t>;</w:t>
      </w:r>
    </w:p>
    <w:p w14:paraId="1C370210" w14:textId="77777777" w:rsidR="00054CE1" w:rsidRPr="002E2B5B" w:rsidRDefault="00054CE1"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provisão para “Redução ao valor Recuperável – Móveis” no valor de R$ 17.094 se refere ao valor contábil de 292 bens patrimoniais furtados ou extraviados, mas que se encontram com o processo administrativo de sindicância em andamento, conforme Laudo expedido pela Gerência de Patrimônio em 04 de março de 2021 (Laudo de Avaliação nº 1/2021/GEPAT/SUADM/VALEC - referente aos bens móveis em 31 de dezembro de 2019). Ao final da instrução processual, com a devida autorização da Diretoria Executiva, esses bens serão efetivamente baixados do patrimônio da VALEC;  </w:t>
      </w:r>
    </w:p>
    <w:p w14:paraId="0556DBE9" w14:textId="67E8D061" w:rsidR="009856AD" w:rsidRPr="002E2B5B" w:rsidRDefault="009856AD"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 rubrica contábil “Terrenos” é composta pelos custos relacionados aos processos de desapropriação dos respectivos Terrenos. Mensalmente são realizados pagamentos de custas do processo, taxas cartoriais, entre outros que compõem o Custo do Terreno</w:t>
      </w:r>
      <w:r w:rsidR="000A7B39" w:rsidRPr="002E2B5B">
        <w:rPr>
          <w:rFonts w:ascii="Calibri" w:hAnsi="Calibri" w:cs="Calibri"/>
          <w:sz w:val="22"/>
          <w:szCs w:val="22"/>
        </w:rPr>
        <w:t>;</w:t>
      </w:r>
    </w:p>
    <w:p w14:paraId="703F20AE" w14:textId="77777777" w:rsidR="00CF03BE" w:rsidRPr="002E2B5B" w:rsidRDefault="00CF03BE"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rubrica contábil “Estudos e Projetos” é composta pelos custos relacionados ao desenvolvimento </w:t>
      </w:r>
      <w:r w:rsidRPr="002E2B5B">
        <w:rPr>
          <w:rFonts w:ascii="Calibri" w:hAnsi="Calibri" w:cs="Calibri"/>
          <w:sz w:val="22"/>
          <w:szCs w:val="22"/>
          <w:shd w:val="clear" w:color="auto" w:fill="FFFFFF"/>
        </w:rPr>
        <w:t>de estudos e projetos de obras de infraestrutura ferroviária. Os Estudos e Projetos compreendem os Estudos de Viabilidade Técnica, Econômica e Ambiental – EVTEA, o Projeto Básico – PB e o Projeto Executivo – PE;</w:t>
      </w:r>
    </w:p>
    <w:p w14:paraId="1FBA50D3" w14:textId="5D2CF4AF" w:rsidR="007D5C15" w:rsidRPr="0039796F" w:rsidRDefault="00CC7E45" w:rsidP="0039796F">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rubrica contábil “Implantação – Ferrovias” é formada pelos custos das obras de construção das ferrovias que ainda se encontram em andamento, após o término das obras e a autorização para tráfego emitida pela ANTT, esses custos são transferidos para a rubrica “Ferrovias Construídas” e a partir de então, a ferrovia passa a sofrer depreciação. Após as </w:t>
      </w:r>
      <w:proofErr w:type="spellStart"/>
      <w:r w:rsidRPr="002E2B5B">
        <w:rPr>
          <w:rFonts w:ascii="Calibri" w:hAnsi="Calibri" w:cs="Calibri"/>
          <w:sz w:val="22"/>
          <w:szCs w:val="22"/>
        </w:rPr>
        <w:t>subconcessões</w:t>
      </w:r>
      <w:proofErr w:type="spellEnd"/>
      <w:r w:rsidRPr="002E2B5B">
        <w:rPr>
          <w:rFonts w:ascii="Calibri" w:hAnsi="Calibri" w:cs="Calibri"/>
          <w:sz w:val="22"/>
          <w:szCs w:val="22"/>
        </w:rPr>
        <w:t xml:space="preserve"> dos trechos, os ativos </w:t>
      </w:r>
      <w:proofErr w:type="spellStart"/>
      <w:r w:rsidRPr="002E2B5B">
        <w:rPr>
          <w:rFonts w:ascii="Calibri" w:hAnsi="Calibri" w:cs="Calibri"/>
          <w:sz w:val="22"/>
          <w:szCs w:val="22"/>
        </w:rPr>
        <w:t>subconcedidos</w:t>
      </w:r>
      <w:proofErr w:type="spellEnd"/>
      <w:r w:rsidRPr="002E2B5B">
        <w:rPr>
          <w:rFonts w:ascii="Calibri" w:hAnsi="Calibri" w:cs="Calibri"/>
          <w:sz w:val="22"/>
          <w:szCs w:val="22"/>
        </w:rPr>
        <w:t xml:space="preserve"> são transferidos para a rubrica “Ativos de Concessão”</w:t>
      </w:r>
      <w:r w:rsidR="000A7B39" w:rsidRPr="002E2B5B">
        <w:rPr>
          <w:rFonts w:ascii="Calibri" w:hAnsi="Calibri" w:cs="Calibri"/>
          <w:sz w:val="22"/>
          <w:szCs w:val="22"/>
        </w:rPr>
        <w:t>;</w:t>
      </w:r>
    </w:p>
    <w:p w14:paraId="63BA538B" w14:textId="619D85AF" w:rsidR="00342FBF" w:rsidRDefault="00C07BEB"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Um item do ativo imobilizado é baixado quando doado ou quando nenhum benefício econômico futuro for esperado pelo seu uso. Eventual perda resultante da baixa do ativo (representada pelo valor residual do ativo) é incluída no resultado do exercício em que o ativo for baixado.</w:t>
      </w:r>
      <w:r w:rsidR="0039796F">
        <w:rPr>
          <w:rFonts w:ascii="Calibri" w:hAnsi="Calibri" w:cs="Calibri"/>
          <w:sz w:val="22"/>
          <w:szCs w:val="22"/>
        </w:rPr>
        <w:t xml:space="preserve"> </w:t>
      </w:r>
      <w:r w:rsidR="00605D1B">
        <w:rPr>
          <w:rFonts w:ascii="Calibri" w:hAnsi="Calibri" w:cs="Calibri"/>
          <w:sz w:val="22"/>
          <w:szCs w:val="22"/>
        </w:rPr>
        <w:t>Em 2021, até o segundo trimestre</w:t>
      </w:r>
      <w:r w:rsidR="00CC7E45" w:rsidRPr="002E2B5B">
        <w:rPr>
          <w:rFonts w:ascii="Calibri" w:hAnsi="Calibri" w:cs="Calibri"/>
          <w:sz w:val="22"/>
          <w:szCs w:val="22"/>
        </w:rPr>
        <w:t xml:space="preserve">, ocorreram as seguintes baixas: </w:t>
      </w:r>
      <w:bookmarkStart w:id="3" w:name="_Hlk34328143"/>
    </w:p>
    <w:p w14:paraId="7E23F6C0" w14:textId="0CDE8F38" w:rsidR="00AC4DE3" w:rsidRPr="002E2B5B" w:rsidRDefault="0039796F" w:rsidP="002E2B5B">
      <w:pPr>
        <w:pStyle w:val="Corpodetexto"/>
        <w:numPr>
          <w:ilvl w:val="1"/>
          <w:numId w:val="15"/>
        </w:numPr>
        <w:spacing w:after="120" w:line="240" w:lineRule="auto"/>
        <w:ind w:right="57"/>
        <w:rPr>
          <w:rFonts w:ascii="Calibri" w:hAnsi="Calibri" w:cs="Calibri"/>
          <w:sz w:val="22"/>
          <w:szCs w:val="22"/>
        </w:rPr>
      </w:pPr>
      <w:bookmarkStart w:id="4" w:name="_Hlk34328261"/>
      <w:bookmarkEnd w:id="3"/>
      <w:r>
        <w:rPr>
          <w:rFonts w:ascii="Calibri" w:hAnsi="Calibri" w:cs="Calibri"/>
          <w:sz w:val="22"/>
          <w:szCs w:val="22"/>
        </w:rPr>
        <w:t>B</w:t>
      </w:r>
      <w:r w:rsidRPr="007D5C15">
        <w:rPr>
          <w:rFonts w:ascii="Calibri" w:hAnsi="Calibri" w:cs="Calibri"/>
          <w:sz w:val="22"/>
          <w:szCs w:val="22"/>
        </w:rPr>
        <w:t>aixa de</w:t>
      </w:r>
      <w:r>
        <w:rPr>
          <w:rFonts w:ascii="Calibri" w:hAnsi="Calibri" w:cs="Calibri"/>
          <w:sz w:val="22"/>
          <w:szCs w:val="22"/>
        </w:rPr>
        <w:t xml:space="preserve"> 6 bens patrimoniais, localizados no canteiro de obras de Indiara/GO, totalizando o valor de </w:t>
      </w:r>
      <w:r w:rsidRPr="007D5C15">
        <w:rPr>
          <w:rFonts w:ascii="Calibri" w:hAnsi="Calibri" w:cs="Calibri"/>
          <w:sz w:val="22"/>
          <w:szCs w:val="22"/>
        </w:rPr>
        <w:t xml:space="preserve"> R$ 871</w:t>
      </w:r>
      <w:r w:rsidR="00874E8F">
        <w:rPr>
          <w:rFonts w:ascii="Calibri" w:hAnsi="Calibri" w:cs="Calibri"/>
          <w:sz w:val="22"/>
          <w:szCs w:val="22"/>
        </w:rPr>
        <w:t xml:space="preserve">,8 mil </w:t>
      </w:r>
      <w:r w:rsidRPr="007D5C15">
        <w:rPr>
          <w:rFonts w:ascii="Calibri" w:hAnsi="Calibri" w:cs="Calibri"/>
          <w:sz w:val="22"/>
          <w:szCs w:val="22"/>
        </w:rPr>
        <w:t xml:space="preserve">na conta de Salas e Escritórios, devido </w:t>
      </w:r>
      <w:r>
        <w:rPr>
          <w:rFonts w:ascii="Calibri" w:hAnsi="Calibri" w:cs="Calibri"/>
          <w:sz w:val="22"/>
          <w:szCs w:val="22"/>
        </w:rPr>
        <w:t>à</w:t>
      </w:r>
      <w:r w:rsidRPr="007D5C15">
        <w:rPr>
          <w:rFonts w:ascii="Calibri" w:hAnsi="Calibri" w:cs="Calibri"/>
          <w:sz w:val="22"/>
          <w:szCs w:val="22"/>
        </w:rPr>
        <w:t xml:space="preserve"> irrecuperabilidade dos bens conforme Processo 51402.200788/2018-10</w:t>
      </w:r>
      <w:r w:rsidR="004C3C18" w:rsidRPr="002E2B5B">
        <w:rPr>
          <w:rFonts w:ascii="Calibri" w:hAnsi="Calibri" w:cs="Calibri"/>
          <w:sz w:val="22"/>
          <w:szCs w:val="22"/>
        </w:rPr>
        <w:t>;</w:t>
      </w:r>
      <w:r w:rsidR="00AC4DE3" w:rsidRPr="002E2B5B">
        <w:rPr>
          <w:rFonts w:ascii="Calibri" w:hAnsi="Calibri" w:cs="Calibri"/>
          <w:sz w:val="22"/>
          <w:szCs w:val="22"/>
        </w:rPr>
        <w:t xml:space="preserve"> </w:t>
      </w:r>
    </w:p>
    <w:bookmarkEnd w:id="4"/>
    <w:p w14:paraId="6DD02DE4" w14:textId="1FA353BE" w:rsidR="00106EB8" w:rsidRPr="002E2B5B" w:rsidRDefault="00106EB8" w:rsidP="002E2B5B">
      <w:pPr>
        <w:pStyle w:val="Corpodetexto"/>
        <w:numPr>
          <w:ilvl w:val="1"/>
          <w:numId w:val="15"/>
        </w:numPr>
        <w:spacing w:after="120" w:line="240" w:lineRule="auto"/>
        <w:ind w:left="1434" w:right="57" w:hanging="357"/>
        <w:rPr>
          <w:rFonts w:ascii="Calibri" w:hAnsi="Calibri" w:cs="Calibri"/>
          <w:sz w:val="22"/>
          <w:szCs w:val="22"/>
        </w:rPr>
      </w:pPr>
      <w:r w:rsidRPr="002E2B5B">
        <w:rPr>
          <w:rFonts w:ascii="Calibri" w:hAnsi="Calibri" w:cs="Calibri"/>
          <w:sz w:val="22"/>
          <w:szCs w:val="22"/>
        </w:rPr>
        <w:t xml:space="preserve">Baixa de R$ </w:t>
      </w:r>
      <w:r w:rsidR="0039796F">
        <w:rPr>
          <w:rFonts w:ascii="Calibri" w:hAnsi="Calibri" w:cs="Calibri"/>
          <w:sz w:val="22"/>
          <w:szCs w:val="22"/>
        </w:rPr>
        <w:t>163</w:t>
      </w:r>
      <w:r w:rsidRPr="002E2B5B">
        <w:rPr>
          <w:rFonts w:ascii="Calibri" w:hAnsi="Calibri" w:cs="Calibri"/>
          <w:sz w:val="22"/>
          <w:szCs w:val="22"/>
        </w:rPr>
        <w:t xml:space="preserve"> na conta de Implantação – Ferrovias devido à baixa de saldo correspondente na Conta de Depósitos Retidos de Fornecedores, tendo em vista os </w:t>
      </w:r>
      <w:r w:rsidR="00CF03BE" w:rsidRPr="002E2B5B">
        <w:rPr>
          <w:rFonts w:ascii="Calibri" w:hAnsi="Calibri" w:cs="Calibri"/>
          <w:sz w:val="22"/>
          <w:szCs w:val="22"/>
        </w:rPr>
        <w:t>contratos encerrados e não reclamados administrativamente pelos fornecedores;</w:t>
      </w:r>
      <w:r w:rsidR="0039796F">
        <w:rPr>
          <w:rFonts w:ascii="Calibri" w:hAnsi="Calibri" w:cs="Calibri"/>
          <w:sz w:val="22"/>
          <w:szCs w:val="22"/>
        </w:rPr>
        <w:t xml:space="preserve"> e</w:t>
      </w:r>
    </w:p>
    <w:p w14:paraId="78057B3D" w14:textId="24DAB298" w:rsidR="00F146BF" w:rsidRPr="002E2B5B" w:rsidRDefault="00106EB8" w:rsidP="0039796F">
      <w:pPr>
        <w:pStyle w:val="Corpodetexto"/>
        <w:numPr>
          <w:ilvl w:val="1"/>
          <w:numId w:val="15"/>
        </w:numPr>
        <w:spacing w:after="120" w:line="240" w:lineRule="auto"/>
        <w:ind w:left="1434" w:right="57" w:hanging="357"/>
        <w:rPr>
          <w:rFonts w:ascii="Calibri" w:hAnsi="Calibri" w:cs="Calibri"/>
          <w:sz w:val="22"/>
          <w:szCs w:val="22"/>
        </w:rPr>
      </w:pPr>
      <w:r w:rsidRPr="002E2B5B">
        <w:rPr>
          <w:rFonts w:ascii="Calibri" w:hAnsi="Calibri" w:cs="Calibri"/>
          <w:sz w:val="22"/>
          <w:szCs w:val="22"/>
        </w:rPr>
        <w:t xml:space="preserve">Baixa de R$ </w:t>
      </w:r>
      <w:r w:rsidR="0039796F">
        <w:rPr>
          <w:rFonts w:ascii="Calibri" w:hAnsi="Calibri" w:cs="Calibri"/>
          <w:sz w:val="22"/>
          <w:szCs w:val="22"/>
        </w:rPr>
        <w:t>2</w:t>
      </w:r>
      <w:r w:rsidR="00874E8F">
        <w:rPr>
          <w:rFonts w:ascii="Calibri" w:hAnsi="Calibri" w:cs="Calibri"/>
          <w:sz w:val="22"/>
          <w:szCs w:val="22"/>
        </w:rPr>
        <w:t xml:space="preserve"> mil</w:t>
      </w:r>
      <w:r w:rsidRPr="002E2B5B">
        <w:rPr>
          <w:rFonts w:ascii="Calibri" w:hAnsi="Calibri" w:cs="Calibri"/>
          <w:sz w:val="22"/>
          <w:szCs w:val="22"/>
        </w:rPr>
        <w:t xml:space="preserve"> na conta Ativos de Concessão devido à baixa de saldo correspondente na Conta de Depósitos Retidos de Fornecedores, tendo </w:t>
      </w:r>
      <w:r w:rsidR="00CF03BE" w:rsidRPr="002E2B5B">
        <w:rPr>
          <w:rFonts w:ascii="Calibri" w:hAnsi="Calibri" w:cs="Calibri"/>
          <w:sz w:val="22"/>
          <w:szCs w:val="22"/>
        </w:rPr>
        <w:t>em vista os contratos encerrados e não reclamados administrativamente pelos fornecedores</w:t>
      </w:r>
      <w:r w:rsidR="0039796F">
        <w:rPr>
          <w:rFonts w:ascii="Calibri" w:hAnsi="Calibri" w:cs="Calibri"/>
          <w:sz w:val="22"/>
          <w:szCs w:val="22"/>
        </w:rPr>
        <w:t>.</w:t>
      </w:r>
    </w:p>
    <w:p w14:paraId="0555B937" w14:textId="46577D9C" w:rsidR="00AB04E1" w:rsidRPr="002E2B5B" w:rsidRDefault="004C3C18" w:rsidP="002E2B5B">
      <w:pPr>
        <w:pStyle w:val="Corpodetexto"/>
        <w:numPr>
          <w:ilvl w:val="0"/>
          <w:numId w:val="15"/>
        </w:numPr>
        <w:spacing w:after="120" w:line="240" w:lineRule="auto"/>
        <w:rPr>
          <w:rFonts w:ascii="Calibri" w:hAnsi="Calibri" w:cs="Calibri"/>
          <w:sz w:val="22"/>
          <w:szCs w:val="22"/>
        </w:rPr>
      </w:pPr>
      <w:r w:rsidRPr="002E2B5B">
        <w:rPr>
          <w:rFonts w:ascii="Calibri" w:hAnsi="Calibri" w:cs="Calibri"/>
          <w:sz w:val="22"/>
          <w:szCs w:val="22"/>
        </w:rPr>
        <w:t>A coluna “transferências” da Tabela que apresenta o fluxo de movimentação do Imobilizado representa os saldos que são transferidos a outras rubricas</w:t>
      </w:r>
      <w:r w:rsidR="00FF7932" w:rsidRPr="002E2B5B">
        <w:rPr>
          <w:rFonts w:ascii="Calibri" w:hAnsi="Calibri" w:cs="Calibri"/>
          <w:sz w:val="22"/>
          <w:szCs w:val="22"/>
        </w:rPr>
        <w:t xml:space="preserve"> do Imobilizado</w:t>
      </w:r>
      <w:r w:rsidRPr="002E2B5B">
        <w:rPr>
          <w:rFonts w:ascii="Calibri" w:hAnsi="Calibri" w:cs="Calibri"/>
          <w:sz w:val="22"/>
          <w:szCs w:val="22"/>
        </w:rPr>
        <w:t xml:space="preserve">, em geral por motivo de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de trechos </w:t>
      </w:r>
      <w:r w:rsidRPr="002E2B5B">
        <w:rPr>
          <w:rFonts w:ascii="Calibri" w:hAnsi="Calibri" w:cs="Calibri"/>
          <w:sz w:val="22"/>
          <w:szCs w:val="22"/>
        </w:rPr>
        <w:lastRenderedPageBreak/>
        <w:t xml:space="preserve">da Ferrovia ou por encerramento dos respectivos contratos. </w:t>
      </w:r>
      <w:r w:rsidR="0039796F">
        <w:rPr>
          <w:rFonts w:ascii="Calibri" w:hAnsi="Calibri" w:cs="Calibri"/>
          <w:sz w:val="22"/>
          <w:szCs w:val="22"/>
        </w:rPr>
        <w:t xml:space="preserve">No </w:t>
      </w:r>
      <w:r w:rsidR="00605D1B">
        <w:rPr>
          <w:rFonts w:ascii="Calibri" w:hAnsi="Calibri" w:cs="Calibri"/>
          <w:sz w:val="22"/>
          <w:szCs w:val="22"/>
        </w:rPr>
        <w:t>ano</w:t>
      </w:r>
      <w:r w:rsidR="0039796F">
        <w:rPr>
          <w:rFonts w:ascii="Calibri" w:hAnsi="Calibri" w:cs="Calibri"/>
          <w:sz w:val="22"/>
          <w:szCs w:val="22"/>
        </w:rPr>
        <w:t xml:space="preserve"> de 2</w:t>
      </w:r>
      <w:r w:rsidRPr="002E2B5B">
        <w:rPr>
          <w:rFonts w:ascii="Calibri" w:hAnsi="Calibri" w:cs="Calibri"/>
          <w:sz w:val="22"/>
          <w:szCs w:val="22"/>
        </w:rPr>
        <w:t>02</w:t>
      </w:r>
      <w:r w:rsidR="0039796F">
        <w:rPr>
          <w:rFonts w:ascii="Calibri" w:hAnsi="Calibri" w:cs="Calibri"/>
          <w:sz w:val="22"/>
          <w:szCs w:val="22"/>
        </w:rPr>
        <w:t>1</w:t>
      </w:r>
      <w:r w:rsidR="00AB04E1" w:rsidRPr="002E2B5B">
        <w:rPr>
          <w:rFonts w:ascii="Calibri" w:hAnsi="Calibri" w:cs="Calibri"/>
          <w:sz w:val="22"/>
          <w:szCs w:val="22"/>
        </w:rPr>
        <w:t xml:space="preserve">, </w:t>
      </w:r>
      <w:r w:rsidR="00605D1B">
        <w:rPr>
          <w:rFonts w:ascii="Calibri" w:hAnsi="Calibri" w:cs="Calibri"/>
          <w:sz w:val="22"/>
          <w:szCs w:val="22"/>
        </w:rPr>
        <w:t xml:space="preserve">até o segundo trimestre, </w:t>
      </w:r>
      <w:r w:rsidR="00AB04E1" w:rsidRPr="002E2B5B">
        <w:rPr>
          <w:rFonts w:ascii="Calibri" w:hAnsi="Calibri" w:cs="Calibri"/>
          <w:sz w:val="22"/>
          <w:szCs w:val="22"/>
        </w:rPr>
        <w:t>fo</w:t>
      </w:r>
      <w:r w:rsidR="00874E8F">
        <w:rPr>
          <w:rFonts w:ascii="Calibri" w:hAnsi="Calibri" w:cs="Calibri"/>
          <w:sz w:val="22"/>
          <w:szCs w:val="22"/>
        </w:rPr>
        <w:t xml:space="preserve">i </w:t>
      </w:r>
      <w:r w:rsidR="00AB04E1" w:rsidRPr="002E2B5B">
        <w:rPr>
          <w:rFonts w:ascii="Calibri" w:hAnsi="Calibri" w:cs="Calibri"/>
          <w:sz w:val="22"/>
          <w:szCs w:val="22"/>
        </w:rPr>
        <w:t>realizada a seguinte transferência entre contas do ativo imobilizado:</w:t>
      </w:r>
    </w:p>
    <w:p w14:paraId="486EDB03" w14:textId="5323E5FC" w:rsidR="00E707FE" w:rsidRPr="002E2B5B" w:rsidRDefault="0039796F" w:rsidP="0039796F">
      <w:pPr>
        <w:pStyle w:val="Corpodetexto"/>
        <w:numPr>
          <w:ilvl w:val="1"/>
          <w:numId w:val="15"/>
        </w:numPr>
        <w:spacing w:after="120" w:line="240" w:lineRule="auto"/>
        <w:ind w:right="57"/>
        <w:rPr>
          <w:rFonts w:ascii="Calibri" w:hAnsi="Calibri" w:cs="Calibri"/>
          <w:sz w:val="22"/>
          <w:szCs w:val="22"/>
        </w:rPr>
      </w:pPr>
      <w:r w:rsidRPr="007D5C15">
        <w:rPr>
          <w:rFonts w:ascii="Calibri" w:hAnsi="Calibri" w:cs="Calibri"/>
          <w:sz w:val="22"/>
          <w:szCs w:val="22"/>
        </w:rPr>
        <w:t>Foi transferido da conta Implantação – Ferrovias o valor de R$ 186</w:t>
      </w:r>
      <w:r w:rsidR="00874E8F">
        <w:rPr>
          <w:rFonts w:ascii="Calibri" w:hAnsi="Calibri" w:cs="Calibri"/>
          <w:sz w:val="22"/>
          <w:szCs w:val="22"/>
        </w:rPr>
        <w:t>,4 mil</w:t>
      </w:r>
      <w:r w:rsidRPr="007D5C15">
        <w:rPr>
          <w:rFonts w:ascii="Calibri" w:hAnsi="Calibri" w:cs="Calibri"/>
          <w:sz w:val="22"/>
          <w:szCs w:val="22"/>
        </w:rPr>
        <w:t>, sendo R$ 1</w:t>
      </w:r>
      <w:r w:rsidR="00874E8F">
        <w:rPr>
          <w:rFonts w:ascii="Calibri" w:hAnsi="Calibri" w:cs="Calibri"/>
          <w:sz w:val="22"/>
          <w:szCs w:val="22"/>
        </w:rPr>
        <w:t xml:space="preserve"> mil</w:t>
      </w:r>
      <w:r w:rsidRPr="007D5C15">
        <w:rPr>
          <w:rFonts w:ascii="Calibri" w:hAnsi="Calibri" w:cs="Calibri"/>
          <w:sz w:val="22"/>
          <w:szCs w:val="22"/>
        </w:rPr>
        <w:t xml:space="preserve"> para a conta Equipamentos de TI e Comunicação, R$ 103</w:t>
      </w:r>
      <w:r w:rsidR="00874E8F">
        <w:rPr>
          <w:rFonts w:ascii="Calibri" w:hAnsi="Calibri" w:cs="Calibri"/>
          <w:sz w:val="22"/>
          <w:szCs w:val="22"/>
        </w:rPr>
        <w:t>,5 mil</w:t>
      </w:r>
      <w:r w:rsidRPr="007D5C15">
        <w:rPr>
          <w:rFonts w:ascii="Calibri" w:hAnsi="Calibri" w:cs="Calibri"/>
          <w:sz w:val="22"/>
          <w:szCs w:val="22"/>
        </w:rPr>
        <w:t xml:space="preserve"> para a conta Mobiliário em Geral e R$ 81</w:t>
      </w:r>
      <w:r w:rsidR="00874E8F">
        <w:rPr>
          <w:rFonts w:ascii="Calibri" w:hAnsi="Calibri" w:cs="Calibri"/>
          <w:sz w:val="22"/>
          <w:szCs w:val="22"/>
        </w:rPr>
        <w:t>,6 mil</w:t>
      </w:r>
      <w:r w:rsidRPr="007D5C15">
        <w:rPr>
          <w:rFonts w:ascii="Calibri" w:hAnsi="Calibri" w:cs="Calibri"/>
          <w:sz w:val="22"/>
          <w:szCs w:val="22"/>
        </w:rPr>
        <w:t xml:space="preserve"> para a conta Utensílios de Escritório, devido ao recebimento e tombamento dos referidos bens localizados no canteiro de obras de Jequié/BA</w:t>
      </w:r>
      <w:r>
        <w:rPr>
          <w:rFonts w:ascii="Calibri" w:hAnsi="Calibri" w:cs="Calibri"/>
          <w:sz w:val="22"/>
          <w:szCs w:val="22"/>
        </w:rPr>
        <w:t>.</w:t>
      </w:r>
    </w:p>
    <w:p w14:paraId="5C05E4EF" w14:textId="257AA22A" w:rsidR="00B7580D" w:rsidRPr="00874E8F" w:rsidRDefault="00AB04E1" w:rsidP="002E2B5B">
      <w:pPr>
        <w:pStyle w:val="Corpodetexto"/>
        <w:numPr>
          <w:ilvl w:val="0"/>
          <w:numId w:val="15"/>
        </w:numPr>
        <w:spacing w:after="120" w:line="240" w:lineRule="auto"/>
        <w:ind w:right="57"/>
        <w:rPr>
          <w:rFonts w:ascii="Calibri" w:hAnsi="Calibri" w:cs="Calibri"/>
          <w:sz w:val="22"/>
          <w:szCs w:val="22"/>
        </w:rPr>
      </w:pPr>
      <w:bookmarkStart w:id="5" w:name="_Hlk34328563"/>
      <w:r w:rsidRPr="002E2B5B">
        <w:rPr>
          <w:rFonts w:ascii="Calibri" w:hAnsi="Calibri" w:cs="Calibri"/>
          <w:sz w:val="22"/>
          <w:szCs w:val="22"/>
        </w:rPr>
        <w:t>Os Ativos de Concessão – Bens Móveis, no valor de R$ 5</w:t>
      </w:r>
      <w:r w:rsidR="00874E8F">
        <w:rPr>
          <w:rFonts w:ascii="Calibri" w:hAnsi="Calibri" w:cs="Calibri"/>
          <w:sz w:val="22"/>
          <w:szCs w:val="22"/>
        </w:rPr>
        <w:t>,5 mil</w:t>
      </w:r>
      <w:r w:rsidR="00605D1B">
        <w:rPr>
          <w:rFonts w:ascii="Calibri" w:hAnsi="Calibri" w:cs="Calibri"/>
          <w:sz w:val="22"/>
          <w:szCs w:val="22"/>
        </w:rPr>
        <w:t>h</w:t>
      </w:r>
      <w:r w:rsidR="00874E8F">
        <w:rPr>
          <w:rFonts w:ascii="Calibri" w:hAnsi="Calibri" w:cs="Calibri"/>
          <w:sz w:val="22"/>
          <w:szCs w:val="22"/>
        </w:rPr>
        <w:t>ões</w:t>
      </w:r>
      <w:r w:rsidRPr="002E2B5B">
        <w:rPr>
          <w:rFonts w:ascii="Calibri" w:hAnsi="Calibri" w:cs="Calibri"/>
          <w:sz w:val="22"/>
          <w:szCs w:val="22"/>
        </w:rPr>
        <w:t>, e os  Ativos de Concessão – Bens Imóveis, no valor de R$ 9</w:t>
      </w:r>
      <w:r w:rsidR="00874E8F">
        <w:rPr>
          <w:rFonts w:ascii="Calibri" w:hAnsi="Calibri" w:cs="Calibri"/>
          <w:sz w:val="22"/>
          <w:szCs w:val="22"/>
        </w:rPr>
        <w:t xml:space="preserve"> milhões</w:t>
      </w:r>
      <w:r w:rsidRPr="002E2B5B">
        <w:rPr>
          <w:rFonts w:ascii="Calibri" w:hAnsi="Calibri" w:cs="Calibri"/>
          <w:sz w:val="22"/>
          <w:szCs w:val="22"/>
        </w:rPr>
        <w:t xml:space="preserve"> são provindos do tombamento dos bens do pátio de Transbordo de Porto Franco/MA referente ao Contrato nº 001/2002 celebrado entre a VALEC e a </w:t>
      </w:r>
      <w:proofErr w:type="spellStart"/>
      <w:r w:rsidRPr="002E2B5B">
        <w:rPr>
          <w:rFonts w:ascii="Calibri" w:hAnsi="Calibri" w:cs="Calibri"/>
          <w:sz w:val="22"/>
          <w:szCs w:val="22"/>
        </w:rPr>
        <w:t>Multigrain</w:t>
      </w:r>
      <w:proofErr w:type="spellEnd"/>
      <w:r w:rsidRPr="002E2B5B">
        <w:rPr>
          <w:rFonts w:ascii="Calibri" w:hAnsi="Calibri" w:cs="Calibri"/>
          <w:sz w:val="22"/>
          <w:szCs w:val="22"/>
        </w:rPr>
        <w:t xml:space="preserve"> S/A, o qual foi rescindido pelo Termo de Rescisão Contratual amigável datado de 26 de fevereiro de 2019, conforme Processo Administrativo nº 51402.205501/2018-26, em que a </w:t>
      </w:r>
      <w:proofErr w:type="spellStart"/>
      <w:r w:rsidRPr="002E2B5B">
        <w:rPr>
          <w:rFonts w:ascii="Calibri" w:hAnsi="Calibri" w:cs="Calibri"/>
          <w:sz w:val="22"/>
          <w:szCs w:val="22"/>
        </w:rPr>
        <w:t>Multigrain</w:t>
      </w:r>
      <w:proofErr w:type="spellEnd"/>
      <w:r w:rsidRPr="002E2B5B">
        <w:rPr>
          <w:rFonts w:ascii="Calibri" w:hAnsi="Calibri" w:cs="Calibri"/>
          <w:sz w:val="22"/>
          <w:szCs w:val="22"/>
        </w:rPr>
        <w:t xml:space="preserve"> cede de forma não onerosa à VALEC as benfeitorias que </w:t>
      </w:r>
      <w:r w:rsidRPr="00874E8F">
        <w:rPr>
          <w:rFonts w:ascii="Calibri" w:hAnsi="Calibri" w:cs="Calibri"/>
          <w:sz w:val="22"/>
          <w:szCs w:val="22"/>
        </w:rPr>
        <w:t>compõem o Pátio de Porto Franco</w:t>
      </w:r>
      <w:bookmarkEnd w:id="5"/>
      <w:r w:rsidR="00B7580D" w:rsidRPr="00874E8F">
        <w:rPr>
          <w:rFonts w:ascii="Calibri" w:hAnsi="Calibri" w:cs="Calibri"/>
          <w:sz w:val="22"/>
          <w:szCs w:val="22"/>
        </w:rPr>
        <w:t>;</w:t>
      </w:r>
      <w:r w:rsidR="00B87A63" w:rsidRPr="00874E8F">
        <w:rPr>
          <w:rFonts w:ascii="Calibri" w:hAnsi="Calibri" w:cs="Calibri"/>
          <w:sz w:val="22"/>
          <w:szCs w:val="22"/>
        </w:rPr>
        <w:t xml:space="preserve"> e</w:t>
      </w:r>
    </w:p>
    <w:p w14:paraId="692C8F98" w14:textId="77777777" w:rsidR="00AB04E1" w:rsidRPr="00874E8F" w:rsidRDefault="00AB04E1" w:rsidP="002E2B5B">
      <w:pPr>
        <w:pStyle w:val="Corpodetexto"/>
        <w:numPr>
          <w:ilvl w:val="0"/>
          <w:numId w:val="15"/>
        </w:numPr>
        <w:spacing w:line="240" w:lineRule="auto"/>
        <w:ind w:right="57"/>
        <w:rPr>
          <w:rFonts w:ascii="Calibri" w:hAnsi="Calibri" w:cs="Calibri"/>
          <w:sz w:val="22"/>
          <w:szCs w:val="22"/>
        </w:rPr>
      </w:pPr>
      <w:r w:rsidRPr="00874E8F">
        <w:rPr>
          <w:rFonts w:ascii="Calibri" w:hAnsi="Calibri" w:cs="Calibri"/>
          <w:sz w:val="22"/>
          <w:szCs w:val="22"/>
        </w:rPr>
        <w:t xml:space="preserve"> </w:t>
      </w:r>
      <w:r w:rsidR="00B7580D" w:rsidRPr="00874E8F">
        <w:rPr>
          <w:rFonts w:ascii="Calibri" w:hAnsi="Calibri" w:cs="Calibri"/>
          <w:sz w:val="22"/>
          <w:szCs w:val="22"/>
        </w:rPr>
        <w:t>Por meio do Laudo de Avaliação nº 1/2021/GEPAT/SUADM/VALEC, emitido em 04 de março de 2021, a Gerência de Patrimônio certifica que todos os bens patrimoniais contabilizados, com exceção dos provisionados por redução ao valor recuperável, estão em condições de funcionamento. Informa, ainda, que não há indicativo de perda sobre os bens patrimoniais, portanto, não se verificou a necessidade de teste de recuperabilidade dos bens móveis, bem como dos Ativos de Concessão relacionados ao Pátio de Porto Franco</w:t>
      </w:r>
      <w:r w:rsidR="00F857D2" w:rsidRPr="00874E8F">
        <w:rPr>
          <w:rFonts w:ascii="Calibri" w:hAnsi="Calibri" w:cs="Calibri"/>
          <w:sz w:val="22"/>
          <w:szCs w:val="22"/>
        </w:rPr>
        <w:t>.</w:t>
      </w:r>
    </w:p>
    <w:p w14:paraId="6D8DB433" w14:textId="77777777" w:rsidR="00C051E5" w:rsidRPr="00874E8F" w:rsidRDefault="00C051E5" w:rsidP="002E2B5B">
      <w:pPr>
        <w:pStyle w:val="Corpodetexto"/>
        <w:spacing w:line="240" w:lineRule="auto"/>
        <w:rPr>
          <w:rFonts w:ascii="Calibri" w:hAnsi="Calibri" w:cs="Calibri"/>
          <w:b/>
          <w:bCs/>
          <w:sz w:val="22"/>
          <w:szCs w:val="22"/>
        </w:rPr>
      </w:pPr>
    </w:p>
    <w:p w14:paraId="7046FDA3" w14:textId="77777777" w:rsidR="00D54B55" w:rsidRPr="002E2B5B" w:rsidRDefault="00CC7E45" w:rsidP="002E2B5B">
      <w:pPr>
        <w:pStyle w:val="NormalWeb"/>
        <w:spacing w:before="0" w:beforeAutospacing="0" w:after="0" w:afterAutospacing="0"/>
        <w:jc w:val="both"/>
        <w:rPr>
          <w:rFonts w:ascii="Calibri" w:hAnsi="Calibri" w:cs="Calibri"/>
          <w:b/>
          <w:bCs/>
          <w:sz w:val="22"/>
          <w:szCs w:val="22"/>
        </w:rPr>
      </w:pPr>
      <w:r w:rsidRPr="00874E8F">
        <w:rPr>
          <w:rFonts w:ascii="Calibri" w:hAnsi="Calibri" w:cs="Calibri"/>
          <w:b/>
          <w:bCs/>
          <w:sz w:val="22"/>
          <w:szCs w:val="22"/>
        </w:rPr>
        <w:t xml:space="preserve">II </w:t>
      </w:r>
      <w:r w:rsidR="00D54B55" w:rsidRPr="00874E8F">
        <w:rPr>
          <w:rFonts w:ascii="Calibri" w:hAnsi="Calibri" w:cs="Calibri"/>
          <w:b/>
          <w:bCs/>
          <w:sz w:val="22"/>
          <w:szCs w:val="22"/>
        </w:rPr>
        <w:t>–</w:t>
      </w:r>
      <w:r w:rsidRPr="00874E8F">
        <w:rPr>
          <w:rFonts w:ascii="Calibri" w:hAnsi="Calibri" w:cs="Calibri"/>
          <w:b/>
          <w:bCs/>
          <w:sz w:val="22"/>
          <w:szCs w:val="22"/>
        </w:rPr>
        <w:t xml:space="preserve"> FERROVIA</w:t>
      </w:r>
      <w:r w:rsidR="00F7094D" w:rsidRPr="00874E8F">
        <w:rPr>
          <w:rFonts w:ascii="Calibri" w:hAnsi="Calibri" w:cs="Calibri"/>
          <w:b/>
          <w:bCs/>
          <w:sz w:val="22"/>
          <w:szCs w:val="22"/>
        </w:rPr>
        <w:t xml:space="preserve"> NORTE SUL</w:t>
      </w:r>
      <w:r w:rsidR="000C1923" w:rsidRPr="00874E8F">
        <w:rPr>
          <w:rFonts w:ascii="Calibri" w:hAnsi="Calibri" w:cs="Calibri"/>
          <w:b/>
          <w:bCs/>
          <w:sz w:val="22"/>
          <w:szCs w:val="22"/>
        </w:rPr>
        <w:t xml:space="preserve"> (FNS)</w:t>
      </w:r>
    </w:p>
    <w:p w14:paraId="791B981E" w14:textId="52B90F0A" w:rsidR="009165D8" w:rsidRPr="002E2B5B" w:rsidRDefault="005938E4"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w:t>
      </w:r>
      <w:r w:rsidR="00400A96" w:rsidRPr="002E2B5B">
        <w:rPr>
          <w:rFonts w:ascii="Calibri" w:hAnsi="Calibri" w:cs="Calibri"/>
          <w:sz w:val="22"/>
          <w:szCs w:val="22"/>
        </w:rPr>
        <w:t xml:space="preserve"> VALEC </w:t>
      </w:r>
      <w:proofErr w:type="spellStart"/>
      <w:r w:rsidR="00400A96" w:rsidRPr="002E2B5B">
        <w:rPr>
          <w:rFonts w:ascii="Calibri" w:hAnsi="Calibri" w:cs="Calibri"/>
          <w:sz w:val="22"/>
          <w:szCs w:val="22"/>
        </w:rPr>
        <w:t>subconcedeu</w:t>
      </w:r>
      <w:proofErr w:type="spellEnd"/>
      <w:r w:rsidR="00400A96" w:rsidRPr="002E2B5B">
        <w:rPr>
          <w:rFonts w:ascii="Calibri" w:hAnsi="Calibri" w:cs="Calibri"/>
          <w:sz w:val="22"/>
          <w:szCs w:val="22"/>
        </w:rPr>
        <w:t xml:space="preserve">, em 2007, o trecho da Ferrovia Norte Sul que liga Açailândia/MA a Palmas/TO para a Ferrovia Norte Sul S/A. </w:t>
      </w:r>
      <w:r w:rsidR="00D54B55" w:rsidRPr="002E2B5B">
        <w:rPr>
          <w:rFonts w:ascii="Calibri" w:hAnsi="Calibri" w:cs="Calibri"/>
          <w:sz w:val="22"/>
          <w:szCs w:val="22"/>
        </w:rPr>
        <w:t xml:space="preserve">De acordo com o Contrato de </w:t>
      </w:r>
      <w:proofErr w:type="spellStart"/>
      <w:r w:rsidR="00D54B55" w:rsidRPr="002E2B5B">
        <w:rPr>
          <w:rFonts w:ascii="Calibri" w:hAnsi="Calibri" w:cs="Calibri"/>
          <w:sz w:val="22"/>
          <w:szCs w:val="22"/>
        </w:rPr>
        <w:t>Subconcessão</w:t>
      </w:r>
      <w:proofErr w:type="spellEnd"/>
      <w:r w:rsidR="00D54B55" w:rsidRPr="002E2B5B">
        <w:rPr>
          <w:rFonts w:ascii="Calibri" w:hAnsi="Calibri" w:cs="Calibri"/>
          <w:sz w:val="22"/>
          <w:szCs w:val="22"/>
        </w:rPr>
        <w:t xml:space="preserve"> n° 033/07, de 20 de dezembro de 2007, nos termos do Edital de Licitação n° 001/2006</w:t>
      </w:r>
      <w:r w:rsidR="005D1995" w:rsidRPr="002E2B5B">
        <w:rPr>
          <w:rFonts w:ascii="Calibri" w:hAnsi="Calibri" w:cs="Calibri"/>
          <w:sz w:val="22"/>
          <w:szCs w:val="22"/>
        </w:rPr>
        <w:t>, a</w:t>
      </w:r>
      <w:r w:rsidR="00D54B55" w:rsidRPr="002E2B5B">
        <w:rPr>
          <w:rFonts w:ascii="Calibri" w:hAnsi="Calibri" w:cs="Calibri"/>
          <w:sz w:val="22"/>
          <w:szCs w:val="22"/>
        </w:rPr>
        <w:t xml:space="preserve"> </w:t>
      </w:r>
      <w:proofErr w:type="spellStart"/>
      <w:r w:rsidR="00D54B55" w:rsidRPr="002E2B5B">
        <w:rPr>
          <w:rFonts w:ascii="Calibri" w:hAnsi="Calibri" w:cs="Calibri"/>
          <w:sz w:val="22"/>
          <w:szCs w:val="22"/>
        </w:rPr>
        <w:t>subconcessão</w:t>
      </w:r>
      <w:proofErr w:type="spellEnd"/>
      <w:r w:rsidR="005D1995" w:rsidRPr="002E2B5B">
        <w:rPr>
          <w:rFonts w:ascii="Calibri" w:hAnsi="Calibri" w:cs="Calibri"/>
          <w:sz w:val="22"/>
          <w:szCs w:val="22"/>
        </w:rPr>
        <w:t xml:space="preserve"> foi</w:t>
      </w:r>
      <w:r w:rsidR="00D54B55" w:rsidRPr="002E2B5B">
        <w:rPr>
          <w:rFonts w:ascii="Calibri" w:hAnsi="Calibri" w:cs="Calibri"/>
          <w:sz w:val="22"/>
          <w:szCs w:val="22"/>
        </w:rPr>
        <w:t xml:space="preserve"> assinada por um prazo de 30 anos, previa o pagamento</w:t>
      </w:r>
      <w:r w:rsidR="005D1995" w:rsidRPr="002E2B5B">
        <w:rPr>
          <w:rFonts w:ascii="Calibri" w:hAnsi="Calibri" w:cs="Calibri"/>
          <w:sz w:val="22"/>
          <w:szCs w:val="22"/>
        </w:rPr>
        <w:t xml:space="preserve"> a título de outorga de</w:t>
      </w:r>
      <w:r w:rsidR="00400A96" w:rsidRPr="002E2B5B">
        <w:rPr>
          <w:rFonts w:ascii="Calibri" w:hAnsi="Calibri" w:cs="Calibri"/>
          <w:sz w:val="22"/>
          <w:szCs w:val="22"/>
        </w:rPr>
        <w:t xml:space="preserve"> R$ 1</w:t>
      </w:r>
      <w:r w:rsidR="00322AE4">
        <w:rPr>
          <w:rFonts w:ascii="Calibri" w:hAnsi="Calibri" w:cs="Calibri"/>
          <w:sz w:val="22"/>
          <w:szCs w:val="22"/>
        </w:rPr>
        <w:t>,</w:t>
      </w:r>
      <w:r w:rsidR="00400A96" w:rsidRPr="002E2B5B">
        <w:rPr>
          <w:rFonts w:ascii="Calibri" w:hAnsi="Calibri" w:cs="Calibri"/>
          <w:sz w:val="22"/>
          <w:szCs w:val="22"/>
        </w:rPr>
        <w:t>47</w:t>
      </w:r>
      <w:r w:rsidR="00322AE4">
        <w:rPr>
          <w:rFonts w:ascii="Calibri" w:hAnsi="Calibri" w:cs="Calibri"/>
          <w:sz w:val="22"/>
          <w:szCs w:val="22"/>
        </w:rPr>
        <w:t xml:space="preserve"> bilhão</w:t>
      </w:r>
      <w:r w:rsidR="005D1995" w:rsidRPr="002E2B5B">
        <w:rPr>
          <w:rFonts w:ascii="Calibri" w:hAnsi="Calibri" w:cs="Calibri"/>
          <w:sz w:val="22"/>
          <w:szCs w:val="22"/>
        </w:rPr>
        <w:t>,</w:t>
      </w:r>
      <w:r w:rsidR="00400A96" w:rsidRPr="002E2B5B">
        <w:rPr>
          <w:rFonts w:ascii="Calibri" w:hAnsi="Calibri" w:cs="Calibri"/>
          <w:sz w:val="22"/>
          <w:szCs w:val="22"/>
        </w:rPr>
        <w:t xml:space="preserve"> dividid</w:t>
      </w:r>
      <w:r w:rsidR="005D1995" w:rsidRPr="002E2B5B">
        <w:rPr>
          <w:rFonts w:ascii="Calibri" w:hAnsi="Calibri" w:cs="Calibri"/>
          <w:sz w:val="22"/>
          <w:szCs w:val="22"/>
        </w:rPr>
        <w:t>o</w:t>
      </w:r>
      <w:r w:rsidR="00400A96" w:rsidRPr="002E2B5B">
        <w:rPr>
          <w:rFonts w:ascii="Calibri" w:hAnsi="Calibri" w:cs="Calibri"/>
          <w:sz w:val="22"/>
          <w:szCs w:val="22"/>
        </w:rPr>
        <w:t xml:space="preserve"> em três parcelas corrigidas pelo IGP-DI e juros de 1% ao mês (até maio de 2010), sendo 50% à vista, 25% na entrega do 1º trecho e 25% na entrega do 2º trecho. A primeira parcela foi recebida em dezembro de 2007 no valor de R$ 739</w:t>
      </w:r>
      <w:r w:rsidR="00322AE4">
        <w:rPr>
          <w:rFonts w:ascii="Calibri" w:hAnsi="Calibri" w:cs="Calibri"/>
          <w:sz w:val="22"/>
          <w:szCs w:val="22"/>
        </w:rPr>
        <w:t xml:space="preserve"> milhões</w:t>
      </w:r>
      <w:r w:rsidR="00400A96" w:rsidRPr="002E2B5B">
        <w:rPr>
          <w:rFonts w:ascii="Calibri" w:hAnsi="Calibri" w:cs="Calibri"/>
          <w:sz w:val="22"/>
          <w:szCs w:val="22"/>
        </w:rPr>
        <w:t>, a segunda parcela no valor de R$ 461</w:t>
      </w:r>
      <w:r w:rsidR="00322AE4">
        <w:rPr>
          <w:rFonts w:ascii="Calibri" w:hAnsi="Calibri" w:cs="Calibri"/>
          <w:sz w:val="22"/>
          <w:szCs w:val="22"/>
        </w:rPr>
        <w:t>,8 milhões</w:t>
      </w:r>
      <w:r w:rsidR="00400A96" w:rsidRPr="002E2B5B">
        <w:rPr>
          <w:rFonts w:ascii="Calibri" w:hAnsi="Calibri" w:cs="Calibri"/>
          <w:sz w:val="22"/>
          <w:szCs w:val="22"/>
        </w:rPr>
        <w:t xml:space="preserve"> foi recebida em maio de 2009 e parte da terceira parcela, o valor de R$ 453</w:t>
      </w:r>
      <w:r w:rsidR="00322AE4">
        <w:rPr>
          <w:rFonts w:ascii="Calibri" w:hAnsi="Calibri" w:cs="Calibri"/>
          <w:sz w:val="22"/>
          <w:szCs w:val="22"/>
        </w:rPr>
        <w:t>,5 milhõe</w:t>
      </w:r>
      <w:r w:rsidR="00214011">
        <w:rPr>
          <w:rFonts w:ascii="Calibri" w:hAnsi="Calibri" w:cs="Calibri"/>
          <w:sz w:val="22"/>
          <w:szCs w:val="22"/>
        </w:rPr>
        <w:t>s</w:t>
      </w:r>
      <w:r w:rsidR="00400A96" w:rsidRPr="002E2B5B">
        <w:rPr>
          <w:rFonts w:ascii="Calibri" w:hAnsi="Calibri" w:cs="Calibri"/>
          <w:sz w:val="22"/>
          <w:szCs w:val="22"/>
        </w:rPr>
        <w:t xml:space="preserve">, foi recebida em dezembro de 2010. Conforme 2º Termo Aditivo, assinado em 10 de dezembro de 2010, o pagamento do valor correspondente à 20% da terceira parcela foi condicionado à entrega pela VALEC de obras remanescentes. </w:t>
      </w:r>
      <w:r w:rsidR="005D1995" w:rsidRPr="002E2B5B">
        <w:rPr>
          <w:rFonts w:ascii="Calibri" w:hAnsi="Calibri" w:cs="Calibri"/>
          <w:sz w:val="22"/>
          <w:szCs w:val="22"/>
        </w:rPr>
        <w:t xml:space="preserve">Os recursos recebidos provenientes desta outorga foram repassados </w:t>
      </w:r>
      <w:r w:rsidR="00421830" w:rsidRPr="002E2B5B">
        <w:rPr>
          <w:rFonts w:ascii="Calibri" w:hAnsi="Calibri" w:cs="Calibri"/>
          <w:sz w:val="22"/>
          <w:szCs w:val="22"/>
        </w:rPr>
        <w:t xml:space="preserve">diretamente </w:t>
      </w:r>
      <w:r w:rsidR="005D1995" w:rsidRPr="002E2B5B">
        <w:rPr>
          <w:rFonts w:ascii="Calibri" w:hAnsi="Calibri" w:cs="Calibri"/>
          <w:sz w:val="22"/>
          <w:szCs w:val="22"/>
        </w:rPr>
        <w:t>ao Tesouro Nacional</w:t>
      </w:r>
      <w:r w:rsidR="00421830" w:rsidRPr="002E2B5B">
        <w:rPr>
          <w:rFonts w:ascii="Calibri" w:hAnsi="Calibri" w:cs="Calibri"/>
          <w:sz w:val="22"/>
          <w:szCs w:val="22"/>
        </w:rPr>
        <w:t>.</w:t>
      </w:r>
    </w:p>
    <w:p w14:paraId="015F34B3" w14:textId="2B131DB3" w:rsidR="004C64B8" w:rsidRPr="002E2B5B" w:rsidRDefault="00D54B55"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O trecho da Ferrovia Norte Sul compreendido entre Porto Nacional, no Estado do Tocantins e Estrela D’Oeste, no Estado de São Paulo foi </w:t>
      </w:r>
      <w:proofErr w:type="spellStart"/>
      <w:r w:rsidRPr="002E2B5B">
        <w:rPr>
          <w:rFonts w:ascii="Calibri" w:hAnsi="Calibri" w:cs="Calibri"/>
          <w:sz w:val="22"/>
          <w:szCs w:val="22"/>
        </w:rPr>
        <w:t>subconcedido</w:t>
      </w:r>
      <w:proofErr w:type="spellEnd"/>
      <w:r w:rsidRPr="002E2B5B">
        <w:rPr>
          <w:rFonts w:ascii="Calibri" w:hAnsi="Calibri" w:cs="Calibri"/>
          <w:sz w:val="22"/>
          <w:szCs w:val="22"/>
        </w:rPr>
        <w:t xml:space="preserve"> à Rumo Malha Central S/A, conforme Contrato de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do Edital de Concorrência Internacional nº 002/2018, assinado em 31 de julho de 2019. Esse contrato foi assinado entre a União, representada pela Agência Nacional de Transportes Terrestres - ANTT, a VALEC – Engenharia, Construções e Ferrovias S/A, como interveniente </w:t>
      </w:r>
      <w:proofErr w:type="spellStart"/>
      <w:r w:rsidRPr="002E2B5B">
        <w:rPr>
          <w:rFonts w:ascii="Calibri" w:hAnsi="Calibri" w:cs="Calibri"/>
          <w:sz w:val="22"/>
          <w:szCs w:val="22"/>
        </w:rPr>
        <w:t>subconcedente</w:t>
      </w:r>
      <w:proofErr w:type="spellEnd"/>
      <w:r w:rsidRPr="002E2B5B">
        <w:rPr>
          <w:rFonts w:ascii="Calibri" w:hAnsi="Calibri" w:cs="Calibri"/>
          <w:sz w:val="22"/>
          <w:szCs w:val="22"/>
        </w:rPr>
        <w:t xml:space="preserve"> e a Rumo Malha Central S/A como </w:t>
      </w:r>
      <w:proofErr w:type="spellStart"/>
      <w:r w:rsidRPr="002E2B5B">
        <w:rPr>
          <w:rFonts w:ascii="Calibri" w:hAnsi="Calibri" w:cs="Calibri"/>
          <w:sz w:val="22"/>
          <w:szCs w:val="22"/>
        </w:rPr>
        <w:t>subconcessionária</w:t>
      </w:r>
      <w:proofErr w:type="spellEnd"/>
      <w:r w:rsidRPr="002E2B5B">
        <w:rPr>
          <w:rFonts w:ascii="Calibri" w:hAnsi="Calibri" w:cs="Calibri"/>
          <w:sz w:val="22"/>
          <w:szCs w:val="22"/>
        </w:rPr>
        <w:t xml:space="preserve">. O valor do lance da outorga no leilão foi de R$ 2,7 bilhões. Os direitos creditórios e as receitas provenientes dessa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serão da Agência Nacional de Transportes Terrestres – ANTT, conforme o artigo 77 da Lei </w:t>
      </w:r>
      <w:r w:rsidR="00214011">
        <w:rPr>
          <w:rFonts w:ascii="Calibri" w:hAnsi="Calibri" w:cs="Calibri"/>
          <w:sz w:val="22"/>
          <w:szCs w:val="22"/>
        </w:rPr>
        <w:t xml:space="preserve">nº </w:t>
      </w:r>
      <w:r w:rsidRPr="002E2B5B">
        <w:rPr>
          <w:rFonts w:ascii="Calibri" w:hAnsi="Calibri" w:cs="Calibri"/>
          <w:sz w:val="22"/>
          <w:szCs w:val="22"/>
        </w:rPr>
        <w:t>10.233, de 05 de junho de 2001, que dispõe sobre a criação da Agência, e estabelece que é receita da ANTT os recursos provenientes dos instrumentos de outorga administrados pela agência.</w:t>
      </w:r>
    </w:p>
    <w:p w14:paraId="784EC3B7" w14:textId="70D59702" w:rsidR="000C1923" w:rsidRDefault="005C2491" w:rsidP="002E2B5B">
      <w:pPr>
        <w:pStyle w:val="NormalWeb"/>
        <w:spacing w:before="0" w:beforeAutospacing="0" w:after="0" w:afterAutospacing="0"/>
        <w:jc w:val="both"/>
        <w:rPr>
          <w:rFonts w:ascii="Calibri" w:hAnsi="Calibri" w:cs="Calibri"/>
          <w:sz w:val="22"/>
          <w:szCs w:val="22"/>
        </w:rPr>
      </w:pPr>
      <w:r w:rsidRPr="002E2B5B">
        <w:rPr>
          <w:rFonts w:ascii="Calibri" w:hAnsi="Calibri" w:cs="Calibri"/>
          <w:sz w:val="22"/>
          <w:szCs w:val="22"/>
        </w:rPr>
        <w:t>A</w:t>
      </w:r>
      <w:r w:rsidR="009F46D4" w:rsidRPr="002E2B5B">
        <w:rPr>
          <w:rFonts w:ascii="Calibri" w:hAnsi="Calibri" w:cs="Calibri"/>
          <w:sz w:val="22"/>
          <w:szCs w:val="22"/>
        </w:rPr>
        <w:t xml:space="preserve"> VALEC realizou </w:t>
      </w:r>
      <w:r w:rsidR="004850E5" w:rsidRPr="002E2B5B">
        <w:rPr>
          <w:rFonts w:ascii="Calibri" w:hAnsi="Calibri" w:cs="Calibri"/>
          <w:sz w:val="22"/>
          <w:szCs w:val="22"/>
        </w:rPr>
        <w:t>o teste de recuperabilidade dos ativos relacionados à Ferrovia Norte Sul e, devido à falta benefícios econômicos para a empresa durante o</w:t>
      </w:r>
      <w:r w:rsidRPr="002E2B5B">
        <w:rPr>
          <w:rFonts w:ascii="Calibri" w:hAnsi="Calibri" w:cs="Calibri"/>
          <w:sz w:val="22"/>
          <w:szCs w:val="22"/>
        </w:rPr>
        <w:t>s</w:t>
      </w:r>
      <w:r w:rsidR="004850E5" w:rsidRPr="002E2B5B">
        <w:rPr>
          <w:rFonts w:ascii="Calibri" w:hAnsi="Calibri" w:cs="Calibri"/>
          <w:sz w:val="22"/>
          <w:szCs w:val="22"/>
        </w:rPr>
        <w:t xml:space="preserve"> prazo</w:t>
      </w:r>
      <w:r w:rsidRPr="002E2B5B">
        <w:rPr>
          <w:rFonts w:ascii="Calibri" w:hAnsi="Calibri" w:cs="Calibri"/>
          <w:sz w:val="22"/>
          <w:szCs w:val="22"/>
        </w:rPr>
        <w:t>s</w:t>
      </w:r>
      <w:r w:rsidR="004850E5" w:rsidRPr="002E2B5B">
        <w:rPr>
          <w:rFonts w:ascii="Calibri" w:hAnsi="Calibri" w:cs="Calibri"/>
          <w:sz w:val="22"/>
          <w:szCs w:val="22"/>
        </w:rPr>
        <w:t xml:space="preserve"> contratua</w:t>
      </w:r>
      <w:r w:rsidRPr="002E2B5B">
        <w:rPr>
          <w:rFonts w:ascii="Calibri" w:hAnsi="Calibri" w:cs="Calibri"/>
          <w:sz w:val="22"/>
          <w:szCs w:val="22"/>
        </w:rPr>
        <w:t>is</w:t>
      </w:r>
      <w:r w:rsidR="004850E5" w:rsidRPr="002E2B5B">
        <w:rPr>
          <w:rFonts w:ascii="Calibri" w:hAnsi="Calibri" w:cs="Calibri"/>
          <w:sz w:val="22"/>
          <w:szCs w:val="22"/>
        </w:rPr>
        <w:t xml:space="preserve"> d</w:t>
      </w:r>
      <w:r w:rsidRPr="002E2B5B">
        <w:rPr>
          <w:rFonts w:ascii="Calibri" w:hAnsi="Calibri" w:cs="Calibri"/>
          <w:sz w:val="22"/>
          <w:szCs w:val="22"/>
        </w:rPr>
        <w:t>as</w:t>
      </w:r>
      <w:r w:rsidR="004850E5" w:rsidRPr="002E2B5B">
        <w:rPr>
          <w:rFonts w:ascii="Calibri" w:hAnsi="Calibri" w:cs="Calibri"/>
          <w:sz w:val="22"/>
          <w:szCs w:val="22"/>
        </w:rPr>
        <w:t xml:space="preserve"> </w:t>
      </w:r>
      <w:proofErr w:type="spellStart"/>
      <w:r w:rsidR="004850E5" w:rsidRPr="002E2B5B">
        <w:rPr>
          <w:rFonts w:ascii="Calibri" w:hAnsi="Calibri" w:cs="Calibri"/>
          <w:sz w:val="22"/>
          <w:szCs w:val="22"/>
        </w:rPr>
        <w:t>subconcess</w:t>
      </w:r>
      <w:r w:rsidRPr="002E2B5B">
        <w:rPr>
          <w:rFonts w:ascii="Calibri" w:hAnsi="Calibri" w:cs="Calibri"/>
          <w:sz w:val="22"/>
          <w:szCs w:val="22"/>
        </w:rPr>
        <w:t>ões</w:t>
      </w:r>
      <w:proofErr w:type="spellEnd"/>
      <w:r w:rsidR="004850E5" w:rsidRPr="002E2B5B">
        <w:rPr>
          <w:rFonts w:ascii="Calibri" w:hAnsi="Calibri" w:cs="Calibri"/>
          <w:sz w:val="22"/>
          <w:szCs w:val="22"/>
        </w:rPr>
        <w:t xml:space="preserve">, reconheceu </w:t>
      </w:r>
      <w:r w:rsidR="009F46D4" w:rsidRPr="002E2B5B">
        <w:rPr>
          <w:rFonts w:ascii="Calibri" w:hAnsi="Calibri" w:cs="Calibri"/>
          <w:sz w:val="22"/>
          <w:szCs w:val="22"/>
        </w:rPr>
        <w:t xml:space="preserve">a </w:t>
      </w:r>
      <w:r w:rsidR="00A3783D" w:rsidRPr="002E2B5B">
        <w:rPr>
          <w:rFonts w:ascii="Calibri" w:hAnsi="Calibri" w:cs="Calibri"/>
          <w:sz w:val="22"/>
          <w:szCs w:val="22"/>
        </w:rPr>
        <w:t>provisão para perda ao valor recuperável dos ativos</w:t>
      </w:r>
      <w:r w:rsidR="009F46D4" w:rsidRPr="002E2B5B">
        <w:rPr>
          <w:rFonts w:ascii="Calibri" w:hAnsi="Calibri" w:cs="Calibri"/>
          <w:sz w:val="22"/>
          <w:szCs w:val="22"/>
        </w:rPr>
        <w:t>.</w:t>
      </w:r>
      <w:r w:rsidR="00C80DC6" w:rsidRPr="002E2B5B">
        <w:rPr>
          <w:rFonts w:ascii="Calibri" w:hAnsi="Calibri" w:cs="Calibri"/>
          <w:sz w:val="22"/>
          <w:szCs w:val="22"/>
        </w:rPr>
        <w:t xml:space="preserve"> </w:t>
      </w:r>
      <w:r w:rsidRPr="002E2B5B">
        <w:rPr>
          <w:rFonts w:ascii="Calibri" w:hAnsi="Calibri" w:cs="Calibri"/>
          <w:sz w:val="22"/>
          <w:szCs w:val="22"/>
        </w:rPr>
        <w:t xml:space="preserve">As provisões foram reconhecidas desde </w:t>
      </w:r>
      <w:r w:rsidR="00C80DC6" w:rsidRPr="002E2B5B">
        <w:rPr>
          <w:rFonts w:ascii="Calibri" w:hAnsi="Calibri" w:cs="Calibri"/>
          <w:sz w:val="22"/>
          <w:szCs w:val="22"/>
        </w:rPr>
        <w:t>o ano 2007</w:t>
      </w:r>
      <w:r w:rsidR="00322AE4">
        <w:rPr>
          <w:rFonts w:ascii="Calibri" w:hAnsi="Calibri" w:cs="Calibri"/>
          <w:sz w:val="22"/>
          <w:szCs w:val="22"/>
        </w:rPr>
        <w:t xml:space="preserve"> </w:t>
      </w:r>
      <w:r w:rsidR="00367905" w:rsidRPr="002E2B5B">
        <w:rPr>
          <w:rFonts w:ascii="Calibri" w:hAnsi="Calibri" w:cs="Calibri"/>
          <w:sz w:val="22"/>
          <w:szCs w:val="22"/>
        </w:rPr>
        <w:t xml:space="preserve">- </w:t>
      </w:r>
      <w:r w:rsidR="00C80DC6" w:rsidRPr="002E2B5B">
        <w:rPr>
          <w:rFonts w:ascii="Calibri" w:hAnsi="Calibri" w:cs="Calibri"/>
          <w:sz w:val="22"/>
          <w:szCs w:val="22"/>
        </w:rPr>
        <w:t xml:space="preserve">quando ocorreu a primeira </w:t>
      </w:r>
      <w:proofErr w:type="spellStart"/>
      <w:r w:rsidR="00C80DC6" w:rsidRPr="002E2B5B">
        <w:rPr>
          <w:rFonts w:ascii="Calibri" w:hAnsi="Calibri" w:cs="Calibri"/>
          <w:sz w:val="22"/>
          <w:szCs w:val="22"/>
        </w:rPr>
        <w:t>subconcessão</w:t>
      </w:r>
      <w:proofErr w:type="spellEnd"/>
      <w:r w:rsidR="00322AE4">
        <w:rPr>
          <w:rFonts w:ascii="Calibri" w:hAnsi="Calibri" w:cs="Calibri"/>
          <w:sz w:val="22"/>
          <w:szCs w:val="22"/>
        </w:rPr>
        <w:t xml:space="preserve"> até a dezembro de 2020. </w:t>
      </w:r>
    </w:p>
    <w:p w14:paraId="4D0F1AD1" w14:textId="57849DC4" w:rsidR="00322AE4" w:rsidRDefault="00322AE4" w:rsidP="002E2B5B">
      <w:pPr>
        <w:pStyle w:val="NormalWeb"/>
        <w:spacing w:before="0" w:beforeAutospacing="0" w:after="0" w:afterAutospacing="0"/>
        <w:jc w:val="both"/>
        <w:rPr>
          <w:rFonts w:ascii="Calibri" w:hAnsi="Calibri" w:cs="Calibri"/>
          <w:sz w:val="22"/>
          <w:szCs w:val="22"/>
        </w:rPr>
      </w:pPr>
    </w:p>
    <w:p w14:paraId="15A539E1" w14:textId="716F0152" w:rsidR="00322AE4" w:rsidRPr="002E2B5B" w:rsidRDefault="00322AE4" w:rsidP="002E2B5B">
      <w:pPr>
        <w:pStyle w:val="NormalWeb"/>
        <w:spacing w:before="0" w:beforeAutospacing="0" w:after="0" w:afterAutospacing="0"/>
        <w:jc w:val="both"/>
        <w:rPr>
          <w:rFonts w:ascii="Calibri" w:hAnsi="Calibri" w:cs="Calibri"/>
          <w:sz w:val="22"/>
          <w:szCs w:val="22"/>
        </w:rPr>
      </w:pPr>
      <w:r>
        <w:rPr>
          <w:rFonts w:ascii="Calibri" w:hAnsi="Calibri" w:cs="Calibri"/>
          <w:sz w:val="22"/>
          <w:szCs w:val="22"/>
        </w:rPr>
        <w:t>Por ocasião do encerramento do exercício de 2021, será realizado um novo teste de recuperabilidade nos ativos relacionados à FNS.</w:t>
      </w:r>
    </w:p>
    <w:p w14:paraId="0C6B8799" w14:textId="28394DDC" w:rsidR="00A00571" w:rsidRDefault="00A00571" w:rsidP="002E2B5B">
      <w:pPr>
        <w:pStyle w:val="NormalWeb"/>
        <w:spacing w:before="0" w:beforeAutospacing="0" w:after="0" w:afterAutospacing="0"/>
        <w:jc w:val="both"/>
        <w:rPr>
          <w:rFonts w:ascii="Calibri" w:hAnsi="Calibri" w:cs="Calibri"/>
          <w:sz w:val="22"/>
          <w:szCs w:val="22"/>
        </w:rPr>
      </w:pPr>
    </w:p>
    <w:p w14:paraId="396CABBE" w14:textId="1905620E" w:rsidR="00810F1C" w:rsidRDefault="00810F1C" w:rsidP="002E2B5B">
      <w:pPr>
        <w:pStyle w:val="NormalWeb"/>
        <w:spacing w:before="0" w:beforeAutospacing="0" w:after="0" w:afterAutospacing="0"/>
        <w:jc w:val="both"/>
        <w:rPr>
          <w:rFonts w:ascii="Calibri" w:hAnsi="Calibri" w:cs="Calibri"/>
          <w:sz w:val="22"/>
          <w:szCs w:val="22"/>
        </w:rPr>
      </w:pPr>
    </w:p>
    <w:p w14:paraId="7E8F783E" w14:textId="77777777" w:rsidR="00810F1C" w:rsidRPr="002E2B5B" w:rsidRDefault="00810F1C" w:rsidP="002E2B5B">
      <w:pPr>
        <w:pStyle w:val="NormalWeb"/>
        <w:spacing w:before="0" w:beforeAutospacing="0" w:after="0" w:afterAutospacing="0"/>
        <w:jc w:val="both"/>
        <w:rPr>
          <w:rFonts w:ascii="Calibri" w:hAnsi="Calibri" w:cs="Calibri"/>
          <w:sz w:val="22"/>
          <w:szCs w:val="22"/>
        </w:rPr>
      </w:pPr>
    </w:p>
    <w:p w14:paraId="00B74171" w14:textId="77777777" w:rsidR="000F5E21" w:rsidRPr="002E2B5B" w:rsidRDefault="000C1923" w:rsidP="002E2B5B">
      <w:pPr>
        <w:pStyle w:val="NormalWeb"/>
        <w:spacing w:before="0" w:beforeAutospacing="0" w:after="0" w:afterAutospacing="0"/>
        <w:jc w:val="both"/>
        <w:rPr>
          <w:rFonts w:ascii="Calibri" w:hAnsi="Calibri" w:cs="Calibri"/>
          <w:b/>
          <w:bCs/>
          <w:sz w:val="22"/>
          <w:szCs w:val="22"/>
        </w:rPr>
      </w:pPr>
      <w:r w:rsidRPr="002E2B5B">
        <w:rPr>
          <w:rFonts w:ascii="Calibri" w:hAnsi="Calibri" w:cs="Calibri"/>
          <w:b/>
          <w:bCs/>
          <w:sz w:val="22"/>
          <w:szCs w:val="22"/>
        </w:rPr>
        <w:lastRenderedPageBreak/>
        <w:t>I</w:t>
      </w:r>
      <w:r w:rsidR="000B56DF" w:rsidRPr="002E2B5B">
        <w:rPr>
          <w:rFonts w:ascii="Calibri" w:hAnsi="Calibri" w:cs="Calibri"/>
          <w:b/>
          <w:bCs/>
          <w:sz w:val="22"/>
          <w:szCs w:val="22"/>
        </w:rPr>
        <w:t>II</w:t>
      </w:r>
      <w:r w:rsidRPr="002E2B5B">
        <w:rPr>
          <w:rFonts w:ascii="Calibri" w:hAnsi="Calibri" w:cs="Calibri"/>
          <w:b/>
          <w:bCs/>
          <w:sz w:val="22"/>
          <w:szCs w:val="22"/>
        </w:rPr>
        <w:t xml:space="preserve"> </w:t>
      </w:r>
      <w:r w:rsidR="000F5E21" w:rsidRPr="002E2B5B">
        <w:rPr>
          <w:rFonts w:ascii="Calibri" w:hAnsi="Calibri" w:cs="Calibri"/>
          <w:b/>
          <w:bCs/>
          <w:sz w:val="22"/>
          <w:szCs w:val="22"/>
        </w:rPr>
        <w:t>– FERROVIA DE INTEGRAÇÃO OESTE LESTE (FIOL)</w:t>
      </w:r>
    </w:p>
    <w:p w14:paraId="18352112" w14:textId="65849346" w:rsidR="005E12AA" w:rsidRPr="005E12AA" w:rsidRDefault="005E12AA" w:rsidP="002E2B5B">
      <w:pPr>
        <w:pStyle w:val="Textoembloco"/>
        <w:spacing w:after="120" w:line="240" w:lineRule="auto"/>
        <w:ind w:left="0" w:right="57"/>
        <w:rPr>
          <w:rFonts w:ascii="Calibri" w:hAnsi="Calibri" w:cs="Calibri"/>
          <w:sz w:val="22"/>
          <w:szCs w:val="22"/>
        </w:rPr>
      </w:pPr>
      <w:r w:rsidRPr="005E12AA">
        <w:rPr>
          <w:rFonts w:ascii="Calibri" w:hAnsi="Calibri" w:cs="Calibri"/>
          <w:sz w:val="22"/>
          <w:szCs w:val="22"/>
        </w:rPr>
        <w:t xml:space="preserve">A VALEC </w:t>
      </w:r>
      <w:proofErr w:type="spellStart"/>
      <w:r w:rsidRPr="005E12AA">
        <w:rPr>
          <w:rFonts w:ascii="Calibri" w:hAnsi="Calibri" w:cs="Calibri"/>
          <w:sz w:val="22"/>
          <w:szCs w:val="22"/>
        </w:rPr>
        <w:t>subconcedeu</w:t>
      </w:r>
      <w:proofErr w:type="spellEnd"/>
      <w:r w:rsidRPr="005E12AA">
        <w:rPr>
          <w:rFonts w:ascii="Calibri" w:hAnsi="Calibri" w:cs="Calibri"/>
          <w:sz w:val="22"/>
          <w:szCs w:val="22"/>
        </w:rPr>
        <w:t>, em agosto de 2021, o trecho ferroviário entre os municípios de Ilhéus/BA a Caetité/BA, com 537 km de extensão, denominado FIOL I, no qual a empresa Bahia Mineração S.A sagrou-se vencedora, com um lance de R$ 32,7 milhões, adicionado à receita variável, com base no estudo de viabilidade.</w:t>
      </w:r>
    </w:p>
    <w:p w14:paraId="2C482CAC" w14:textId="4E65D1E3" w:rsidR="005E12AA" w:rsidRPr="005E12AA" w:rsidRDefault="005E12AA" w:rsidP="005E12AA">
      <w:pPr>
        <w:pStyle w:val="Textoembloco"/>
        <w:spacing w:after="120" w:line="240" w:lineRule="auto"/>
        <w:ind w:left="0" w:right="57"/>
        <w:rPr>
          <w:rFonts w:ascii="Calibri" w:hAnsi="Calibri" w:cs="Calibri"/>
          <w:sz w:val="22"/>
          <w:szCs w:val="22"/>
          <w:shd w:val="clear" w:color="auto" w:fill="FFFFFF"/>
        </w:rPr>
      </w:pPr>
      <w:r w:rsidRPr="005E12AA">
        <w:rPr>
          <w:rFonts w:ascii="Calibri" w:hAnsi="Calibri" w:cs="Calibri"/>
          <w:sz w:val="22"/>
          <w:szCs w:val="22"/>
          <w:shd w:val="clear" w:color="auto" w:fill="FFFFFF"/>
        </w:rPr>
        <w:t xml:space="preserve">O Valor Presente de R$ 260 milhões, com data base maio de 2021, das receitas de outorga previstas na concessão da Ferrovia de Integração Oeste Leste (FIOL) – EF-334 - trecho denominado FIOL I, realizada por meio do Edital de Concorrência Internacional n°01/2020, foi calculado pela Superintendência de Negócios da VALEC e evidenciado por meio do Ofício nº 6/2021/SUNEG-VALEC/DINEG-VALEC, em 09 de junho de 2021. </w:t>
      </w:r>
    </w:p>
    <w:p w14:paraId="58D3BF7C" w14:textId="4809F9CF" w:rsidR="005E12AA" w:rsidRPr="005E12AA" w:rsidRDefault="005E12AA" w:rsidP="005E12AA">
      <w:pPr>
        <w:pStyle w:val="Textoembloco"/>
        <w:spacing w:after="120" w:line="240" w:lineRule="auto"/>
        <w:ind w:left="0" w:right="57"/>
        <w:rPr>
          <w:rFonts w:ascii="Calibri" w:hAnsi="Calibri" w:cs="Calibri"/>
          <w:sz w:val="22"/>
          <w:szCs w:val="22"/>
          <w:shd w:val="clear" w:color="auto" w:fill="FFFFFF"/>
        </w:rPr>
      </w:pPr>
      <w:r w:rsidRPr="005E12AA">
        <w:rPr>
          <w:rFonts w:ascii="Calibri" w:hAnsi="Calibri" w:cs="Calibri"/>
          <w:sz w:val="22"/>
          <w:szCs w:val="22"/>
          <w:shd w:val="clear" w:color="auto" w:fill="FFFFFF"/>
        </w:rPr>
        <w:t xml:space="preserve">Para o encerramento do exercício de 2020, aprovado em agosto de 2021, foi realizado o teste de recuperabilidade dos ativos relativos ao trecho ferroviário denominado FIOL I, reconhecendo uma provisão para perda ao valor recuperável de R$ 3,5 bilhões de reais. </w:t>
      </w:r>
    </w:p>
    <w:p w14:paraId="4B92CA3D" w14:textId="2C898531" w:rsidR="005E12AA" w:rsidRDefault="005E12AA" w:rsidP="005E12AA">
      <w:pPr>
        <w:pStyle w:val="NormalWeb"/>
        <w:spacing w:before="0" w:beforeAutospacing="0" w:after="120" w:afterAutospacing="0"/>
        <w:jc w:val="both"/>
        <w:rPr>
          <w:rFonts w:ascii="Calibri" w:hAnsi="Calibri" w:cs="Calibri"/>
          <w:sz w:val="22"/>
          <w:szCs w:val="22"/>
          <w:shd w:val="clear" w:color="auto" w:fill="FFFFFF"/>
        </w:rPr>
      </w:pPr>
      <w:r w:rsidRPr="005E12AA">
        <w:rPr>
          <w:rFonts w:ascii="Calibri" w:hAnsi="Calibri" w:cs="Calibri"/>
          <w:sz w:val="22"/>
          <w:szCs w:val="22"/>
          <w:shd w:val="clear" w:color="auto" w:fill="FFFFFF"/>
        </w:rPr>
        <w:t>Essa redução patrimonial não altera à continuidade operacional da VALEC, conforme Nota 1, visto ser uma empresa pública dependente da União (única acionista) e das políticas públicas traçadas pelo Ministério da Infraestrutura. Seu planejamento financeiro de longo prazo é vinculado ao planejamento orçamentário, por meio do Plano Plurianual de 2020 – 2023, aprovados nos termos da Lei</w:t>
      </w:r>
      <w:r w:rsidR="00214011">
        <w:rPr>
          <w:rFonts w:ascii="Calibri" w:hAnsi="Calibri" w:cs="Calibri"/>
          <w:sz w:val="22"/>
          <w:szCs w:val="22"/>
          <w:shd w:val="clear" w:color="auto" w:fill="FFFFFF"/>
        </w:rPr>
        <w:t xml:space="preserve"> nº</w:t>
      </w:r>
      <w:r w:rsidRPr="005E12AA">
        <w:rPr>
          <w:rFonts w:ascii="Calibri" w:hAnsi="Calibri" w:cs="Calibri"/>
          <w:sz w:val="22"/>
          <w:szCs w:val="22"/>
          <w:shd w:val="clear" w:color="auto" w:fill="FFFFFF"/>
        </w:rPr>
        <w:t xml:space="preserve"> 13.971, de 13 de dezembro de 2019, e das políticas governamentais.</w:t>
      </w:r>
    </w:p>
    <w:p w14:paraId="662D7E7F" w14:textId="77777777" w:rsidR="005E12AA" w:rsidRPr="002E2B5B" w:rsidRDefault="005E12AA" w:rsidP="005E12AA">
      <w:pPr>
        <w:pStyle w:val="PargrafodaLista"/>
        <w:spacing w:after="120"/>
        <w:ind w:left="0"/>
        <w:contextualSpacing/>
        <w:jc w:val="both"/>
        <w:rPr>
          <w:rFonts w:ascii="Calibri" w:hAnsi="Calibri" w:cs="Calibri"/>
          <w:bCs/>
          <w:sz w:val="22"/>
          <w:szCs w:val="22"/>
        </w:rPr>
      </w:pPr>
      <w:r w:rsidRPr="002E2B5B">
        <w:rPr>
          <w:rFonts w:ascii="Calibri" w:hAnsi="Calibri" w:cs="Calibri"/>
          <w:bCs/>
          <w:sz w:val="22"/>
          <w:szCs w:val="22"/>
        </w:rPr>
        <w:t xml:space="preserve">Os ativos relacionados aos trechos da Ferrovia de Integração Oeste Leste, denominados de FIOL II não sofreram teste de recuperabilidade de ativos, por estarem em fase de obras em andamento, sem indícios de perdas. </w:t>
      </w:r>
    </w:p>
    <w:p w14:paraId="332EB95F" w14:textId="5D193EDB" w:rsidR="005E12AA" w:rsidRDefault="005E12AA" w:rsidP="005E12AA">
      <w:pPr>
        <w:pStyle w:val="NormalWeb"/>
        <w:spacing w:before="0" w:beforeAutospacing="0" w:after="0" w:afterAutospacing="0"/>
        <w:jc w:val="both"/>
        <w:rPr>
          <w:rFonts w:ascii="Calibri" w:hAnsi="Calibri" w:cs="Calibri"/>
          <w:sz w:val="22"/>
          <w:szCs w:val="22"/>
        </w:rPr>
      </w:pPr>
      <w:r>
        <w:rPr>
          <w:rFonts w:ascii="Calibri" w:hAnsi="Calibri" w:cs="Calibri"/>
          <w:sz w:val="22"/>
          <w:szCs w:val="22"/>
        </w:rPr>
        <w:t>Por ocasião do encerramento do exercício de 2021, será realizado um novo teste de recuperabilidade nos ativos relacionados à FIOL I.</w:t>
      </w:r>
    </w:p>
    <w:p w14:paraId="1C07583F" w14:textId="77777777" w:rsidR="00A00571" w:rsidRPr="002E2B5B" w:rsidRDefault="00A00571" w:rsidP="002E2B5B">
      <w:pPr>
        <w:pStyle w:val="PargrafodaLista"/>
        <w:ind w:left="0"/>
        <w:contextualSpacing/>
        <w:jc w:val="both"/>
        <w:rPr>
          <w:rFonts w:ascii="Calibri" w:hAnsi="Calibri" w:cs="Calibri"/>
          <w:bCs/>
          <w:sz w:val="22"/>
          <w:szCs w:val="22"/>
        </w:rPr>
      </w:pPr>
    </w:p>
    <w:tbl>
      <w:tblPr>
        <w:tblW w:w="5000" w:type="pct"/>
        <w:tblCellMar>
          <w:left w:w="70" w:type="dxa"/>
          <w:right w:w="70" w:type="dxa"/>
        </w:tblCellMar>
        <w:tblLook w:val="04A0" w:firstRow="1" w:lastRow="0" w:firstColumn="1" w:lastColumn="0" w:noHBand="0" w:noVBand="1"/>
      </w:tblPr>
      <w:tblGrid>
        <w:gridCol w:w="3804"/>
        <w:gridCol w:w="1166"/>
        <w:gridCol w:w="1047"/>
        <w:gridCol w:w="1047"/>
        <w:gridCol w:w="837"/>
        <w:gridCol w:w="1354"/>
        <w:gridCol w:w="1212"/>
      </w:tblGrid>
      <w:tr w:rsidR="0027114A" w:rsidRPr="002E2B5B" w14:paraId="10AB65EE" w14:textId="77777777" w:rsidTr="00C34E8D">
        <w:trPr>
          <w:trHeight w:hRule="exact" w:val="227"/>
        </w:trPr>
        <w:tc>
          <w:tcPr>
            <w:tcW w:w="1817" w:type="pct"/>
            <w:tcBorders>
              <w:top w:val="nil"/>
              <w:left w:val="nil"/>
              <w:bottom w:val="single" w:sz="4" w:space="0" w:color="auto"/>
              <w:right w:val="nil"/>
            </w:tcBorders>
            <w:shd w:val="clear" w:color="auto" w:fill="auto"/>
            <w:noWrap/>
            <w:vAlign w:val="bottom"/>
            <w:hideMark/>
          </w:tcPr>
          <w:p w14:paraId="06A4D717" w14:textId="7CA9FE2D" w:rsidR="0098109C" w:rsidRPr="002E2B5B" w:rsidRDefault="00D22F5E" w:rsidP="002E2B5B">
            <w:pPr>
              <w:rPr>
                <w:rFonts w:ascii="Calibri" w:hAnsi="Calibri" w:cs="Calibri"/>
                <w:b/>
                <w:color w:val="000000"/>
                <w:sz w:val="22"/>
                <w:szCs w:val="22"/>
              </w:rPr>
            </w:pPr>
            <w:r w:rsidRPr="002E2B5B">
              <w:rPr>
                <w:rFonts w:ascii="Calibri" w:hAnsi="Calibri" w:cs="Calibri"/>
                <w:b/>
                <w:color w:val="000000"/>
                <w:sz w:val="22"/>
                <w:szCs w:val="22"/>
              </w:rPr>
              <w:t xml:space="preserve">NOTA </w:t>
            </w:r>
            <w:r w:rsidR="00D251CA">
              <w:rPr>
                <w:rFonts w:ascii="Calibri" w:hAnsi="Calibri" w:cs="Calibri"/>
                <w:b/>
                <w:color w:val="000000"/>
                <w:sz w:val="22"/>
                <w:szCs w:val="22"/>
              </w:rPr>
              <w:t>9</w:t>
            </w:r>
            <w:r w:rsidR="00782E54" w:rsidRPr="002E2B5B">
              <w:rPr>
                <w:rFonts w:ascii="Calibri" w:hAnsi="Calibri" w:cs="Calibri"/>
                <w:b/>
                <w:color w:val="000000"/>
                <w:sz w:val="22"/>
                <w:szCs w:val="22"/>
              </w:rPr>
              <w:t xml:space="preserve"> </w:t>
            </w:r>
            <w:r w:rsidR="00713327" w:rsidRPr="002E2B5B">
              <w:rPr>
                <w:rFonts w:ascii="Calibri" w:hAnsi="Calibri" w:cs="Calibri"/>
                <w:b/>
                <w:color w:val="000000"/>
                <w:sz w:val="22"/>
                <w:szCs w:val="22"/>
              </w:rPr>
              <w:t>–</w:t>
            </w:r>
            <w:r w:rsidR="00782E54" w:rsidRPr="002E2B5B">
              <w:rPr>
                <w:rFonts w:ascii="Calibri" w:hAnsi="Calibri" w:cs="Calibri"/>
                <w:b/>
                <w:color w:val="000000"/>
                <w:sz w:val="22"/>
                <w:szCs w:val="22"/>
              </w:rPr>
              <w:t xml:space="preserve"> INTANGÍVEL</w:t>
            </w:r>
            <w:r w:rsidR="00713327" w:rsidRPr="002E2B5B">
              <w:rPr>
                <w:rFonts w:ascii="Calibri" w:hAnsi="Calibri" w:cs="Calibri"/>
                <w:b/>
                <w:color w:val="000000"/>
                <w:sz w:val="22"/>
                <w:szCs w:val="22"/>
              </w:rPr>
              <w:t xml:space="preserve"> </w:t>
            </w:r>
          </w:p>
          <w:p w14:paraId="7CDC3FA1" w14:textId="77777777" w:rsidR="0098109C" w:rsidRPr="002E2B5B" w:rsidRDefault="0098109C" w:rsidP="002E2B5B">
            <w:pPr>
              <w:rPr>
                <w:rFonts w:ascii="Calibri" w:hAnsi="Calibri" w:cs="Calibri"/>
                <w:b/>
                <w:color w:val="000000"/>
                <w:sz w:val="22"/>
                <w:szCs w:val="22"/>
              </w:rPr>
            </w:pPr>
          </w:p>
          <w:p w14:paraId="2881FF1F" w14:textId="77777777" w:rsidR="00CC5767" w:rsidRPr="002E2B5B" w:rsidRDefault="00CC5767" w:rsidP="002E2B5B">
            <w:pPr>
              <w:rPr>
                <w:rFonts w:ascii="Calibri" w:hAnsi="Calibri" w:cs="Calibri"/>
                <w:b/>
                <w:bCs/>
                <w:color w:val="000000"/>
                <w:sz w:val="16"/>
                <w:szCs w:val="16"/>
              </w:rPr>
            </w:pPr>
            <w:r w:rsidRPr="002E2B5B">
              <w:rPr>
                <w:rFonts w:ascii="Calibri" w:hAnsi="Calibri" w:cs="Calibri"/>
                <w:b/>
                <w:bCs/>
                <w:color w:val="000000"/>
                <w:sz w:val="16"/>
                <w:szCs w:val="16"/>
              </w:rPr>
              <w:t>INTANG</w:t>
            </w:r>
            <w:r w:rsidR="00D974C8" w:rsidRPr="002E2B5B">
              <w:rPr>
                <w:rFonts w:ascii="Calibri" w:hAnsi="Calibri" w:cs="Calibri"/>
                <w:b/>
                <w:bCs/>
                <w:color w:val="000000"/>
                <w:sz w:val="16"/>
                <w:szCs w:val="16"/>
              </w:rPr>
              <w:t>ÍV</w:t>
            </w:r>
            <w:r w:rsidRPr="002E2B5B">
              <w:rPr>
                <w:rFonts w:ascii="Calibri" w:hAnsi="Calibri" w:cs="Calibri"/>
                <w:b/>
                <w:bCs/>
                <w:color w:val="000000"/>
                <w:sz w:val="16"/>
                <w:szCs w:val="16"/>
              </w:rPr>
              <w:t>EL</w:t>
            </w:r>
          </w:p>
        </w:tc>
        <w:tc>
          <w:tcPr>
            <w:tcW w:w="557" w:type="pct"/>
            <w:tcBorders>
              <w:top w:val="nil"/>
              <w:left w:val="nil"/>
              <w:bottom w:val="single" w:sz="4" w:space="0" w:color="auto"/>
              <w:right w:val="nil"/>
            </w:tcBorders>
            <w:shd w:val="clear" w:color="auto" w:fill="auto"/>
            <w:vAlign w:val="bottom"/>
            <w:hideMark/>
          </w:tcPr>
          <w:p w14:paraId="1E251704" w14:textId="5077885C"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SALDO EM 31/12/20</w:t>
            </w:r>
            <w:r w:rsidR="00837C39">
              <w:rPr>
                <w:rFonts w:ascii="Calibri" w:hAnsi="Calibri" w:cs="Calibri"/>
                <w:b/>
                <w:bCs/>
                <w:color w:val="000000"/>
                <w:sz w:val="16"/>
                <w:szCs w:val="16"/>
              </w:rPr>
              <w:t>20</w:t>
            </w:r>
          </w:p>
        </w:tc>
        <w:tc>
          <w:tcPr>
            <w:tcW w:w="500" w:type="pct"/>
            <w:tcBorders>
              <w:top w:val="nil"/>
              <w:left w:val="nil"/>
              <w:bottom w:val="single" w:sz="4" w:space="0" w:color="auto"/>
              <w:right w:val="nil"/>
            </w:tcBorders>
            <w:shd w:val="clear" w:color="auto" w:fill="auto"/>
            <w:vAlign w:val="bottom"/>
            <w:hideMark/>
          </w:tcPr>
          <w:p w14:paraId="0FF0A443"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ENTRADAS</w:t>
            </w:r>
          </w:p>
        </w:tc>
        <w:tc>
          <w:tcPr>
            <w:tcW w:w="500" w:type="pct"/>
            <w:tcBorders>
              <w:top w:val="nil"/>
              <w:left w:val="nil"/>
              <w:bottom w:val="single" w:sz="4" w:space="0" w:color="auto"/>
              <w:right w:val="nil"/>
            </w:tcBorders>
            <w:shd w:val="clear" w:color="auto" w:fill="auto"/>
            <w:vAlign w:val="bottom"/>
            <w:hideMark/>
          </w:tcPr>
          <w:p w14:paraId="1DDA4D79"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BAIXAS</w:t>
            </w:r>
          </w:p>
        </w:tc>
        <w:tc>
          <w:tcPr>
            <w:tcW w:w="400" w:type="pct"/>
            <w:tcBorders>
              <w:top w:val="nil"/>
              <w:left w:val="nil"/>
              <w:bottom w:val="single" w:sz="4" w:space="0" w:color="auto"/>
              <w:right w:val="nil"/>
            </w:tcBorders>
            <w:shd w:val="clear" w:color="auto" w:fill="auto"/>
            <w:vAlign w:val="bottom"/>
            <w:hideMark/>
          </w:tcPr>
          <w:p w14:paraId="5ADAD819"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TRANSF.</w:t>
            </w:r>
          </w:p>
        </w:tc>
        <w:tc>
          <w:tcPr>
            <w:tcW w:w="647" w:type="pct"/>
            <w:tcBorders>
              <w:top w:val="nil"/>
              <w:left w:val="nil"/>
              <w:bottom w:val="single" w:sz="4" w:space="0" w:color="auto"/>
              <w:right w:val="nil"/>
            </w:tcBorders>
            <w:shd w:val="clear" w:color="auto" w:fill="auto"/>
            <w:vAlign w:val="bottom"/>
            <w:hideMark/>
          </w:tcPr>
          <w:p w14:paraId="18A11951" w14:textId="5D7CEF1B"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 xml:space="preserve">SALDO EM </w:t>
            </w:r>
            <w:r w:rsidR="00D905E6">
              <w:rPr>
                <w:rFonts w:ascii="Calibri" w:hAnsi="Calibri" w:cs="Calibri"/>
                <w:b/>
                <w:bCs/>
                <w:color w:val="000000"/>
                <w:sz w:val="16"/>
                <w:szCs w:val="16"/>
              </w:rPr>
              <w:t>30/06/2021</w:t>
            </w:r>
          </w:p>
        </w:tc>
        <w:tc>
          <w:tcPr>
            <w:tcW w:w="579" w:type="pct"/>
            <w:tcBorders>
              <w:top w:val="nil"/>
              <w:left w:val="nil"/>
              <w:bottom w:val="single" w:sz="4" w:space="0" w:color="auto"/>
              <w:right w:val="nil"/>
            </w:tcBorders>
            <w:shd w:val="clear" w:color="auto" w:fill="auto"/>
            <w:vAlign w:val="bottom"/>
            <w:hideMark/>
          </w:tcPr>
          <w:p w14:paraId="7754F0EB"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TAXA AMORTIZ. (%)</w:t>
            </w:r>
          </w:p>
        </w:tc>
      </w:tr>
      <w:tr w:rsidR="0027114A" w:rsidRPr="002E2B5B" w14:paraId="12027DA7" w14:textId="77777777" w:rsidTr="00C34E8D">
        <w:trPr>
          <w:trHeight w:hRule="exact" w:val="227"/>
        </w:trPr>
        <w:tc>
          <w:tcPr>
            <w:tcW w:w="1817" w:type="pct"/>
            <w:tcBorders>
              <w:top w:val="nil"/>
              <w:left w:val="nil"/>
              <w:bottom w:val="nil"/>
              <w:right w:val="nil"/>
            </w:tcBorders>
            <w:shd w:val="clear" w:color="auto" w:fill="auto"/>
            <w:noWrap/>
            <w:vAlign w:val="bottom"/>
            <w:hideMark/>
          </w:tcPr>
          <w:p w14:paraId="1A7206FF" w14:textId="77777777" w:rsidR="0027114A" w:rsidRPr="002E2B5B" w:rsidRDefault="0027114A" w:rsidP="002E2B5B">
            <w:pPr>
              <w:rPr>
                <w:rFonts w:ascii="Calibri" w:hAnsi="Calibri" w:cs="Calibri"/>
                <w:color w:val="000000"/>
                <w:sz w:val="16"/>
                <w:szCs w:val="16"/>
              </w:rPr>
            </w:pPr>
            <w:r w:rsidRPr="002E2B5B">
              <w:rPr>
                <w:rFonts w:ascii="Calibri" w:hAnsi="Calibri" w:cs="Calibri"/>
                <w:color w:val="000000"/>
                <w:sz w:val="16"/>
                <w:szCs w:val="16"/>
              </w:rPr>
              <w:t>Direito de Uso de Comunicação</w:t>
            </w:r>
          </w:p>
        </w:tc>
        <w:tc>
          <w:tcPr>
            <w:tcW w:w="557" w:type="pct"/>
            <w:tcBorders>
              <w:top w:val="nil"/>
              <w:left w:val="nil"/>
              <w:bottom w:val="nil"/>
              <w:right w:val="nil"/>
            </w:tcBorders>
            <w:shd w:val="clear" w:color="auto" w:fill="auto"/>
            <w:noWrap/>
            <w:vAlign w:val="bottom"/>
            <w:hideMark/>
          </w:tcPr>
          <w:p w14:paraId="23832C92"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139.790</w:t>
            </w:r>
          </w:p>
        </w:tc>
        <w:tc>
          <w:tcPr>
            <w:tcW w:w="500" w:type="pct"/>
            <w:tcBorders>
              <w:top w:val="nil"/>
              <w:left w:val="nil"/>
              <w:bottom w:val="nil"/>
              <w:right w:val="nil"/>
            </w:tcBorders>
            <w:shd w:val="clear" w:color="auto" w:fill="auto"/>
            <w:noWrap/>
            <w:vAlign w:val="bottom"/>
            <w:hideMark/>
          </w:tcPr>
          <w:p w14:paraId="7A519EE6"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500" w:type="pct"/>
            <w:tcBorders>
              <w:top w:val="nil"/>
              <w:left w:val="nil"/>
              <w:bottom w:val="nil"/>
              <w:right w:val="nil"/>
            </w:tcBorders>
            <w:shd w:val="clear" w:color="auto" w:fill="auto"/>
            <w:noWrap/>
            <w:vAlign w:val="bottom"/>
            <w:hideMark/>
          </w:tcPr>
          <w:p w14:paraId="2849D0CC"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400" w:type="pct"/>
            <w:tcBorders>
              <w:top w:val="nil"/>
              <w:left w:val="nil"/>
              <w:bottom w:val="nil"/>
              <w:right w:val="nil"/>
            </w:tcBorders>
            <w:shd w:val="clear" w:color="auto" w:fill="auto"/>
            <w:noWrap/>
            <w:vAlign w:val="bottom"/>
            <w:hideMark/>
          </w:tcPr>
          <w:p w14:paraId="32DBE3AC"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647" w:type="pct"/>
            <w:tcBorders>
              <w:top w:val="nil"/>
              <w:left w:val="nil"/>
              <w:bottom w:val="nil"/>
              <w:right w:val="nil"/>
            </w:tcBorders>
            <w:shd w:val="clear" w:color="auto" w:fill="auto"/>
            <w:noWrap/>
            <w:vAlign w:val="bottom"/>
            <w:hideMark/>
          </w:tcPr>
          <w:p w14:paraId="38BA14DA"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139.790</w:t>
            </w:r>
          </w:p>
        </w:tc>
        <w:tc>
          <w:tcPr>
            <w:tcW w:w="579" w:type="pct"/>
            <w:tcBorders>
              <w:top w:val="nil"/>
              <w:left w:val="nil"/>
              <w:bottom w:val="nil"/>
              <w:right w:val="nil"/>
            </w:tcBorders>
            <w:shd w:val="clear" w:color="auto" w:fill="auto"/>
            <w:noWrap/>
            <w:vAlign w:val="bottom"/>
            <w:hideMark/>
          </w:tcPr>
          <w:p w14:paraId="55BEC117"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w:t>
            </w:r>
          </w:p>
        </w:tc>
      </w:tr>
      <w:tr w:rsidR="0027114A" w:rsidRPr="002E2B5B" w14:paraId="65C42BAD" w14:textId="77777777" w:rsidTr="00C34E8D">
        <w:trPr>
          <w:trHeight w:hRule="exact" w:val="227"/>
        </w:trPr>
        <w:tc>
          <w:tcPr>
            <w:tcW w:w="1817" w:type="pct"/>
            <w:tcBorders>
              <w:top w:val="nil"/>
              <w:left w:val="nil"/>
              <w:bottom w:val="nil"/>
              <w:right w:val="nil"/>
            </w:tcBorders>
            <w:shd w:val="clear" w:color="auto" w:fill="auto"/>
            <w:noWrap/>
            <w:vAlign w:val="bottom"/>
            <w:hideMark/>
          </w:tcPr>
          <w:p w14:paraId="049B3189" w14:textId="77777777" w:rsidR="0027114A" w:rsidRPr="002E2B5B" w:rsidRDefault="0027114A" w:rsidP="002E2B5B">
            <w:pPr>
              <w:rPr>
                <w:rFonts w:ascii="Calibri" w:hAnsi="Calibri" w:cs="Calibri"/>
                <w:color w:val="000000"/>
                <w:sz w:val="16"/>
                <w:szCs w:val="16"/>
              </w:rPr>
            </w:pPr>
            <w:r w:rsidRPr="002E2B5B">
              <w:rPr>
                <w:rFonts w:ascii="Calibri" w:hAnsi="Calibri" w:cs="Calibri"/>
                <w:color w:val="000000"/>
                <w:sz w:val="16"/>
                <w:szCs w:val="16"/>
              </w:rPr>
              <w:t>Softwares</w:t>
            </w:r>
          </w:p>
        </w:tc>
        <w:tc>
          <w:tcPr>
            <w:tcW w:w="557" w:type="pct"/>
            <w:tcBorders>
              <w:top w:val="nil"/>
              <w:left w:val="nil"/>
              <w:bottom w:val="nil"/>
              <w:right w:val="nil"/>
            </w:tcBorders>
            <w:shd w:val="clear" w:color="auto" w:fill="auto"/>
            <w:noWrap/>
            <w:vAlign w:val="bottom"/>
            <w:hideMark/>
          </w:tcPr>
          <w:p w14:paraId="50C7FB48" w14:textId="4A2A0CCB" w:rsidR="0027114A" w:rsidRPr="002E2B5B" w:rsidRDefault="00837C39" w:rsidP="002E2B5B">
            <w:pPr>
              <w:jc w:val="right"/>
              <w:rPr>
                <w:rFonts w:ascii="Calibri" w:hAnsi="Calibri" w:cs="Calibri"/>
                <w:color w:val="000000"/>
                <w:sz w:val="16"/>
                <w:szCs w:val="16"/>
              </w:rPr>
            </w:pPr>
            <w:r w:rsidRPr="002E2B5B">
              <w:rPr>
                <w:rFonts w:ascii="Calibri" w:hAnsi="Calibri" w:cs="Calibri"/>
                <w:color w:val="000000"/>
                <w:sz w:val="16"/>
                <w:szCs w:val="16"/>
              </w:rPr>
              <w:t>11.428.470</w:t>
            </w:r>
          </w:p>
        </w:tc>
        <w:tc>
          <w:tcPr>
            <w:tcW w:w="500" w:type="pct"/>
            <w:tcBorders>
              <w:top w:val="nil"/>
              <w:left w:val="nil"/>
              <w:bottom w:val="nil"/>
              <w:right w:val="nil"/>
            </w:tcBorders>
            <w:shd w:val="clear" w:color="auto" w:fill="auto"/>
            <w:noWrap/>
            <w:vAlign w:val="bottom"/>
            <w:hideMark/>
          </w:tcPr>
          <w:p w14:paraId="22FFE0EF" w14:textId="757B2682" w:rsidR="0027114A" w:rsidRPr="002E2B5B" w:rsidRDefault="00837C39" w:rsidP="002E2B5B">
            <w:pPr>
              <w:jc w:val="right"/>
              <w:rPr>
                <w:rFonts w:ascii="Calibri" w:hAnsi="Calibri" w:cs="Calibri"/>
                <w:color w:val="000000"/>
                <w:sz w:val="16"/>
                <w:szCs w:val="16"/>
              </w:rPr>
            </w:pPr>
            <w:r>
              <w:rPr>
                <w:rFonts w:ascii="Calibri" w:hAnsi="Calibri" w:cs="Calibri"/>
                <w:color w:val="000000"/>
                <w:sz w:val="16"/>
                <w:szCs w:val="16"/>
              </w:rPr>
              <w:t>302.73</w:t>
            </w:r>
            <w:r w:rsidR="00DF35EE">
              <w:rPr>
                <w:rFonts w:ascii="Calibri" w:hAnsi="Calibri" w:cs="Calibri"/>
                <w:color w:val="000000"/>
                <w:sz w:val="16"/>
                <w:szCs w:val="16"/>
              </w:rPr>
              <w:t>7</w:t>
            </w:r>
          </w:p>
        </w:tc>
        <w:tc>
          <w:tcPr>
            <w:tcW w:w="500" w:type="pct"/>
            <w:tcBorders>
              <w:top w:val="nil"/>
              <w:left w:val="nil"/>
              <w:bottom w:val="nil"/>
              <w:right w:val="nil"/>
            </w:tcBorders>
            <w:shd w:val="clear" w:color="auto" w:fill="auto"/>
            <w:noWrap/>
            <w:vAlign w:val="bottom"/>
            <w:hideMark/>
          </w:tcPr>
          <w:p w14:paraId="4D64FA41" w14:textId="097CD438" w:rsidR="0027114A" w:rsidRPr="002E2B5B" w:rsidRDefault="00837C39" w:rsidP="002E2B5B">
            <w:pPr>
              <w:jc w:val="right"/>
              <w:rPr>
                <w:rFonts w:ascii="Calibri" w:hAnsi="Calibri" w:cs="Calibri"/>
                <w:color w:val="000000"/>
                <w:sz w:val="16"/>
                <w:szCs w:val="16"/>
              </w:rPr>
            </w:pPr>
            <w:r>
              <w:rPr>
                <w:rFonts w:ascii="Calibri" w:hAnsi="Calibri" w:cs="Calibri"/>
                <w:color w:val="000000"/>
                <w:sz w:val="16"/>
                <w:szCs w:val="16"/>
              </w:rPr>
              <w:t>0</w:t>
            </w:r>
          </w:p>
        </w:tc>
        <w:tc>
          <w:tcPr>
            <w:tcW w:w="400" w:type="pct"/>
            <w:tcBorders>
              <w:top w:val="nil"/>
              <w:left w:val="nil"/>
              <w:bottom w:val="nil"/>
              <w:right w:val="nil"/>
            </w:tcBorders>
            <w:shd w:val="clear" w:color="auto" w:fill="auto"/>
            <w:noWrap/>
            <w:vAlign w:val="bottom"/>
            <w:hideMark/>
          </w:tcPr>
          <w:p w14:paraId="35E169C1"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647" w:type="pct"/>
            <w:tcBorders>
              <w:top w:val="nil"/>
              <w:left w:val="nil"/>
              <w:bottom w:val="nil"/>
              <w:right w:val="nil"/>
            </w:tcBorders>
            <w:shd w:val="clear" w:color="auto" w:fill="auto"/>
            <w:noWrap/>
            <w:vAlign w:val="bottom"/>
            <w:hideMark/>
          </w:tcPr>
          <w:p w14:paraId="23A2D84C" w14:textId="70980F58"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11.</w:t>
            </w:r>
            <w:r w:rsidR="00837C39">
              <w:rPr>
                <w:rFonts w:ascii="Calibri" w:hAnsi="Calibri" w:cs="Calibri"/>
                <w:color w:val="000000"/>
                <w:sz w:val="16"/>
                <w:szCs w:val="16"/>
              </w:rPr>
              <w:t>731.207</w:t>
            </w:r>
          </w:p>
        </w:tc>
        <w:tc>
          <w:tcPr>
            <w:tcW w:w="579" w:type="pct"/>
            <w:tcBorders>
              <w:top w:val="nil"/>
              <w:left w:val="nil"/>
              <w:bottom w:val="nil"/>
              <w:right w:val="nil"/>
            </w:tcBorders>
            <w:shd w:val="clear" w:color="auto" w:fill="auto"/>
            <w:noWrap/>
            <w:vAlign w:val="bottom"/>
            <w:hideMark/>
          </w:tcPr>
          <w:p w14:paraId="3950A484"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20</w:t>
            </w:r>
          </w:p>
        </w:tc>
      </w:tr>
      <w:tr w:rsidR="0027114A" w:rsidRPr="002E2B5B" w14:paraId="6B69B262" w14:textId="77777777" w:rsidTr="00C34E8D">
        <w:trPr>
          <w:trHeight w:hRule="exact" w:val="227"/>
        </w:trPr>
        <w:tc>
          <w:tcPr>
            <w:tcW w:w="1817" w:type="pct"/>
            <w:tcBorders>
              <w:top w:val="nil"/>
              <w:left w:val="nil"/>
              <w:bottom w:val="nil"/>
              <w:right w:val="nil"/>
            </w:tcBorders>
            <w:shd w:val="clear" w:color="auto" w:fill="auto"/>
            <w:noWrap/>
            <w:vAlign w:val="bottom"/>
            <w:hideMark/>
          </w:tcPr>
          <w:p w14:paraId="31CC6FE1" w14:textId="77777777" w:rsidR="0027114A" w:rsidRPr="002E2B5B" w:rsidRDefault="0027114A" w:rsidP="002E2B5B">
            <w:pPr>
              <w:rPr>
                <w:rFonts w:ascii="Calibri" w:hAnsi="Calibri" w:cs="Calibri"/>
                <w:color w:val="000000"/>
                <w:sz w:val="16"/>
                <w:szCs w:val="16"/>
              </w:rPr>
            </w:pPr>
            <w:r w:rsidRPr="002E2B5B">
              <w:rPr>
                <w:rFonts w:ascii="Calibri" w:hAnsi="Calibri" w:cs="Calibri"/>
                <w:color w:val="000000"/>
                <w:sz w:val="16"/>
                <w:szCs w:val="16"/>
              </w:rPr>
              <w:t>(-) Amortizações Acumuladas</w:t>
            </w:r>
          </w:p>
        </w:tc>
        <w:tc>
          <w:tcPr>
            <w:tcW w:w="557" w:type="pct"/>
            <w:tcBorders>
              <w:top w:val="nil"/>
              <w:left w:val="nil"/>
              <w:bottom w:val="nil"/>
              <w:right w:val="nil"/>
            </w:tcBorders>
            <w:shd w:val="clear" w:color="auto" w:fill="auto"/>
            <w:noWrap/>
            <w:vAlign w:val="bottom"/>
            <w:hideMark/>
          </w:tcPr>
          <w:p w14:paraId="0AECD106" w14:textId="3985EE4C" w:rsidR="0027114A" w:rsidRPr="002E2B5B" w:rsidRDefault="00837C39" w:rsidP="002E2B5B">
            <w:pPr>
              <w:jc w:val="right"/>
              <w:rPr>
                <w:rFonts w:ascii="Calibri" w:hAnsi="Calibri" w:cs="Calibri"/>
                <w:color w:val="000000"/>
                <w:sz w:val="16"/>
                <w:szCs w:val="16"/>
              </w:rPr>
            </w:pPr>
            <w:r w:rsidRPr="002E2B5B">
              <w:rPr>
                <w:rFonts w:ascii="Calibri" w:hAnsi="Calibri" w:cs="Calibri"/>
                <w:color w:val="000000"/>
                <w:sz w:val="16"/>
                <w:szCs w:val="16"/>
              </w:rPr>
              <w:t>(6.875.831)</w:t>
            </w:r>
          </w:p>
        </w:tc>
        <w:tc>
          <w:tcPr>
            <w:tcW w:w="500" w:type="pct"/>
            <w:tcBorders>
              <w:top w:val="nil"/>
              <w:left w:val="nil"/>
              <w:bottom w:val="nil"/>
              <w:right w:val="nil"/>
            </w:tcBorders>
            <w:shd w:val="clear" w:color="auto" w:fill="auto"/>
            <w:noWrap/>
            <w:vAlign w:val="bottom"/>
            <w:hideMark/>
          </w:tcPr>
          <w:p w14:paraId="3A1B9531" w14:textId="5F70DF13"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w:t>
            </w:r>
            <w:r w:rsidR="00D905E6">
              <w:rPr>
                <w:rFonts w:ascii="Calibri" w:hAnsi="Calibri" w:cs="Calibri"/>
                <w:color w:val="000000"/>
                <w:sz w:val="16"/>
                <w:szCs w:val="16"/>
              </w:rPr>
              <w:t>1.071.310</w:t>
            </w:r>
            <w:r w:rsidRPr="002E2B5B">
              <w:rPr>
                <w:rFonts w:ascii="Calibri" w:hAnsi="Calibri" w:cs="Calibri"/>
                <w:color w:val="000000"/>
                <w:sz w:val="16"/>
                <w:szCs w:val="16"/>
              </w:rPr>
              <w:t>)</w:t>
            </w:r>
          </w:p>
        </w:tc>
        <w:tc>
          <w:tcPr>
            <w:tcW w:w="500" w:type="pct"/>
            <w:tcBorders>
              <w:top w:val="nil"/>
              <w:left w:val="nil"/>
              <w:bottom w:val="nil"/>
              <w:right w:val="nil"/>
            </w:tcBorders>
            <w:shd w:val="clear" w:color="auto" w:fill="auto"/>
            <w:noWrap/>
            <w:vAlign w:val="bottom"/>
            <w:hideMark/>
          </w:tcPr>
          <w:p w14:paraId="4F37539D" w14:textId="5D529B9A" w:rsidR="0027114A" w:rsidRPr="002E2B5B" w:rsidRDefault="00837C39" w:rsidP="002E2B5B">
            <w:pPr>
              <w:jc w:val="right"/>
              <w:rPr>
                <w:rFonts w:ascii="Calibri" w:hAnsi="Calibri" w:cs="Calibri"/>
                <w:color w:val="000000"/>
                <w:sz w:val="16"/>
                <w:szCs w:val="16"/>
              </w:rPr>
            </w:pPr>
            <w:r>
              <w:rPr>
                <w:rFonts w:ascii="Calibri" w:hAnsi="Calibri" w:cs="Calibri"/>
                <w:color w:val="000000"/>
                <w:sz w:val="16"/>
                <w:szCs w:val="16"/>
              </w:rPr>
              <w:t>0</w:t>
            </w:r>
          </w:p>
        </w:tc>
        <w:tc>
          <w:tcPr>
            <w:tcW w:w="400" w:type="pct"/>
            <w:tcBorders>
              <w:top w:val="nil"/>
              <w:left w:val="nil"/>
              <w:bottom w:val="nil"/>
              <w:right w:val="nil"/>
            </w:tcBorders>
            <w:shd w:val="clear" w:color="auto" w:fill="auto"/>
            <w:noWrap/>
            <w:vAlign w:val="bottom"/>
            <w:hideMark/>
          </w:tcPr>
          <w:p w14:paraId="188F8D92"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647" w:type="pct"/>
            <w:tcBorders>
              <w:top w:val="nil"/>
              <w:left w:val="nil"/>
              <w:bottom w:val="nil"/>
              <w:right w:val="nil"/>
            </w:tcBorders>
            <w:shd w:val="clear" w:color="auto" w:fill="auto"/>
            <w:noWrap/>
            <w:vAlign w:val="bottom"/>
            <w:hideMark/>
          </w:tcPr>
          <w:p w14:paraId="5636E438" w14:textId="232E0566" w:rsidR="0027114A" w:rsidRPr="002E2B5B" w:rsidRDefault="00837C39" w:rsidP="002E2B5B">
            <w:pPr>
              <w:jc w:val="right"/>
              <w:rPr>
                <w:rFonts w:ascii="Calibri" w:hAnsi="Calibri" w:cs="Calibri"/>
                <w:color w:val="000000"/>
                <w:sz w:val="16"/>
                <w:szCs w:val="16"/>
              </w:rPr>
            </w:pPr>
            <w:r>
              <w:rPr>
                <w:rFonts w:ascii="Calibri" w:hAnsi="Calibri" w:cs="Calibri"/>
                <w:color w:val="000000"/>
                <w:sz w:val="16"/>
                <w:szCs w:val="16"/>
              </w:rPr>
              <w:t>(</w:t>
            </w:r>
            <w:r w:rsidR="00D905E6">
              <w:rPr>
                <w:rFonts w:ascii="Calibri" w:hAnsi="Calibri" w:cs="Calibri"/>
                <w:color w:val="000000"/>
                <w:sz w:val="16"/>
                <w:szCs w:val="16"/>
              </w:rPr>
              <w:t>7.947.141</w:t>
            </w:r>
            <w:r w:rsidR="0027114A" w:rsidRPr="002E2B5B">
              <w:rPr>
                <w:rFonts w:ascii="Calibri" w:hAnsi="Calibri" w:cs="Calibri"/>
                <w:color w:val="000000"/>
                <w:sz w:val="16"/>
                <w:szCs w:val="16"/>
              </w:rPr>
              <w:t>)</w:t>
            </w:r>
          </w:p>
        </w:tc>
        <w:tc>
          <w:tcPr>
            <w:tcW w:w="579" w:type="pct"/>
            <w:tcBorders>
              <w:top w:val="nil"/>
              <w:left w:val="nil"/>
              <w:bottom w:val="nil"/>
              <w:right w:val="nil"/>
            </w:tcBorders>
            <w:shd w:val="clear" w:color="auto" w:fill="auto"/>
            <w:noWrap/>
            <w:vAlign w:val="bottom"/>
            <w:hideMark/>
          </w:tcPr>
          <w:p w14:paraId="12DE0B71"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w:t>
            </w:r>
          </w:p>
        </w:tc>
      </w:tr>
      <w:tr w:rsidR="0027114A" w:rsidRPr="002E2B5B" w14:paraId="016CFAFF" w14:textId="77777777" w:rsidTr="00C34E8D">
        <w:trPr>
          <w:trHeight w:hRule="exact" w:val="227"/>
        </w:trPr>
        <w:tc>
          <w:tcPr>
            <w:tcW w:w="1817" w:type="pct"/>
            <w:tcBorders>
              <w:top w:val="single" w:sz="4" w:space="0" w:color="auto"/>
              <w:left w:val="nil"/>
              <w:bottom w:val="single" w:sz="4" w:space="0" w:color="auto"/>
              <w:right w:val="nil"/>
            </w:tcBorders>
            <w:shd w:val="clear" w:color="auto" w:fill="auto"/>
            <w:noWrap/>
            <w:vAlign w:val="bottom"/>
            <w:hideMark/>
          </w:tcPr>
          <w:p w14:paraId="50ED4C9E" w14:textId="77777777" w:rsidR="0027114A" w:rsidRPr="002E2B5B" w:rsidRDefault="0027114A" w:rsidP="002E2B5B">
            <w:pPr>
              <w:rPr>
                <w:rFonts w:ascii="Calibri" w:hAnsi="Calibri" w:cs="Calibri"/>
                <w:b/>
                <w:bCs/>
                <w:color w:val="000000"/>
                <w:sz w:val="16"/>
                <w:szCs w:val="16"/>
              </w:rPr>
            </w:pPr>
            <w:r w:rsidRPr="002E2B5B">
              <w:rPr>
                <w:rFonts w:ascii="Calibri" w:hAnsi="Calibri" w:cs="Calibri"/>
                <w:b/>
                <w:bCs/>
                <w:color w:val="000000"/>
                <w:sz w:val="16"/>
                <w:szCs w:val="16"/>
              </w:rPr>
              <w:t>Total Intangíveis</w:t>
            </w:r>
          </w:p>
        </w:tc>
        <w:tc>
          <w:tcPr>
            <w:tcW w:w="557" w:type="pct"/>
            <w:tcBorders>
              <w:top w:val="single" w:sz="4" w:space="0" w:color="auto"/>
              <w:left w:val="nil"/>
              <w:bottom w:val="single" w:sz="4" w:space="0" w:color="auto"/>
              <w:right w:val="nil"/>
            </w:tcBorders>
            <w:shd w:val="clear" w:color="auto" w:fill="auto"/>
            <w:noWrap/>
            <w:vAlign w:val="bottom"/>
            <w:hideMark/>
          </w:tcPr>
          <w:p w14:paraId="3AA11C58" w14:textId="7D0DDEFE" w:rsidR="0027114A" w:rsidRPr="002E2B5B" w:rsidRDefault="00837C39" w:rsidP="002E2B5B">
            <w:pPr>
              <w:jc w:val="right"/>
              <w:rPr>
                <w:rFonts w:ascii="Calibri" w:hAnsi="Calibri" w:cs="Calibri"/>
                <w:b/>
                <w:bCs/>
                <w:color w:val="000000"/>
                <w:sz w:val="16"/>
                <w:szCs w:val="16"/>
              </w:rPr>
            </w:pPr>
            <w:r w:rsidRPr="002E2B5B">
              <w:rPr>
                <w:rFonts w:ascii="Calibri" w:hAnsi="Calibri" w:cs="Calibri"/>
                <w:b/>
                <w:bCs/>
                <w:color w:val="000000"/>
                <w:sz w:val="16"/>
                <w:szCs w:val="16"/>
              </w:rPr>
              <w:t>4.692.429</w:t>
            </w:r>
          </w:p>
        </w:tc>
        <w:tc>
          <w:tcPr>
            <w:tcW w:w="500" w:type="pct"/>
            <w:tcBorders>
              <w:top w:val="single" w:sz="4" w:space="0" w:color="auto"/>
              <w:left w:val="nil"/>
              <w:bottom w:val="single" w:sz="4" w:space="0" w:color="auto"/>
              <w:right w:val="nil"/>
            </w:tcBorders>
            <w:shd w:val="clear" w:color="auto" w:fill="auto"/>
            <w:noWrap/>
            <w:vAlign w:val="bottom"/>
            <w:hideMark/>
          </w:tcPr>
          <w:p w14:paraId="51C938BB" w14:textId="5EF710A7" w:rsidR="0027114A" w:rsidRPr="002E2B5B" w:rsidRDefault="0027114A" w:rsidP="002E2B5B">
            <w:pPr>
              <w:jc w:val="right"/>
              <w:rPr>
                <w:rFonts w:ascii="Calibri" w:hAnsi="Calibri" w:cs="Calibri"/>
                <w:b/>
                <w:bCs/>
                <w:color w:val="000000"/>
                <w:sz w:val="16"/>
                <w:szCs w:val="16"/>
              </w:rPr>
            </w:pPr>
            <w:r w:rsidRPr="002E2B5B">
              <w:rPr>
                <w:rFonts w:ascii="Calibri" w:hAnsi="Calibri" w:cs="Calibri"/>
                <w:b/>
                <w:bCs/>
                <w:color w:val="000000"/>
                <w:sz w:val="16"/>
                <w:szCs w:val="16"/>
              </w:rPr>
              <w:t>(</w:t>
            </w:r>
            <w:r w:rsidR="00D905E6">
              <w:rPr>
                <w:rFonts w:ascii="Calibri" w:hAnsi="Calibri" w:cs="Calibri"/>
                <w:b/>
                <w:bCs/>
                <w:color w:val="000000"/>
                <w:sz w:val="16"/>
                <w:szCs w:val="16"/>
              </w:rPr>
              <w:t>768.573</w:t>
            </w:r>
            <w:r w:rsidRPr="002E2B5B">
              <w:rPr>
                <w:rFonts w:ascii="Calibri" w:hAnsi="Calibri" w:cs="Calibri"/>
                <w:b/>
                <w:bCs/>
                <w:color w:val="000000"/>
                <w:sz w:val="16"/>
                <w:szCs w:val="16"/>
              </w:rPr>
              <w:t>)</w:t>
            </w:r>
          </w:p>
        </w:tc>
        <w:tc>
          <w:tcPr>
            <w:tcW w:w="500" w:type="pct"/>
            <w:tcBorders>
              <w:top w:val="single" w:sz="4" w:space="0" w:color="auto"/>
              <w:left w:val="nil"/>
              <w:bottom w:val="single" w:sz="4" w:space="0" w:color="auto"/>
              <w:right w:val="nil"/>
            </w:tcBorders>
            <w:shd w:val="clear" w:color="auto" w:fill="auto"/>
            <w:noWrap/>
            <w:vAlign w:val="bottom"/>
            <w:hideMark/>
          </w:tcPr>
          <w:p w14:paraId="2F9232D4" w14:textId="39417BE8" w:rsidR="0027114A" w:rsidRPr="002E2B5B" w:rsidRDefault="00837C39" w:rsidP="002E2B5B">
            <w:pPr>
              <w:jc w:val="right"/>
              <w:rPr>
                <w:rFonts w:ascii="Calibri" w:hAnsi="Calibri" w:cs="Calibri"/>
                <w:b/>
                <w:bCs/>
                <w:color w:val="000000"/>
                <w:sz w:val="16"/>
                <w:szCs w:val="16"/>
              </w:rPr>
            </w:pPr>
            <w:r>
              <w:rPr>
                <w:rFonts w:ascii="Calibri" w:hAnsi="Calibri" w:cs="Calibri"/>
                <w:b/>
                <w:bCs/>
                <w:color w:val="000000"/>
                <w:sz w:val="16"/>
                <w:szCs w:val="16"/>
              </w:rPr>
              <w:t>0</w:t>
            </w:r>
          </w:p>
        </w:tc>
        <w:tc>
          <w:tcPr>
            <w:tcW w:w="400" w:type="pct"/>
            <w:tcBorders>
              <w:top w:val="single" w:sz="4" w:space="0" w:color="auto"/>
              <w:left w:val="nil"/>
              <w:bottom w:val="single" w:sz="4" w:space="0" w:color="auto"/>
              <w:right w:val="nil"/>
            </w:tcBorders>
            <w:shd w:val="clear" w:color="auto" w:fill="auto"/>
            <w:noWrap/>
            <w:vAlign w:val="bottom"/>
            <w:hideMark/>
          </w:tcPr>
          <w:p w14:paraId="16B4C124" w14:textId="77777777" w:rsidR="0027114A" w:rsidRPr="002E2B5B" w:rsidRDefault="0027114A"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647" w:type="pct"/>
            <w:tcBorders>
              <w:top w:val="single" w:sz="4" w:space="0" w:color="auto"/>
              <w:left w:val="nil"/>
              <w:bottom w:val="single" w:sz="4" w:space="0" w:color="auto"/>
              <w:right w:val="nil"/>
            </w:tcBorders>
            <w:shd w:val="clear" w:color="auto" w:fill="auto"/>
            <w:noWrap/>
            <w:vAlign w:val="bottom"/>
            <w:hideMark/>
          </w:tcPr>
          <w:p w14:paraId="2F62388D" w14:textId="7AF88A8B" w:rsidR="0027114A" w:rsidRPr="002E2B5B" w:rsidRDefault="00D905E6" w:rsidP="002E2B5B">
            <w:pPr>
              <w:jc w:val="right"/>
              <w:rPr>
                <w:rFonts w:ascii="Calibri" w:hAnsi="Calibri" w:cs="Calibri"/>
                <w:b/>
                <w:bCs/>
                <w:color w:val="000000"/>
                <w:sz w:val="16"/>
                <w:szCs w:val="16"/>
              </w:rPr>
            </w:pPr>
            <w:r>
              <w:rPr>
                <w:rFonts w:ascii="Calibri" w:hAnsi="Calibri" w:cs="Calibri"/>
                <w:b/>
                <w:bCs/>
                <w:color w:val="000000"/>
                <w:sz w:val="16"/>
                <w:szCs w:val="16"/>
              </w:rPr>
              <w:t>3.923.856</w:t>
            </w:r>
          </w:p>
        </w:tc>
        <w:tc>
          <w:tcPr>
            <w:tcW w:w="579" w:type="pct"/>
            <w:tcBorders>
              <w:top w:val="single" w:sz="4" w:space="0" w:color="auto"/>
              <w:left w:val="nil"/>
              <w:bottom w:val="single" w:sz="4" w:space="0" w:color="auto"/>
              <w:right w:val="nil"/>
            </w:tcBorders>
            <w:shd w:val="clear" w:color="auto" w:fill="auto"/>
            <w:noWrap/>
            <w:vAlign w:val="bottom"/>
            <w:hideMark/>
          </w:tcPr>
          <w:p w14:paraId="66205515" w14:textId="77777777" w:rsidR="0027114A" w:rsidRPr="002E2B5B" w:rsidRDefault="0027114A" w:rsidP="002E2B5B">
            <w:pPr>
              <w:rPr>
                <w:rFonts w:ascii="Calibri" w:hAnsi="Calibri" w:cs="Calibri"/>
                <w:b/>
                <w:bCs/>
                <w:color w:val="000000"/>
                <w:sz w:val="16"/>
                <w:szCs w:val="16"/>
              </w:rPr>
            </w:pPr>
            <w:r w:rsidRPr="002E2B5B">
              <w:rPr>
                <w:rFonts w:ascii="Calibri" w:hAnsi="Calibri" w:cs="Calibri"/>
                <w:b/>
                <w:bCs/>
                <w:color w:val="000000"/>
                <w:sz w:val="16"/>
                <w:szCs w:val="16"/>
              </w:rPr>
              <w:t> </w:t>
            </w:r>
          </w:p>
        </w:tc>
      </w:tr>
    </w:tbl>
    <w:p w14:paraId="5B8EFBF3" w14:textId="77777777" w:rsidR="00C34E8D" w:rsidRDefault="00C34E8D" w:rsidP="002E2B5B">
      <w:pPr>
        <w:pStyle w:val="Textoembloco"/>
        <w:spacing w:after="120" w:line="240" w:lineRule="auto"/>
        <w:ind w:left="0" w:right="57"/>
        <w:rPr>
          <w:rFonts w:ascii="Calibri" w:hAnsi="Calibri" w:cs="Calibri"/>
          <w:sz w:val="22"/>
          <w:szCs w:val="22"/>
          <w:shd w:val="clear" w:color="auto" w:fill="FFFFFF"/>
        </w:rPr>
      </w:pPr>
    </w:p>
    <w:p w14:paraId="4471A85D" w14:textId="5902CD68" w:rsidR="00B87A63" w:rsidRPr="002E2B5B" w:rsidRDefault="00A35976"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w:t>
      </w:r>
      <w:r w:rsidR="00F62B8F" w:rsidRPr="002E2B5B">
        <w:rPr>
          <w:rFonts w:ascii="Calibri" w:hAnsi="Calibri" w:cs="Calibri"/>
          <w:sz w:val="22"/>
          <w:szCs w:val="22"/>
          <w:shd w:val="clear" w:color="auto" w:fill="FFFFFF"/>
        </w:rPr>
        <w:t>s</w:t>
      </w:r>
      <w:r w:rsidRPr="002E2B5B">
        <w:rPr>
          <w:rFonts w:ascii="Calibri" w:hAnsi="Calibri" w:cs="Calibri"/>
          <w:sz w:val="22"/>
          <w:szCs w:val="22"/>
          <w:shd w:val="clear" w:color="auto" w:fill="FFFFFF"/>
        </w:rPr>
        <w:t xml:space="preserve"> Direitos de uso de Comunicação</w:t>
      </w:r>
      <w:r w:rsidR="00F62B8F" w:rsidRPr="002E2B5B">
        <w:rPr>
          <w:rFonts w:ascii="Calibri" w:hAnsi="Calibri" w:cs="Calibri"/>
          <w:sz w:val="22"/>
          <w:szCs w:val="22"/>
          <w:shd w:val="clear" w:color="auto" w:fill="FFFFFF"/>
        </w:rPr>
        <w:t xml:space="preserve"> são direitos junto às empresas de telefonia que estão sendo reclamados pela VALEC.</w:t>
      </w:r>
    </w:p>
    <w:p w14:paraId="6B5C9FE8" w14:textId="2651E70F" w:rsidR="00B87A63" w:rsidRPr="002E2B5B" w:rsidRDefault="0045528D"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Os</w:t>
      </w:r>
      <w:r w:rsidR="00F62B8F" w:rsidRPr="002E2B5B">
        <w:rPr>
          <w:rFonts w:ascii="Calibri" w:hAnsi="Calibri" w:cs="Calibri"/>
          <w:sz w:val="22"/>
          <w:szCs w:val="22"/>
          <w:shd w:val="clear" w:color="auto" w:fill="FFFFFF"/>
        </w:rPr>
        <w:t xml:space="preserve"> “Softwares” são amortizados ao longo de sua vida útil estimada em 05 anos. </w:t>
      </w:r>
    </w:p>
    <w:p w14:paraId="52875E74" w14:textId="48F22DE8" w:rsidR="00A00571" w:rsidRDefault="00F62B8F" w:rsidP="00837C39">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An</w:t>
      </w:r>
      <w:r w:rsidR="00645FAA"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 xml:space="preserve">almente, é realizado o inventário dos intangíveis da VALEC e testado sua </w:t>
      </w:r>
      <w:proofErr w:type="spellStart"/>
      <w:r w:rsidRPr="002E2B5B">
        <w:rPr>
          <w:rFonts w:ascii="Calibri" w:hAnsi="Calibri" w:cs="Calibri"/>
          <w:sz w:val="22"/>
          <w:szCs w:val="22"/>
          <w:shd w:val="clear" w:color="auto" w:fill="FFFFFF"/>
        </w:rPr>
        <w:t>servibilidade</w:t>
      </w:r>
      <w:proofErr w:type="spellEnd"/>
      <w:r w:rsidRPr="002E2B5B">
        <w:rPr>
          <w:rFonts w:ascii="Calibri" w:hAnsi="Calibri" w:cs="Calibri"/>
          <w:sz w:val="22"/>
          <w:szCs w:val="22"/>
          <w:shd w:val="clear" w:color="auto" w:fill="FFFFFF"/>
        </w:rPr>
        <w:t xml:space="preserve">. Os intangíveis que se apresentarem como inservíveis são doados ou baixados do sistema patrimonial bem como da contabilidade. </w:t>
      </w:r>
    </w:p>
    <w:p w14:paraId="0DD7FF37" w14:textId="51337ECE" w:rsidR="00837C39" w:rsidRDefault="00837C39" w:rsidP="00837C39">
      <w:pPr>
        <w:pStyle w:val="Textoembloco"/>
        <w:spacing w:after="120" w:line="240" w:lineRule="auto"/>
        <w:ind w:left="0" w:right="57"/>
        <w:rPr>
          <w:rFonts w:ascii="Calibri" w:hAnsi="Calibri" w:cs="Calibri"/>
          <w:sz w:val="22"/>
          <w:szCs w:val="22"/>
          <w:shd w:val="clear" w:color="auto" w:fill="FFFFFF"/>
        </w:rPr>
      </w:pPr>
      <w:r>
        <w:rPr>
          <w:rFonts w:ascii="Calibri" w:hAnsi="Calibri" w:cs="Calibri"/>
          <w:sz w:val="22"/>
          <w:szCs w:val="22"/>
          <w:shd w:val="clear" w:color="auto" w:fill="FFFFFF"/>
        </w:rPr>
        <w:t>No 1º trimestre de 2021, foi realizada a aquisição de Softwares no valor de R$ 302</w:t>
      </w:r>
      <w:r w:rsidR="00DD4B99">
        <w:rPr>
          <w:rFonts w:ascii="Calibri" w:hAnsi="Calibri" w:cs="Calibri"/>
          <w:sz w:val="22"/>
          <w:szCs w:val="22"/>
          <w:shd w:val="clear" w:color="auto" w:fill="FFFFFF"/>
        </w:rPr>
        <w:t xml:space="preserve"> mil</w:t>
      </w:r>
      <w:r>
        <w:rPr>
          <w:rFonts w:ascii="Calibri" w:hAnsi="Calibri" w:cs="Calibri"/>
          <w:sz w:val="22"/>
          <w:szCs w:val="22"/>
          <w:shd w:val="clear" w:color="auto" w:fill="FFFFFF"/>
        </w:rPr>
        <w:t xml:space="preserve"> devido ao incremento de valor em Licenças adquiridas em 2020, relativas ao contrato nº 003/2020.</w:t>
      </w:r>
    </w:p>
    <w:p w14:paraId="1543CD18" w14:textId="77777777" w:rsidR="00B63CA3" w:rsidRPr="002E2B5B" w:rsidRDefault="00B63CA3" w:rsidP="00837C39">
      <w:pPr>
        <w:pStyle w:val="Textoembloco"/>
        <w:spacing w:after="120" w:line="240" w:lineRule="auto"/>
        <w:ind w:left="0" w:right="57"/>
        <w:rPr>
          <w:rFonts w:ascii="Calibri" w:hAnsi="Calibri" w:cs="Calibri"/>
          <w:sz w:val="22"/>
          <w:szCs w:val="22"/>
          <w:shd w:val="clear" w:color="auto" w:fill="FFFFFF"/>
        </w:rPr>
      </w:pPr>
    </w:p>
    <w:p w14:paraId="3834F103" w14:textId="401435C7" w:rsidR="009E7936" w:rsidRDefault="00D22F5E" w:rsidP="002E2B5B">
      <w:pPr>
        <w:pStyle w:val="Ttulo4"/>
        <w:tabs>
          <w:tab w:val="left" w:pos="0"/>
        </w:tabs>
        <w:spacing w:line="240" w:lineRule="auto"/>
        <w:rPr>
          <w:rFonts w:ascii="Calibri" w:hAnsi="Calibri" w:cs="Calibri"/>
          <w:bCs w:val="0"/>
          <w:sz w:val="22"/>
          <w:szCs w:val="22"/>
        </w:rPr>
      </w:pPr>
      <w:r w:rsidRPr="002E2B5B">
        <w:rPr>
          <w:rFonts w:ascii="Calibri" w:hAnsi="Calibri" w:cs="Calibri"/>
          <w:bCs w:val="0"/>
          <w:sz w:val="22"/>
          <w:szCs w:val="22"/>
        </w:rPr>
        <w:t>NOTA 1</w:t>
      </w:r>
      <w:r w:rsidR="00DD4B99">
        <w:rPr>
          <w:rFonts w:ascii="Calibri" w:hAnsi="Calibri" w:cs="Calibri"/>
          <w:bCs w:val="0"/>
          <w:sz w:val="22"/>
          <w:szCs w:val="22"/>
        </w:rPr>
        <w:t>0</w:t>
      </w:r>
      <w:r w:rsidR="00462791" w:rsidRPr="002E2B5B">
        <w:rPr>
          <w:rFonts w:ascii="Calibri" w:hAnsi="Calibri" w:cs="Calibri"/>
          <w:bCs w:val="0"/>
          <w:sz w:val="22"/>
          <w:szCs w:val="22"/>
        </w:rPr>
        <w:t xml:space="preserve"> - </w:t>
      </w:r>
      <w:r w:rsidR="0052342E" w:rsidRPr="002E2B5B">
        <w:rPr>
          <w:rFonts w:ascii="Calibri" w:hAnsi="Calibri" w:cs="Calibri"/>
          <w:bCs w:val="0"/>
          <w:sz w:val="22"/>
          <w:szCs w:val="22"/>
        </w:rPr>
        <w:t xml:space="preserve">COMPROMISSOS A </w:t>
      </w:r>
      <w:r w:rsidR="00C82443" w:rsidRPr="002E2B5B">
        <w:rPr>
          <w:rFonts w:ascii="Calibri" w:hAnsi="Calibri" w:cs="Calibri"/>
          <w:bCs w:val="0"/>
          <w:sz w:val="22"/>
          <w:szCs w:val="22"/>
        </w:rPr>
        <w:t>CURTO</w:t>
      </w:r>
      <w:r w:rsidR="0052342E" w:rsidRPr="002E2B5B">
        <w:rPr>
          <w:rFonts w:ascii="Calibri" w:hAnsi="Calibri" w:cs="Calibri"/>
          <w:bCs w:val="0"/>
          <w:sz w:val="22"/>
          <w:szCs w:val="22"/>
        </w:rPr>
        <w:t xml:space="preserve"> PRAZO </w:t>
      </w:r>
    </w:p>
    <w:p w14:paraId="12523902" w14:textId="77777777" w:rsidR="00B63CA3" w:rsidRPr="00B63CA3" w:rsidRDefault="00B63CA3" w:rsidP="00B63CA3"/>
    <w:p w14:paraId="620EC732" w14:textId="2044A9D0" w:rsidR="00CE2B17" w:rsidRDefault="003F2E5C" w:rsidP="002E2B5B">
      <w:pPr>
        <w:numPr>
          <w:ilvl w:val="0"/>
          <w:numId w:val="2"/>
        </w:numPr>
        <w:ind w:left="284" w:hanging="284"/>
        <w:rPr>
          <w:rFonts w:ascii="Calibri" w:hAnsi="Calibri" w:cs="Calibri"/>
          <w:b/>
          <w:sz w:val="22"/>
          <w:szCs w:val="22"/>
        </w:rPr>
      </w:pPr>
      <w:r w:rsidRPr="002E2B5B">
        <w:rPr>
          <w:rFonts w:ascii="Calibri" w:hAnsi="Calibri" w:cs="Calibri"/>
          <w:b/>
          <w:sz w:val="22"/>
          <w:szCs w:val="22"/>
        </w:rPr>
        <w:t>Fornecedores</w:t>
      </w:r>
    </w:p>
    <w:p w14:paraId="05334936" w14:textId="77777777" w:rsidR="003B60A7" w:rsidRPr="002E2B5B" w:rsidRDefault="003B60A7" w:rsidP="003B60A7">
      <w:pPr>
        <w:ind w:left="284"/>
        <w:rPr>
          <w:rFonts w:ascii="Calibri" w:hAnsi="Calibri" w:cs="Calibri"/>
          <w:b/>
          <w:sz w:val="22"/>
          <w:szCs w:val="22"/>
        </w:rPr>
      </w:pPr>
    </w:p>
    <w:tbl>
      <w:tblPr>
        <w:tblW w:w="5000" w:type="pct"/>
        <w:tblCellMar>
          <w:left w:w="70" w:type="dxa"/>
          <w:right w:w="70" w:type="dxa"/>
        </w:tblCellMar>
        <w:tblLook w:val="04A0" w:firstRow="1" w:lastRow="0" w:firstColumn="1" w:lastColumn="0" w:noHBand="0" w:noVBand="1"/>
      </w:tblPr>
      <w:tblGrid>
        <w:gridCol w:w="4251"/>
        <w:gridCol w:w="611"/>
        <w:gridCol w:w="611"/>
        <w:gridCol w:w="1666"/>
        <w:gridCol w:w="1666"/>
        <w:gridCol w:w="1662"/>
      </w:tblGrid>
      <w:tr w:rsidR="009D23D9" w:rsidRPr="002E2B5B" w14:paraId="02065A15" w14:textId="77777777" w:rsidTr="00C34E8D">
        <w:trPr>
          <w:trHeight w:hRule="exact" w:val="227"/>
        </w:trPr>
        <w:tc>
          <w:tcPr>
            <w:tcW w:w="2613" w:type="pct"/>
            <w:gridSpan w:val="3"/>
            <w:tcBorders>
              <w:top w:val="nil"/>
              <w:left w:val="nil"/>
              <w:bottom w:val="single" w:sz="8" w:space="0" w:color="auto"/>
              <w:right w:val="nil"/>
            </w:tcBorders>
            <w:shd w:val="clear" w:color="auto" w:fill="auto"/>
            <w:noWrap/>
            <w:vAlign w:val="center"/>
            <w:hideMark/>
          </w:tcPr>
          <w:p w14:paraId="5830F613" w14:textId="77777777" w:rsidR="009D23D9" w:rsidRPr="002E2B5B" w:rsidRDefault="009D23D9" w:rsidP="002E2B5B">
            <w:pPr>
              <w:rPr>
                <w:rFonts w:ascii="Calibri" w:hAnsi="Calibri" w:cs="Calibri"/>
                <w:b/>
                <w:bCs/>
                <w:color w:val="000000"/>
                <w:sz w:val="16"/>
                <w:szCs w:val="16"/>
              </w:rPr>
            </w:pPr>
            <w:r w:rsidRPr="002E2B5B">
              <w:rPr>
                <w:rFonts w:ascii="Calibri" w:hAnsi="Calibri" w:cs="Calibri"/>
                <w:b/>
                <w:bCs/>
                <w:color w:val="000000"/>
                <w:sz w:val="16"/>
                <w:szCs w:val="16"/>
              </w:rPr>
              <w:t xml:space="preserve">FORNECEDORES </w:t>
            </w:r>
          </w:p>
        </w:tc>
        <w:tc>
          <w:tcPr>
            <w:tcW w:w="796" w:type="pct"/>
            <w:tcBorders>
              <w:top w:val="nil"/>
              <w:left w:val="nil"/>
              <w:bottom w:val="single" w:sz="8" w:space="0" w:color="auto"/>
              <w:right w:val="nil"/>
            </w:tcBorders>
            <w:shd w:val="clear" w:color="auto" w:fill="auto"/>
            <w:noWrap/>
            <w:vAlign w:val="center"/>
          </w:tcPr>
          <w:p w14:paraId="695D1AA1" w14:textId="77777777" w:rsidR="009D23D9" w:rsidRPr="002E2B5B" w:rsidRDefault="009D23D9" w:rsidP="002E2B5B">
            <w:pPr>
              <w:jc w:val="right"/>
              <w:rPr>
                <w:rFonts w:ascii="Calibri" w:hAnsi="Calibri" w:cs="Calibri"/>
                <w:b/>
                <w:bCs/>
                <w:color w:val="000000"/>
                <w:sz w:val="16"/>
                <w:szCs w:val="16"/>
              </w:rPr>
            </w:pPr>
          </w:p>
        </w:tc>
        <w:tc>
          <w:tcPr>
            <w:tcW w:w="796" w:type="pct"/>
            <w:tcBorders>
              <w:top w:val="nil"/>
              <w:left w:val="nil"/>
              <w:bottom w:val="single" w:sz="8" w:space="0" w:color="auto"/>
              <w:right w:val="nil"/>
            </w:tcBorders>
            <w:shd w:val="clear" w:color="auto" w:fill="auto"/>
            <w:noWrap/>
            <w:vAlign w:val="center"/>
            <w:hideMark/>
          </w:tcPr>
          <w:p w14:paraId="33D389A0" w14:textId="2B513336" w:rsidR="009D23D9" w:rsidRPr="002E2B5B" w:rsidRDefault="003B60A7" w:rsidP="002E2B5B">
            <w:pPr>
              <w:jc w:val="right"/>
              <w:rPr>
                <w:rFonts w:ascii="Calibri" w:hAnsi="Calibri" w:cs="Calibri"/>
                <w:b/>
                <w:bCs/>
                <w:color w:val="000000"/>
                <w:sz w:val="16"/>
                <w:szCs w:val="16"/>
              </w:rPr>
            </w:pPr>
            <w:r>
              <w:rPr>
                <w:rFonts w:ascii="Calibri" w:hAnsi="Calibri" w:cs="Calibri"/>
                <w:b/>
                <w:bCs/>
                <w:color w:val="000000"/>
                <w:sz w:val="16"/>
                <w:szCs w:val="16"/>
              </w:rPr>
              <w:t>30/06/2021</w:t>
            </w:r>
          </w:p>
        </w:tc>
        <w:tc>
          <w:tcPr>
            <w:tcW w:w="795" w:type="pct"/>
            <w:tcBorders>
              <w:top w:val="nil"/>
              <w:left w:val="nil"/>
              <w:bottom w:val="single" w:sz="8" w:space="0" w:color="auto"/>
              <w:right w:val="nil"/>
            </w:tcBorders>
            <w:shd w:val="clear" w:color="auto" w:fill="auto"/>
            <w:noWrap/>
            <w:vAlign w:val="center"/>
            <w:hideMark/>
          </w:tcPr>
          <w:p w14:paraId="5553919F" w14:textId="00531613" w:rsidR="009D23D9" w:rsidRPr="002E2B5B" w:rsidRDefault="009D23D9"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B63CA3">
              <w:rPr>
                <w:rFonts w:ascii="Calibri" w:hAnsi="Calibri" w:cs="Calibri"/>
                <w:b/>
                <w:bCs/>
                <w:color w:val="000000"/>
                <w:sz w:val="16"/>
                <w:szCs w:val="16"/>
              </w:rPr>
              <w:t>20</w:t>
            </w:r>
          </w:p>
        </w:tc>
      </w:tr>
      <w:tr w:rsidR="009D23D9" w:rsidRPr="002E2B5B" w14:paraId="5A1815AA" w14:textId="77777777" w:rsidTr="00C34E8D">
        <w:trPr>
          <w:trHeight w:hRule="exact" w:val="227"/>
        </w:trPr>
        <w:tc>
          <w:tcPr>
            <w:tcW w:w="2613" w:type="pct"/>
            <w:gridSpan w:val="3"/>
            <w:tcBorders>
              <w:top w:val="single" w:sz="8" w:space="0" w:color="auto"/>
              <w:left w:val="nil"/>
              <w:bottom w:val="nil"/>
              <w:right w:val="nil"/>
            </w:tcBorders>
            <w:shd w:val="clear" w:color="auto" w:fill="auto"/>
            <w:noWrap/>
            <w:vAlign w:val="center"/>
            <w:hideMark/>
          </w:tcPr>
          <w:p w14:paraId="48BA7886"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xml:space="preserve"> Saldo anterior</w:t>
            </w:r>
          </w:p>
        </w:tc>
        <w:tc>
          <w:tcPr>
            <w:tcW w:w="796" w:type="pct"/>
            <w:tcBorders>
              <w:top w:val="nil"/>
              <w:left w:val="nil"/>
              <w:bottom w:val="nil"/>
              <w:right w:val="nil"/>
            </w:tcBorders>
            <w:shd w:val="clear" w:color="auto" w:fill="auto"/>
            <w:noWrap/>
            <w:vAlign w:val="center"/>
          </w:tcPr>
          <w:p w14:paraId="34AE7C8E" w14:textId="77777777" w:rsidR="009D23D9" w:rsidRPr="002E2B5B" w:rsidRDefault="009D23D9" w:rsidP="002E2B5B">
            <w:pPr>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24ED3632" w14:textId="4D955A1F" w:rsidR="009D23D9" w:rsidRPr="002E2B5B" w:rsidRDefault="007A5B82" w:rsidP="002E2B5B">
            <w:pPr>
              <w:jc w:val="right"/>
              <w:rPr>
                <w:rFonts w:ascii="Calibri" w:hAnsi="Calibri" w:cs="Calibri"/>
                <w:color w:val="000000"/>
                <w:sz w:val="16"/>
                <w:szCs w:val="16"/>
              </w:rPr>
            </w:pPr>
            <w:r>
              <w:rPr>
                <w:rFonts w:ascii="Calibri" w:hAnsi="Calibri" w:cs="Calibri"/>
                <w:color w:val="000000"/>
                <w:sz w:val="16"/>
                <w:szCs w:val="16"/>
              </w:rPr>
              <w:t>0</w:t>
            </w:r>
          </w:p>
        </w:tc>
        <w:tc>
          <w:tcPr>
            <w:tcW w:w="795" w:type="pct"/>
            <w:tcBorders>
              <w:top w:val="nil"/>
              <w:left w:val="nil"/>
              <w:bottom w:val="nil"/>
              <w:right w:val="nil"/>
            </w:tcBorders>
            <w:shd w:val="clear" w:color="auto" w:fill="auto"/>
            <w:noWrap/>
            <w:vAlign w:val="center"/>
            <w:hideMark/>
          </w:tcPr>
          <w:p w14:paraId="3B44D124" w14:textId="6C5521DD" w:rsidR="009D23D9" w:rsidRPr="002E2B5B" w:rsidRDefault="00B63CA3" w:rsidP="002E2B5B">
            <w:pPr>
              <w:jc w:val="right"/>
              <w:rPr>
                <w:rFonts w:ascii="Calibri" w:hAnsi="Calibri" w:cs="Calibri"/>
                <w:color w:val="000000"/>
                <w:sz w:val="16"/>
                <w:szCs w:val="16"/>
              </w:rPr>
            </w:pPr>
            <w:r w:rsidRPr="002E2B5B">
              <w:rPr>
                <w:rFonts w:ascii="Calibri" w:hAnsi="Calibri" w:cs="Calibri"/>
                <w:color w:val="000000"/>
                <w:sz w:val="16"/>
                <w:szCs w:val="16"/>
              </w:rPr>
              <w:t>27.299</w:t>
            </w:r>
          </w:p>
        </w:tc>
      </w:tr>
      <w:tr w:rsidR="009D23D9" w:rsidRPr="002E2B5B" w14:paraId="0C13925B" w14:textId="77777777" w:rsidTr="00C34E8D">
        <w:trPr>
          <w:trHeight w:hRule="exact" w:val="227"/>
        </w:trPr>
        <w:tc>
          <w:tcPr>
            <w:tcW w:w="2613" w:type="pct"/>
            <w:gridSpan w:val="3"/>
            <w:tcBorders>
              <w:top w:val="nil"/>
              <w:left w:val="nil"/>
              <w:bottom w:val="nil"/>
              <w:right w:val="nil"/>
            </w:tcBorders>
            <w:shd w:val="clear" w:color="auto" w:fill="auto"/>
            <w:noWrap/>
            <w:vAlign w:val="center"/>
            <w:hideMark/>
          </w:tcPr>
          <w:p w14:paraId="6903EE73"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xml:space="preserve"> Reconhecimento de obrigações</w:t>
            </w:r>
          </w:p>
        </w:tc>
        <w:tc>
          <w:tcPr>
            <w:tcW w:w="796" w:type="pct"/>
            <w:tcBorders>
              <w:top w:val="nil"/>
              <w:left w:val="nil"/>
              <w:bottom w:val="nil"/>
              <w:right w:val="nil"/>
            </w:tcBorders>
            <w:shd w:val="clear" w:color="auto" w:fill="auto"/>
            <w:noWrap/>
            <w:vAlign w:val="center"/>
          </w:tcPr>
          <w:p w14:paraId="56DFADDC" w14:textId="77777777" w:rsidR="009D23D9" w:rsidRPr="002E2B5B" w:rsidRDefault="009D23D9" w:rsidP="002E2B5B">
            <w:pPr>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5E1DA2F8" w14:textId="1C0A9625" w:rsidR="009D23D9" w:rsidRPr="002E2B5B" w:rsidRDefault="00DC5D59" w:rsidP="002E2B5B">
            <w:pPr>
              <w:jc w:val="right"/>
              <w:rPr>
                <w:rFonts w:ascii="Calibri" w:hAnsi="Calibri" w:cs="Calibri"/>
                <w:color w:val="000000"/>
                <w:sz w:val="16"/>
                <w:szCs w:val="16"/>
              </w:rPr>
            </w:pPr>
            <w:r>
              <w:rPr>
                <w:rFonts w:ascii="Calibri" w:hAnsi="Calibri" w:cs="Calibri"/>
                <w:color w:val="000000"/>
                <w:sz w:val="16"/>
                <w:szCs w:val="16"/>
              </w:rPr>
              <w:t>168.830.8</w:t>
            </w:r>
            <w:r w:rsidR="003B60A7">
              <w:rPr>
                <w:rFonts w:ascii="Calibri" w:hAnsi="Calibri" w:cs="Calibri"/>
                <w:color w:val="000000"/>
                <w:sz w:val="16"/>
                <w:szCs w:val="16"/>
              </w:rPr>
              <w:t>70</w:t>
            </w:r>
          </w:p>
        </w:tc>
        <w:tc>
          <w:tcPr>
            <w:tcW w:w="795" w:type="pct"/>
            <w:tcBorders>
              <w:top w:val="nil"/>
              <w:left w:val="nil"/>
              <w:bottom w:val="nil"/>
              <w:right w:val="nil"/>
            </w:tcBorders>
            <w:shd w:val="clear" w:color="auto" w:fill="auto"/>
            <w:noWrap/>
            <w:vAlign w:val="center"/>
            <w:hideMark/>
          </w:tcPr>
          <w:p w14:paraId="3201D9F6" w14:textId="0333A61F" w:rsidR="009D23D9" w:rsidRPr="002E2B5B" w:rsidRDefault="00B63CA3" w:rsidP="002E2B5B">
            <w:pPr>
              <w:jc w:val="right"/>
              <w:rPr>
                <w:rFonts w:ascii="Calibri" w:hAnsi="Calibri" w:cs="Calibri"/>
                <w:color w:val="000000"/>
                <w:sz w:val="16"/>
                <w:szCs w:val="16"/>
              </w:rPr>
            </w:pPr>
            <w:r w:rsidRPr="002E2B5B">
              <w:rPr>
                <w:rFonts w:ascii="Calibri" w:hAnsi="Calibri" w:cs="Calibri"/>
                <w:color w:val="000000"/>
                <w:sz w:val="16"/>
                <w:szCs w:val="16"/>
              </w:rPr>
              <w:t>362.334.999</w:t>
            </w:r>
          </w:p>
        </w:tc>
      </w:tr>
      <w:tr w:rsidR="009D23D9" w:rsidRPr="002E2B5B" w14:paraId="58331C79" w14:textId="77777777" w:rsidTr="00C34E8D">
        <w:trPr>
          <w:trHeight w:hRule="exact" w:val="227"/>
        </w:trPr>
        <w:tc>
          <w:tcPr>
            <w:tcW w:w="2613" w:type="pct"/>
            <w:gridSpan w:val="3"/>
            <w:tcBorders>
              <w:top w:val="nil"/>
              <w:left w:val="nil"/>
              <w:bottom w:val="single" w:sz="4" w:space="0" w:color="auto"/>
              <w:right w:val="nil"/>
            </w:tcBorders>
            <w:shd w:val="clear" w:color="auto" w:fill="auto"/>
            <w:noWrap/>
            <w:vAlign w:val="center"/>
            <w:hideMark/>
          </w:tcPr>
          <w:p w14:paraId="65E25452"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xml:space="preserve"> Pagamento de fornecedores</w:t>
            </w:r>
          </w:p>
        </w:tc>
        <w:tc>
          <w:tcPr>
            <w:tcW w:w="796" w:type="pct"/>
            <w:tcBorders>
              <w:top w:val="nil"/>
              <w:left w:val="nil"/>
              <w:bottom w:val="single" w:sz="4" w:space="0" w:color="auto"/>
              <w:right w:val="nil"/>
            </w:tcBorders>
            <w:shd w:val="clear" w:color="auto" w:fill="auto"/>
            <w:noWrap/>
            <w:vAlign w:val="center"/>
          </w:tcPr>
          <w:p w14:paraId="36C9AE86" w14:textId="77777777" w:rsidR="009D23D9" w:rsidRPr="002E2B5B" w:rsidRDefault="009D23D9" w:rsidP="002E2B5B">
            <w:pPr>
              <w:jc w:val="right"/>
              <w:rPr>
                <w:rFonts w:ascii="Calibri" w:hAnsi="Calibri" w:cs="Calibri"/>
                <w:color w:val="000000"/>
                <w:sz w:val="16"/>
                <w:szCs w:val="16"/>
              </w:rPr>
            </w:pPr>
          </w:p>
        </w:tc>
        <w:tc>
          <w:tcPr>
            <w:tcW w:w="796" w:type="pct"/>
            <w:tcBorders>
              <w:top w:val="nil"/>
              <w:left w:val="nil"/>
              <w:bottom w:val="single" w:sz="4" w:space="0" w:color="auto"/>
              <w:right w:val="nil"/>
            </w:tcBorders>
            <w:shd w:val="clear" w:color="auto" w:fill="auto"/>
            <w:noWrap/>
            <w:vAlign w:val="center"/>
            <w:hideMark/>
          </w:tcPr>
          <w:p w14:paraId="72391142" w14:textId="543F8446"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w:t>
            </w:r>
            <w:r w:rsidR="003B60A7">
              <w:rPr>
                <w:rFonts w:ascii="Calibri" w:hAnsi="Calibri" w:cs="Calibri"/>
                <w:color w:val="000000"/>
                <w:sz w:val="16"/>
                <w:szCs w:val="16"/>
              </w:rPr>
              <w:t>162.925.081</w:t>
            </w:r>
            <w:r w:rsidRPr="002E2B5B">
              <w:rPr>
                <w:rFonts w:ascii="Calibri" w:hAnsi="Calibri" w:cs="Calibri"/>
                <w:color w:val="000000"/>
                <w:sz w:val="16"/>
                <w:szCs w:val="16"/>
              </w:rPr>
              <w:t>)</w:t>
            </w:r>
          </w:p>
        </w:tc>
        <w:tc>
          <w:tcPr>
            <w:tcW w:w="795" w:type="pct"/>
            <w:tcBorders>
              <w:top w:val="nil"/>
              <w:left w:val="nil"/>
              <w:bottom w:val="single" w:sz="4" w:space="0" w:color="auto"/>
              <w:right w:val="nil"/>
            </w:tcBorders>
            <w:shd w:val="clear" w:color="auto" w:fill="auto"/>
            <w:noWrap/>
            <w:vAlign w:val="center"/>
            <w:hideMark/>
          </w:tcPr>
          <w:p w14:paraId="1258153A" w14:textId="782E1CCB" w:rsidR="009D23D9" w:rsidRPr="002E2B5B" w:rsidRDefault="00B63CA3" w:rsidP="002E2B5B">
            <w:pPr>
              <w:jc w:val="right"/>
              <w:rPr>
                <w:rFonts w:ascii="Calibri" w:hAnsi="Calibri" w:cs="Calibri"/>
                <w:color w:val="000000"/>
                <w:sz w:val="16"/>
                <w:szCs w:val="16"/>
              </w:rPr>
            </w:pPr>
            <w:r w:rsidRPr="002E2B5B">
              <w:rPr>
                <w:rFonts w:ascii="Calibri" w:hAnsi="Calibri" w:cs="Calibri"/>
                <w:color w:val="000000"/>
                <w:sz w:val="16"/>
                <w:szCs w:val="16"/>
              </w:rPr>
              <w:t>(362.362.298)</w:t>
            </w:r>
          </w:p>
        </w:tc>
      </w:tr>
      <w:tr w:rsidR="009D23D9" w:rsidRPr="002E2B5B" w14:paraId="2D65B965" w14:textId="77777777" w:rsidTr="00C34E8D">
        <w:trPr>
          <w:trHeight w:hRule="exact" w:val="227"/>
        </w:trPr>
        <w:tc>
          <w:tcPr>
            <w:tcW w:w="2030" w:type="pct"/>
            <w:tcBorders>
              <w:top w:val="single" w:sz="4" w:space="0" w:color="auto"/>
              <w:left w:val="nil"/>
              <w:bottom w:val="single" w:sz="8" w:space="0" w:color="auto"/>
              <w:right w:val="nil"/>
            </w:tcBorders>
            <w:shd w:val="clear" w:color="auto" w:fill="auto"/>
            <w:noWrap/>
            <w:vAlign w:val="center"/>
            <w:hideMark/>
          </w:tcPr>
          <w:p w14:paraId="2A69B5D6" w14:textId="77777777" w:rsidR="009D23D9" w:rsidRPr="002E2B5B" w:rsidRDefault="009D23D9"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292" w:type="pct"/>
            <w:tcBorders>
              <w:top w:val="single" w:sz="4" w:space="0" w:color="auto"/>
              <w:left w:val="nil"/>
              <w:bottom w:val="single" w:sz="8" w:space="0" w:color="auto"/>
              <w:right w:val="nil"/>
            </w:tcBorders>
            <w:shd w:val="clear" w:color="auto" w:fill="auto"/>
            <w:noWrap/>
            <w:vAlign w:val="center"/>
            <w:hideMark/>
          </w:tcPr>
          <w:p w14:paraId="347192A8"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w:t>
            </w:r>
          </w:p>
        </w:tc>
        <w:tc>
          <w:tcPr>
            <w:tcW w:w="292" w:type="pct"/>
            <w:tcBorders>
              <w:top w:val="single" w:sz="4" w:space="0" w:color="auto"/>
              <w:left w:val="nil"/>
              <w:bottom w:val="single" w:sz="8" w:space="0" w:color="auto"/>
              <w:right w:val="nil"/>
            </w:tcBorders>
            <w:shd w:val="clear" w:color="auto" w:fill="auto"/>
            <w:noWrap/>
            <w:vAlign w:val="center"/>
            <w:hideMark/>
          </w:tcPr>
          <w:p w14:paraId="04140E8D"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w:t>
            </w:r>
          </w:p>
        </w:tc>
        <w:tc>
          <w:tcPr>
            <w:tcW w:w="796" w:type="pct"/>
            <w:tcBorders>
              <w:top w:val="single" w:sz="4" w:space="0" w:color="auto"/>
              <w:left w:val="nil"/>
              <w:bottom w:val="single" w:sz="8" w:space="0" w:color="auto"/>
              <w:right w:val="nil"/>
            </w:tcBorders>
            <w:shd w:val="clear" w:color="auto" w:fill="auto"/>
            <w:noWrap/>
            <w:vAlign w:val="center"/>
          </w:tcPr>
          <w:p w14:paraId="107EF0B2" w14:textId="77777777" w:rsidR="009D23D9" w:rsidRPr="002E2B5B" w:rsidRDefault="009D23D9" w:rsidP="002E2B5B">
            <w:pPr>
              <w:jc w:val="right"/>
              <w:rPr>
                <w:rFonts w:ascii="Calibri" w:hAnsi="Calibri" w:cs="Calibri"/>
                <w:b/>
                <w:bCs/>
                <w:color w:val="000000"/>
                <w:sz w:val="16"/>
                <w:szCs w:val="16"/>
              </w:rPr>
            </w:pPr>
          </w:p>
        </w:tc>
        <w:tc>
          <w:tcPr>
            <w:tcW w:w="796" w:type="pct"/>
            <w:tcBorders>
              <w:top w:val="single" w:sz="4" w:space="0" w:color="auto"/>
              <w:left w:val="nil"/>
              <w:bottom w:val="single" w:sz="8" w:space="0" w:color="auto"/>
              <w:right w:val="nil"/>
            </w:tcBorders>
            <w:shd w:val="clear" w:color="auto" w:fill="auto"/>
            <w:noWrap/>
            <w:vAlign w:val="center"/>
            <w:hideMark/>
          </w:tcPr>
          <w:p w14:paraId="70E49C5A" w14:textId="7CB03206" w:rsidR="009D23D9" w:rsidRPr="002E2B5B" w:rsidRDefault="003B60A7" w:rsidP="002E2B5B">
            <w:pPr>
              <w:jc w:val="right"/>
              <w:rPr>
                <w:rFonts w:ascii="Calibri" w:hAnsi="Calibri" w:cs="Calibri"/>
                <w:b/>
                <w:bCs/>
                <w:color w:val="000000"/>
                <w:sz w:val="16"/>
                <w:szCs w:val="16"/>
              </w:rPr>
            </w:pPr>
            <w:r>
              <w:rPr>
                <w:rFonts w:ascii="Calibri" w:hAnsi="Calibri" w:cs="Calibri"/>
                <w:b/>
                <w:bCs/>
                <w:color w:val="000000"/>
                <w:sz w:val="16"/>
                <w:szCs w:val="16"/>
              </w:rPr>
              <w:t>5.905.789</w:t>
            </w:r>
          </w:p>
        </w:tc>
        <w:tc>
          <w:tcPr>
            <w:tcW w:w="795" w:type="pct"/>
            <w:tcBorders>
              <w:top w:val="single" w:sz="4" w:space="0" w:color="auto"/>
              <w:left w:val="nil"/>
              <w:bottom w:val="single" w:sz="8" w:space="0" w:color="auto"/>
              <w:right w:val="nil"/>
            </w:tcBorders>
            <w:shd w:val="clear" w:color="auto" w:fill="auto"/>
            <w:noWrap/>
            <w:vAlign w:val="center"/>
            <w:hideMark/>
          </w:tcPr>
          <w:p w14:paraId="0D4F11AC" w14:textId="43A7E4E1" w:rsidR="009D23D9" w:rsidRPr="002E2B5B" w:rsidRDefault="00B63CA3" w:rsidP="002E2B5B">
            <w:pPr>
              <w:jc w:val="right"/>
              <w:rPr>
                <w:rFonts w:ascii="Calibri" w:hAnsi="Calibri" w:cs="Calibri"/>
                <w:b/>
                <w:bCs/>
                <w:color w:val="000000"/>
                <w:sz w:val="16"/>
                <w:szCs w:val="16"/>
              </w:rPr>
            </w:pPr>
            <w:r>
              <w:rPr>
                <w:rFonts w:ascii="Calibri" w:hAnsi="Calibri" w:cs="Calibri"/>
                <w:b/>
                <w:bCs/>
                <w:color w:val="000000"/>
                <w:sz w:val="16"/>
                <w:szCs w:val="16"/>
              </w:rPr>
              <w:t>0</w:t>
            </w:r>
          </w:p>
        </w:tc>
      </w:tr>
    </w:tbl>
    <w:p w14:paraId="2150D804" w14:textId="77777777" w:rsidR="007A5B82" w:rsidRDefault="007A5B82" w:rsidP="002E2B5B">
      <w:pPr>
        <w:pStyle w:val="Textoembloco"/>
        <w:spacing w:line="240" w:lineRule="auto"/>
        <w:ind w:left="0" w:right="57"/>
        <w:rPr>
          <w:rFonts w:ascii="Calibri" w:hAnsi="Calibri" w:cs="Calibri"/>
          <w:sz w:val="22"/>
          <w:szCs w:val="22"/>
          <w:shd w:val="clear" w:color="auto" w:fill="FFFFFF"/>
        </w:rPr>
      </w:pPr>
    </w:p>
    <w:p w14:paraId="5E1C0320" w14:textId="71D8B2D0" w:rsidR="00E54177" w:rsidRPr="002E2B5B" w:rsidRDefault="00CE2B17"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 saldo da conta de “Fornecedores” compreende as obrigações com prestadores de serviços e fornecedores de materiais à VALEC.</w:t>
      </w:r>
      <w:r w:rsidR="008C1E34" w:rsidRPr="002E2B5B">
        <w:rPr>
          <w:rFonts w:ascii="Calibri" w:hAnsi="Calibri" w:cs="Calibri"/>
          <w:sz w:val="22"/>
          <w:szCs w:val="22"/>
          <w:shd w:val="clear" w:color="auto" w:fill="FFFFFF"/>
        </w:rPr>
        <w:t xml:space="preserve"> </w:t>
      </w:r>
    </w:p>
    <w:p w14:paraId="6A27FA0E" w14:textId="17648C12" w:rsidR="00B87A63" w:rsidRDefault="00B87A63" w:rsidP="002E2B5B">
      <w:pPr>
        <w:pStyle w:val="Textoembloco"/>
        <w:spacing w:line="240" w:lineRule="auto"/>
        <w:ind w:left="0" w:right="57"/>
        <w:rPr>
          <w:rFonts w:ascii="Calibri" w:hAnsi="Calibri" w:cs="Calibri"/>
          <w:sz w:val="22"/>
          <w:szCs w:val="22"/>
          <w:shd w:val="clear" w:color="auto" w:fill="FFFFFF"/>
        </w:rPr>
      </w:pPr>
    </w:p>
    <w:p w14:paraId="075E4C82" w14:textId="47A9D305" w:rsidR="00C34E8D" w:rsidRDefault="00C34E8D" w:rsidP="002E2B5B">
      <w:pPr>
        <w:pStyle w:val="Textoembloco"/>
        <w:spacing w:line="240" w:lineRule="auto"/>
        <w:ind w:left="0" w:right="57"/>
        <w:rPr>
          <w:rFonts w:ascii="Calibri" w:hAnsi="Calibri" w:cs="Calibri"/>
          <w:sz w:val="22"/>
          <w:szCs w:val="22"/>
          <w:shd w:val="clear" w:color="auto" w:fill="FFFFFF"/>
        </w:rPr>
      </w:pPr>
    </w:p>
    <w:p w14:paraId="59113EB5" w14:textId="059F8212" w:rsidR="00C34E8D" w:rsidRDefault="00C34E8D" w:rsidP="002E2B5B">
      <w:pPr>
        <w:pStyle w:val="Textoembloco"/>
        <w:spacing w:line="240" w:lineRule="auto"/>
        <w:ind w:left="0" w:right="57"/>
        <w:rPr>
          <w:rFonts w:ascii="Calibri" w:hAnsi="Calibri" w:cs="Calibri"/>
          <w:sz w:val="22"/>
          <w:szCs w:val="22"/>
          <w:shd w:val="clear" w:color="auto" w:fill="FFFFFF"/>
        </w:rPr>
      </w:pPr>
    </w:p>
    <w:p w14:paraId="534D979F" w14:textId="62BE999C" w:rsidR="00C34E8D" w:rsidRDefault="00C34E8D" w:rsidP="002E2B5B">
      <w:pPr>
        <w:pStyle w:val="Textoembloco"/>
        <w:spacing w:line="240" w:lineRule="auto"/>
        <w:ind w:left="0" w:right="57"/>
        <w:rPr>
          <w:rFonts w:ascii="Calibri" w:hAnsi="Calibri" w:cs="Calibri"/>
          <w:sz w:val="22"/>
          <w:szCs w:val="22"/>
          <w:shd w:val="clear" w:color="auto" w:fill="FFFFFF"/>
        </w:rPr>
      </w:pPr>
    </w:p>
    <w:p w14:paraId="4517D043" w14:textId="77777777" w:rsidR="00C34E8D" w:rsidRPr="002E2B5B" w:rsidRDefault="00C34E8D" w:rsidP="002E2B5B">
      <w:pPr>
        <w:pStyle w:val="Textoembloco"/>
        <w:spacing w:line="240" w:lineRule="auto"/>
        <w:ind w:left="0" w:right="57"/>
        <w:rPr>
          <w:rFonts w:ascii="Calibri" w:hAnsi="Calibri" w:cs="Calibri"/>
          <w:sz w:val="22"/>
          <w:szCs w:val="22"/>
          <w:shd w:val="clear" w:color="auto" w:fill="FFFFFF"/>
        </w:rPr>
      </w:pPr>
    </w:p>
    <w:p w14:paraId="081E95A7" w14:textId="43E4119B" w:rsidR="00B02B62" w:rsidRPr="002E2B5B" w:rsidRDefault="003F2E5C" w:rsidP="002E2B5B">
      <w:pPr>
        <w:numPr>
          <w:ilvl w:val="0"/>
          <w:numId w:val="2"/>
        </w:numPr>
        <w:ind w:left="284" w:hanging="284"/>
        <w:jc w:val="both"/>
        <w:rPr>
          <w:rFonts w:ascii="Calibri" w:hAnsi="Calibri" w:cs="Calibri"/>
          <w:b/>
          <w:sz w:val="22"/>
          <w:szCs w:val="22"/>
        </w:rPr>
      </w:pPr>
      <w:r w:rsidRPr="002E2B5B">
        <w:rPr>
          <w:rFonts w:ascii="Calibri" w:hAnsi="Calibri" w:cs="Calibri"/>
          <w:b/>
          <w:sz w:val="22"/>
          <w:szCs w:val="22"/>
        </w:rPr>
        <w:t xml:space="preserve">Provisão para Férias </w:t>
      </w:r>
      <w:r w:rsidR="00BC41DF" w:rsidRPr="002E2B5B">
        <w:rPr>
          <w:rFonts w:ascii="Calibri" w:hAnsi="Calibri" w:cs="Calibri"/>
          <w:b/>
          <w:sz w:val="22"/>
          <w:szCs w:val="22"/>
        </w:rPr>
        <w:t>e</w:t>
      </w:r>
      <w:r w:rsidRPr="002E2B5B">
        <w:rPr>
          <w:rFonts w:ascii="Calibri" w:hAnsi="Calibri" w:cs="Calibri"/>
          <w:b/>
          <w:sz w:val="22"/>
          <w:szCs w:val="22"/>
        </w:rPr>
        <w:t xml:space="preserve"> Encargos</w:t>
      </w:r>
    </w:p>
    <w:tbl>
      <w:tblPr>
        <w:tblW w:w="5000" w:type="pct"/>
        <w:tblCellMar>
          <w:left w:w="70" w:type="dxa"/>
          <w:right w:w="70" w:type="dxa"/>
        </w:tblCellMar>
        <w:tblLook w:val="04A0" w:firstRow="1" w:lastRow="0" w:firstColumn="1" w:lastColumn="0" w:noHBand="0" w:noVBand="1"/>
      </w:tblPr>
      <w:tblGrid>
        <w:gridCol w:w="3837"/>
        <w:gridCol w:w="473"/>
        <w:gridCol w:w="473"/>
        <w:gridCol w:w="1365"/>
        <w:gridCol w:w="1457"/>
        <w:gridCol w:w="1457"/>
        <w:gridCol w:w="1405"/>
      </w:tblGrid>
      <w:tr w:rsidR="00B628E5" w:rsidRPr="002E2B5B" w14:paraId="734D82D7" w14:textId="77777777" w:rsidTr="00C34E8D">
        <w:trPr>
          <w:trHeight w:hRule="exact" w:val="227"/>
        </w:trPr>
        <w:tc>
          <w:tcPr>
            <w:tcW w:w="2285" w:type="pct"/>
            <w:gridSpan w:val="3"/>
            <w:tcBorders>
              <w:top w:val="single" w:sz="8" w:space="0" w:color="auto"/>
              <w:left w:val="nil"/>
              <w:bottom w:val="single" w:sz="8" w:space="0" w:color="auto"/>
              <w:right w:val="nil"/>
            </w:tcBorders>
            <w:shd w:val="clear" w:color="auto" w:fill="auto"/>
            <w:noWrap/>
            <w:vAlign w:val="center"/>
            <w:hideMark/>
          </w:tcPr>
          <w:p w14:paraId="185FCAAA" w14:textId="77777777" w:rsidR="00B628E5" w:rsidRPr="002E2B5B" w:rsidRDefault="00B628E5" w:rsidP="002E2B5B">
            <w:pPr>
              <w:rPr>
                <w:rFonts w:ascii="Calibri" w:hAnsi="Calibri" w:cs="Calibri"/>
                <w:b/>
                <w:bCs/>
                <w:color w:val="000000"/>
                <w:sz w:val="16"/>
                <w:szCs w:val="16"/>
              </w:rPr>
            </w:pPr>
            <w:r w:rsidRPr="002E2B5B">
              <w:rPr>
                <w:rFonts w:ascii="Calibri" w:hAnsi="Calibri" w:cs="Calibri"/>
                <w:b/>
                <w:bCs/>
                <w:color w:val="000000"/>
                <w:sz w:val="16"/>
                <w:szCs w:val="16"/>
              </w:rPr>
              <w:t>PROVISÃO PARA FÉRIAS E ENCARGOS</w:t>
            </w:r>
          </w:p>
        </w:tc>
        <w:tc>
          <w:tcPr>
            <w:tcW w:w="652" w:type="pct"/>
            <w:tcBorders>
              <w:top w:val="single" w:sz="8" w:space="0" w:color="auto"/>
              <w:left w:val="nil"/>
              <w:bottom w:val="single" w:sz="8" w:space="0" w:color="auto"/>
              <w:right w:val="nil"/>
            </w:tcBorders>
            <w:shd w:val="clear" w:color="auto" w:fill="auto"/>
            <w:vAlign w:val="center"/>
            <w:hideMark/>
          </w:tcPr>
          <w:p w14:paraId="2DEE8891" w14:textId="77777777" w:rsidR="00B628E5" w:rsidRPr="002E2B5B" w:rsidRDefault="00B628E5"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6" w:type="pct"/>
            <w:tcBorders>
              <w:top w:val="single" w:sz="8" w:space="0" w:color="auto"/>
              <w:left w:val="nil"/>
              <w:bottom w:val="single" w:sz="8" w:space="0" w:color="auto"/>
              <w:right w:val="nil"/>
            </w:tcBorders>
            <w:shd w:val="clear" w:color="auto" w:fill="auto"/>
            <w:noWrap/>
            <w:vAlign w:val="center"/>
          </w:tcPr>
          <w:p w14:paraId="32F9EDFB" w14:textId="77777777" w:rsidR="00B628E5" w:rsidRPr="002E2B5B" w:rsidRDefault="00B628E5" w:rsidP="002E2B5B">
            <w:pPr>
              <w:jc w:val="right"/>
              <w:rPr>
                <w:rFonts w:ascii="Calibri" w:hAnsi="Calibri" w:cs="Calibri"/>
                <w:b/>
                <w:bCs/>
                <w:color w:val="000000"/>
                <w:sz w:val="16"/>
                <w:szCs w:val="16"/>
              </w:rPr>
            </w:pPr>
          </w:p>
        </w:tc>
        <w:tc>
          <w:tcPr>
            <w:tcW w:w="696" w:type="pct"/>
            <w:tcBorders>
              <w:top w:val="single" w:sz="8" w:space="0" w:color="auto"/>
              <w:left w:val="nil"/>
              <w:bottom w:val="single" w:sz="8" w:space="0" w:color="auto"/>
              <w:right w:val="nil"/>
            </w:tcBorders>
            <w:shd w:val="clear" w:color="auto" w:fill="auto"/>
            <w:noWrap/>
            <w:vAlign w:val="center"/>
            <w:hideMark/>
          </w:tcPr>
          <w:p w14:paraId="392B7EB7" w14:textId="34B4B14C" w:rsidR="00B628E5" w:rsidRPr="002E2B5B" w:rsidRDefault="003B60A7" w:rsidP="002E2B5B">
            <w:pPr>
              <w:jc w:val="right"/>
              <w:rPr>
                <w:rFonts w:ascii="Calibri" w:hAnsi="Calibri" w:cs="Calibri"/>
                <w:b/>
                <w:bCs/>
                <w:color w:val="000000"/>
                <w:sz w:val="16"/>
                <w:szCs w:val="16"/>
              </w:rPr>
            </w:pPr>
            <w:r>
              <w:rPr>
                <w:rFonts w:ascii="Calibri" w:hAnsi="Calibri" w:cs="Calibri"/>
                <w:b/>
                <w:bCs/>
                <w:color w:val="000000"/>
                <w:sz w:val="16"/>
                <w:szCs w:val="16"/>
              </w:rPr>
              <w:t>30/06/2021</w:t>
            </w:r>
          </w:p>
        </w:tc>
        <w:tc>
          <w:tcPr>
            <w:tcW w:w="671" w:type="pct"/>
            <w:tcBorders>
              <w:top w:val="single" w:sz="8" w:space="0" w:color="auto"/>
              <w:left w:val="nil"/>
              <w:bottom w:val="single" w:sz="8" w:space="0" w:color="auto"/>
              <w:right w:val="nil"/>
            </w:tcBorders>
            <w:shd w:val="clear" w:color="auto" w:fill="auto"/>
            <w:noWrap/>
            <w:vAlign w:val="center"/>
            <w:hideMark/>
          </w:tcPr>
          <w:p w14:paraId="54A905BA" w14:textId="1DBEB1C7" w:rsidR="00B628E5" w:rsidRPr="002E2B5B" w:rsidRDefault="00B628E5"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750C8">
              <w:rPr>
                <w:rFonts w:ascii="Calibri" w:hAnsi="Calibri" w:cs="Calibri"/>
                <w:b/>
                <w:bCs/>
                <w:color w:val="000000"/>
                <w:sz w:val="16"/>
                <w:szCs w:val="16"/>
              </w:rPr>
              <w:t>20</w:t>
            </w:r>
          </w:p>
        </w:tc>
      </w:tr>
      <w:tr w:rsidR="00B628E5" w:rsidRPr="002E2B5B" w14:paraId="618D9975" w14:textId="77777777" w:rsidTr="00C34E8D">
        <w:trPr>
          <w:trHeight w:hRule="exact" w:val="227"/>
        </w:trPr>
        <w:tc>
          <w:tcPr>
            <w:tcW w:w="1833" w:type="pct"/>
            <w:tcBorders>
              <w:top w:val="nil"/>
              <w:left w:val="nil"/>
              <w:bottom w:val="nil"/>
              <w:right w:val="nil"/>
            </w:tcBorders>
            <w:shd w:val="clear" w:color="auto" w:fill="auto"/>
            <w:noWrap/>
            <w:vAlign w:val="center"/>
            <w:hideMark/>
          </w:tcPr>
          <w:p w14:paraId="7FA15CE0"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RFFSA</w:t>
            </w:r>
          </w:p>
        </w:tc>
        <w:tc>
          <w:tcPr>
            <w:tcW w:w="226" w:type="pct"/>
            <w:tcBorders>
              <w:top w:val="nil"/>
              <w:left w:val="nil"/>
              <w:bottom w:val="nil"/>
              <w:right w:val="nil"/>
            </w:tcBorders>
            <w:shd w:val="clear" w:color="auto" w:fill="auto"/>
            <w:noWrap/>
            <w:vAlign w:val="center"/>
            <w:hideMark/>
          </w:tcPr>
          <w:p w14:paraId="6C74F76E" w14:textId="77777777" w:rsidR="00B628E5" w:rsidRPr="002E2B5B" w:rsidRDefault="00B628E5" w:rsidP="002E2B5B">
            <w:pPr>
              <w:rPr>
                <w:rFonts w:ascii="Calibri" w:hAnsi="Calibri" w:cs="Calibri"/>
                <w:color w:val="000000"/>
                <w:sz w:val="16"/>
                <w:szCs w:val="16"/>
              </w:rPr>
            </w:pPr>
          </w:p>
        </w:tc>
        <w:tc>
          <w:tcPr>
            <w:tcW w:w="226" w:type="pct"/>
            <w:tcBorders>
              <w:top w:val="nil"/>
              <w:left w:val="nil"/>
              <w:bottom w:val="nil"/>
              <w:right w:val="nil"/>
            </w:tcBorders>
            <w:shd w:val="clear" w:color="auto" w:fill="auto"/>
            <w:noWrap/>
            <w:vAlign w:val="center"/>
            <w:hideMark/>
          </w:tcPr>
          <w:p w14:paraId="5E45331E" w14:textId="77777777" w:rsidR="00B628E5" w:rsidRPr="002E2B5B" w:rsidRDefault="00B628E5" w:rsidP="002E2B5B">
            <w:pPr>
              <w:rPr>
                <w:rFonts w:ascii="Calibri" w:hAnsi="Calibri" w:cs="Calibri"/>
                <w:sz w:val="16"/>
                <w:szCs w:val="16"/>
              </w:rPr>
            </w:pPr>
          </w:p>
        </w:tc>
        <w:tc>
          <w:tcPr>
            <w:tcW w:w="652" w:type="pct"/>
            <w:tcBorders>
              <w:top w:val="nil"/>
              <w:left w:val="nil"/>
              <w:bottom w:val="nil"/>
              <w:right w:val="nil"/>
            </w:tcBorders>
            <w:shd w:val="clear" w:color="auto" w:fill="auto"/>
            <w:vAlign w:val="center"/>
            <w:hideMark/>
          </w:tcPr>
          <w:p w14:paraId="1FC6DEFE" w14:textId="77777777" w:rsidR="00B628E5" w:rsidRPr="002E2B5B" w:rsidRDefault="00B628E5" w:rsidP="002E2B5B">
            <w:pPr>
              <w:rPr>
                <w:rFonts w:ascii="Calibri" w:hAnsi="Calibri" w:cs="Calibri"/>
                <w:sz w:val="16"/>
                <w:szCs w:val="16"/>
              </w:rPr>
            </w:pPr>
          </w:p>
        </w:tc>
        <w:tc>
          <w:tcPr>
            <w:tcW w:w="696" w:type="pct"/>
            <w:tcBorders>
              <w:top w:val="nil"/>
              <w:left w:val="nil"/>
              <w:bottom w:val="nil"/>
              <w:right w:val="nil"/>
            </w:tcBorders>
            <w:shd w:val="clear" w:color="auto" w:fill="auto"/>
            <w:noWrap/>
            <w:vAlign w:val="center"/>
          </w:tcPr>
          <w:p w14:paraId="2B6568A0" w14:textId="77777777" w:rsidR="00B628E5" w:rsidRPr="002E2B5B" w:rsidRDefault="00B628E5" w:rsidP="002E2B5B">
            <w:pPr>
              <w:jc w:val="right"/>
              <w:rPr>
                <w:rFonts w:ascii="Calibri" w:hAnsi="Calibri" w:cs="Calibri"/>
                <w:color w:val="000000"/>
                <w:sz w:val="16"/>
                <w:szCs w:val="16"/>
              </w:rPr>
            </w:pPr>
          </w:p>
        </w:tc>
        <w:tc>
          <w:tcPr>
            <w:tcW w:w="696" w:type="pct"/>
            <w:tcBorders>
              <w:top w:val="nil"/>
              <w:left w:val="nil"/>
              <w:bottom w:val="nil"/>
              <w:right w:val="nil"/>
            </w:tcBorders>
            <w:shd w:val="clear" w:color="auto" w:fill="auto"/>
            <w:noWrap/>
            <w:vAlign w:val="center"/>
            <w:hideMark/>
          </w:tcPr>
          <w:p w14:paraId="6C6B9E5C" w14:textId="2A22D34E" w:rsidR="00B628E5" w:rsidRPr="002E2B5B" w:rsidRDefault="003B60A7" w:rsidP="002E2B5B">
            <w:pPr>
              <w:jc w:val="right"/>
              <w:rPr>
                <w:rFonts w:ascii="Calibri" w:hAnsi="Calibri" w:cs="Calibri"/>
                <w:color w:val="000000"/>
                <w:sz w:val="16"/>
                <w:szCs w:val="16"/>
              </w:rPr>
            </w:pPr>
            <w:r w:rsidRPr="003B60A7">
              <w:rPr>
                <w:rFonts w:ascii="Calibri" w:hAnsi="Calibri" w:cs="Calibri"/>
                <w:color w:val="000000"/>
                <w:sz w:val="16"/>
                <w:szCs w:val="16"/>
              </w:rPr>
              <w:t>2</w:t>
            </w:r>
            <w:r>
              <w:rPr>
                <w:rFonts w:ascii="Calibri" w:hAnsi="Calibri" w:cs="Calibri"/>
                <w:color w:val="000000"/>
                <w:sz w:val="16"/>
                <w:szCs w:val="16"/>
              </w:rPr>
              <w:t>.</w:t>
            </w:r>
            <w:r w:rsidRPr="003B60A7">
              <w:rPr>
                <w:rFonts w:ascii="Calibri" w:hAnsi="Calibri" w:cs="Calibri"/>
                <w:color w:val="000000"/>
                <w:sz w:val="16"/>
                <w:szCs w:val="16"/>
              </w:rPr>
              <w:t>796</w:t>
            </w:r>
            <w:r>
              <w:rPr>
                <w:rFonts w:ascii="Calibri" w:hAnsi="Calibri" w:cs="Calibri"/>
                <w:color w:val="000000"/>
                <w:sz w:val="16"/>
                <w:szCs w:val="16"/>
              </w:rPr>
              <w:t>.</w:t>
            </w:r>
            <w:r w:rsidRPr="003B60A7">
              <w:rPr>
                <w:rFonts w:ascii="Calibri" w:hAnsi="Calibri" w:cs="Calibri"/>
                <w:color w:val="000000"/>
                <w:sz w:val="16"/>
                <w:szCs w:val="16"/>
              </w:rPr>
              <w:t>852</w:t>
            </w:r>
          </w:p>
        </w:tc>
        <w:tc>
          <w:tcPr>
            <w:tcW w:w="671" w:type="pct"/>
            <w:tcBorders>
              <w:top w:val="nil"/>
              <w:left w:val="nil"/>
              <w:bottom w:val="nil"/>
              <w:right w:val="nil"/>
            </w:tcBorders>
            <w:shd w:val="clear" w:color="auto" w:fill="auto"/>
            <w:noWrap/>
            <w:vAlign w:val="bottom"/>
            <w:hideMark/>
          </w:tcPr>
          <w:p w14:paraId="77A72043" w14:textId="09BB8619" w:rsidR="00B628E5" w:rsidRPr="002E2B5B" w:rsidRDefault="009750C8" w:rsidP="002E2B5B">
            <w:pPr>
              <w:jc w:val="right"/>
              <w:rPr>
                <w:rFonts w:ascii="Calibri" w:hAnsi="Calibri" w:cs="Calibri"/>
                <w:color w:val="000000"/>
                <w:sz w:val="16"/>
                <w:szCs w:val="16"/>
              </w:rPr>
            </w:pPr>
            <w:r w:rsidRPr="002E2B5B">
              <w:rPr>
                <w:rFonts w:ascii="Calibri" w:hAnsi="Calibri" w:cs="Calibri"/>
                <w:color w:val="000000"/>
                <w:sz w:val="16"/>
                <w:szCs w:val="16"/>
              </w:rPr>
              <w:t>1.962.863</w:t>
            </w:r>
          </w:p>
        </w:tc>
      </w:tr>
      <w:tr w:rsidR="00B628E5" w:rsidRPr="002E2B5B" w14:paraId="75F79A9E" w14:textId="77777777" w:rsidTr="00C34E8D">
        <w:trPr>
          <w:trHeight w:hRule="exact" w:val="227"/>
        </w:trPr>
        <w:tc>
          <w:tcPr>
            <w:tcW w:w="1833" w:type="pct"/>
            <w:tcBorders>
              <w:top w:val="nil"/>
              <w:left w:val="nil"/>
              <w:bottom w:val="nil"/>
              <w:right w:val="nil"/>
            </w:tcBorders>
            <w:shd w:val="clear" w:color="auto" w:fill="auto"/>
            <w:noWrap/>
            <w:vAlign w:val="center"/>
            <w:hideMark/>
          </w:tcPr>
          <w:p w14:paraId="104505BB"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GEIPOT</w:t>
            </w:r>
          </w:p>
        </w:tc>
        <w:tc>
          <w:tcPr>
            <w:tcW w:w="226" w:type="pct"/>
            <w:tcBorders>
              <w:top w:val="nil"/>
              <w:left w:val="nil"/>
              <w:bottom w:val="nil"/>
              <w:right w:val="nil"/>
            </w:tcBorders>
            <w:shd w:val="clear" w:color="auto" w:fill="auto"/>
            <w:noWrap/>
            <w:vAlign w:val="center"/>
            <w:hideMark/>
          </w:tcPr>
          <w:p w14:paraId="42F9A3CF" w14:textId="77777777" w:rsidR="00B628E5" w:rsidRPr="002E2B5B" w:rsidRDefault="00B628E5" w:rsidP="002E2B5B">
            <w:pPr>
              <w:rPr>
                <w:rFonts w:ascii="Calibri" w:hAnsi="Calibri" w:cs="Calibri"/>
                <w:color w:val="000000"/>
                <w:sz w:val="16"/>
                <w:szCs w:val="16"/>
              </w:rPr>
            </w:pPr>
          </w:p>
        </w:tc>
        <w:tc>
          <w:tcPr>
            <w:tcW w:w="226" w:type="pct"/>
            <w:tcBorders>
              <w:top w:val="nil"/>
              <w:left w:val="nil"/>
              <w:bottom w:val="nil"/>
              <w:right w:val="nil"/>
            </w:tcBorders>
            <w:shd w:val="clear" w:color="auto" w:fill="auto"/>
            <w:noWrap/>
            <w:vAlign w:val="center"/>
            <w:hideMark/>
          </w:tcPr>
          <w:p w14:paraId="7E0E23F9" w14:textId="77777777" w:rsidR="00B628E5" w:rsidRPr="002E2B5B" w:rsidRDefault="00B628E5" w:rsidP="002E2B5B">
            <w:pPr>
              <w:rPr>
                <w:rFonts w:ascii="Calibri" w:hAnsi="Calibri" w:cs="Calibri"/>
                <w:sz w:val="16"/>
                <w:szCs w:val="16"/>
              </w:rPr>
            </w:pPr>
          </w:p>
        </w:tc>
        <w:tc>
          <w:tcPr>
            <w:tcW w:w="652" w:type="pct"/>
            <w:tcBorders>
              <w:top w:val="nil"/>
              <w:left w:val="nil"/>
              <w:bottom w:val="nil"/>
              <w:right w:val="nil"/>
            </w:tcBorders>
            <w:shd w:val="clear" w:color="auto" w:fill="auto"/>
            <w:vAlign w:val="center"/>
            <w:hideMark/>
          </w:tcPr>
          <w:p w14:paraId="7F86F73F" w14:textId="77777777" w:rsidR="00B628E5" w:rsidRPr="002E2B5B" w:rsidRDefault="00B628E5" w:rsidP="002E2B5B">
            <w:pPr>
              <w:rPr>
                <w:rFonts w:ascii="Calibri" w:hAnsi="Calibri" w:cs="Calibri"/>
                <w:sz w:val="16"/>
                <w:szCs w:val="16"/>
              </w:rPr>
            </w:pPr>
          </w:p>
        </w:tc>
        <w:tc>
          <w:tcPr>
            <w:tcW w:w="696" w:type="pct"/>
            <w:tcBorders>
              <w:top w:val="nil"/>
              <w:left w:val="nil"/>
              <w:bottom w:val="nil"/>
              <w:right w:val="nil"/>
            </w:tcBorders>
            <w:shd w:val="clear" w:color="auto" w:fill="auto"/>
            <w:noWrap/>
            <w:vAlign w:val="center"/>
          </w:tcPr>
          <w:p w14:paraId="77C82C63" w14:textId="77777777" w:rsidR="00B628E5" w:rsidRPr="002E2B5B" w:rsidRDefault="00B628E5" w:rsidP="002E2B5B">
            <w:pPr>
              <w:jc w:val="right"/>
              <w:rPr>
                <w:rFonts w:ascii="Calibri" w:hAnsi="Calibri" w:cs="Calibri"/>
                <w:color w:val="000000"/>
                <w:sz w:val="16"/>
                <w:szCs w:val="16"/>
              </w:rPr>
            </w:pPr>
          </w:p>
        </w:tc>
        <w:tc>
          <w:tcPr>
            <w:tcW w:w="696" w:type="pct"/>
            <w:tcBorders>
              <w:top w:val="nil"/>
              <w:left w:val="nil"/>
              <w:bottom w:val="nil"/>
              <w:right w:val="nil"/>
            </w:tcBorders>
            <w:shd w:val="clear" w:color="auto" w:fill="auto"/>
            <w:noWrap/>
            <w:vAlign w:val="center"/>
            <w:hideMark/>
          </w:tcPr>
          <w:p w14:paraId="555BBF95" w14:textId="180D0BBD" w:rsidR="003B60A7" w:rsidRPr="002E2B5B" w:rsidRDefault="003B60A7" w:rsidP="003B60A7">
            <w:pPr>
              <w:jc w:val="right"/>
              <w:rPr>
                <w:rFonts w:ascii="Calibri" w:hAnsi="Calibri" w:cs="Calibri"/>
                <w:color w:val="000000"/>
                <w:sz w:val="16"/>
                <w:szCs w:val="16"/>
              </w:rPr>
            </w:pPr>
            <w:r>
              <w:rPr>
                <w:rFonts w:ascii="Calibri" w:hAnsi="Calibri" w:cs="Calibri"/>
                <w:color w:val="000000"/>
                <w:sz w:val="16"/>
                <w:szCs w:val="16"/>
              </w:rPr>
              <w:t>733.184</w:t>
            </w:r>
          </w:p>
        </w:tc>
        <w:tc>
          <w:tcPr>
            <w:tcW w:w="671" w:type="pct"/>
            <w:tcBorders>
              <w:top w:val="nil"/>
              <w:left w:val="nil"/>
              <w:bottom w:val="nil"/>
              <w:right w:val="nil"/>
            </w:tcBorders>
            <w:shd w:val="clear" w:color="auto" w:fill="auto"/>
            <w:noWrap/>
            <w:vAlign w:val="bottom"/>
            <w:hideMark/>
          </w:tcPr>
          <w:p w14:paraId="3BD1AD71" w14:textId="0B9676A8" w:rsidR="00B628E5" w:rsidRPr="002E2B5B" w:rsidRDefault="009750C8" w:rsidP="002E2B5B">
            <w:pPr>
              <w:jc w:val="right"/>
              <w:rPr>
                <w:rFonts w:ascii="Calibri" w:hAnsi="Calibri" w:cs="Calibri"/>
                <w:color w:val="000000"/>
                <w:sz w:val="16"/>
                <w:szCs w:val="16"/>
              </w:rPr>
            </w:pPr>
            <w:r w:rsidRPr="002E2B5B">
              <w:rPr>
                <w:rFonts w:ascii="Calibri" w:hAnsi="Calibri" w:cs="Calibri"/>
                <w:color w:val="000000"/>
                <w:sz w:val="16"/>
                <w:szCs w:val="16"/>
              </w:rPr>
              <w:t>673.040</w:t>
            </w:r>
          </w:p>
        </w:tc>
      </w:tr>
      <w:tr w:rsidR="00B628E5" w:rsidRPr="002E2B5B" w14:paraId="36D7B286" w14:textId="77777777" w:rsidTr="00C34E8D">
        <w:trPr>
          <w:trHeight w:hRule="exact" w:val="227"/>
        </w:trPr>
        <w:tc>
          <w:tcPr>
            <w:tcW w:w="1833" w:type="pct"/>
            <w:tcBorders>
              <w:top w:val="nil"/>
              <w:left w:val="nil"/>
              <w:bottom w:val="single" w:sz="8" w:space="0" w:color="auto"/>
              <w:right w:val="nil"/>
            </w:tcBorders>
            <w:shd w:val="clear" w:color="auto" w:fill="auto"/>
            <w:noWrap/>
            <w:vAlign w:val="center"/>
            <w:hideMark/>
          </w:tcPr>
          <w:p w14:paraId="36F3A60C"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VALEC</w:t>
            </w:r>
          </w:p>
        </w:tc>
        <w:tc>
          <w:tcPr>
            <w:tcW w:w="226" w:type="pct"/>
            <w:tcBorders>
              <w:top w:val="nil"/>
              <w:left w:val="nil"/>
              <w:bottom w:val="single" w:sz="8" w:space="0" w:color="auto"/>
              <w:right w:val="nil"/>
            </w:tcBorders>
            <w:shd w:val="clear" w:color="auto" w:fill="auto"/>
            <w:noWrap/>
            <w:vAlign w:val="center"/>
            <w:hideMark/>
          </w:tcPr>
          <w:p w14:paraId="3C35DD92"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 </w:t>
            </w:r>
          </w:p>
        </w:tc>
        <w:tc>
          <w:tcPr>
            <w:tcW w:w="226" w:type="pct"/>
            <w:tcBorders>
              <w:top w:val="nil"/>
              <w:left w:val="nil"/>
              <w:bottom w:val="single" w:sz="8" w:space="0" w:color="auto"/>
              <w:right w:val="nil"/>
            </w:tcBorders>
            <w:shd w:val="clear" w:color="auto" w:fill="auto"/>
            <w:noWrap/>
            <w:vAlign w:val="center"/>
            <w:hideMark/>
          </w:tcPr>
          <w:p w14:paraId="79820141" w14:textId="77777777" w:rsidR="00B628E5" w:rsidRPr="002E2B5B" w:rsidRDefault="00B628E5"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652" w:type="pct"/>
            <w:tcBorders>
              <w:top w:val="nil"/>
              <w:left w:val="nil"/>
              <w:bottom w:val="single" w:sz="8" w:space="0" w:color="auto"/>
              <w:right w:val="nil"/>
            </w:tcBorders>
            <w:shd w:val="clear" w:color="auto" w:fill="auto"/>
            <w:vAlign w:val="center"/>
            <w:hideMark/>
          </w:tcPr>
          <w:p w14:paraId="0B7704F1" w14:textId="77777777" w:rsidR="00B628E5" w:rsidRPr="002E2B5B" w:rsidRDefault="00B628E5"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696" w:type="pct"/>
            <w:tcBorders>
              <w:top w:val="nil"/>
              <w:left w:val="nil"/>
              <w:bottom w:val="single" w:sz="8" w:space="0" w:color="auto"/>
              <w:right w:val="nil"/>
            </w:tcBorders>
            <w:shd w:val="clear" w:color="auto" w:fill="auto"/>
            <w:noWrap/>
            <w:vAlign w:val="center"/>
          </w:tcPr>
          <w:p w14:paraId="70053B6F" w14:textId="77777777" w:rsidR="00B628E5" w:rsidRPr="002E2B5B" w:rsidRDefault="00B628E5" w:rsidP="002E2B5B">
            <w:pPr>
              <w:jc w:val="right"/>
              <w:rPr>
                <w:rFonts w:ascii="Calibri" w:hAnsi="Calibri" w:cs="Calibri"/>
                <w:color w:val="000000"/>
                <w:sz w:val="16"/>
                <w:szCs w:val="16"/>
              </w:rPr>
            </w:pPr>
          </w:p>
        </w:tc>
        <w:tc>
          <w:tcPr>
            <w:tcW w:w="696" w:type="pct"/>
            <w:tcBorders>
              <w:top w:val="nil"/>
              <w:left w:val="nil"/>
              <w:bottom w:val="single" w:sz="8" w:space="0" w:color="auto"/>
              <w:right w:val="nil"/>
            </w:tcBorders>
            <w:shd w:val="clear" w:color="auto" w:fill="auto"/>
            <w:noWrap/>
            <w:vAlign w:val="center"/>
            <w:hideMark/>
          </w:tcPr>
          <w:p w14:paraId="13C5FFC6" w14:textId="53A31CB0" w:rsidR="00B628E5" w:rsidRPr="002E2B5B" w:rsidRDefault="003B60A7" w:rsidP="002E2B5B">
            <w:pPr>
              <w:jc w:val="right"/>
              <w:rPr>
                <w:rFonts w:ascii="Calibri" w:hAnsi="Calibri" w:cs="Calibri"/>
                <w:color w:val="000000"/>
                <w:sz w:val="16"/>
                <w:szCs w:val="16"/>
              </w:rPr>
            </w:pPr>
            <w:r>
              <w:rPr>
                <w:rFonts w:ascii="Calibri" w:hAnsi="Calibri" w:cs="Calibri"/>
                <w:color w:val="000000"/>
                <w:sz w:val="16"/>
                <w:szCs w:val="16"/>
              </w:rPr>
              <w:t>14.182.538</w:t>
            </w:r>
          </w:p>
        </w:tc>
        <w:tc>
          <w:tcPr>
            <w:tcW w:w="671" w:type="pct"/>
            <w:tcBorders>
              <w:top w:val="nil"/>
              <w:left w:val="nil"/>
              <w:bottom w:val="single" w:sz="8" w:space="0" w:color="auto"/>
              <w:right w:val="nil"/>
            </w:tcBorders>
            <w:shd w:val="clear" w:color="auto" w:fill="auto"/>
            <w:noWrap/>
            <w:vAlign w:val="bottom"/>
            <w:hideMark/>
          </w:tcPr>
          <w:p w14:paraId="2DF1F884" w14:textId="435C6B04" w:rsidR="00B628E5" w:rsidRPr="002E2B5B" w:rsidRDefault="009750C8" w:rsidP="002E2B5B">
            <w:pPr>
              <w:jc w:val="right"/>
              <w:rPr>
                <w:rFonts w:ascii="Calibri" w:hAnsi="Calibri" w:cs="Calibri"/>
                <w:color w:val="000000"/>
                <w:sz w:val="16"/>
                <w:szCs w:val="16"/>
              </w:rPr>
            </w:pPr>
            <w:r w:rsidRPr="002E2B5B">
              <w:rPr>
                <w:rFonts w:ascii="Calibri" w:hAnsi="Calibri" w:cs="Calibri"/>
                <w:color w:val="000000"/>
                <w:sz w:val="16"/>
                <w:szCs w:val="16"/>
              </w:rPr>
              <w:t>12.039.681</w:t>
            </w:r>
          </w:p>
        </w:tc>
      </w:tr>
      <w:tr w:rsidR="00B628E5" w:rsidRPr="002E2B5B" w14:paraId="687D89F1" w14:textId="77777777" w:rsidTr="00C34E8D">
        <w:trPr>
          <w:trHeight w:hRule="exact" w:val="227"/>
        </w:trPr>
        <w:tc>
          <w:tcPr>
            <w:tcW w:w="1833" w:type="pct"/>
            <w:tcBorders>
              <w:top w:val="nil"/>
              <w:left w:val="nil"/>
              <w:bottom w:val="single" w:sz="8" w:space="0" w:color="auto"/>
              <w:right w:val="nil"/>
            </w:tcBorders>
            <w:shd w:val="clear" w:color="auto" w:fill="auto"/>
            <w:noWrap/>
            <w:vAlign w:val="center"/>
            <w:hideMark/>
          </w:tcPr>
          <w:p w14:paraId="0BE89EF7" w14:textId="77777777" w:rsidR="00B628E5" w:rsidRPr="002E2B5B" w:rsidRDefault="00B628E5" w:rsidP="002E2B5B">
            <w:pPr>
              <w:rPr>
                <w:rFonts w:ascii="Calibri" w:hAnsi="Calibri" w:cs="Calibri"/>
                <w:b/>
                <w:bCs/>
                <w:color w:val="000000"/>
                <w:sz w:val="16"/>
                <w:szCs w:val="16"/>
              </w:rPr>
            </w:pPr>
            <w:r w:rsidRPr="002E2B5B">
              <w:rPr>
                <w:rFonts w:ascii="Calibri" w:hAnsi="Calibri" w:cs="Calibri"/>
                <w:b/>
                <w:bCs/>
                <w:color w:val="000000"/>
                <w:sz w:val="16"/>
                <w:szCs w:val="16"/>
              </w:rPr>
              <w:t xml:space="preserve">TOTAL </w:t>
            </w:r>
          </w:p>
        </w:tc>
        <w:tc>
          <w:tcPr>
            <w:tcW w:w="226" w:type="pct"/>
            <w:tcBorders>
              <w:top w:val="nil"/>
              <w:left w:val="nil"/>
              <w:bottom w:val="single" w:sz="8" w:space="0" w:color="auto"/>
              <w:right w:val="nil"/>
            </w:tcBorders>
            <w:shd w:val="clear" w:color="auto" w:fill="auto"/>
            <w:noWrap/>
            <w:vAlign w:val="center"/>
            <w:hideMark/>
          </w:tcPr>
          <w:p w14:paraId="76272CDD"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 </w:t>
            </w:r>
          </w:p>
        </w:tc>
        <w:tc>
          <w:tcPr>
            <w:tcW w:w="226" w:type="pct"/>
            <w:tcBorders>
              <w:top w:val="nil"/>
              <w:left w:val="nil"/>
              <w:bottom w:val="single" w:sz="8" w:space="0" w:color="auto"/>
              <w:right w:val="nil"/>
            </w:tcBorders>
            <w:shd w:val="clear" w:color="auto" w:fill="auto"/>
            <w:noWrap/>
            <w:vAlign w:val="center"/>
            <w:hideMark/>
          </w:tcPr>
          <w:p w14:paraId="57F110E5"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 </w:t>
            </w:r>
          </w:p>
        </w:tc>
        <w:tc>
          <w:tcPr>
            <w:tcW w:w="652" w:type="pct"/>
            <w:tcBorders>
              <w:top w:val="nil"/>
              <w:left w:val="nil"/>
              <w:bottom w:val="single" w:sz="8" w:space="0" w:color="auto"/>
              <w:right w:val="nil"/>
            </w:tcBorders>
            <w:shd w:val="clear" w:color="auto" w:fill="auto"/>
            <w:vAlign w:val="center"/>
            <w:hideMark/>
          </w:tcPr>
          <w:p w14:paraId="56220FB6" w14:textId="77777777" w:rsidR="00B628E5" w:rsidRPr="002E2B5B" w:rsidRDefault="00B628E5"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6" w:type="pct"/>
            <w:tcBorders>
              <w:top w:val="nil"/>
              <w:left w:val="nil"/>
              <w:bottom w:val="single" w:sz="8" w:space="0" w:color="auto"/>
              <w:right w:val="nil"/>
            </w:tcBorders>
            <w:shd w:val="clear" w:color="auto" w:fill="auto"/>
            <w:noWrap/>
            <w:vAlign w:val="center"/>
          </w:tcPr>
          <w:p w14:paraId="73C18FE2" w14:textId="77777777" w:rsidR="00B628E5" w:rsidRPr="002E2B5B" w:rsidRDefault="00B628E5" w:rsidP="002E2B5B">
            <w:pPr>
              <w:jc w:val="right"/>
              <w:rPr>
                <w:rFonts w:ascii="Calibri" w:hAnsi="Calibri" w:cs="Calibri"/>
                <w:b/>
                <w:bCs/>
                <w:color w:val="000000"/>
                <w:sz w:val="16"/>
                <w:szCs w:val="16"/>
              </w:rPr>
            </w:pPr>
          </w:p>
        </w:tc>
        <w:tc>
          <w:tcPr>
            <w:tcW w:w="696" w:type="pct"/>
            <w:tcBorders>
              <w:top w:val="nil"/>
              <w:left w:val="nil"/>
              <w:bottom w:val="single" w:sz="8" w:space="0" w:color="auto"/>
              <w:right w:val="nil"/>
            </w:tcBorders>
            <w:shd w:val="clear" w:color="auto" w:fill="auto"/>
            <w:noWrap/>
            <w:vAlign w:val="center"/>
            <w:hideMark/>
          </w:tcPr>
          <w:p w14:paraId="63B9B7FA" w14:textId="5EB1EA2A" w:rsidR="00B628E5" w:rsidRPr="002E2B5B" w:rsidRDefault="003B60A7" w:rsidP="002E2B5B">
            <w:pPr>
              <w:jc w:val="right"/>
              <w:rPr>
                <w:rFonts w:ascii="Calibri" w:hAnsi="Calibri" w:cs="Calibri"/>
                <w:b/>
                <w:bCs/>
                <w:color w:val="000000"/>
                <w:sz w:val="16"/>
                <w:szCs w:val="16"/>
              </w:rPr>
            </w:pPr>
            <w:r>
              <w:rPr>
                <w:rFonts w:ascii="Calibri" w:hAnsi="Calibri" w:cs="Calibri"/>
                <w:b/>
                <w:bCs/>
                <w:color w:val="000000"/>
                <w:sz w:val="16"/>
                <w:szCs w:val="16"/>
              </w:rPr>
              <w:t>17.712.574</w:t>
            </w:r>
          </w:p>
        </w:tc>
        <w:tc>
          <w:tcPr>
            <w:tcW w:w="671" w:type="pct"/>
            <w:tcBorders>
              <w:top w:val="nil"/>
              <w:left w:val="nil"/>
              <w:bottom w:val="single" w:sz="8" w:space="0" w:color="auto"/>
              <w:right w:val="nil"/>
            </w:tcBorders>
            <w:shd w:val="clear" w:color="auto" w:fill="auto"/>
            <w:noWrap/>
            <w:vAlign w:val="center"/>
            <w:hideMark/>
          </w:tcPr>
          <w:p w14:paraId="66D3DACB" w14:textId="68C28687" w:rsidR="00B628E5" w:rsidRPr="002E2B5B" w:rsidRDefault="009750C8" w:rsidP="002E2B5B">
            <w:pPr>
              <w:jc w:val="right"/>
              <w:rPr>
                <w:rFonts w:ascii="Calibri" w:hAnsi="Calibri" w:cs="Calibri"/>
                <w:b/>
                <w:bCs/>
                <w:color w:val="000000"/>
                <w:sz w:val="16"/>
                <w:szCs w:val="16"/>
              </w:rPr>
            </w:pPr>
            <w:r w:rsidRPr="002E2B5B">
              <w:rPr>
                <w:rFonts w:ascii="Calibri" w:hAnsi="Calibri" w:cs="Calibri"/>
                <w:b/>
                <w:bCs/>
                <w:color w:val="000000"/>
                <w:sz w:val="16"/>
                <w:szCs w:val="16"/>
              </w:rPr>
              <w:t>14.675.584</w:t>
            </w:r>
          </w:p>
        </w:tc>
      </w:tr>
    </w:tbl>
    <w:p w14:paraId="3321C77B" w14:textId="77777777" w:rsidR="00B02B62" w:rsidRPr="002E2B5B" w:rsidRDefault="00B02B62" w:rsidP="002E2B5B">
      <w:pPr>
        <w:jc w:val="both"/>
        <w:rPr>
          <w:rFonts w:ascii="Calibri" w:hAnsi="Calibri" w:cs="Calibri"/>
          <w:b/>
          <w:sz w:val="22"/>
          <w:szCs w:val="22"/>
        </w:rPr>
      </w:pPr>
    </w:p>
    <w:p w14:paraId="31EE86DC" w14:textId="77777777" w:rsidR="002F2B7B" w:rsidRPr="002E2B5B" w:rsidRDefault="002F2B7B"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A VALEC</w:t>
      </w:r>
      <w:r w:rsidR="00FC06D2" w:rsidRPr="002E2B5B">
        <w:rPr>
          <w:rFonts w:ascii="Calibri" w:hAnsi="Calibri" w:cs="Calibri"/>
          <w:sz w:val="22"/>
          <w:szCs w:val="22"/>
          <w:shd w:val="clear" w:color="auto" w:fill="FFFFFF"/>
        </w:rPr>
        <w:t>, a partir da Lei nº 11.772</w:t>
      </w:r>
      <w:r w:rsidR="00BD7C0B" w:rsidRPr="002E2B5B">
        <w:rPr>
          <w:rFonts w:ascii="Calibri" w:hAnsi="Calibri" w:cs="Calibri"/>
          <w:sz w:val="22"/>
          <w:szCs w:val="22"/>
          <w:shd w:val="clear" w:color="auto" w:fill="FFFFFF"/>
        </w:rPr>
        <w:t xml:space="preserve">, de 17 de setembro </w:t>
      </w:r>
      <w:r w:rsidR="00FC06D2" w:rsidRPr="002E2B5B">
        <w:rPr>
          <w:rFonts w:ascii="Calibri" w:hAnsi="Calibri" w:cs="Calibri"/>
          <w:sz w:val="22"/>
          <w:szCs w:val="22"/>
          <w:shd w:val="clear" w:color="auto" w:fill="FFFFFF"/>
        </w:rPr>
        <w:t>200</w:t>
      </w:r>
      <w:r w:rsidR="00BD7C0B" w:rsidRPr="002E2B5B">
        <w:rPr>
          <w:rFonts w:ascii="Calibri" w:hAnsi="Calibri" w:cs="Calibri"/>
          <w:sz w:val="22"/>
          <w:szCs w:val="22"/>
          <w:shd w:val="clear" w:color="auto" w:fill="FFFFFF"/>
        </w:rPr>
        <w:t>8</w:t>
      </w:r>
      <w:r w:rsidR="00FC06D2" w:rsidRPr="002E2B5B">
        <w:rPr>
          <w:rFonts w:ascii="Calibri" w:hAnsi="Calibri" w:cs="Calibri"/>
          <w:sz w:val="22"/>
          <w:szCs w:val="22"/>
          <w:shd w:val="clear" w:color="auto" w:fill="FFFFFF"/>
        </w:rPr>
        <w:t xml:space="preserve">, passou a ser também responsável pelo quadro de pessoal das extintas empresas: Rede Ferroviária Federal S/A – RFFSA e Empresa Brasileira de Planejamento de Transportes – GEIPOT.  As despesas com férias </w:t>
      </w:r>
      <w:r w:rsidR="00FF1CB6" w:rsidRPr="002E2B5B">
        <w:rPr>
          <w:rFonts w:ascii="Calibri" w:hAnsi="Calibri" w:cs="Calibri"/>
          <w:sz w:val="22"/>
          <w:szCs w:val="22"/>
          <w:shd w:val="clear" w:color="auto" w:fill="FFFFFF"/>
        </w:rPr>
        <w:t>e</w:t>
      </w:r>
      <w:r w:rsidR="00FC06D2" w:rsidRPr="002E2B5B">
        <w:rPr>
          <w:rFonts w:ascii="Calibri" w:hAnsi="Calibri" w:cs="Calibri"/>
          <w:sz w:val="22"/>
          <w:szCs w:val="22"/>
          <w:shd w:val="clear" w:color="auto" w:fill="FFFFFF"/>
        </w:rPr>
        <w:t xml:space="preserve"> os encargos são provisionad</w:t>
      </w:r>
      <w:r w:rsidRPr="002E2B5B">
        <w:rPr>
          <w:rFonts w:ascii="Calibri" w:hAnsi="Calibri" w:cs="Calibri"/>
          <w:sz w:val="22"/>
          <w:szCs w:val="22"/>
          <w:shd w:val="clear" w:color="auto" w:fill="FFFFFF"/>
        </w:rPr>
        <w:t>a</w:t>
      </w:r>
      <w:r w:rsidR="00FC06D2" w:rsidRPr="002E2B5B">
        <w:rPr>
          <w:rFonts w:ascii="Calibri" w:hAnsi="Calibri" w:cs="Calibri"/>
          <w:sz w:val="22"/>
          <w:szCs w:val="22"/>
          <w:shd w:val="clear" w:color="auto" w:fill="FFFFFF"/>
        </w:rPr>
        <w:t xml:space="preserve">s conforme </w:t>
      </w:r>
      <w:r w:rsidRPr="002E2B5B">
        <w:rPr>
          <w:rFonts w:ascii="Calibri" w:hAnsi="Calibri" w:cs="Calibri"/>
          <w:sz w:val="22"/>
          <w:szCs w:val="22"/>
          <w:shd w:val="clear" w:color="auto" w:fill="FFFFFF"/>
        </w:rPr>
        <w:t>demonstrativos emitidos</w:t>
      </w:r>
      <w:r w:rsidR="00FC06D2" w:rsidRPr="002E2B5B">
        <w:rPr>
          <w:rFonts w:ascii="Calibri" w:hAnsi="Calibri" w:cs="Calibri"/>
          <w:sz w:val="22"/>
          <w:szCs w:val="22"/>
          <w:shd w:val="clear" w:color="auto" w:fill="FFFFFF"/>
        </w:rPr>
        <w:t>, mensalmente,</w:t>
      </w:r>
      <w:r w:rsidRPr="002E2B5B">
        <w:rPr>
          <w:rFonts w:ascii="Calibri" w:hAnsi="Calibri" w:cs="Calibri"/>
          <w:sz w:val="22"/>
          <w:szCs w:val="22"/>
          <w:shd w:val="clear" w:color="auto" w:fill="FFFFFF"/>
        </w:rPr>
        <w:t xml:space="preserve"> pela Superintendência de Gestão de Pessoas </w:t>
      </w:r>
      <w:r w:rsidR="00FF1CB6" w:rsidRPr="002E2B5B">
        <w:rPr>
          <w:rFonts w:ascii="Calibri" w:hAnsi="Calibri" w:cs="Calibri"/>
          <w:sz w:val="22"/>
          <w:szCs w:val="22"/>
          <w:shd w:val="clear" w:color="auto" w:fill="FFFFFF"/>
        </w:rPr>
        <w:t>(</w:t>
      </w:r>
      <w:r w:rsidRPr="002E2B5B">
        <w:rPr>
          <w:rFonts w:ascii="Calibri" w:hAnsi="Calibri" w:cs="Calibri"/>
          <w:sz w:val="22"/>
          <w:szCs w:val="22"/>
          <w:shd w:val="clear" w:color="auto" w:fill="FFFFFF"/>
        </w:rPr>
        <w:t>SUGEP</w:t>
      </w:r>
      <w:r w:rsidR="00FF1CB6" w:rsidRPr="002E2B5B">
        <w:rPr>
          <w:rFonts w:ascii="Calibri" w:hAnsi="Calibri" w:cs="Calibri"/>
          <w:sz w:val="22"/>
          <w:szCs w:val="22"/>
          <w:shd w:val="clear" w:color="auto" w:fill="FFFFFF"/>
        </w:rPr>
        <w:t>)</w:t>
      </w:r>
      <w:r w:rsidRPr="002E2B5B">
        <w:rPr>
          <w:rFonts w:ascii="Calibri" w:hAnsi="Calibri" w:cs="Calibri"/>
          <w:sz w:val="22"/>
          <w:szCs w:val="22"/>
          <w:shd w:val="clear" w:color="auto" w:fill="FFFFFF"/>
        </w:rPr>
        <w:t xml:space="preserve">. </w:t>
      </w:r>
    </w:p>
    <w:p w14:paraId="26B88336" w14:textId="77777777" w:rsidR="002F2B7B" w:rsidRPr="002E2B5B" w:rsidRDefault="002F2B7B"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Para cálculo da provisão de férias é considerado o salário do período de gozo de férias mais o adicional de 1/3.</w:t>
      </w:r>
      <w:r w:rsidR="00FC06D2" w:rsidRPr="002E2B5B">
        <w:rPr>
          <w:rFonts w:ascii="Calibri" w:hAnsi="Calibri" w:cs="Calibri"/>
          <w:sz w:val="22"/>
          <w:szCs w:val="22"/>
          <w:shd w:val="clear" w:color="auto" w:fill="FFFFFF"/>
        </w:rPr>
        <w:t xml:space="preserve"> </w:t>
      </w:r>
    </w:p>
    <w:p w14:paraId="3457D152" w14:textId="77777777" w:rsidR="00A00571" w:rsidRPr="002E2B5B" w:rsidRDefault="00A00571" w:rsidP="002E2B5B">
      <w:pPr>
        <w:jc w:val="both"/>
        <w:rPr>
          <w:rFonts w:ascii="Calibri" w:hAnsi="Calibri" w:cs="Calibri"/>
          <w:sz w:val="22"/>
          <w:szCs w:val="22"/>
        </w:rPr>
      </w:pPr>
    </w:p>
    <w:p w14:paraId="45077BBC" w14:textId="7646344D" w:rsidR="00D947B7" w:rsidRPr="002E2B5B" w:rsidRDefault="00D22F5E" w:rsidP="002E2B5B">
      <w:pPr>
        <w:pStyle w:val="Ttulo4"/>
        <w:tabs>
          <w:tab w:val="left" w:pos="0"/>
        </w:tabs>
        <w:spacing w:line="240" w:lineRule="auto"/>
        <w:rPr>
          <w:rFonts w:ascii="Calibri" w:hAnsi="Calibri" w:cs="Calibri"/>
          <w:bCs w:val="0"/>
          <w:sz w:val="22"/>
          <w:szCs w:val="22"/>
        </w:rPr>
      </w:pPr>
      <w:r w:rsidRPr="002E2B5B">
        <w:rPr>
          <w:rFonts w:ascii="Calibri" w:hAnsi="Calibri" w:cs="Calibri"/>
          <w:bCs w:val="0"/>
          <w:sz w:val="22"/>
          <w:szCs w:val="22"/>
        </w:rPr>
        <w:t>NOTA 1</w:t>
      </w:r>
      <w:r w:rsidR="00DD4B99">
        <w:rPr>
          <w:rFonts w:ascii="Calibri" w:hAnsi="Calibri" w:cs="Calibri"/>
          <w:bCs w:val="0"/>
          <w:sz w:val="22"/>
          <w:szCs w:val="22"/>
        </w:rPr>
        <w:t>1</w:t>
      </w:r>
      <w:r w:rsidR="00BE1376" w:rsidRPr="002E2B5B">
        <w:rPr>
          <w:rFonts w:ascii="Calibri" w:hAnsi="Calibri" w:cs="Calibri"/>
          <w:bCs w:val="0"/>
          <w:sz w:val="22"/>
          <w:szCs w:val="22"/>
        </w:rPr>
        <w:t xml:space="preserve"> </w:t>
      </w:r>
      <w:r w:rsidR="007E5F20" w:rsidRPr="002E2B5B">
        <w:rPr>
          <w:rFonts w:ascii="Calibri" w:hAnsi="Calibri" w:cs="Calibri"/>
          <w:bCs w:val="0"/>
          <w:sz w:val="22"/>
          <w:szCs w:val="22"/>
        </w:rPr>
        <w:t>- COMPROMISSOS</w:t>
      </w:r>
      <w:r w:rsidR="00894308" w:rsidRPr="002E2B5B">
        <w:rPr>
          <w:rFonts w:ascii="Calibri" w:hAnsi="Calibri" w:cs="Calibri"/>
          <w:bCs w:val="0"/>
          <w:sz w:val="22"/>
          <w:szCs w:val="22"/>
        </w:rPr>
        <w:t xml:space="preserve"> A LONGO PRAZO </w:t>
      </w:r>
      <w:r w:rsidR="00823DAA" w:rsidRPr="002E2B5B">
        <w:rPr>
          <w:rFonts w:ascii="Calibri" w:hAnsi="Calibri" w:cs="Calibri"/>
          <w:bCs w:val="0"/>
          <w:sz w:val="22"/>
          <w:szCs w:val="22"/>
        </w:rPr>
        <w:t xml:space="preserve"> </w:t>
      </w:r>
    </w:p>
    <w:p w14:paraId="0FE7763B" w14:textId="78F6D80D" w:rsidR="00B02B62" w:rsidRDefault="000568B0" w:rsidP="002E2B5B">
      <w:pPr>
        <w:numPr>
          <w:ilvl w:val="0"/>
          <w:numId w:val="5"/>
        </w:numPr>
        <w:ind w:left="284" w:hanging="284"/>
        <w:rPr>
          <w:rFonts w:ascii="Calibri" w:hAnsi="Calibri" w:cs="Calibri"/>
          <w:b/>
          <w:sz w:val="22"/>
          <w:szCs w:val="22"/>
        </w:rPr>
      </w:pPr>
      <w:r w:rsidRPr="002E2B5B">
        <w:rPr>
          <w:rFonts w:ascii="Calibri" w:hAnsi="Calibri" w:cs="Calibri"/>
          <w:b/>
          <w:sz w:val="22"/>
          <w:szCs w:val="22"/>
        </w:rPr>
        <w:t>Depósitos Retidos sobre Fornecedores</w:t>
      </w:r>
    </w:p>
    <w:tbl>
      <w:tblPr>
        <w:tblW w:w="5000" w:type="pct"/>
        <w:tblCellMar>
          <w:left w:w="70" w:type="dxa"/>
          <w:right w:w="70" w:type="dxa"/>
        </w:tblCellMar>
        <w:tblLook w:val="04A0" w:firstRow="1" w:lastRow="0" w:firstColumn="1" w:lastColumn="0" w:noHBand="0" w:noVBand="1"/>
      </w:tblPr>
      <w:tblGrid>
        <w:gridCol w:w="3973"/>
        <w:gridCol w:w="536"/>
        <w:gridCol w:w="534"/>
        <w:gridCol w:w="1459"/>
        <w:gridCol w:w="2412"/>
        <w:gridCol w:w="1553"/>
      </w:tblGrid>
      <w:tr w:rsidR="00AF7492" w14:paraId="080B8D0C" w14:textId="77777777" w:rsidTr="00C34E8D">
        <w:trPr>
          <w:trHeight w:hRule="exact" w:val="227"/>
        </w:trPr>
        <w:tc>
          <w:tcPr>
            <w:tcW w:w="2409" w:type="pct"/>
            <w:gridSpan w:val="3"/>
            <w:tcBorders>
              <w:top w:val="nil"/>
              <w:left w:val="nil"/>
              <w:bottom w:val="single" w:sz="8" w:space="0" w:color="auto"/>
              <w:right w:val="nil"/>
            </w:tcBorders>
            <w:shd w:val="clear" w:color="auto" w:fill="auto"/>
            <w:noWrap/>
            <w:vAlign w:val="center"/>
            <w:hideMark/>
          </w:tcPr>
          <w:p w14:paraId="0E6BFF3C" w14:textId="77777777" w:rsidR="00AF7492" w:rsidRDefault="00AF7492">
            <w:pPr>
              <w:rPr>
                <w:rFonts w:ascii="Calibri" w:hAnsi="Calibri" w:cs="Calibri"/>
                <w:b/>
                <w:bCs/>
                <w:color w:val="000000"/>
                <w:sz w:val="16"/>
                <w:szCs w:val="16"/>
              </w:rPr>
            </w:pPr>
            <w:r>
              <w:rPr>
                <w:rFonts w:ascii="Calibri" w:hAnsi="Calibri" w:cs="Calibri"/>
                <w:b/>
                <w:bCs/>
                <w:color w:val="000000"/>
                <w:sz w:val="16"/>
                <w:szCs w:val="16"/>
              </w:rPr>
              <w:t>DEPÓSITOS RETIDOS SOBRE FORNECEDORES</w:t>
            </w:r>
          </w:p>
        </w:tc>
        <w:tc>
          <w:tcPr>
            <w:tcW w:w="697" w:type="pct"/>
            <w:tcBorders>
              <w:top w:val="nil"/>
              <w:left w:val="nil"/>
              <w:bottom w:val="single" w:sz="8" w:space="0" w:color="auto"/>
              <w:right w:val="nil"/>
            </w:tcBorders>
            <w:shd w:val="clear" w:color="auto" w:fill="auto"/>
            <w:noWrap/>
            <w:vAlign w:val="center"/>
            <w:hideMark/>
          </w:tcPr>
          <w:p w14:paraId="602B4CDA" w14:textId="77777777" w:rsidR="00AF7492" w:rsidRDefault="00AF7492">
            <w:pPr>
              <w:jc w:val="right"/>
              <w:rPr>
                <w:rFonts w:ascii="Calibri" w:hAnsi="Calibri" w:cs="Calibri"/>
                <w:b/>
                <w:bCs/>
                <w:color w:val="000000"/>
                <w:sz w:val="16"/>
                <w:szCs w:val="16"/>
              </w:rPr>
            </w:pPr>
            <w:r>
              <w:rPr>
                <w:rFonts w:ascii="Calibri" w:hAnsi="Calibri" w:cs="Calibri"/>
                <w:b/>
                <w:bCs/>
                <w:color w:val="000000"/>
                <w:sz w:val="16"/>
                <w:szCs w:val="16"/>
              </w:rPr>
              <w:t> </w:t>
            </w:r>
          </w:p>
        </w:tc>
        <w:tc>
          <w:tcPr>
            <w:tcW w:w="1152" w:type="pct"/>
            <w:tcBorders>
              <w:top w:val="nil"/>
              <w:left w:val="nil"/>
              <w:bottom w:val="single" w:sz="8" w:space="0" w:color="auto"/>
              <w:right w:val="nil"/>
            </w:tcBorders>
            <w:shd w:val="clear" w:color="auto" w:fill="auto"/>
            <w:noWrap/>
            <w:vAlign w:val="center"/>
            <w:hideMark/>
          </w:tcPr>
          <w:p w14:paraId="78303FE7" w14:textId="77777777" w:rsidR="00AF7492" w:rsidRDefault="00AF7492">
            <w:pPr>
              <w:jc w:val="right"/>
              <w:rPr>
                <w:rFonts w:ascii="Calibri" w:hAnsi="Calibri" w:cs="Calibri"/>
                <w:b/>
                <w:bCs/>
                <w:color w:val="000000"/>
                <w:sz w:val="16"/>
                <w:szCs w:val="16"/>
              </w:rPr>
            </w:pPr>
            <w:r>
              <w:rPr>
                <w:rFonts w:ascii="Calibri" w:hAnsi="Calibri" w:cs="Calibri"/>
                <w:b/>
                <w:bCs/>
                <w:color w:val="000000"/>
                <w:sz w:val="16"/>
                <w:szCs w:val="16"/>
              </w:rPr>
              <w:t>30/06/2021</w:t>
            </w:r>
          </w:p>
        </w:tc>
        <w:tc>
          <w:tcPr>
            <w:tcW w:w="742" w:type="pct"/>
            <w:tcBorders>
              <w:top w:val="nil"/>
              <w:left w:val="nil"/>
              <w:bottom w:val="single" w:sz="8" w:space="0" w:color="auto"/>
              <w:right w:val="nil"/>
            </w:tcBorders>
            <w:shd w:val="clear" w:color="auto" w:fill="auto"/>
            <w:noWrap/>
            <w:vAlign w:val="center"/>
            <w:hideMark/>
          </w:tcPr>
          <w:p w14:paraId="6E1072A8" w14:textId="77777777" w:rsidR="00AF7492" w:rsidRDefault="00AF7492">
            <w:pPr>
              <w:jc w:val="right"/>
              <w:rPr>
                <w:rFonts w:ascii="Calibri" w:hAnsi="Calibri" w:cs="Calibri"/>
                <w:b/>
                <w:bCs/>
                <w:color w:val="000000"/>
                <w:sz w:val="16"/>
                <w:szCs w:val="16"/>
              </w:rPr>
            </w:pPr>
            <w:r>
              <w:rPr>
                <w:rFonts w:ascii="Calibri" w:hAnsi="Calibri" w:cs="Calibri"/>
                <w:b/>
                <w:bCs/>
                <w:color w:val="000000"/>
                <w:sz w:val="16"/>
                <w:szCs w:val="16"/>
              </w:rPr>
              <w:t>31/12/2020</w:t>
            </w:r>
          </w:p>
        </w:tc>
      </w:tr>
      <w:tr w:rsidR="00AF7492" w14:paraId="2761BB15" w14:textId="77777777" w:rsidTr="00C34E8D">
        <w:trPr>
          <w:trHeight w:hRule="exact" w:val="227"/>
        </w:trPr>
        <w:tc>
          <w:tcPr>
            <w:tcW w:w="2154" w:type="pct"/>
            <w:gridSpan w:val="2"/>
            <w:tcBorders>
              <w:top w:val="single" w:sz="8" w:space="0" w:color="auto"/>
              <w:left w:val="nil"/>
              <w:bottom w:val="nil"/>
              <w:right w:val="nil"/>
            </w:tcBorders>
            <w:shd w:val="clear" w:color="auto" w:fill="auto"/>
            <w:noWrap/>
            <w:vAlign w:val="center"/>
            <w:hideMark/>
          </w:tcPr>
          <w:p w14:paraId="3E2EBC22" w14:textId="77777777" w:rsidR="00AF7492" w:rsidRDefault="00AF7492">
            <w:pPr>
              <w:rPr>
                <w:rFonts w:ascii="Calibri" w:hAnsi="Calibri" w:cs="Calibri"/>
                <w:color w:val="000000"/>
                <w:sz w:val="16"/>
                <w:szCs w:val="16"/>
              </w:rPr>
            </w:pPr>
            <w:r>
              <w:rPr>
                <w:rFonts w:ascii="Calibri" w:hAnsi="Calibri" w:cs="Calibri"/>
                <w:color w:val="000000"/>
                <w:sz w:val="16"/>
                <w:szCs w:val="16"/>
              </w:rPr>
              <w:t xml:space="preserve"> Saldo anterior</w:t>
            </w:r>
          </w:p>
        </w:tc>
        <w:tc>
          <w:tcPr>
            <w:tcW w:w="255" w:type="pct"/>
            <w:tcBorders>
              <w:top w:val="nil"/>
              <w:left w:val="nil"/>
              <w:bottom w:val="nil"/>
              <w:right w:val="nil"/>
            </w:tcBorders>
            <w:shd w:val="clear" w:color="auto" w:fill="auto"/>
            <w:noWrap/>
            <w:vAlign w:val="center"/>
            <w:hideMark/>
          </w:tcPr>
          <w:p w14:paraId="21F435BA" w14:textId="77777777" w:rsidR="00AF7492" w:rsidRDefault="00AF7492">
            <w:pPr>
              <w:rPr>
                <w:rFonts w:ascii="Calibri" w:hAnsi="Calibri" w:cs="Calibri"/>
                <w:color w:val="000000"/>
                <w:sz w:val="16"/>
                <w:szCs w:val="16"/>
              </w:rPr>
            </w:pPr>
          </w:p>
        </w:tc>
        <w:tc>
          <w:tcPr>
            <w:tcW w:w="697" w:type="pct"/>
            <w:tcBorders>
              <w:top w:val="nil"/>
              <w:left w:val="nil"/>
              <w:bottom w:val="nil"/>
              <w:right w:val="nil"/>
            </w:tcBorders>
            <w:shd w:val="clear" w:color="auto" w:fill="auto"/>
            <w:noWrap/>
            <w:vAlign w:val="center"/>
            <w:hideMark/>
          </w:tcPr>
          <w:p w14:paraId="30BDDE16" w14:textId="77777777" w:rsidR="00AF7492" w:rsidRDefault="00AF7492">
            <w:pPr>
              <w:rPr>
                <w:sz w:val="20"/>
                <w:szCs w:val="20"/>
              </w:rPr>
            </w:pPr>
          </w:p>
        </w:tc>
        <w:tc>
          <w:tcPr>
            <w:tcW w:w="1152" w:type="pct"/>
            <w:tcBorders>
              <w:top w:val="nil"/>
              <w:left w:val="nil"/>
              <w:bottom w:val="nil"/>
              <w:right w:val="nil"/>
            </w:tcBorders>
            <w:shd w:val="clear" w:color="auto" w:fill="auto"/>
            <w:noWrap/>
            <w:vAlign w:val="center"/>
            <w:hideMark/>
          </w:tcPr>
          <w:p w14:paraId="7EFDD0B3" w14:textId="77777777" w:rsidR="00AF7492" w:rsidRDefault="00AF7492">
            <w:pPr>
              <w:jc w:val="right"/>
              <w:rPr>
                <w:rFonts w:ascii="Calibri" w:hAnsi="Calibri" w:cs="Calibri"/>
                <w:color w:val="000000"/>
                <w:sz w:val="16"/>
                <w:szCs w:val="16"/>
              </w:rPr>
            </w:pPr>
            <w:r>
              <w:rPr>
                <w:rFonts w:ascii="Calibri" w:hAnsi="Calibri" w:cs="Calibri"/>
                <w:color w:val="000000"/>
                <w:sz w:val="16"/>
                <w:szCs w:val="16"/>
              </w:rPr>
              <w:t>38.526.493</w:t>
            </w:r>
          </w:p>
        </w:tc>
        <w:tc>
          <w:tcPr>
            <w:tcW w:w="742" w:type="pct"/>
            <w:tcBorders>
              <w:top w:val="nil"/>
              <w:left w:val="nil"/>
              <w:bottom w:val="nil"/>
              <w:right w:val="nil"/>
            </w:tcBorders>
            <w:shd w:val="clear" w:color="auto" w:fill="auto"/>
            <w:noWrap/>
            <w:vAlign w:val="center"/>
            <w:hideMark/>
          </w:tcPr>
          <w:p w14:paraId="6A3C53A4" w14:textId="77777777" w:rsidR="00AF7492" w:rsidRDefault="00AF7492">
            <w:pPr>
              <w:jc w:val="right"/>
              <w:rPr>
                <w:rFonts w:ascii="Calibri" w:hAnsi="Calibri" w:cs="Calibri"/>
                <w:color w:val="000000"/>
                <w:sz w:val="16"/>
                <w:szCs w:val="16"/>
              </w:rPr>
            </w:pPr>
            <w:r>
              <w:rPr>
                <w:rFonts w:ascii="Calibri" w:hAnsi="Calibri" w:cs="Calibri"/>
                <w:color w:val="000000"/>
                <w:sz w:val="16"/>
                <w:szCs w:val="16"/>
              </w:rPr>
              <w:t>38.483.270</w:t>
            </w:r>
          </w:p>
        </w:tc>
      </w:tr>
      <w:tr w:rsidR="00AF7492" w14:paraId="63D035AD" w14:textId="77777777" w:rsidTr="00C34E8D">
        <w:trPr>
          <w:trHeight w:hRule="exact" w:val="227"/>
        </w:trPr>
        <w:tc>
          <w:tcPr>
            <w:tcW w:w="2409" w:type="pct"/>
            <w:gridSpan w:val="3"/>
            <w:tcBorders>
              <w:top w:val="nil"/>
              <w:left w:val="nil"/>
              <w:bottom w:val="nil"/>
              <w:right w:val="nil"/>
            </w:tcBorders>
            <w:shd w:val="clear" w:color="auto" w:fill="auto"/>
            <w:noWrap/>
            <w:vAlign w:val="center"/>
            <w:hideMark/>
          </w:tcPr>
          <w:p w14:paraId="6B52DBCF" w14:textId="77777777" w:rsidR="00AF7492" w:rsidRDefault="00AF7492">
            <w:pPr>
              <w:rPr>
                <w:rFonts w:ascii="Calibri" w:hAnsi="Calibri" w:cs="Calibri"/>
                <w:color w:val="000000"/>
                <w:sz w:val="16"/>
                <w:szCs w:val="16"/>
              </w:rPr>
            </w:pPr>
            <w:r>
              <w:rPr>
                <w:rFonts w:ascii="Calibri" w:hAnsi="Calibri" w:cs="Calibri"/>
                <w:color w:val="000000"/>
                <w:sz w:val="16"/>
                <w:szCs w:val="16"/>
              </w:rPr>
              <w:t xml:space="preserve"> Retenções sobre fornecedores</w:t>
            </w:r>
          </w:p>
        </w:tc>
        <w:tc>
          <w:tcPr>
            <w:tcW w:w="697" w:type="pct"/>
            <w:tcBorders>
              <w:top w:val="nil"/>
              <w:left w:val="nil"/>
              <w:bottom w:val="nil"/>
              <w:right w:val="nil"/>
            </w:tcBorders>
            <w:shd w:val="clear" w:color="auto" w:fill="auto"/>
            <w:noWrap/>
            <w:vAlign w:val="center"/>
            <w:hideMark/>
          </w:tcPr>
          <w:p w14:paraId="64C78377" w14:textId="77777777" w:rsidR="00AF7492" w:rsidRDefault="00AF7492">
            <w:pPr>
              <w:rPr>
                <w:rFonts w:ascii="Calibri" w:hAnsi="Calibri" w:cs="Calibri"/>
                <w:color w:val="000000"/>
                <w:sz w:val="16"/>
                <w:szCs w:val="16"/>
              </w:rPr>
            </w:pPr>
          </w:p>
        </w:tc>
        <w:tc>
          <w:tcPr>
            <w:tcW w:w="1152" w:type="pct"/>
            <w:tcBorders>
              <w:top w:val="nil"/>
              <w:left w:val="nil"/>
              <w:bottom w:val="nil"/>
              <w:right w:val="nil"/>
            </w:tcBorders>
            <w:shd w:val="clear" w:color="auto" w:fill="auto"/>
            <w:noWrap/>
            <w:vAlign w:val="center"/>
            <w:hideMark/>
          </w:tcPr>
          <w:p w14:paraId="550B6264" w14:textId="77777777" w:rsidR="00AF7492" w:rsidRDefault="00AF7492">
            <w:pPr>
              <w:jc w:val="right"/>
              <w:rPr>
                <w:rFonts w:ascii="Calibri" w:hAnsi="Calibri" w:cs="Calibri"/>
                <w:color w:val="000000"/>
                <w:sz w:val="16"/>
                <w:szCs w:val="16"/>
              </w:rPr>
            </w:pPr>
            <w:r>
              <w:rPr>
                <w:rFonts w:ascii="Calibri" w:hAnsi="Calibri" w:cs="Calibri"/>
                <w:color w:val="000000"/>
                <w:sz w:val="16"/>
                <w:szCs w:val="16"/>
              </w:rPr>
              <w:t>58.483</w:t>
            </w:r>
          </w:p>
        </w:tc>
        <w:tc>
          <w:tcPr>
            <w:tcW w:w="742" w:type="pct"/>
            <w:tcBorders>
              <w:top w:val="nil"/>
              <w:left w:val="nil"/>
              <w:bottom w:val="nil"/>
              <w:right w:val="nil"/>
            </w:tcBorders>
            <w:shd w:val="clear" w:color="auto" w:fill="auto"/>
            <w:noWrap/>
            <w:vAlign w:val="center"/>
            <w:hideMark/>
          </w:tcPr>
          <w:p w14:paraId="30CA8154" w14:textId="77777777" w:rsidR="00AF7492" w:rsidRDefault="00AF7492">
            <w:pPr>
              <w:jc w:val="right"/>
              <w:rPr>
                <w:rFonts w:ascii="Calibri" w:hAnsi="Calibri" w:cs="Calibri"/>
                <w:color w:val="000000"/>
                <w:sz w:val="16"/>
                <w:szCs w:val="16"/>
              </w:rPr>
            </w:pPr>
            <w:r>
              <w:rPr>
                <w:rFonts w:ascii="Calibri" w:hAnsi="Calibri" w:cs="Calibri"/>
                <w:color w:val="000000"/>
                <w:sz w:val="16"/>
                <w:szCs w:val="16"/>
              </w:rPr>
              <w:t>179.254</w:t>
            </w:r>
          </w:p>
        </w:tc>
      </w:tr>
      <w:tr w:rsidR="00AF7492" w14:paraId="70B13531" w14:textId="77777777" w:rsidTr="00C34E8D">
        <w:trPr>
          <w:trHeight w:hRule="exact" w:val="227"/>
        </w:trPr>
        <w:tc>
          <w:tcPr>
            <w:tcW w:w="2154" w:type="pct"/>
            <w:gridSpan w:val="2"/>
            <w:tcBorders>
              <w:top w:val="nil"/>
              <w:left w:val="nil"/>
              <w:bottom w:val="nil"/>
              <w:right w:val="nil"/>
            </w:tcBorders>
            <w:shd w:val="clear" w:color="auto" w:fill="auto"/>
            <w:noWrap/>
            <w:vAlign w:val="center"/>
            <w:hideMark/>
          </w:tcPr>
          <w:p w14:paraId="45A81699" w14:textId="77777777" w:rsidR="00AF7492" w:rsidRDefault="00AF7492">
            <w:pPr>
              <w:rPr>
                <w:rFonts w:ascii="Calibri" w:hAnsi="Calibri" w:cs="Calibri"/>
                <w:color w:val="000000"/>
                <w:sz w:val="16"/>
                <w:szCs w:val="16"/>
              </w:rPr>
            </w:pPr>
            <w:r>
              <w:rPr>
                <w:rFonts w:ascii="Calibri" w:hAnsi="Calibri" w:cs="Calibri"/>
                <w:color w:val="000000"/>
                <w:sz w:val="16"/>
                <w:szCs w:val="16"/>
              </w:rPr>
              <w:t xml:space="preserve"> Baixa de depósitos</w:t>
            </w:r>
          </w:p>
        </w:tc>
        <w:tc>
          <w:tcPr>
            <w:tcW w:w="255" w:type="pct"/>
            <w:tcBorders>
              <w:top w:val="nil"/>
              <w:left w:val="nil"/>
              <w:bottom w:val="nil"/>
              <w:right w:val="nil"/>
            </w:tcBorders>
            <w:shd w:val="clear" w:color="auto" w:fill="auto"/>
            <w:noWrap/>
            <w:vAlign w:val="center"/>
            <w:hideMark/>
          </w:tcPr>
          <w:p w14:paraId="5C77C2DF" w14:textId="77777777" w:rsidR="00AF7492" w:rsidRDefault="00AF7492">
            <w:pPr>
              <w:rPr>
                <w:rFonts w:ascii="Calibri" w:hAnsi="Calibri" w:cs="Calibri"/>
                <w:color w:val="000000"/>
                <w:sz w:val="16"/>
                <w:szCs w:val="16"/>
              </w:rPr>
            </w:pPr>
          </w:p>
        </w:tc>
        <w:tc>
          <w:tcPr>
            <w:tcW w:w="697" w:type="pct"/>
            <w:tcBorders>
              <w:top w:val="nil"/>
              <w:left w:val="nil"/>
              <w:bottom w:val="nil"/>
              <w:right w:val="nil"/>
            </w:tcBorders>
            <w:shd w:val="clear" w:color="auto" w:fill="auto"/>
            <w:noWrap/>
            <w:vAlign w:val="center"/>
            <w:hideMark/>
          </w:tcPr>
          <w:p w14:paraId="797BD64D" w14:textId="77777777" w:rsidR="00AF7492" w:rsidRDefault="00AF7492">
            <w:pPr>
              <w:rPr>
                <w:sz w:val="20"/>
                <w:szCs w:val="20"/>
              </w:rPr>
            </w:pPr>
          </w:p>
        </w:tc>
        <w:tc>
          <w:tcPr>
            <w:tcW w:w="1152" w:type="pct"/>
            <w:tcBorders>
              <w:top w:val="nil"/>
              <w:left w:val="nil"/>
              <w:bottom w:val="nil"/>
              <w:right w:val="nil"/>
            </w:tcBorders>
            <w:shd w:val="clear" w:color="auto" w:fill="auto"/>
            <w:noWrap/>
            <w:vAlign w:val="center"/>
            <w:hideMark/>
          </w:tcPr>
          <w:p w14:paraId="1ED93A64" w14:textId="76ED4A24" w:rsidR="00AF7492" w:rsidRDefault="00AF7492">
            <w:pPr>
              <w:jc w:val="right"/>
              <w:rPr>
                <w:rFonts w:ascii="Calibri" w:hAnsi="Calibri" w:cs="Calibri"/>
                <w:color w:val="000000"/>
                <w:sz w:val="16"/>
                <w:szCs w:val="16"/>
              </w:rPr>
            </w:pPr>
            <w:r>
              <w:rPr>
                <w:rFonts w:ascii="Calibri" w:hAnsi="Calibri" w:cs="Calibri"/>
                <w:color w:val="000000"/>
                <w:sz w:val="16"/>
                <w:szCs w:val="16"/>
              </w:rPr>
              <w:t>(4.627)</w:t>
            </w:r>
          </w:p>
        </w:tc>
        <w:tc>
          <w:tcPr>
            <w:tcW w:w="742" w:type="pct"/>
            <w:tcBorders>
              <w:top w:val="nil"/>
              <w:left w:val="nil"/>
              <w:bottom w:val="nil"/>
              <w:right w:val="nil"/>
            </w:tcBorders>
            <w:shd w:val="clear" w:color="auto" w:fill="auto"/>
            <w:noWrap/>
            <w:vAlign w:val="center"/>
            <w:hideMark/>
          </w:tcPr>
          <w:p w14:paraId="0EA1CFE5" w14:textId="3997497C" w:rsidR="00AF7492" w:rsidRDefault="00AF7492">
            <w:pPr>
              <w:jc w:val="right"/>
              <w:rPr>
                <w:rFonts w:ascii="Calibri" w:hAnsi="Calibri" w:cs="Calibri"/>
                <w:color w:val="000000"/>
                <w:sz w:val="16"/>
                <w:szCs w:val="16"/>
              </w:rPr>
            </w:pPr>
            <w:r>
              <w:rPr>
                <w:rFonts w:ascii="Calibri" w:hAnsi="Calibri" w:cs="Calibri"/>
                <w:color w:val="000000"/>
                <w:sz w:val="16"/>
                <w:szCs w:val="16"/>
              </w:rPr>
              <w:t>(136.031)</w:t>
            </w:r>
          </w:p>
        </w:tc>
      </w:tr>
      <w:tr w:rsidR="00AF7492" w14:paraId="45A5C2AE" w14:textId="77777777" w:rsidTr="00C34E8D">
        <w:trPr>
          <w:trHeight w:hRule="exact" w:val="227"/>
        </w:trPr>
        <w:tc>
          <w:tcPr>
            <w:tcW w:w="2409" w:type="pct"/>
            <w:gridSpan w:val="3"/>
            <w:tcBorders>
              <w:top w:val="nil"/>
              <w:left w:val="nil"/>
              <w:bottom w:val="single" w:sz="8" w:space="0" w:color="auto"/>
              <w:right w:val="nil"/>
            </w:tcBorders>
            <w:shd w:val="clear" w:color="auto" w:fill="auto"/>
            <w:noWrap/>
            <w:vAlign w:val="center"/>
            <w:hideMark/>
          </w:tcPr>
          <w:p w14:paraId="5952910F" w14:textId="77777777" w:rsidR="00AF7492" w:rsidRDefault="00AF7492">
            <w:pPr>
              <w:rPr>
                <w:rFonts w:ascii="Calibri" w:hAnsi="Calibri" w:cs="Calibri"/>
                <w:color w:val="000000"/>
                <w:sz w:val="16"/>
                <w:szCs w:val="16"/>
              </w:rPr>
            </w:pPr>
            <w:r>
              <w:rPr>
                <w:rFonts w:ascii="Calibri" w:hAnsi="Calibri" w:cs="Calibri"/>
                <w:color w:val="000000"/>
                <w:sz w:val="16"/>
                <w:szCs w:val="16"/>
              </w:rPr>
              <w:t xml:space="preserve"> Pagamento de Obrigações</w:t>
            </w:r>
          </w:p>
        </w:tc>
        <w:tc>
          <w:tcPr>
            <w:tcW w:w="697" w:type="pct"/>
            <w:tcBorders>
              <w:top w:val="nil"/>
              <w:left w:val="nil"/>
              <w:bottom w:val="single" w:sz="8" w:space="0" w:color="auto"/>
              <w:right w:val="nil"/>
            </w:tcBorders>
            <w:shd w:val="clear" w:color="auto" w:fill="auto"/>
            <w:noWrap/>
            <w:vAlign w:val="center"/>
            <w:hideMark/>
          </w:tcPr>
          <w:p w14:paraId="4F93DAD1" w14:textId="77777777" w:rsidR="00AF7492" w:rsidRDefault="00AF7492">
            <w:pPr>
              <w:jc w:val="right"/>
              <w:rPr>
                <w:rFonts w:ascii="Calibri" w:hAnsi="Calibri" w:cs="Calibri"/>
                <w:color w:val="000000"/>
                <w:sz w:val="16"/>
                <w:szCs w:val="16"/>
              </w:rPr>
            </w:pPr>
            <w:r>
              <w:rPr>
                <w:rFonts w:ascii="Calibri" w:hAnsi="Calibri" w:cs="Calibri"/>
                <w:color w:val="000000"/>
                <w:sz w:val="16"/>
                <w:szCs w:val="16"/>
              </w:rPr>
              <w:t> </w:t>
            </w:r>
          </w:p>
        </w:tc>
        <w:tc>
          <w:tcPr>
            <w:tcW w:w="1152" w:type="pct"/>
            <w:tcBorders>
              <w:top w:val="nil"/>
              <w:left w:val="nil"/>
              <w:bottom w:val="single" w:sz="8" w:space="0" w:color="auto"/>
              <w:right w:val="nil"/>
            </w:tcBorders>
            <w:shd w:val="clear" w:color="auto" w:fill="auto"/>
            <w:noWrap/>
            <w:vAlign w:val="center"/>
            <w:hideMark/>
          </w:tcPr>
          <w:p w14:paraId="763E731E" w14:textId="77777777" w:rsidR="00AF7492" w:rsidRDefault="00AF7492">
            <w:pPr>
              <w:jc w:val="right"/>
              <w:rPr>
                <w:rFonts w:ascii="Calibri" w:hAnsi="Calibri" w:cs="Calibri"/>
                <w:color w:val="000000"/>
                <w:sz w:val="16"/>
                <w:szCs w:val="16"/>
              </w:rPr>
            </w:pPr>
            <w:r>
              <w:rPr>
                <w:rFonts w:ascii="Calibri" w:hAnsi="Calibri" w:cs="Calibri"/>
                <w:color w:val="000000"/>
                <w:sz w:val="16"/>
                <w:szCs w:val="16"/>
              </w:rPr>
              <w:t>0</w:t>
            </w:r>
          </w:p>
        </w:tc>
        <w:tc>
          <w:tcPr>
            <w:tcW w:w="742" w:type="pct"/>
            <w:tcBorders>
              <w:top w:val="nil"/>
              <w:left w:val="nil"/>
              <w:bottom w:val="single" w:sz="8" w:space="0" w:color="auto"/>
              <w:right w:val="nil"/>
            </w:tcBorders>
            <w:shd w:val="clear" w:color="auto" w:fill="auto"/>
            <w:noWrap/>
            <w:vAlign w:val="center"/>
            <w:hideMark/>
          </w:tcPr>
          <w:p w14:paraId="54D33504" w14:textId="77777777" w:rsidR="00AF7492" w:rsidRDefault="00AF7492">
            <w:pPr>
              <w:jc w:val="right"/>
              <w:rPr>
                <w:rFonts w:ascii="Calibri" w:hAnsi="Calibri" w:cs="Calibri"/>
                <w:color w:val="000000"/>
                <w:sz w:val="16"/>
                <w:szCs w:val="16"/>
              </w:rPr>
            </w:pPr>
            <w:r>
              <w:rPr>
                <w:rFonts w:ascii="Calibri" w:hAnsi="Calibri" w:cs="Calibri"/>
                <w:color w:val="000000"/>
                <w:sz w:val="16"/>
                <w:szCs w:val="16"/>
              </w:rPr>
              <w:t>0</w:t>
            </w:r>
          </w:p>
        </w:tc>
      </w:tr>
      <w:tr w:rsidR="00AF7492" w14:paraId="222D0A50" w14:textId="77777777" w:rsidTr="00C34E8D">
        <w:trPr>
          <w:trHeight w:hRule="exact" w:val="227"/>
        </w:trPr>
        <w:tc>
          <w:tcPr>
            <w:tcW w:w="1898" w:type="pct"/>
            <w:tcBorders>
              <w:top w:val="nil"/>
              <w:left w:val="nil"/>
              <w:bottom w:val="single" w:sz="8" w:space="0" w:color="auto"/>
              <w:right w:val="nil"/>
            </w:tcBorders>
            <w:shd w:val="clear" w:color="auto" w:fill="auto"/>
            <w:noWrap/>
            <w:vAlign w:val="center"/>
            <w:hideMark/>
          </w:tcPr>
          <w:p w14:paraId="032A5A17" w14:textId="77777777" w:rsidR="00AF7492" w:rsidRDefault="00AF7492">
            <w:pPr>
              <w:rPr>
                <w:rFonts w:ascii="Calibri" w:hAnsi="Calibri" w:cs="Calibri"/>
                <w:b/>
                <w:bCs/>
                <w:color w:val="000000"/>
                <w:sz w:val="16"/>
                <w:szCs w:val="16"/>
              </w:rPr>
            </w:pPr>
            <w:r>
              <w:rPr>
                <w:rFonts w:ascii="Calibri" w:hAnsi="Calibri" w:cs="Calibri"/>
                <w:b/>
                <w:bCs/>
                <w:color w:val="000000"/>
                <w:sz w:val="16"/>
                <w:szCs w:val="16"/>
              </w:rPr>
              <w:t xml:space="preserve"> TOTAL</w:t>
            </w:r>
          </w:p>
        </w:tc>
        <w:tc>
          <w:tcPr>
            <w:tcW w:w="255" w:type="pct"/>
            <w:tcBorders>
              <w:top w:val="nil"/>
              <w:left w:val="nil"/>
              <w:bottom w:val="single" w:sz="8" w:space="0" w:color="auto"/>
              <w:right w:val="nil"/>
            </w:tcBorders>
            <w:shd w:val="clear" w:color="auto" w:fill="auto"/>
            <w:noWrap/>
            <w:vAlign w:val="center"/>
            <w:hideMark/>
          </w:tcPr>
          <w:p w14:paraId="0ACEE5C5" w14:textId="77777777" w:rsidR="00AF7492" w:rsidRDefault="00AF7492">
            <w:pPr>
              <w:rPr>
                <w:rFonts w:ascii="Calibri" w:hAnsi="Calibri" w:cs="Calibri"/>
                <w:color w:val="000000"/>
                <w:sz w:val="16"/>
                <w:szCs w:val="16"/>
              </w:rPr>
            </w:pPr>
            <w:r>
              <w:rPr>
                <w:rFonts w:ascii="Calibri" w:hAnsi="Calibri" w:cs="Calibri"/>
                <w:color w:val="000000"/>
                <w:sz w:val="16"/>
                <w:szCs w:val="16"/>
              </w:rPr>
              <w:t> </w:t>
            </w:r>
          </w:p>
        </w:tc>
        <w:tc>
          <w:tcPr>
            <w:tcW w:w="255" w:type="pct"/>
            <w:tcBorders>
              <w:top w:val="nil"/>
              <w:left w:val="nil"/>
              <w:bottom w:val="single" w:sz="8" w:space="0" w:color="auto"/>
              <w:right w:val="nil"/>
            </w:tcBorders>
            <w:shd w:val="clear" w:color="auto" w:fill="auto"/>
            <w:noWrap/>
            <w:vAlign w:val="center"/>
            <w:hideMark/>
          </w:tcPr>
          <w:p w14:paraId="3E518000" w14:textId="77777777" w:rsidR="00AF7492" w:rsidRDefault="00AF7492">
            <w:pPr>
              <w:rPr>
                <w:rFonts w:ascii="Calibri" w:hAnsi="Calibri" w:cs="Calibri"/>
                <w:color w:val="000000"/>
                <w:sz w:val="16"/>
                <w:szCs w:val="16"/>
              </w:rPr>
            </w:pPr>
            <w:r>
              <w:rPr>
                <w:rFonts w:ascii="Calibri" w:hAnsi="Calibri" w:cs="Calibri"/>
                <w:color w:val="000000"/>
                <w:sz w:val="16"/>
                <w:szCs w:val="16"/>
              </w:rPr>
              <w:t> </w:t>
            </w:r>
          </w:p>
        </w:tc>
        <w:tc>
          <w:tcPr>
            <w:tcW w:w="697" w:type="pct"/>
            <w:tcBorders>
              <w:top w:val="nil"/>
              <w:left w:val="nil"/>
              <w:bottom w:val="single" w:sz="8" w:space="0" w:color="auto"/>
              <w:right w:val="nil"/>
            </w:tcBorders>
            <w:shd w:val="clear" w:color="auto" w:fill="auto"/>
            <w:noWrap/>
            <w:vAlign w:val="center"/>
            <w:hideMark/>
          </w:tcPr>
          <w:p w14:paraId="57A84AC5" w14:textId="77777777" w:rsidR="00AF7492" w:rsidRDefault="00AF7492">
            <w:pPr>
              <w:jc w:val="right"/>
              <w:rPr>
                <w:rFonts w:ascii="Calibri" w:hAnsi="Calibri" w:cs="Calibri"/>
                <w:b/>
                <w:bCs/>
                <w:color w:val="000000"/>
                <w:sz w:val="16"/>
                <w:szCs w:val="16"/>
              </w:rPr>
            </w:pPr>
            <w:r>
              <w:rPr>
                <w:rFonts w:ascii="Calibri" w:hAnsi="Calibri" w:cs="Calibri"/>
                <w:b/>
                <w:bCs/>
                <w:color w:val="000000"/>
                <w:sz w:val="16"/>
                <w:szCs w:val="16"/>
              </w:rPr>
              <w:t> </w:t>
            </w:r>
          </w:p>
        </w:tc>
        <w:tc>
          <w:tcPr>
            <w:tcW w:w="1152" w:type="pct"/>
            <w:tcBorders>
              <w:top w:val="nil"/>
              <w:left w:val="nil"/>
              <w:bottom w:val="single" w:sz="8" w:space="0" w:color="auto"/>
              <w:right w:val="nil"/>
            </w:tcBorders>
            <w:shd w:val="clear" w:color="auto" w:fill="auto"/>
            <w:noWrap/>
            <w:vAlign w:val="center"/>
            <w:hideMark/>
          </w:tcPr>
          <w:p w14:paraId="6E493CC2" w14:textId="77777777" w:rsidR="00AF7492" w:rsidRDefault="00AF7492">
            <w:pPr>
              <w:jc w:val="right"/>
              <w:rPr>
                <w:rFonts w:ascii="Calibri" w:hAnsi="Calibri" w:cs="Calibri"/>
                <w:b/>
                <w:bCs/>
                <w:color w:val="000000"/>
                <w:sz w:val="16"/>
                <w:szCs w:val="16"/>
              </w:rPr>
            </w:pPr>
            <w:r>
              <w:rPr>
                <w:rFonts w:ascii="Calibri" w:hAnsi="Calibri" w:cs="Calibri"/>
                <w:b/>
                <w:bCs/>
                <w:color w:val="000000"/>
                <w:sz w:val="16"/>
                <w:szCs w:val="16"/>
              </w:rPr>
              <w:t>38.580.349</w:t>
            </w:r>
          </w:p>
        </w:tc>
        <w:tc>
          <w:tcPr>
            <w:tcW w:w="742" w:type="pct"/>
            <w:tcBorders>
              <w:top w:val="nil"/>
              <w:left w:val="nil"/>
              <w:bottom w:val="single" w:sz="8" w:space="0" w:color="auto"/>
              <w:right w:val="nil"/>
            </w:tcBorders>
            <w:shd w:val="clear" w:color="auto" w:fill="auto"/>
            <w:noWrap/>
            <w:vAlign w:val="center"/>
            <w:hideMark/>
          </w:tcPr>
          <w:p w14:paraId="0AACCC7A" w14:textId="77777777" w:rsidR="00AF7492" w:rsidRDefault="00AF7492">
            <w:pPr>
              <w:jc w:val="right"/>
              <w:rPr>
                <w:rFonts w:ascii="Calibri" w:hAnsi="Calibri" w:cs="Calibri"/>
                <w:b/>
                <w:bCs/>
                <w:color w:val="000000"/>
                <w:sz w:val="16"/>
                <w:szCs w:val="16"/>
              </w:rPr>
            </w:pPr>
            <w:r>
              <w:rPr>
                <w:rFonts w:ascii="Calibri" w:hAnsi="Calibri" w:cs="Calibri"/>
                <w:b/>
                <w:bCs/>
                <w:color w:val="000000"/>
                <w:sz w:val="16"/>
                <w:szCs w:val="16"/>
              </w:rPr>
              <w:t>38.526.493</w:t>
            </w:r>
          </w:p>
        </w:tc>
      </w:tr>
    </w:tbl>
    <w:p w14:paraId="2E46288F" w14:textId="77777777" w:rsidR="00AF7492" w:rsidRDefault="00AF7492" w:rsidP="002E2B5B">
      <w:pPr>
        <w:pStyle w:val="Textoembloco"/>
        <w:spacing w:line="240" w:lineRule="auto"/>
        <w:ind w:left="0" w:right="57"/>
        <w:rPr>
          <w:rFonts w:ascii="Calibri" w:hAnsi="Calibri" w:cs="Calibri"/>
          <w:sz w:val="22"/>
          <w:szCs w:val="22"/>
          <w:shd w:val="clear" w:color="auto" w:fill="FFFFFF"/>
        </w:rPr>
      </w:pPr>
    </w:p>
    <w:p w14:paraId="2D0B16CB" w14:textId="0E0699C7" w:rsidR="00514B8F" w:rsidRPr="002E2B5B" w:rsidRDefault="00CE1621"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conta “Depósitos Retidos de Fornecedores” registra as retenções contratuais sobre pagamentos a fornecedores e outras retenções como glosas por determinações dos Órgãos de Controle.  As baixas que ocorreram </w:t>
      </w:r>
      <w:r w:rsidR="006E3EE4" w:rsidRPr="002E2B5B">
        <w:rPr>
          <w:rFonts w:ascii="Calibri" w:hAnsi="Calibri" w:cs="Calibri"/>
          <w:sz w:val="22"/>
          <w:szCs w:val="22"/>
          <w:shd w:val="clear" w:color="auto" w:fill="FFFFFF"/>
        </w:rPr>
        <w:t>referem-se</w:t>
      </w:r>
      <w:r w:rsidRPr="002E2B5B">
        <w:rPr>
          <w:rFonts w:ascii="Calibri" w:hAnsi="Calibri" w:cs="Calibri"/>
          <w:sz w:val="22"/>
          <w:szCs w:val="22"/>
          <w:shd w:val="clear" w:color="auto" w:fill="FFFFFF"/>
        </w:rPr>
        <w:t xml:space="preserve"> aos contratos encerrados e não reclamados administrativamente</w:t>
      </w:r>
      <w:r w:rsidR="00F32CD4" w:rsidRPr="002E2B5B">
        <w:rPr>
          <w:rFonts w:ascii="Calibri" w:hAnsi="Calibri" w:cs="Calibri"/>
          <w:sz w:val="22"/>
          <w:szCs w:val="22"/>
          <w:shd w:val="clear" w:color="auto" w:fill="FFFFFF"/>
        </w:rPr>
        <w:t>.</w:t>
      </w:r>
    </w:p>
    <w:p w14:paraId="1D76320E" w14:textId="77777777" w:rsidR="00F32CD4" w:rsidRPr="002E2B5B" w:rsidRDefault="00F32CD4" w:rsidP="002E2B5B">
      <w:pPr>
        <w:jc w:val="both"/>
        <w:rPr>
          <w:rFonts w:ascii="Calibri" w:hAnsi="Calibri" w:cs="Calibri"/>
          <w:color w:val="FF0000"/>
          <w:sz w:val="22"/>
          <w:szCs w:val="22"/>
        </w:rPr>
      </w:pPr>
    </w:p>
    <w:p w14:paraId="5622913B" w14:textId="230914D6" w:rsidR="00066BBD" w:rsidRPr="002E2B5B" w:rsidRDefault="000568B0" w:rsidP="002E2B5B">
      <w:pPr>
        <w:numPr>
          <w:ilvl w:val="0"/>
          <w:numId w:val="5"/>
        </w:numPr>
        <w:ind w:left="284" w:hanging="284"/>
        <w:jc w:val="both"/>
        <w:rPr>
          <w:rFonts w:ascii="Calibri" w:hAnsi="Calibri" w:cs="Calibri"/>
          <w:sz w:val="22"/>
          <w:szCs w:val="22"/>
        </w:rPr>
      </w:pPr>
      <w:r w:rsidRPr="002E2B5B">
        <w:rPr>
          <w:rFonts w:ascii="Calibri" w:hAnsi="Calibri" w:cs="Calibri"/>
          <w:b/>
          <w:sz w:val="22"/>
          <w:szCs w:val="22"/>
        </w:rPr>
        <w:t xml:space="preserve">Provisões de Ações </w:t>
      </w:r>
      <w:r w:rsidR="00DF21BD" w:rsidRPr="002E2B5B">
        <w:rPr>
          <w:rFonts w:ascii="Calibri" w:hAnsi="Calibri" w:cs="Calibri"/>
          <w:b/>
          <w:sz w:val="22"/>
          <w:szCs w:val="22"/>
        </w:rPr>
        <w:t xml:space="preserve">Cíveis e </w:t>
      </w:r>
      <w:r w:rsidRPr="002E2B5B">
        <w:rPr>
          <w:rFonts w:ascii="Calibri" w:hAnsi="Calibri" w:cs="Calibri"/>
          <w:b/>
          <w:sz w:val="22"/>
          <w:szCs w:val="22"/>
        </w:rPr>
        <w:t>Trabalhistas</w:t>
      </w:r>
      <w:r w:rsidR="00823DAA" w:rsidRPr="002E2B5B">
        <w:rPr>
          <w:rFonts w:ascii="Calibri" w:hAnsi="Calibri" w:cs="Calibri"/>
          <w:b/>
          <w:sz w:val="22"/>
          <w:szCs w:val="22"/>
        </w:rPr>
        <w:t xml:space="preserve"> </w:t>
      </w:r>
    </w:p>
    <w:p w14:paraId="1B5BCE67" w14:textId="33768AE8" w:rsidR="009E0F20" w:rsidRDefault="00894308"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companhia </w:t>
      </w:r>
      <w:r w:rsidR="00B57353" w:rsidRPr="002E2B5B">
        <w:rPr>
          <w:rFonts w:ascii="Calibri" w:hAnsi="Calibri" w:cs="Calibri"/>
          <w:sz w:val="22"/>
          <w:szCs w:val="22"/>
          <w:shd w:val="clear" w:color="auto" w:fill="FFFFFF"/>
        </w:rPr>
        <w:t>é responsável por</w:t>
      </w:r>
      <w:r w:rsidRPr="002E2B5B">
        <w:rPr>
          <w:rFonts w:ascii="Calibri" w:hAnsi="Calibri" w:cs="Calibri"/>
          <w:sz w:val="22"/>
          <w:szCs w:val="22"/>
          <w:shd w:val="clear" w:color="auto" w:fill="FFFFFF"/>
        </w:rPr>
        <w:t xml:space="preserve"> ações trabalhistas e cíveis impetrad</w:t>
      </w:r>
      <w:r w:rsidR="00AD6E75"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s contra VALEC e as extintas empresas Rede Ferroviária Federal S/A – RFFSA e Empresa Brasileira de Planejamento de Transportes – GEIPOT. Os valores dos processos judiciais classificados como obrigações presentes e com “prováveis” saídas futuras de recursos financeiros apresentaram a seguinte movimentação </w:t>
      </w:r>
      <w:r w:rsidR="008765E1">
        <w:rPr>
          <w:rFonts w:ascii="Calibri" w:hAnsi="Calibri" w:cs="Calibri"/>
          <w:sz w:val="22"/>
          <w:szCs w:val="22"/>
          <w:shd w:val="clear" w:color="auto" w:fill="FFFFFF"/>
        </w:rPr>
        <w:t xml:space="preserve">até o </w:t>
      </w:r>
      <w:r w:rsidR="00C34E8D">
        <w:rPr>
          <w:rFonts w:ascii="Calibri" w:hAnsi="Calibri" w:cs="Calibri"/>
          <w:sz w:val="22"/>
          <w:szCs w:val="22"/>
          <w:shd w:val="clear" w:color="auto" w:fill="FFFFFF"/>
        </w:rPr>
        <w:t>segundo</w:t>
      </w:r>
      <w:r w:rsidR="00A8494A">
        <w:rPr>
          <w:rFonts w:ascii="Calibri" w:hAnsi="Calibri" w:cs="Calibri"/>
          <w:sz w:val="22"/>
          <w:szCs w:val="22"/>
          <w:shd w:val="clear" w:color="auto" w:fill="FFFFFF"/>
        </w:rPr>
        <w:t xml:space="preserve"> trimestre de </w:t>
      </w:r>
      <w:r w:rsidR="006332BD" w:rsidRPr="002E2B5B">
        <w:rPr>
          <w:rFonts w:ascii="Calibri" w:hAnsi="Calibri" w:cs="Calibri"/>
          <w:sz w:val="22"/>
          <w:szCs w:val="22"/>
          <w:shd w:val="clear" w:color="auto" w:fill="FFFFFF"/>
        </w:rPr>
        <w:t>20</w:t>
      </w:r>
      <w:r w:rsidR="00270197" w:rsidRPr="002E2B5B">
        <w:rPr>
          <w:rFonts w:ascii="Calibri" w:hAnsi="Calibri" w:cs="Calibri"/>
          <w:sz w:val="22"/>
          <w:szCs w:val="22"/>
          <w:shd w:val="clear" w:color="auto" w:fill="FFFFFF"/>
        </w:rPr>
        <w:t>2</w:t>
      </w:r>
      <w:r w:rsidR="00A8494A">
        <w:rPr>
          <w:rFonts w:ascii="Calibri" w:hAnsi="Calibri" w:cs="Calibri"/>
          <w:sz w:val="22"/>
          <w:szCs w:val="22"/>
          <w:shd w:val="clear" w:color="auto" w:fill="FFFFFF"/>
        </w:rPr>
        <w:t>1</w:t>
      </w:r>
      <w:r w:rsidRPr="002E2B5B">
        <w:rPr>
          <w:rFonts w:ascii="Calibri" w:hAnsi="Calibri" w:cs="Calibri"/>
          <w:sz w:val="22"/>
          <w:szCs w:val="22"/>
          <w:shd w:val="clear" w:color="auto" w:fill="FFFFFF"/>
        </w:rPr>
        <w:t>:</w:t>
      </w:r>
    </w:p>
    <w:p w14:paraId="5A3754A2" w14:textId="77777777" w:rsidR="00C34E8D" w:rsidRDefault="00C34E8D" w:rsidP="002E2B5B">
      <w:pPr>
        <w:pStyle w:val="Textoembloco"/>
        <w:spacing w:line="240" w:lineRule="auto"/>
        <w:ind w:left="0" w:right="57"/>
        <w:rPr>
          <w:rFonts w:ascii="Calibri" w:hAnsi="Calibri" w:cs="Calibri"/>
          <w:sz w:val="22"/>
          <w:szCs w:val="22"/>
          <w:shd w:val="clear" w:color="auto" w:fill="FFFFFF"/>
        </w:rPr>
      </w:pPr>
    </w:p>
    <w:tbl>
      <w:tblPr>
        <w:tblW w:w="5000" w:type="pct"/>
        <w:tblCellMar>
          <w:left w:w="70" w:type="dxa"/>
          <w:right w:w="70" w:type="dxa"/>
        </w:tblCellMar>
        <w:tblLook w:val="04A0" w:firstRow="1" w:lastRow="0" w:firstColumn="1" w:lastColumn="0" w:noHBand="0" w:noVBand="1"/>
      </w:tblPr>
      <w:tblGrid>
        <w:gridCol w:w="2553"/>
        <w:gridCol w:w="1300"/>
        <w:gridCol w:w="1128"/>
        <w:gridCol w:w="1643"/>
        <w:gridCol w:w="1128"/>
        <w:gridCol w:w="1128"/>
        <w:gridCol w:w="1587"/>
      </w:tblGrid>
      <w:tr w:rsidR="001B2742" w:rsidRPr="001B2742" w14:paraId="710A58E9" w14:textId="77777777" w:rsidTr="00C34E8D">
        <w:trPr>
          <w:trHeight w:hRule="exact" w:val="227"/>
        </w:trPr>
        <w:tc>
          <w:tcPr>
            <w:tcW w:w="1219" w:type="pct"/>
            <w:tcBorders>
              <w:top w:val="nil"/>
              <w:left w:val="nil"/>
              <w:bottom w:val="single" w:sz="8" w:space="0" w:color="auto"/>
              <w:right w:val="nil"/>
            </w:tcBorders>
            <w:shd w:val="clear" w:color="auto" w:fill="auto"/>
            <w:noWrap/>
            <w:vAlign w:val="center"/>
            <w:hideMark/>
          </w:tcPr>
          <w:p w14:paraId="6C24A8D8" w14:textId="77777777" w:rsidR="001B2742" w:rsidRPr="001B2742" w:rsidRDefault="001B2742">
            <w:pPr>
              <w:rPr>
                <w:rFonts w:ascii="Calibri" w:hAnsi="Calibri" w:cs="Calibri"/>
                <w:b/>
                <w:bCs/>
                <w:color w:val="000000"/>
                <w:sz w:val="16"/>
                <w:szCs w:val="16"/>
              </w:rPr>
            </w:pPr>
            <w:r w:rsidRPr="001B2742">
              <w:rPr>
                <w:rFonts w:ascii="Calibri" w:hAnsi="Calibri" w:cs="Calibri"/>
                <w:b/>
                <w:bCs/>
                <w:color w:val="000000"/>
                <w:sz w:val="16"/>
                <w:szCs w:val="16"/>
              </w:rPr>
              <w:t>AÇÕES</w:t>
            </w:r>
          </w:p>
        </w:tc>
        <w:tc>
          <w:tcPr>
            <w:tcW w:w="621" w:type="pct"/>
            <w:tcBorders>
              <w:top w:val="nil"/>
              <w:left w:val="nil"/>
              <w:bottom w:val="single" w:sz="8" w:space="0" w:color="auto"/>
              <w:right w:val="nil"/>
            </w:tcBorders>
            <w:shd w:val="clear" w:color="auto" w:fill="auto"/>
            <w:vAlign w:val="center"/>
            <w:hideMark/>
          </w:tcPr>
          <w:p w14:paraId="556E4B52"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SALDO EM 31/12/2020</w:t>
            </w:r>
          </w:p>
        </w:tc>
        <w:tc>
          <w:tcPr>
            <w:tcW w:w="539" w:type="pct"/>
            <w:tcBorders>
              <w:top w:val="nil"/>
              <w:left w:val="nil"/>
              <w:bottom w:val="single" w:sz="8" w:space="0" w:color="auto"/>
              <w:right w:val="nil"/>
            </w:tcBorders>
            <w:shd w:val="clear" w:color="auto" w:fill="auto"/>
            <w:vAlign w:val="center"/>
            <w:hideMark/>
          </w:tcPr>
          <w:p w14:paraId="034C7584"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INGRESSO</w:t>
            </w:r>
          </w:p>
        </w:tc>
        <w:tc>
          <w:tcPr>
            <w:tcW w:w="785" w:type="pct"/>
            <w:tcBorders>
              <w:top w:val="nil"/>
              <w:left w:val="nil"/>
              <w:bottom w:val="single" w:sz="8" w:space="0" w:color="auto"/>
              <w:right w:val="nil"/>
            </w:tcBorders>
            <w:shd w:val="clear" w:color="auto" w:fill="auto"/>
            <w:vAlign w:val="center"/>
            <w:hideMark/>
          </w:tcPr>
          <w:p w14:paraId="2744EB92"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ATUALIZAÇÃO MONETÁRIA</w:t>
            </w:r>
          </w:p>
        </w:tc>
        <w:tc>
          <w:tcPr>
            <w:tcW w:w="539" w:type="pct"/>
            <w:tcBorders>
              <w:top w:val="nil"/>
              <w:left w:val="nil"/>
              <w:bottom w:val="single" w:sz="8" w:space="0" w:color="auto"/>
              <w:right w:val="nil"/>
            </w:tcBorders>
            <w:shd w:val="clear" w:color="auto" w:fill="auto"/>
            <w:vAlign w:val="center"/>
            <w:hideMark/>
          </w:tcPr>
          <w:p w14:paraId="1A0E16BC"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 xml:space="preserve">     BAIXA</w:t>
            </w:r>
          </w:p>
        </w:tc>
        <w:tc>
          <w:tcPr>
            <w:tcW w:w="539" w:type="pct"/>
            <w:tcBorders>
              <w:top w:val="nil"/>
              <w:left w:val="nil"/>
              <w:bottom w:val="single" w:sz="8" w:space="0" w:color="auto"/>
              <w:right w:val="nil"/>
            </w:tcBorders>
            <w:shd w:val="clear" w:color="auto" w:fill="auto"/>
            <w:vAlign w:val="center"/>
            <w:hideMark/>
          </w:tcPr>
          <w:p w14:paraId="298AFAD9"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BAIXA AT. MONET.</w:t>
            </w:r>
          </w:p>
        </w:tc>
        <w:tc>
          <w:tcPr>
            <w:tcW w:w="759" w:type="pct"/>
            <w:tcBorders>
              <w:top w:val="nil"/>
              <w:left w:val="nil"/>
              <w:bottom w:val="single" w:sz="8" w:space="0" w:color="auto"/>
              <w:right w:val="nil"/>
            </w:tcBorders>
            <w:shd w:val="clear" w:color="auto" w:fill="auto"/>
            <w:vAlign w:val="center"/>
            <w:hideMark/>
          </w:tcPr>
          <w:p w14:paraId="53C6146C"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SALDO EM 30/06/2021</w:t>
            </w:r>
          </w:p>
        </w:tc>
      </w:tr>
      <w:tr w:rsidR="001B2742" w:rsidRPr="001B2742" w14:paraId="5880F94D" w14:textId="77777777" w:rsidTr="00C34E8D">
        <w:trPr>
          <w:trHeight w:hRule="exact" w:val="227"/>
        </w:trPr>
        <w:tc>
          <w:tcPr>
            <w:tcW w:w="1219" w:type="pct"/>
            <w:tcBorders>
              <w:top w:val="nil"/>
              <w:left w:val="nil"/>
              <w:bottom w:val="nil"/>
              <w:right w:val="nil"/>
            </w:tcBorders>
            <w:shd w:val="clear" w:color="auto" w:fill="auto"/>
            <w:noWrap/>
            <w:vAlign w:val="center"/>
            <w:hideMark/>
          </w:tcPr>
          <w:p w14:paraId="3501CF24" w14:textId="77777777" w:rsidR="001B2742" w:rsidRPr="001B2742" w:rsidRDefault="001B2742">
            <w:pPr>
              <w:rPr>
                <w:rFonts w:ascii="Calibri" w:hAnsi="Calibri" w:cs="Calibri"/>
                <w:color w:val="000000"/>
                <w:sz w:val="16"/>
                <w:szCs w:val="16"/>
              </w:rPr>
            </w:pPr>
            <w:r w:rsidRPr="001B2742">
              <w:rPr>
                <w:rFonts w:ascii="Calibri" w:hAnsi="Calibri" w:cs="Calibri"/>
                <w:color w:val="000000"/>
                <w:sz w:val="16"/>
                <w:szCs w:val="16"/>
              </w:rPr>
              <w:t>Cíveis</w:t>
            </w:r>
          </w:p>
        </w:tc>
        <w:tc>
          <w:tcPr>
            <w:tcW w:w="621" w:type="pct"/>
            <w:tcBorders>
              <w:top w:val="nil"/>
              <w:left w:val="nil"/>
              <w:bottom w:val="nil"/>
              <w:right w:val="nil"/>
            </w:tcBorders>
            <w:shd w:val="clear" w:color="auto" w:fill="auto"/>
            <w:noWrap/>
            <w:vAlign w:val="center"/>
            <w:hideMark/>
          </w:tcPr>
          <w:p w14:paraId="21747285"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664.945.628</w:t>
            </w:r>
          </w:p>
        </w:tc>
        <w:tc>
          <w:tcPr>
            <w:tcW w:w="539" w:type="pct"/>
            <w:tcBorders>
              <w:top w:val="nil"/>
              <w:left w:val="nil"/>
              <w:bottom w:val="nil"/>
              <w:right w:val="nil"/>
            </w:tcBorders>
            <w:shd w:val="clear" w:color="auto" w:fill="auto"/>
            <w:noWrap/>
            <w:vAlign w:val="center"/>
            <w:hideMark/>
          </w:tcPr>
          <w:p w14:paraId="0B5A1503"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0</w:t>
            </w:r>
          </w:p>
        </w:tc>
        <w:tc>
          <w:tcPr>
            <w:tcW w:w="785" w:type="pct"/>
            <w:tcBorders>
              <w:top w:val="nil"/>
              <w:left w:val="nil"/>
              <w:bottom w:val="nil"/>
              <w:right w:val="nil"/>
            </w:tcBorders>
            <w:shd w:val="clear" w:color="auto" w:fill="auto"/>
            <w:noWrap/>
            <w:vAlign w:val="center"/>
            <w:hideMark/>
          </w:tcPr>
          <w:p w14:paraId="19E4CC83"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41.163.291</w:t>
            </w:r>
          </w:p>
        </w:tc>
        <w:tc>
          <w:tcPr>
            <w:tcW w:w="539" w:type="pct"/>
            <w:tcBorders>
              <w:top w:val="nil"/>
              <w:left w:val="nil"/>
              <w:bottom w:val="nil"/>
              <w:right w:val="nil"/>
            </w:tcBorders>
            <w:shd w:val="clear" w:color="auto" w:fill="auto"/>
            <w:noWrap/>
            <w:vAlign w:val="center"/>
            <w:hideMark/>
          </w:tcPr>
          <w:p w14:paraId="79868ECF"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0</w:t>
            </w:r>
          </w:p>
        </w:tc>
        <w:tc>
          <w:tcPr>
            <w:tcW w:w="539" w:type="pct"/>
            <w:tcBorders>
              <w:top w:val="nil"/>
              <w:left w:val="nil"/>
              <w:bottom w:val="nil"/>
              <w:right w:val="nil"/>
            </w:tcBorders>
            <w:shd w:val="clear" w:color="auto" w:fill="auto"/>
            <w:noWrap/>
            <w:vAlign w:val="center"/>
            <w:hideMark/>
          </w:tcPr>
          <w:p w14:paraId="3A219782"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0</w:t>
            </w:r>
          </w:p>
        </w:tc>
        <w:tc>
          <w:tcPr>
            <w:tcW w:w="759" w:type="pct"/>
            <w:tcBorders>
              <w:top w:val="nil"/>
              <w:left w:val="nil"/>
              <w:bottom w:val="nil"/>
              <w:right w:val="nil"/>
            </w:tcBorders>
            <w:shd w:val="clear" w:color="auto" w:fill="auto"/>
            <w:noWrap/>
            <w:vAlign w:val="center"/>
            <w:hideMark/>
          </w:tcPr>
          <w:p w14:paraId="35BE16E4"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706.108.919</w:t>
            </w:r>
          </w:p>
        </w:tc>
      </w:tr>
      <w:tr w:rsidR="001B2742" w:rsidRPr="001B2742" w14:paraId="3522E563" w14:textId="77777777" w:rsidTr="00C34E8D">
        <w:trPr>
          <w:trHeight w:hRule="exact" w:val="227"/>
        </w:trPr>
        <w:tc>
          <w:tcPr>
            <w:tcW w:w="1219" w:type="pct"/>
            <w:tcBorders>
              <w:top w:val="nil"/>
              <w:left w:val="nil"/>
              <w:bottom w:val="single" w:sz="8" w:space="0" w:color="auto"/>
              <w:right w:val="nil"/>
            </w:tcBorders>
            <w:shd w:val="clear" w:color="auto" w:fill="auto"/>
            <w:noWrap/>
            <w:vAlign w:val="center"/>
            <w:hideMark/>
          </w:tcPr>
          <w:p w14:paraId="66E8DBF5" w14:textId="77777777" w:rsidR="001B2742" w:rsidRPr="001B2742" w:rsidRDefault="001B2742">
            <w:pPr>
              <w:rPr>
                <w:rFonts w:ascii="Calibri" w:hAnsi="Calibri" w:cs="Calibri"/>
                <w:color w:val="000000"/>
                <w:sz w:val="16"/>
                <w:szCs w:val="16"/>
              </w:rPr>
            </w:pPr>
            <w:r w:rsidRPr="001B2742">
              <w:rPr>
                <w:rFonts w:ascii="Calibri" w:hAnsi="Calibri" w:cs="Calibri"/>
                <w:color w:val="000000"/>
                <w:sz w:val="16"/>
                <w:szCs w:val="16"/>
              </w:rPr>
              <w:t>Trabalhistas</w:t>
            </w:r>
          </w:p>
        </w:tc>
        <w:tc>
          <w:tcPr>
            <w:tcW w:w="621" w:type="pct"/>
            <w:tcBorders>
              <w:top w:val="nil"/>
              <w:left w:val="nil"/>
              <w:bottom w:val="single" w:sz="8" w:space="0" w:color="auto"/>
              <w:right w:val="nil"/>
            </w:tcBorders>
            <w:shd w:val="clear" w:color="auto" w:fill="auto"/>
            <w:noWrap/>
            <w:vAlign w:val="center"/>
            <w:hideMark/>
          </w:tcPr>
          <w:p w14:paraId="0E4B2FCE"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101.185.091</w:t>
            </w:r>
          </w:p>
        </w:tc>
        <w:tc>
          <w:tcPr>
            <w:tcW w:w="539" w:type="pct"/>
            <w:tcBorders>
              <w:top w:val="nil"/>
              <w:left w:val="nil"/>
              <w:bottom w:val="single" w:sz="8" w:space="0" w:color="auto"/>
              <w:right w:val="nil"/>
            </w:tcBorders>
            <w:shd w:val="clear" w:color="auto" w:fill="auto"/>
            <w:noWrap/>
            <w:vAlign w:val="center"/>
            <w:hideMark/>
          </w:tcPr>
          <w:p w14:paraId="7575B797"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0</w:t>
            </w:r>
          </w:p>
        </w:tc>
        <w:tc>
          <w:tcPr>
            <w:tcW w:w="785" w:type="pct"/>
            <w:tcBorders>
              <w:top w:val="nil"/>
              <w:left w:val="nil"/>
              <w:bottom w:val="single" w:sz="8" w:space="0" w:color="auto"/>
              <w:right w:val="nil"/>
            </w:tcBorders>
            <w:shd w:val="clear" w:color="auto" w:fill="auto"/>
            <w:noWrap/>
            <w:vAlign w:val="center"/>
            <w:hideMark/>
          </w:tcPr>
          <w:p w14:paraId="4011202E"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4.428.230</w:t>
            </w:r>
          </w:p>
        </w:tc>
        <w:tc>
          <w:tcPr>
            <w:tcW w:w="539" w:type="pct"/>
            <w:tcBorders>
              <w:top w:val="nil"/>
              <w:left w:val="nil"/>
              <w:bottom w:val="single" w:sz="8" w:space="0" w:color="auto"/>
              <w:right w:val="nil"/>
            </w:tcBorders>
            <w:shd w:val="clear" w:color="auto" w:fill="auto"/>
            <w:noWrap/>
            <w:vAlign w:val="center"/>
            <w:hideMark/>
          </w:tcPr>
          <w:p w14:paraId="6C0C5628"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0</w:t>
            </w:r>
          </w:p>
        </w:tc>
        <w:tc>
          <w:tcPr>
            <w:tcW w:w="539" w:type="pct"/>
            <w:tcBorders>
              <w:top w:val="nil"/>
              <w:left w:val="nil"/>
              <w:bottom w:val="single" w:sz="8" w:space="0" w:color="auto"/>
              <w:right w:val="nil"/>
            </w:tcBorders>
            <w:shd w:val="clear" w:color="auto" w:fill="auto"/>
            <w:noWrap/>
            <w:vAlign w:val="center"/>
            <w:hideMark/>
          </w:tcPr>
          <w:p w14:paraId="30522761"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0</w:t>
            </w:r>
          </w:p>
        </w:tc>
        <w:tc>
          <w:tcPr>
            <w:tcW w:w="759" w:type="pct"/>
            <w:tcBorders>
              <w:top w:val="nil"/>
              <w:left w:val="nil"/>
              <w:bottom w:val="single" w:sz="8" w:space="0" w:color="auto"/>
              <w:right w:val="nil"/>
            </w:tcBorders>
            <w:shd w:val="clear" w:color="auto" w:fill="auto"/>
            <w:noWrap/>
            <w:vAlign w:val="center"/>
            <w:hideMark/>
          </w:tcPr>
          <w:p w14:paraId="5ABD8EFA"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105.613.321</w:t>
            </w:r>
          </w:p>
        </w:tc>
      </w:tr>
      <w:tr w:rsidR="001B2742" w:rsidRPr="001B2742" w14:paraId="5BCACA8D" w14:textId="77777777" w:rsidTr="00C34E8D">
        <w:trPr>
          <w:trHeight w:hRule="exact" w:val="227"/>
        </w:trPr>
        <w:tc>
          <w:tcPr>
            <w:tcW w:w="1219" w:type="pct"/>
            <w:tcBorders>
              <w:top w:val="nil"/>
              <w:left w:val="nil"/>
              <w:bottom w:val="single" w:sz="8" w:space="0" w:color="auto"/>
              <w:right w:val="nil"/>
            </w:tcBorders>
            <w:shd w:val="clear" w:color="auto" w:fill="auto"/>
            <w:noWrap/>
            <w:vAlign w:val="center"/>
            <w:hideMark/>
          </w:tcPr>
          <w:p w14:paraId="16C6D545" w14:textId="77777777" w:rsidR="001B2742" w:rsidRPr="001B2742" w:rsidRDefault="001B2742">
            <w:pPr>
              <w:rPr>
                <w:rFonts w:ascii="Calibri" w:hAnsi="Calibri" w:cs="Calibri"/>
                <w:b/>
                <w:bCs/>
                <w:color w:val="000000"/>
                <w:sz w:val="16"/>
                <w:szCs w:val="16"/>
              </w:rPr>
            </w:pPr>
            <w:r w:rsidRPr="001B2742">
              <w:rPr>
                <w:rFonts w:ascii="Calibri" w:hAnsi="Calibri" w:cs="Calibri"/>
                <w:b/>
                <w:bCs/>
                <w:color w:val="000000"/>
                <w:sz w:val="16"/>
                <w:szCs w:val="16"/>
              </w:rPr>
              <w:t>SALDO</w:t>
            </w:r>
          </w:p>
        </w:tc>
        <w:tc>
          <w:tcPr>
            <w:tcW w:w="621" w:type="pct"/>
            <w:tcBorders>
              <w:top w:val="nil"/>
              <w:left w:val="nil"/>
              <w:bottom w:val="single" w:sz="8" w:space="0" w:color="auto"/>
              <w:right w:val="nil"/>
            </w:tcBorders>
            <w:shd w:val="clear" w:color="auto" w:fill="auto"/>
            <w:noWrap/>
            <w:vAlign w:val="center"/>
            <w:hideMark/>
          </w:tcPr>
          <w:p w14:paraId="64F0646C"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766.130.719</w:t>
            </w:r>
          </w:p>
        </w:tc>
        <w:tc>
          <w:tcPr>
            <w:tcW w:w="539" w:type="pct"/>
            <w:tcBorders>
              <w:top w:val="nil"/>
              <w:left w:val="nil"/>
              <w:bottom w:val="single" w:sz="8" w:space="0" w:color="auto"/>
              <w:right w:val="nil"/>
            </w:tcBorders>
            <w:shd w:val="clear" w:color="auto" w:fill="auto"/>
            <w:noWrap/>
            <w:vAlign w:val="center"/>
            <w:hideMark/>
          </w:tcPr>
          <w:p w14:paraId="75497173"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85" w:type="pct"/>
            <w:tcBorders>
              <w:top w:val="nil"/>
              <w:left w:val="nil"/>
              <w:bottom w:val="single" w:sz="8" w:space="0" w:color="auto"/>
              <w:right w:val="nil"/>
            </w:tcBorders>
            <w:shd w:val="clear" w:color="auto" w:fill="auto"/>
            <w:noWrap/>
            <w:vAlign w:val="center"/>
            <w:hideMark/>
          </w:tcPr>
          <w:p w14:paraId="1D925066"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45.591.521</w:t>
            </w:r>
          </w:p>
        </w:tc>
        <w:tc>
          <w:tcPr>
            <w:tcW w:w="539" w:type="pct"/>
            <w:tcBorders>
              <w:top w:val="nil"/>
              <w:left w:val="nil"/>
              <w:bottom w:val="single" w:sz="8" w:space="0" w:color="auto"/>
              <w:right w:val="nil"/>
            </w:tcBorders>
            <w:shd w:val="clear" w:color="auto" w:fill="auto"/>
            <w:noWrap/>
            <w:vAlign w:val="center"/>
            <w:hideMark/>
          </w:tcPr>
          <w:p w14:paraId="11232A35"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539" w:type="pct"/>
            <w:tcBorders>
              <w:top w:val="nil"/>
              <w:left w:val="nil"/>
              <w:bottom w:val="single" w:sz="8" w:space="0" w:color="auto"/>
              <w:right w:val="nil"/>
            </w:tcBorders>
            <w:shd w:val="clear" w:color="auto" w:fill="auto"/>
            <w:noWrap/>
            <w:vAlign w:val="center"/>
            <w:hideMark/>
          </w:tcPr>
          <w:p w14:paraId="0D16DBDE"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59" w:type="pct"/>
            <w:tcBorders>
              <w:top w:val="nil"/>
              <w:left w:val="nil"/>
              <w:bottom w:val="single" w:sz="8" w:space="0" w:color="auto"/>
              <w:right w:val="nil"/>
            </w:tcBorders>
            <w:shd w:val="clear" w:color="auto" w:fill="auto"/>
            <w:noWrap/>
            <w:vAlign w:val="center"/>
            <w:hideMark/>
          </w:tcPr>
          <w:p w14:paraId="40FD985C"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811.722.240</w:t>
            </w:r>
          </w:p>
        </w:tc>
      </w:tr>
      <w:tr w:rsidR="001B2742" w:rsidRPr="001B2742" w14:paraId="648232E5" w14:textId="77777777" w:rsidTr="00C34E8D">
        <w:trPr>
          <w:trHeight w:hRule="exact" w:val="227"/>
        </w:trPr>
        <w:tc>
          <w:tcPr>
            <w:tcW w:w="1219" w:type="pct"/>
            <w:tcBorders>
              <w:top w:val="nil"/>
              <w:left w:val="nil"/>
              <w:bottom w:val="single" w:sz="8" w:space="0" w:color="auto"/>
              <w:right w:val="nil"/>
            </w:tcBorders>
            <w:shd w:val="clear" w:color="auto" w:fill="auto"/>
            <w:noWrap/>
            <w:vAlign w:val="center"/>
            <w:hideMark/>
          </w:tcPr>
          <w:p w14:paraId="0DC967DB" w14:textId="77777777" w:rsidR="001B2742" w:rsidRPr="001B2742" w:rsidRDefault="001B2742">
            <w:pPr>
              <w:rPr>
                <w:rFonts w:ascii="Calibri" w:hAnsi="Calibri" w:cs="Calibri"/>
                <w:b/>
                <w:bCs/>
                <w:color w:val="000000"/>
                <w:sz w:val="16"/>
                <w:szCs w:val="16"/>
              </w:rPr>
            </w:pPr>
            <w:r w:rsidRPr="001B2742">
              <w:rPr>
                <w:rFonts w:ascii="Calibri" w:hAnsi="Calibri" w:cs="Calibri"/>
                <w:b/>
                <w:bCs/>
                <w:color w:val="000000"/>
                <w:sz w:val="16"/>
                <w:szCs w:val="16"/>
              </w:rPr>
              <w:t>Cíveis (Curto Prazo)</w:t>
            </w:r>
          </w:p>
        </w:tc>
        <w:tc>
          <w:tcPr>
            <w:tcW w:w="621" w:type="pct"/>
            <w:tcBorders>
              <w:top w:val="nil"/>
              <w:left w:val="nil"/>
              <w:bottom w:val="single" w:sz="8" w:space="0" w:color="auto"/>
              <w:right w:val="nil"/>
            </w:tcBorders>
            <w:shd w:val="clear" w:color="auto" w:fill="auto"/>
            <w:noWrap/>
            <w:vAlign w:val="center"/>
            <w:hideMark/>
          </w:tcPr>
          <w:p w14:paraId="02A1EDDE"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250.054.533</w:t>
            </w:r>
          </w:p>
        </w:tc>
        <w:tc>
          <w:tcPr>
            <w:tcW w:w="539" w:type="pct"/>
            <w:tcBorders>
              <w:top w:val="nil"/>
              <w:left w:val="nil"/>
              <w:bottom w:val="single" w:sz="8" w:space="0" w:color="auto"/>
              <w:right w:val="nil"/>
            </w:tcBorders>
            <w:shd w:val="clear" w:color="auto" w:fill="auto"/>
            <w:noWrap/>
            <w:vAlign w:val="center"/>
            <w:hideMark/>
          </w:tcPr>
          <w:p w14:paraId="192EFEB2"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85" w:type="pct"/>
            <w:tcBorders>
              <w:top w:val="nil"/>
              <w:left w:val="nil"/>
              <w:bottom w:val="single" w:sz="8" w:space="0" w:color="auto"/>
              <w:right w:val="nil"/>
            </w:tcBorders>
            <w:shd w:val="clear" w:color="auto" w:fill="auto"/>
            <w:noWrap/>
            <w:vAlign w:val="center"/>
            <w:hideMark/>
          </w:tcPr>
          <w:p w14:paraId="3AEDAA1D"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14.618.618</w:t>
            </w:r>
          </w:p>
        </w:tc>
        <w:tc>
          <w:tcPr>
            <w:tcW w:w="539" w:type="pct"/>
            <w:tcBorders>
              <w:top w:val="nil"/>
              <w:left w:val="nil"/>
              <w:bottom w:val="single" w:sz="8" w:space="0" w:color="auto"/>
              <w:right w:val="nil"/>
            </w:tcBorders>
            <w:shd w:val="clear" w:color="auto" w:fill="auto"/>
            <w:noWrap/>
            <w:vAlign w:val="center"/>
            <w:hideMark/>
          </w:tcPr>
          <w:p w14:paraId="4AA3F4E6"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539" w:type="pct"/>
            <w:tcBorders>
              <w:top w:val="nil"/>
              <w:left w:val="nil"/>
              <w:bottom w:val="single" w:sz="8" w:space="0" w:color="auto"/>
              <w:right w:val="nil"/>
            </w:tcBorders>
            <w:shd w:val="clear" w:color="auto" w:fill="auto"/>
            <w:noWrap/>
            <w:vAlign w:val="center"/>
            <w:hideMark/>
          </w:tcPr>
          <w:p w14:paraId="0EF6F7A5"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59" w:type="pct"/>
            <w:tcBorders>
              <w:top w:val="nil"/>
              <w:left w:val="nil"/>
              <w:bottom w:val="single" w:sz="8" w:space="0" w:color="auto"/>
              <w:right w:val="nil"/>
            </w:tcBorders>
            <w:shd w:val="clear" w:color="auto" w:fill="auto"/>
            <w:noWrap/>
            <w:vAlign w:val="center"/>
            <w:hideMark/>
          </w:tcPr>
          <w:p w14:paraId="3387317C"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264.673.151</w:t>
            </w:r>
          </w:p>
        </w:tc>
      </w:tr>
      <w:tr w:rsidR="001B2742" w:rsidRPr="001B2742" w14:paraId="323F815B" w14:textId="77777777" w:rsidTr="00C34E8D">
        <w:trPr>
          <w:trHeight w:hRule="exact" w:val="227"/>
        </w:trPr>
        <w:tc>
          <w:tcPr>
            <w:tcW w:w="1219" w:type="pct"/>
            <w:tcBorders>
              <w:top w:val="nil"/>
              <w:left w:val="nil"/>
              <w:bottom w:val="single" w:sz="8" w:space="0" w:color="auto"/>
              <w:right w:val="nil"/>
            </w:tcBorders>
            <w:shd w:val="clear" w:color="auto" w:fill="auto"/>
            <w:noWrap/>
            <w:vAlign w:val="center"/>
            <w:hideMark/>
          </w:tcPr>
          <w:p w14:paraId="71E754A7" w14:textId="77777777" w:rsidR="001B2742" w:rsidRPr="001B2742" w:rsidRDefault="001B2742">
            <w:pPr>
              <w:rPr>
                <w:rFonts w:ascii="Calibri" w:hAnsi="Calibri" w:cs="Calibri"/>
                <w:b/>
                <w:bCs/>
                <w:color w:val="000000"/>
                <w:sz w:val="16"/>
                <w:szCs w:val="16"/>
              </w:rPr>
            </w:pPr>
            <w:r w:rsidRPr="001B2742">
              <w:rPr>
                <w:rFonts w:ascii="Calibri" w:hAnsi="Calibri" w:cs="Calibri"/>
                <w:b/>
                <w:bCs/>
                <w:color w:val="000000"/>
                <w:sz w:val="16"/>
                <w:szCs w:val="16"/>
              </w:rPr>
              <w:t>Trabalhistas (Curto Prazo)</w:t>
            </w:r>
          </w:p>
        </w:tc>
        <w:tc>
          <w:tcPr>
            <w:tcW w:w="621" w:type="pct"/>
            <w:tcBorders>
              <w:top w:val="nil"/>
              <w:left w:val="nil"/>
              <w:bottom w:val="single" w:sz="8" w:space="0" w:color="auto"/>
              <w:right w:val="nil"/>
            </w:tcBorders>
            <w:shd w:val="clear" w:color="auto" w:fill="auto"/>
            <w:noWrap/>
            <w:vAlign w:val="center"/>
            <w:hideMark/>
          </w:tcPr>
          <w:p w14:paraId="52A78639"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40.917.233</w:t>
            </w:r>
          </w:p>
        </w:tc>
        <w:tc>
          <w:tcPr>
            <w:tcW w:w="539" w:type="pct"/>
            <w:tcBorders>
              <w:top w:val="nil"/>
              <w:left w:val="nil"/>
              <w:bottom w:val="single" w:sz="8" w:space="0" w:color="auto"/>
              <w:right w:val="nil"/>
            </w:tcBorders>
            <w:shd w:val="clear" w:color="auto" w:fill="auto"/>
            <w:noWrap/>
            <w:vAlign w:val="center"/>
            <w:hideMark/>
          </w:tcPr>
          <w:p w14:paraId="7FD526C6"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85" w:type="pct"/>
            <w:tcBorders>
              <w:top w:val="nil"/>
              <w:left w:val="nil"/>
              <w:bottom w:val="single" w:sz="8" w:space="0" w:color="auto"/>
              <w:right w:val="nil"/>
            </w:tcBorders>
            <w:shd w:val="clear" w:color="auto" w:fill="auto"/>
            <w:noWrap/>
            <w:vAlign w:val="center"/>
            <w:hideMark/>
          </w:tcPr>
          <w:p w14:paraId="2F3D739D"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1.224.589</w:t>
            </w:r>
          </w:p>
        </w:tc>
        <w:tc>
          <w:tcPr>
            <w:tcW w:w="539" w:type="pct"/>
            <w:tcBorders>
              <w:top w:val="nil"/>
              <w:left w:val="nil"/>
              <w:bottom w:val="single" w:sz="8" w:space="0" w:color="auto"/>
              <w:right w:val="nil"/>
            </w:tcBorders>
            <w:shd w:val="clear" w:color="auto" w:fill="auto"/>
            <w:noWrap/>
            <w:vAlign w:val="center"/>
            <w:hideMark/>
          </w:tcPr>
          <w:p w14:paraId="63892746"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539" w:type="pct"/>
            <w:tcBorders>
              <w:top w:val="nil"/>
              <w:left w:val="nil"/>
              <w:bottom w:val="single" w:sz="8" w:space="0" w:color="auto"/>
              <w:right w:val="nil"/>
            </w:tcBorders>
            <w:shd w:val="clear" w:color="auto" w:fill="auto"/>
            <w:noWrap/>
            <w:vAlign w:val="center"/>
            <w:hideMark/>
          </w:tcPr>
          <w:p w14:paraId="1FB48F15"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59" w:type="pct"/>
            <w:tcBorders>
              <w:top w:val="nil"/>
              <w:left w:val="nil"/>
              <w:bottom w:val="single" w:sz="8" w:space="0" w:color="auto"/>
              <w:right w:val="nil"/>
            </w:tcBorders>
            <w:shd w:val="clear" w:color="auto" w:fill="auto"/>
            <w:noWrap/>
            <w:vAlign w:val="center"/>
            <w:hideMark/>
          </w:tcPr>
          <w:p w14:paraId="6CE1EC9F"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42.141.822</w:t>
            </w:r>
          </w:p>
        </w:tc>
      </w:tr>
      <w:tr w:rsidR="001B2742" w:rsidRPr="001B2742" w14:paraId="173C636E" w14:textId="77777777" w:rsidTr="00C34E8D">
        <w:trPr>
          <w:trHeight w:hRule="exact" w:val="227"/>
        </w:trPr>
        <w:tc>
          <w:tcPr>
            <w:tcW w:w="1219" w:type="pct"/>
            <w:tcBorders>
              <w:top w:val="nil"/>
              <w:left w:val="nil"/>
              <w:bottom w:val="single" w:sz="8" w:space="0" w:color="auto"/>
              <w:right w:val="nil"/>
            </w:tcBorders>
            <w:shd w:val="clear" w:color="auto" w:fill="auto"/>
            <w:noWrap/>
            <w:vAlign w:val="center"/>
            <w:hideMark/>
          </w:tcPr>
          <w:p w14:paraId="4952419F" w14:textId="77777777" w:rsidR="001B2742" w:rsidRPr="001B2742" w:rsidRDefault="001B2742">
            <w:pPr>
              <w:rPr>
                <w:rFonts w:ascii="Calibri" w:hAnsi="Calibri" w:cs="Calibri"/>
                <w:b/>
                <w:bCs/>
                <w:color w:val="000000"/>
                <w:sz w:val="16"/>
                <w:szCs w:val="16"/>
              </w:rPr>
            </w:pPr>
            <w:r w:rsidRPr="001B2742">
              <w:rPr>
                <w:rFonts w:ascii="Calibri" w:hAnsi="Calibri" w:cs="Calibri"/>
                <w:b/>
                <w:bCs/>
                <w:color w:val="000000"/>
                <w:sz w:val="16"/>
                <w:szCs w:val="16"/>
              </w:rPr>
              <w:t>Cíveis (Longo Prazo)</w:t>
            </w:r>
          </w:p>
        </w:tc>
        <w:tc>
          <w:tcPr>
            <w:tcW w:w="621" w:type="pct"/>
            <w:tcBorders>
              <w:top w:val="nil"/>
              <w:left w:val="nil"/>
              <w:bottom w:val="single" w:sz="8" w:space="0" w:color="auto"/>
              <w:right w:val="nil"/>
            </w:tcBorders>
            <w:shd w:val="clear" w:color="auto" w:fill="auto"/>
            <w:noWrap/>
            <w:vAlign w:val="center"/>
            <w:hideMark/>
          </w:tcPr>
          <w:p w14:paraId="73AC4820"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414.891.095</w:t>
            </w:r>
          </w:p>
        </w:tc>
        <w:tc>
          <w:tcPr>
            <w:tcW w:w="539" w:type="pct"/>
            <w:tcBorders>
              <w:top w:val="nil"/>
              <w:left w:val="nil"/>
              <w:bottom w:val="single" w:sz="8" w:space="0" w:color="auto"/>
              <w:right w:val="nil"/>
            </w:tcBorders>
            <w:shd w:val="clear" w:color="auto" w:fill="auto"/>
            <w:noWrap/>
            <w:vAlign w:val="center"/>
            <w:hideMark/>
          </w:tcPr>
          <w:p w14:paraId="3357EBE3"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85" w:type="pct"/>
            <w:tcBorders>
              <w:top w:val="nil"/>
              <w:left w:val="nil"/>
              <w:bottom w:val="single" w:sz="8" w:space="0" w:color="auto"/>
              <w:right w:val="nil"/>
            </w:tcBorders>
            <w:shd w:val="clear" w:color="auto" w:fill="auto"/>
            <w:noWrap/>
            <w:vAlign w:val="center"/>
            <w:hideMark/>
          </w:tcPr>
          <w:p w14:paraId="4F012B78"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26.544.674</w:t>
            </w:r>
          </w:p>
        </w:tc>
        <w:tc>
          <w:tcPr>
            <w:tcW w:w="539" w:type="pct"/>
            <w:tcBorders>
              <w:top w:val="nil"/>
              <w:left w:val="nil"/>
              <w:bottom w:val="single" w:sz="8" w:space="0" w:color="auto"/>
              <w:right w:val="nil"/>
            </w:tcBorders>
            <w:shd w:val="clear" w:color="auto" w:fill="auto"/>
            <w:noWrap/>
            <w:vAlign w:val="center"/>
            <w:hideMark/>
          </w:tcPr>
          <w:p w14:paraId="7AED89C9"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539" w:type="pct"/>
            <w:tcBorders>
              <w:top w:val="nil"/>
              <w:left w:val="nil"/>
              <w:bottom w:val="single" w:sz="8" w:space="0" w:color="auto"/>
              <w:right w:val="nil"/>
            </w:tcBorders>
            <w:shd w:val="clear" w:color="auto" w:fill="auto"/>
            <w:noWrap/>
            <w:vAlign w:val="center"/>
            <w:hideMark/>
          </w:tcPr>
          <w:p w14:paraId="05CBD324"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59" w:type="pct"/>
            <w:tcBorders>
              <w:top w:val="nil"/>
              <w:left w:val="nil"/>
              <w:bottom w:val="single" w:sz="8" w:space="0" w:color="auto"/>
              <w:right w:val="nil"/>
            </w:tcBorders>
            <w:shd w:val="clear" w:color="auto" w:fill="auto"/>
            <w:noWrap/>
            <w:vAlign w:val="center"/>
            <w:hideMark/>
          </w:tcPr>
          <w:p w14:paraId="776FCDF0"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441.435.769</w:t>
            </w:r>
          </w:p>
        </w:tc>
      </w:tr>
      <w:tr w:rsidR="001B2742" w:rsidRPr="001B2742" w14:paraId="4E2C789F" w14:textId="77777777" w:rsidTr="00C34E8D">
        <w:trPr>
          <w:trHeight w:hRule="exact" w:val="227"/>
        </w:trPr>
        <w:tc>
          <w:tcPr>
            <w:tcW w:w="1219" w:type="pct"/>
            <w:tcBorders>
              <w:top w:val="nil"/>
              <w:left w:val="nil"/>
              <w:bottom w:val="single" w:sz="8" w:space="0" w:color="auto"/>
              <w:right w:val="nil"/>
            </w:tcBorders>
            <w:shd w:val="clear" w:color="auto" w:fill="auto"/>
            <w:noWrap/>
            <w:vAlign w:val="center"/>
            <w:hideMark/>
          </w:tcPr>
          <w:p w14:paraId="02BF3487" w14:textId="77777777" w:rsidR="001B2742" w:rsidRPr="001B2742" w:rsidRDefault="001B2742">
            <w:pPr>
              <w:rPr>
                <w:rFonts w:ascii="Calibri" w:hAnsi="Calibri" w:cs="Calibri"/>
                <w:b/>
                <w:bCs/>
                <w:color w:val="000000"/>
                <w:sz w:val="16"/>
                <w:szCs w:val="16"/>
              </w:rPr>
            </w:pPr>
            <w:r w:rsidRPr="001B2742">
              <w:rPr>
                <w:rFonts w:ascii="Calibri" w:hAnsi="Calibri" w:cs="Calibri"/>
                <w:b/>
                <w:bCs/>
                <w:color w:val="000000"/>
                <w:sz w:val="16"/>
                <w:szCs w:val="16"/>
              </w:rPr>
              <w:t>Trabalhistas (Longo Prazo)</w:t>
            </w:r>
          </w:p>
        </w:tc>
        <w:tc>
          <w:tcPr>
            <w:tcW w:w="621" w:type="pct"/>
            <w:tcBorders>
              <w:top w:val="nil"/>
              <w:left w:val="nil"/>
              <w:bottom w:val="single" w:sz="8" w:space="0" w:color="auto"/>
              <w:right w:val="nil"/>
            </w:tcBorders>
            <w:shd w:val="clear" w:color="auto" w:fill="auto"/>
            <w:noWrap/>
            <w:vAlign w:val="center"/>
            <w:hideMark/>
          </w:tcPr>
          <w:p w14:paraId="7C4ED00B"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60.267.858</w:t>
            </w:r>
          </w:p>
        </w:tc>
        <w:tc>
          <w:tcPr>
            <w:tcW w:w="539" w:type="pct"/>
            <w:tcBorders>
              <w:top w:val="nil"/>
              <w:left w:val="nil"/>
              <w:bottom w:val="single" w:sz="8" w:space="0" w:color="auto"/>
              <w:right w:val="nil"/>
            </w:tcBorders>
            <w:shd w:val="clear" w:color="auto" w:fill="auto"/>
            <w:noWrap/>
            <w:vAlign w:val="center"/>
            <w:hideMark/>
          </w:tcPr>
          <w:p w14:paraId="76902E41"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85" w:type="pct"/>
            <w:tcBorders>
              <w:top w:val="nil"/>
              <w:left w:val="nil"/>
              <w:bottom w:val="single" w:sz="8" w:space="0" w:color="auto"/>
              <w:right w:val="nil"/>
            </w:tcBorders>
            <w:shd w:val="clear" w:color="auto" w:fill="auto"/>
            <w:noWrap/>
            <w:vAlign w:val="center"/>
            <w:hideMark/>
          </w:tcPr>
          <w:p w14:paraId="144B78EA"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3.203.640</w:t>
            </w:r>
          </w:p>
        </w:tc>
        <w:tc>
          <w:tcPr>
            <w:tcW w:w="539" w:type="pct"/>
            <w:tcBorders>
              <w:top w:val="nil"/>
              <w:left w:val="nil"/>
              <w:bottom w:val="single" w:sz="8" w:space="0" w:color="auto"/>
              <w:right w:val="nil"/>
            </w:tcBorders>
            <w:shd w:val="clear" w:color="auto" w:fill="auto"/>
            <w:noWrap/>
            <w:vAlign w:val="center"/>
            <w:hideMark/>
          </w:tcPr>
          <w:p w14:paraId="2E6A61E1"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539" w:type="pct"/>
            <w:tcBorders>
              <w:top w:val="nil"/>
              <w:left w:val="nil"/>
              <w:bottom w:val="single" w:sz="8" w:space="0" w:color="auto"/>
              <w:right w:val="nil"/>
            </w:tcBorders>
            <w:shd w:val="clear" w:color="auto" w:fill="auto"/>
            <w:noWrap/>
            <w:vAlign w:val="center"/>
            <w:hideMark/>
          </w:tcPr>
          <w:p w14:paraId="4239C968"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59" w:type="pct"/>
            <w:tcBorders>
              <w:top w:val="nil"/>
              <w:left w:val="nil"/>
              <w:bottom w:val="single" w:sz="8" w:space="0" w:color="auto"/>
              <w:right w:val="nil"/>
            </w:tcBorders>
            <w:shd w:val="clear" w:color="auto" w:fill="auto"/>
            <w:noWrap/>
            <w:vAlign w:val="center"/>
            <w:hideMark/>
          </w:tcPr>
          <w:p w14:paraId="3DF07E5D"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63.471.498</w:t>
            </w:r>
          </w:p>
        </w:tc>
      </w:tr>
    </w:tbl>
    <w:p w14:paraId="4878841E" w14:textId="77777777" w:rsidR="001B2742" w:rsidRDefault="001B2742" w:rsidP="002E2B5B">
      <w:pPr>
        <w:pStyle w:val="Textoembloco"/>
        <w:spacing w:after="120" w:line="240" w:lineRule="auto"/>
        <w:ind w:left="0" w:right="57"/>
        <w:rPr>
          <w:rFonts w:ascii="Calibri" w:hAnsi="Calibri" w:cs="Calibri"/>
          <w:sz w:val="22"/>
          <w:szCs w:val="22"/>
          <w:shd w:val="clear" w:color="auto" w:fill="FFFFFF"/>
        </w:rPr>
      </w:pPr>
    </w:p>
    <w:p w14:paraId="4BCC2F91" w14:textId="701DF623" w:rsidR="00894308" w:rsidRPr="002E2B5B" w:rsidRDefault="00894308"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O montante referente às ações trabalhistas compõe-se de valores das causas peticionadas no processo e da atualização monetária com base na Tabela Única de Atualização e Conversões de Débitos Trabalhistas, expedidas pelo Conselho do Poder Judiciário da Justiça do Trabalho, bem como de juros de 1% ao mês. E para as ações cíveis, a atualização monetária é baseada na Tabela de Correção Monetária da Justiça Federal e juros simples de 0,5% ao mês. </w:t>
      </w:r>
    </w:p>
    <w:p w14:paraId="73499D06" w14:textId="77777777" w:rsidR="00B35E5B" w:rsidRPr="002E2B5B" w:rsidRDefault="00B35E5B" w:rsidP="002E2B5B">
      <w:pPr>
        <w:pStyle w:val="Textoembloco"/>
        <w:spacing w:after="120" w:line="240" w:lineRule="auto"/>
        <w:ind w:left="0" w:right="57"/>
        <w:rPr>
          <w:rFonts w:ascii="Calibri" w:hAnsi="Calibri" w:cs="Calibri"/>
          <w:sz w:val="22"/>
          <w:szCs w:val="22"/>
          <w:shd w:val="clear" w:color="auto" w:fill="FFFFFF"/>
        </w:rPr>
      </w:pPr>
      <w:bookmarkStart w:id="6" w:name="_Hlk36047226"/>
      <w:r w:rsidRPr="002E2B5B">
        <w:rPr>
          <w:rFonts w:ascii="Calibri" w:hAnsi="Calibri" w:cs="Calibri"/>
          <w:sz w:val="22"/>
          <w:szCs w:val="22"/>
          <w:shd w:val="clear" w:color="auto" w:fill="FFFFFF"/>
        </w:rPr>
        <w:t xml:space="preserve">As provisões para contingências são contabilizadas, com base na posição da </w:t>
      </w:r>
      <w:r w:rsidR="00FF1CB6" w:rsidRPr="002E2B5B">
        <w:rPr>
          <w:rFonts w:ascii="Calibri" w:hAnsi="Calibri" w:cs="Calibri"/>
          <w:sz w:val="22"/>
          <w:szCs w:val="22"/>
          <w:shd w:val="clear" w:color="auto" w:fill="FFFFFF"/>
        </w:rPr>
        <w:t>Procuradoria</w:t>
      </w:r>
      <w:r w:rsidRPr="002E2B5B">
        <w:rPr>
          <w:rFonts w:ascii="Calibri" w:hAnsi="Calibri" w:cs="Calibri"/>
          <w:sz w:val="22"/>
          <w:szCs w:val="22"/>
          <w:shd w:val="clear" w:color="auto" w:fill="FFFFFF"/>
        </w:rPr>
        <w:t xml:space="preserve"> Jurídica, a qual é formulada na análise técnica individual dos advogados, quando for considerado provável o risco de perda de uma ação judicial ou administrativa, e sempre que os montantes envolvidos forem mensuráveis com suficiente segurança. As provisões </w:t>
      </w:r>
      <w:r w:rsidRPr="002E2B5B">
        <w:rPr>
          <w:rFonts w:ascii="Calibri" w:hAnsi="Calibri" w:cs="Calibri"/>
          <w:sz w:val="22"/>
          <w:szCs w:val="22"/>
          <w:shd w:val="clear" w:color="auto" w:fill="FFFFFF"/>
        </w:rPr>
        <w:lastRenderedPageBreak/>
        <w:t xml:space="preserve">classificadas como perdas possíveis pela </w:t>
      </w:r>
      <w:r w:rsidR="00FF1CB6" w:rsidRPr="002E2B5B">
        <w:rPr>
          <w:rFonts w:ascii="Calibri" w:hAnsi="Calibri" w:cs="Calibri"/>
          <w:sz w:val="22"/>
          <w:szCs w:val="22"/>
          <w:shd w:val="clear" w:color="auto" w:fill="FFFFFF"/>
        </w:rPr>
        <w:t>Procuradoria</w:t>
      </w:r>
      <w:r w:rsidRPr="002E2B5B">
        <w:rPr>
          <w:rFonts w:ascii="Calibri" w:hAnsi="Calibri" w:cs="Calibri"/>
          <w:sz w:val="22"/>
          <w:szCs w:val="22"/>
          <w:shd w:val="clear" w:color="auto" w:fill="FFFFFF"/>
        </w:rPr>
        <w:t xml:space="preserve"> Jurídica são divulgadas com base na perda histórica, enquanto aquelas classificadas como perda remota não são passíveis de provisão e divulgação.</w:t>
      </w:r>
    </w:p>
    <w:p w14:paraId="7C4F9EF8" w14:textId="406707FC" w:rsidR="00F63870" w:rsidRPr="00255AD7" w:rsidRDefault="00475538" w:rsidP="002E2B5B">
      <w:pPr>
        <w:pStyle w:val="Textoembloco"/>
        <w:spacing w:after="120" w:line="240" w:lineRule="auto"/>
        <w:ind w:left="0" w:right="57"/>
        <w:rPr>
          <w:rFonts w:ascii="Calibri" w:hAnsi="Calibri" w:cs="Calibri"/>
          <w:bCs w:val="0"/>
          <w:sz w:val="22"/>
          <w:szCs w:val="22"/>
        </w:rPr>
      </w:pPr>
      <w:r w:rsidRPr="00255AD7">
        <w:rPr>
          <w:rFonts w:ascii="Calibri" w:hAnsi="Calibri" w:cs="Calibri"/>
          <w:bCs w:val="0"/>
          <w:sz w:val="22"/>
          <w:szCs w:val="22"/>
        </w:rPr>
        <w:t>Para melhorar os controles, reconhecimentos e mensurações das ações judiciais, a Procuradoria Jurídica da VALEC elaborou a Norma de Provisões e Contingências Judiciais na VALEC, regulamentada pela Resolução Normativa nº 04/2021/DIREX, de 07 de julho de 2021, na qual consta no art. 17: "</w:t>
      </w:r>
      <w:r w:rsidRPr="00255AD7">
        <w:rPr>
          <w:rFonts w:ascii="Calibri" w:hAnsi="Calibri" w:cs="Calibri"/>
          <w:bCs w:val="0"/>
          <w:i/>
          <w:iCs/>
          <w:sz w:val="22"/>
          <w:szCs w:val="22"/>
        </w:rPr>
        <w:t>As primeiras informações de provisões e con</w:t>
      </w:r>
      <w:r w:rsidRPr="00255AD7">
        <w:rPr>
          <w:rFonts w:ascii="Calibri" w:hAnsi="Calibri" w:cs="Calibri"/>
          <w:bCs w:val="0"/>
          <w:sz w:val="22"/>
          <w:szCs w:val="22"/>
        </w:rPr>
        <w:t>ti</w:t>
      </w:r>
      <w:r w:rsidRPr="00255AD7">
        <w:rPr>
          <w:rFonts w:ascii="Calibri" w:hAnsi="Calibri" w:cs="Calibri"/>
          <w:bCs w:val="0"/>
          <w:i/>
          <w:iCs/>
          <w:sz w:val="22"/>
          <w:szCs w:val="22"/>
        </w:rPr>
        <w:t>ngências nos termos das especi</w:t>
      </w:r>
      <w:r w:rsidRPr="00255AD7">
        <w:rPr>
          <w:rFonts w:ascii="Calibri" w:hAnsi="Calibri" w:cs="Calibri"/>
          <w:bCs w:val="0"/>
          <w:sz w:val="22"/>
          <w:szCs w:val="22"/>
        </w:rPr>
        <w:t>fi</w:t>
      </w:r>
      <w:r w:rsidRPr="00255AD7">
        <w:rPr>
          <w:rFonts w:ascii="Calibri" w:hAnsi="Calibri" w:cs="Calibri"/>
          <w:bCs w:val="0"/>
          <w:i/>
          <w:iCs/>
          <w:sz w:val="22"/>
          <w:szCs w:val="22"/>
        </w:rPr>
        <w:t>cações desta norma serão apresentadas em 30 de novembro de 2021</w:t>
      </w:r>
      <w:r w:rsidRPr="00255AD7">
        <w:rPr>
          <w:rFonts w:ascii="Calibri" w:hAnsi="Calibri" w:cs="Calibri"/>
          <w:bCs w:val="0"/>
          <w:sz w:val="22"/>
          <w:szCs w:val="22"/>
        </w:rPr>
        <w:t>". Essa Resolução Normativa trata inclusive da valoração das ações, as quais passarão a ser com base no desenvolvimento do processo judicial.</w:t>
      </w:r>
      <w:r w:rsidR="002855FD" w:rsidRPr="00255AD7">
        <w:rPr>
          <w:rFonts w:ascii="Calibri" w:hAnsi="Calibri" w:cs="Calibri"/>
          <w:sz w:val="22"/>
          <w:szCs w:val="22"/>
          <w:shd w:val="clear" w:color="auto" w:fill="FFFFFF"/>
        </w:rPr>
        <w:t xml:space="preserve"> </w:t>
      </w:r>
    </w:p>
    <w:p w14:paraId="15928489" w14:textId="522D4384" w:rsidR="004A7C2F" w:rsidRPr="00255AD7" w:rsidRDefault="004A7C2F" w:rsidP="002E2B5B">
      <w:pPr>
        <w:pStyle w:val="Textoembloco"/>
        <w:spacing w:after="120" w:line="240" w:lineRule="auto"/>
        <w:ind w:left="0" w:right="57"/>
        <w:rPr>
          <w:rFonts w:ascii="Calibri" w:hAnsi="Calibri" w:cs="Calibri"/>
          <w:sz w:val="22"/>
          <w:szCs w:val="22"/>
          <w:shd w:val="clear" w:color="auto" w:fill="FFFFFF"/>
        </w:rPr>
      </w:pPr>
      <w:r w:rsidRPr="00255AD7">
        <w:rPr>
          <w:rFonts w:ascii="Calibri" w:hAnsi="Calibri" w:cs="Calibri"/>
          <w:sz w:val="22"/>
          <w:szCs w:val="22"/>
          <w:shd w:val="clear" w:color="auto" w:fill="FFFFFF"/>
        </w:rPr>
        <w:t xml:space="preserve">A partir do exercício de 2020, as provisões foram classificadas em curto e longo prazo. </w:t>
      </w:r>
      <w:r w:rsidR="009D6DA2" w:rsidRPr="00255AD7">
        <w:rPr>
          <w:rFonts w:ascii="Calibri" w:hAnsi="Calibri" w:cs="Calibri"/>
          <w:sz w:val="22"/>
          <w:szCs w:val="22"/>
          <w:shd w:val="clear" w:color="auto" w:fill="FFFFFF"/>
        </w:rPr>
        <w:t xml:space="preserve">Essa classificação poderá sofrer alterações devido às mudanças de critérios de mensuração das provisões, conforme descrita no parágrafo anterior. </w:t>
      </w:r>
    </w:p>
    <w:p w14:paraId="30F339BD" w14:textId="77777777" w:rsidR="005D7B2E" w:rsidRPr="002E2B5B" w:rsidRDefault="005D7B2E" w:rsidP="002E2B5B">
      <w:pPr>
        <w:numPr>
          <w:ilvl w:val="0"/>
          <w:numId w:val="26"/>
        </w:numPr>
        <w:spacing w:before="120" w:after="120"/>
        <w:ind w:left="567" w:right="-142" w:hanging="567"/>
        <w:jc w:val="both"/>
        <w:rPr>
          <w:rFonts w:ascii="Calibri" w:hAnsi="Calibri" w:cs="Calibri"/>
          <w:sz w:val="22"/>
          <w:szCs w:val="22"/>
          <w:u w:val="single"/>
        </w:rPr>
      </w:pPr>
      <w:r w:rsidRPr="002E2B5B">
        <w:rPr>
          <w:rFonts w:ascii="Calibri" w:hAnsi="Calibri" w:cs="Calibri"/>
          <w:sz w:val="22"/>
          <w:szCs w:val="22"/>
          <w:u w:val="single"/>
        </w:rPr>
        <w:t>Contingências Cíveis:</w:t>
      </w:r>
    </w:p>
    <w:p w14:paraId="7DFAC373" w14:textId="10E1CD78" w:rsidR="00D974C8" w:rsidRPr="002E2B5B" w:rsidRDefault="005D7B2E" w:rsidP="002E2B5B">
      <w:pPr>
        <w:spacing w:after="120"/>
        <w:ind w:right="57"/>
        <w:jc w:val="both"/>
        <w:rPr>
          <w:rFonts w:ascii="Calibri" w:hAnsi="Calibri" w:cs="Calibri"/>
          <w:sz w:val="22"/>
          <w:szCs w:val="22"/>
        </w:rPr>
      </w:pPr>
      <w:r w:rsidRPr="002E2B5B">
        <w:rPr>
          <w:rFonts w:ascii="Calibri" w:hAnsi="Calibri" w:cs="Calibri"/>
          <w:sz w:val="22"/>
          <w:szCs w:val="22"/>
        </w:rPr>
        <w:t>Em relação aos processos cíveis, tem-se que as temáticas mais recorrentes</w:t>
      </w:r>
      <w:r w:rsidR="00AD6E75" w:rsidRPr="002E2B5B">
        <w:rPr>
          <w:rFonts w:ascii="Calibri" w:hAnsi="Calibri" w:cs="Calibri"/>
          <w:sz w:val="22"/>
          <w:szCs w:val="22"/>
        </w:rPr>
        <w:t xml:space="preserve"> </w:t>
      </w:r>
      <w:r w:rsidRPr="002E2B5B">
        <w:rPr>
          <w:rFonts w:ascii="Calibri" w:hAnsi="Calibri" w:cs="Calibri"/>
          <w:sz w:val="22"/>
          <w:szCs w:val="22"/>
        </w:rPr>
        <w:t xml:space="preserve">são as de Ações Indenizatórias ou Ações de Cobrança, </w:t>
      </w:r>
      <w:r w:rsidR="00AD6E75" w:rsidRPr="002E2B5B">
        <w:rPr>
          <w:rFonts w:ascii="Calibri" w:hAnsi="Calibri" w:cs="Calibri"/>
          <w:sz w:val="22"/>
          <w:szCs w:val="22"/>
        </w:rPr>
        <w:t>as</w:t>
      </w:r>
      <w:r w:rsidRPr="002E2B5B">
        <w:rPr>
          <w:rFonts w:ascii="Calibri" w:hAnsi="Calibri" w:cs="Calibri"/>
          <w:sz w:val="22"/>
          <w:szCs w:val="22"/>
        </w:rPr>
        <w:t xml:space="preserve"> quais dizem respeito, notadamente, no primeiro caso a indenizações por danos supostamente causados aos imóveis dos autores pela construção da ferrovia e quanto às de cobrança, às questões contratuais mais diversas, desde cobranças de medições de contratos, requerimento de valores supostamente não pagos em execuções contratuais, cobrança de reajustes, questionamentos de glosas e outros. </w:t>
      </w:r>
    </w:p>
    <w:p w14:paraId="18291109" w14:textId="77777777" w:rsidR="005D7B2E" w:rsidRPr="002E2B5B" w:rsidRDefault="005D7B2E" w:rsidP="002E2B5B">
      <w:pPr>
        <w:numPr>
          <w:ilvl w:val="0"/>
          <w:numId w:val="26"/>
        </w:numPr>
        <w:spacing w:before="120" w:after="120"/>
        <w:ind w:left="567" w:right="-142" w:hanging="567"/>
        <w:jc w:val="both"/>
        <w:rPr>
          <w:rFonts w:ascii="Calibri" w:hAnsi="Calibri" w:cs="Calibri"/>
          <w:sz w:val="22"/>
          <w:szCs w:val="22"/>
          <w:u w:val="single"/>
        </w:rPr>
      </w:pPr>
      <w:r w:rsidRPr="002E2B5B">
        <w:rPr>
          <w:rFonts w:ascii="Calibri" w:hAnsi="Calibri" w:cs="Calibri"/>
          <w:sz w:val="22"/>
          <w:szCs w:val="22"/>
          <w:u w:val="single"/>
        </w:rPr>
        <w:t xml:space="preserve">Contingências Trabalhistas: </w:t>
      </w:r>
    </w:p>
    <w:p w14:paraId="7A7F3C4A" w14:textId="77777777" w:rsidR="005D7B2E" w:rsidRPr="002E2B5B" w:rsidRDefault="005D7B2E" w:rsidP="002E2B5B">
      <w:pPr>
        <w:spacing w:after="120"/>
        <w:ind w:right="57"/>
        <w:jc w:val="both"/>
        <w:rPr>
          <w:rFonts w:ascii="Calibri" w:hAnsi="Calibri" w:cs="Calibri"/>
          <w:sz w:val="22"/>
          <w:szCs w:val="22"/>
        </w:rPr>
      </w:pPr>
      <w:r w:rsidRPr="002E2B5B">
        <w:rPr>
          <w:rFonts w:ascii="Calibri" w:hAnsi="Calibri" w:cs="Calibri"/>
          <w:sz w:val="22"/>
          <w:szCs w:val="22"/>
        </w:rPr>
        <w:t xml:space="preserve">As ações judiciais denominadas de reclamações trabalhistas constituem controvérsias entre os sujeitos da relação de trabalho, frequentemente empregador e empregado, submetidas à resolução jurisdicional. No âmbito da </w:t>
      </w:r>
      <w:r w:rsidR="00920ED9" w:rsidRPr="002E2B5B">
        <w:rPr>
          <w:rFonts w:ascii="Calibri" w:hAnsi="Calibri" w:cs="Calibri"/>
          <w:sz w:val="22"/>
          <w:szCs w:val="22"/>
        </w:rPr>
        <w:t>VALEC</w:t>
      </w:r>
      <w:r w:rsidRPr="002E2B5B">
        <w:rPr>
          <w:rFonts w:ascii="Calibri" w:hAnsi="Calibri" w:cs="Calibri"/>
          <w:sz w:val="22"/>
          <w:szCs w:val="22"/>
        </w:rPr>
        <w:t xml:space="preserve">, esses processos são divididos em dois grandes grupos: o primeiro, formado por empregados efetivos que geralmente demandam o judiciário em razão de algum direito trabalhista específico ou supostos descumprimentos do Plano de Cargos e Salários a que se vinculam; e o segundo, por empregados das empresas que mantêm ou mantiveram contratos de fornecimento de mão de obra com a </w:t>
      </w:r>
      <w:r w:rsidR="00920ED9" w:rsidRPr="002E2B5B">
        <w:rPr>
          <w:rFonts w:ascii="Calibri" w:hAnsi="Calibri" w:cs="Calibri"/>
          <w:sz w:val="22"/>
          <w:szCs w:val="22"/>
        </w:rPr>
        <w:t>VALEC</w:t>
      </w:r>
      <w:r w:rsidRPr="002E2B5B">
        <w:rPr>
          <w:rFonts w:ascii="Calibri" w:hAnsi="Calibri" w:cs="Calibri"/>
          <w:sz w:val="22"/>
          <w:szCs w:val="22"/>
        </w:rPr>
        <w:t xml:space="preserve">. Nestes últimos, a </w:t>
      </w:r>
      <w:r w:rsidR="00920ED9" w:rsidRPr="002E2B5B">
        <w:rPr>
          <w:rFonts w:ascii="Calibri" w:hAnsi="Calibri" w:cs="Calibri"/>
          <w:sz w:val="22"/>
          <w:szCs w:val="22"/>
        </w:rPr>
        <w:t>VALEC</w:t>
      </w:r>
      <w:r w:rsidRPr="002E2B5B">
        <w:rPr>
          <w:rFonts w:ascii="Calibri" w:hAnsi="Calibri" w:cs="Calibri"/>
          <w:sz w:val="22"/>
          <w:szCs w:val="22"/>
        </w:rPr>
        <w:t xml:space="preserve"> é demandada de forma subsidiária.</w:t>
      </w:r>
    </w:p>
    <w:p w14:paraId="7E38E1A8" w14:textId="77777777" w:rsidR="005D7B2E" w:rsidRPr="002E2B5B" w:rsidRDefault="005D7B2E" w:rsidP="002E2B5B">
      <w:pPr>
        <w:spacing w:after="120"/>
        <w:ind w:right="57"/>
        <w:jc w:val="both"/>
        <w:rPr>
          <w:rFonts w:ascii="Calibri" w:hAnsi="Calibri" w:cs="Calibri"/>
          <w:sz w:val="22"/>
          <w:szCs w:val="22"/>
        </w:rPr>
      </w:pPr>
      <w:r w:rsidRPr="002E2B5B">
        <w:rPr>
          <w:rFonts w:ascii="Calibri" w:hAnsi="Calibri" w:cs="Calibri"/>
          <w:sz w:val="22"/>
          <w:szCs w:val="22"/>
        </w:rPr>
        <w:t xml:space="preserve">A temática de responsabilidade subsidiária trabalhista é a mais recorrente no universo quantitativo e diz respeito ao descumprimento, pelas Contratadas da </w:t>
      </w:r>
      <w:r w:rsidR="00920ED9" w:rsidRPr="002E2B5B">
        <w:rPr>
          <w:rFonts w:ascii="Calibri" w:hAnsi="Calibri" w:cs="Calibri"/>
          <w:sz w:val="22"/>
          <w:szCs w:val="22"/>
        </w:rPr>
        <w:t>VALEC</w:t>
      </w:r>
      <w:r w:rsidRPr="002E2B5B">
        <w:rPr>
          <w:rFonts w:ascii="Calibri" w:hAnsi="Calibri" w:cs="Calibri"/>
          <w:sz w:val="22"/>
          <w:szCs w:val="22"/>
        </w:rPr>
        <w:t xml:space="preserve">, das obrigações trabalhistas em face aos seus próprios empregados mobilizados para prestação de serviços em contratos firmados com a </w:t>
      </w:r>
      <w:r w:rsidR="00787F70" w:rsidRPr="002E2B5B">
        <w:rPr>
          <w:rFonts w:ascii="Calibri" w:hAnsi="Calibri" w:cs="Calibri"/>
          <w:sz w:val="22"/>
          <w:szCs w:val="22"/>
        </w:rPr>
        <w:t>Estatal</w:t>
      </w:r>
      <w:r w:rsidRPr="002E2B5B">
        <w:rPr>
          <w:rFonts w:ascii="Calibri" w:hAnsi="Calibri" w:cs="Calibri"/>
          <w:sz w:val="22"/>
          <w:szCs w:val="22"/>
        </w:rPr>
        <w:t xml:space="preserve">, implicando na inclusão da </w:t>
      </w:r>
      <w:r w:rsidR="00920ED9" w:rsidRPr="002E2B5B">
        <w:rPr>
          <w:rFonts w:ascii="Calibri" w:hAnsi="Calibri" w:cs="Calibri"/>
          <w:sz w:val="22"/>
          <w:szCs w:val="22"/>
        </w:rPr>
        <w:t>VALEC</w:t>
      </w:r>
      <w:r w:rsidRPr="002E2B5B">
        <w:rPr>
          <w:rFonts w:ascii="Calibri" w:hAnsi="Calibri" w:cs="Calibri"/>
          <w:sz w:val="22"/>
          <w:szCs w:val="22"/>
        </w:rPr>
        <w:t> como responsável subsidiariamente no polo passivo dessas demandas judiciais.</w:t>
      </w:r>
    </w:p>
    <w:p w14:paraId="6735F71F" w14:textId="77777777" w:rsidR="00F80F84" w:rsidRPr="002E2B5B" w:rsidRDefault="00F80F84" w:rsidP="002E2B5B">
      <w:pPr>
        <w:spacing w:after="120"/>
        <w:ind w:right="57"/>
        <w:jc w:val="both"/>
        <w:rPr>
          <w:rFonts w:ascii="Calibri" w:hAnsi="Calibri" w:cs="Calibri"/>
          <w:sz w:val="22"/>
          <w:szCs w:val="22"/>
        </w:rPr>
      </w:pPr>
      <w:r w:rsidRPr="002E2B5B">
        <w:rPr>
          <w:rFonts w:ascii="Calibri" w:hAnsi="Calibri" w:cs="Calibri"/>
          <w:sz w:val="22"/>
          <w:szCs w:val="22"/>
        </w:rPr>
        <w:t xml:space="preserve">Além do quadro dito </w:t>
      </w:r>
      <w:r w:rsidR="00920ED9" w:rsidRPr="002E2B5B">
        <w:rPr>
          <w:rFonts w:ascii="Calibri" w:hAnsi="Calibri" w:cs="Calibri"/>
          <w:sz w:val="22"/>
          <w:szCs w:val="22"/>
        </w:rPr>
        <w:t>VALEC</w:t>
      </w:r>
      <w:r w:rsidRPr="002E2B5B">
        <w:rPr>
          <w:rFonts w:ascii="Calibri" w:hAnsi="Calibri" w:cs="Calibri"/>
          <w:sz w:val="22"/>
          <w:szCs w:val="22"/>
        </w:rPr>
        <w:t xml:space="preserve">, a Estatal sucedeu ao longo dos anos obrigações de empresas extintas, como GEIPOT e RFFSA, absorvendo o quadro de pessoal dessas empresas que passaram a compor, dentro das suas particularidades, também o seu quadro efetivo. Necessário explanar que, quando da extinção da Empresa Brasileira de Planejamento de Transportes </w:t>
      </w:r>
      <w:r w:rsidR="00AD6E75" w:rsidRPr="002E2B5B">
        <w:rPr>
          <w:rFonts w:ascii="Calibri" w:hAnsi="Calibri" w:cs="Calibri"/>
          <w:sz w:val="22"/>
          <w:szCs w:val="22"/>
        </w:rPr>
        <w:t>(</w:t>
      </w:r>
      <w:r w:rsidRPr="002E2B5B">
        <w:rPr>
          <w:rFonts w:ascii="Calibri" w:hAnsi="Calibri" w:cs="Calibri"/>
          <w:sz w:val="22"/>
          <w:szCs w:val="22"/>
        </w:rPr>
        <w:t>GEIPOT</w:t>
      </w:r>
      <w:r w:rsidR="00AD6E75" w:rsidRPr="002E2B5B">
        <w:rPr>
          <w:rFonts w:ascii="Calibri" w:hAnsi="Calibri" w:cs="Calibri"/>
          <w:sz w:val="22"/>
          <w:szCs w:val="22"/>
        </w:rPr>
        <w:t>)</w:t>
      </w:r>
      <w:r w:rsidRPr="002E2B5B">
        <w:rPr>
          <w:rFonts w:ascii="Calibri" w:hAnsi="Calibri" w:cs="Calibri"/>
          <w:sz w:val="22"/>
          <w:szCs w:val="22"/>
        </w:rPr>
        <w:t xml:space="preserve">, a transferência dos seus empregados ao quadro especial da </w:t>
      </w:r>
      <w:r w:rsidR="00920ED9" w:rsidRPr="002E2B5B">
        <w:rPr>
          <w:rFonts w:ascii="Calibri" w:hAnsi="Calibri" w:cs="Calibri"/>
          <w:sz w:val="22"/>
          <w:szCs w:val="22"/>
        </w:rPr>
        <w:t>VALEC</w:t>
      </w:r>
      <w:r w:rsidRPr="002E2B5B">
        <w:rPr>
          <w:rFonts w:ascii="Calibri" w:hAnsi="Calibri" w:cs="Calibri"/>
          <w:sz w:val="22"/>
          <w:szCs w:val="22"/>
        </w:rPr>
        <w:t xml:space="preserve"> ocorreu por força do artigo 26 da Lei nº 11.772/2008, que previu a vedação de comunicação aos planos de cargos e salários da </w:t>
      </w:r>
      <w:r w:rsidR="00920ED9" w:rsidRPr="002E2B5B">
        <w:rPr>
          <w:rFonts w:ascii="Calibri" w:hAnsi="Calibri" w:cs="Calibri"/>
          <w:sz w:val="22"/>
          <w:szCs w:val="22"/>
        </w:rPr>
        <w:t>VALEC</w:t>
      </w:r>
      <w:r w:rsidRPr="002E2B5B">
        <w:rPr>
          <w:rFonts w:ascii="Calibri" w:hAnsi="Calibri" w:cs="Calibri"/>
          <w:sz w:val="22"/>
          <w:szCs w:val="22"/>
        </w:rPr>
        <w:t xml:space="preserve">. Embora pacificada na legislação, a questão foi objeto de diversas judicializações face à Estatal, que se amparava nos ditames legais para lograr êxito no judiciário. Ademais, os empregados do extinto </w:t>
      </w:r>
      <w:r w:rsidR="00AD6E75" w:rsidRPr="002E2B5B">
        <w:rPr>
          <w:rFonts w:ascii="Calibri" w:hAnsi="Calibri" w:cs="Calibri"/>
          <w:sz w:val="22"/>
          <w:szCs w:val="22"/>
        </w:rPr>
        <w:t>GEIPOT</w:t>
      </w:r>
      <w:r w:rsidRPr="002E2B5B">
        <w:rPr>
          <w:rFonts w:ascii="Calibri" w:hAnsi="Calibri" w:cs="Calibri"/>
          <w:sz w:val="22"/>
          <w:szCs w:val="22"/>
        </w:rPr>
        <w:t xml:space="preserve"> também ingressaram com outros pleitos, muitos deles já arquivados, dos quais destacam-se os de incorporação de gratificação, cessão de empregados, plano de saúde e cumprimento do Plano de Cargos e Salários.</w:t>
      </w:r>
    </w:p>
    <w:p w14:paraId="1C563B4D" w14:textId="1793A72E" w:rsidR="005D7B2E" w:rsidRPr="002E2B5B" w:rsidRDefault="00F80F84" w:rsidP="002E2B5B">
      <w:pPr>
        <w:spacing w:after="120"/>
        <w:ind w:right="57"/>
        <w:jc w:val="both"/>
        <w:rPr>
          <w:rFonts w:ascii="Calibri" w:hAnsi="Calibri" w:cs="Calibri"/>
          <w:sz w:val="22"/>
          <w:szCs w:val="22"/>
        </w:rPr>
      </w:pPr>
      <w:r w:rsidRPr="002E2B5B">
        <w:rPr>
          <w:rFonts w:ascii="Calibri" w:hAnsi="Calibri" w:cs="Calibri"/>
          <w:sz w:val="22"/>
          <w:szCs w:val="22"/>
        </w:rPr>
        <w:t xml:space="preserve">Quanto à Rede Ferroviária Federal S/A </w:t>
      </w:r>
      <w:r w:rsidR="00AD6E75" w:rsidRPr="002E2B5B">
        <w:rPr>
          <w:rFonts w:ascii="Calibri" w:hAnsi="Calibri" w:cs="Calibri"/>
          <w:sz w:val="22"/>
          <w:szCs w:val="22"/>
        </w:rPr>
        <w:t>(</w:t>
      </w:r>
      <w:r w:rsidRPr="002E2B5B">
        <w:rPr>
          <w:rFonts w:ascii="Calibri" w:hAnsi="Calibri" w:cs="Calibri"/>
          <w:sz w:val="22"/>
          <w:szCs w:val="22"/>
        </w:rPr>
        <w:t>RFFSA</w:t>
      </w:r>
      <w:r w:rsidR="00AD6E75" w:rsidRPr="002E2B5B">
        <w:rPr>
          <w:rFonts w:ascii="Calibri" w:hAnsi="Calibri" w:cs="Calibri"/>
          <w:sz w:val="22"/>
          <w:szCs w:val="22"/>
        </w:rPr>
        <w:t>)</w:t>
      </w:r>
      <w:r w:rsidRPr="002E2B5B">
        <w:rPr>
          <w:rFonts w:ascii="Calibri" w:hAnsi="Calibri" w:cs="Calibri"/>
          <w:sz w:val="22"/>
          <w:szCs w:val="22"/>
        </w:rPr>
        <w:t xml:space="preserve">, a alteração do contrato de trabalho com a sucessão trabalhista se deu por força da Lei nº 11.483/2007 e as principais judicializações dessa categoria contemplam pedidos para manutenção dos empregados nas cidades em que laboravam à época da Inventariança. Ademais, também foram propostas ações requerendo equiparação salarial aos empregados da </w:t>
      </w:r>
      <w:r w:rsidR="00920ED9" w:rsidRPr="002E2B5B">
        <w:rPr>
          <w:rFonts w:ascii="Calibri" w:hAnsi="Calibri" w:cs="Calibri"/>
          <w:sz w:val="22"/>
          <w:szCs w:val="22"/>
        </w:rPr>
        <w:t>VALEC</w:t>
      </w:r>
      <w:r w:rsidRPr="002E2B5B">
        <w:rPr>
          <w:rFonts w:ascii="Calibri" w:hAnsi="Calibri" w:cs="Calibri"/>
          <w:sz w:val="22"/>
          <w:szCs w:val="22"/>
        </w:rPr>
        <w:t>. De igual modo à legislação aplicada ao GEIPOT, há óbice nas demandas apresentadas em razão do disposto no §2º, art. 17 da Lei nº 11.48</w:t>
      </w:r>
      <w:r w:rsidR="00214011">
        <w:rPr>
          <w:rFonts w:ascii="Calibri" w:hAnsi="Calibri" w:cs="Calibri"/>
          <w:sz w:val="22"/>
          <w:szCs w:val="22"/>
        </w:rPr>
        <w:t xml:space="preserve">3, de 31 de maio de </w:t>
      </w:r>
      <w:r w:rsidRPr="002E2B5B">
        <w:rPr>
          <w:rFonts w:ascii="Calibri" w:hAnsi="Calibri" w:cs="Calibri"/>
          <w:sz w:val="22"/>
          <w:szCs w:val="22"/>
        </w:rPr>
        <w:t xml:space="preserve">2007, que veda a comunicação dos Planos de Cargos e Salários da </w:t>
      </w:r>
      <w:r w:rsidR="00920ED9" w:rsidRPr="002E2B5B">
        <w:rPr>
          <w:rFonts w:ascii="Calibri" w:hAnsi="Calibri" w:cs="Calibri"/>
          <w:sz w:val="22"/>
          <w:szCs w:val="22"/>
        </w:rPr>
        <w:t>VALEC</w:t>
      </w:r>
      <w:r w:rsidRPr="002E2B5B">
        <w:rPr>
          <w:rFonts w:ascii="Calibri" w:hAnsi="Calibri" w:cs="Calibri"/>
          <w:sz w:val="22"/>
          <w:szCs w:val="22"/>
        </w:rPr>
        <w:t>. </w:t>
      </w:r>
    </w:p>
    <w:p w14:paraId="332DC70D" w14:textId="77777777" w:rsidR="00970EA8" w:rsidRPr="002E2B5B" w:rsidRDefault="00970EA8" w:rsidP="002E2B5B">
      <w:pPr>
        <w:spacing w:after="120"/>
        <w:ind w:right="57"/>
        <w:jc w:val="both"/>
        <w:rPr>
          <w:rFonts w:ascii="Calibri" w:hAnsi="Calibri" w:cs="Calibri"/>
          <w:sz w:val="22"/>
          <w:szCs w:val="22"/>
        </w:rPr>
      </w:pPr>
      <w:r w:rsidRPr="002E2B5B">
        <w:rPr>
          <w:rFonts w:ascii="Calibri" w:hAnsi="Calibri" w:cs="Calibri"/>
          <w:sz w:val="22"/>
          <w:szCs w:val="22"/>
        </w:rPr>
        <w:t xml:space="preserve">Conforme Item n° 86 do CPC 25 - Provisões, Passivos Contingentes e Ativos Contingentes; “a entidade deve divulgar para cada classe de passivo contingente na data do balanço, uma breve descrição da natureza do passivo contingente...”. Assim, os processos judiciais impetrados contra a VALEC, a extinta RFFSA e o GEIPOT, classificados </w:t>
      </w:r>
      <w:r w:rsidRPr="002E2B5B">
        <w:rPr>
          <w:rFonts w:ascii="Calibri" w:hAnsi="Calibri" w:cs="Calibri"/>
          <w:sz w:val="22"/>
          <w:szCs w:val="22"/>
        </w:rPr>
        <w:lastRenderedPageBreak/>
        <w:t>pela Assessoria Jurídica como obrigações “possíveis”, não foram contabilizados, apenas divulgados em Nota Explicativa.</w:t>
      </w:r>
    </w:p>
    <w:p w14:paraId="7E39FB89" w14:textId="7BE7F4ED" w:rsidR="00977AD1" w:rsidRPr="00DF68E4" w:rsidRDefault="00970EA8" w:rsidP="002E2B5B">
      <w:pPr>
        <w:spacing w:after="120"/>
        <w:ind w:right="57"/>
        <w:jc w:val="both"/>
        <w:rPr>
          <w:rFonts w:ascii="Calibri" w:hAnsi="Calibri" w:cs="Calibri"/>
          <w:sz w:val="22"/>
          <w:szCs w:val="22"/>
        </w:rPr>
      </w:pPr>
      <w:r w:rsidRPr="00DF68E4">
        <w:rPr>
          <w:rFonts w:ascii="Calibri" w:hAnsi="Calibri" w:cs="Calibri"/>
          <w:sz w:val="22"/>
          <w:szCs w:val="22"/>
        </w:rPr>
        <w:t xml:space="preserve">Os processos judiciais classificados com “possível” risco de perda, apresentaram os seguintes saldos em </w:t>
      </w:r>
      <w:r w:rsidR="00255AD7">
        <w:rPr>
          <w:rFonts w:ascii="Calibri" w:hAnsi="Calibri" w:cs="Calibri"/>
          <w:sz w:val="22"/>
          <w:szCs w:val="22"/>
        </w:rPr>
        <w:t>30 de junho</w:t>
      </w:r>
      <w:r w:rsidRPr="00DF68E4">
        <w:rPr>
          <w:rFonts w:ascii="Calibri" w:hAnsi="Calibri" w:cs="Calibri"/>
          <w:sz w:val="22"/>
          <w:szCs w:val="22"/>
        </w:rPr>
        <w:t xml:space="preserve"> de 20</w:t>
      </w:r>
      <w:r w:rsidR="00B632AC" w:rsidRPr="00DF68E4">
        <w:rPr>
          <w:rFonts w:ascii="Calibri" w:hAnsi="Calibri" w:cs="Calibri"/>
          <w:sz w:val="22"/>
          <w:szCs w:val="22"/>
        </w:rPr>
        <w:t>2</w:t>
      </w:r>
      <w:r w:rsidR="00456F49" w:rsidRPr="00DF68E4">
        <w:rPr>
          <w:rFonts w:ascii="Calibri" w:hAnsi="Calibri" w:cs="Calibri"/>
          <w:sz w:val="22"/>
          <w:szCs w:val="22"/>
        </w:rPr>
        <w:t>1</w:t>
      </w:r>
      <w:r w:rsidRPr="00DF68E4">
        <w:rPr>
          <w:rFonts w:ascii="Calibri" w:hAnsi="Calibri" w:cs="Calibri"/>
          <w:sz w:val="22"/>
          <w:szCs w:val="22"/>
        </w:rPr>
        <w:t>:</w:t>
      </w:r>
    </w:p>
    <w:tbl>
      <w:tblPr>
        <w:tblW w:w="5001" w:type="pct"/>
        <w:tblCellMar>
          <w:left w:w="70" w:type="dxa"/>
          <w:right w:w="70" w:type="dxa"/>
        </w:tblCellMar>
        <w:tblLook w:val="04A0" w:firstRow="1" w:lastRow="0" w:firstColumn="1" w:lastColumn="0" w:noHBand="0" w:noVBand="1"/>
      </w:tblPr>
      <w:tblGrid>
        <w:gridCol w:w="2338"/>
        <w:gridCol w:w="4466"/>
        <w:gridCol w:w="1843"/>
        <w:gridCol w:w="1822"/>
      </w:tblGrid>
      <w:tr w:rsidR="00B632AC" w:rsidRPr="00DF68E4" w14:paraId="30EBC64F" w14:textId="77777777" w:rsidTr="00C34E8D">
        <w:trPr>
          <w:trHeight w:hRule="exact" w:val="227"/>
        </w:trPr>
        <w:tc>
          <w:tcPr>
            <w:tcW w:w="1116" w:type="pct"/>
            <w:tcBorders>
              <w:top w:val="nil"/>
              <w:left w:val="nil"/>
              <w:bottom w:val="single" w:sz="8" w:space="0" w:color="auto"/>
              <w:right w:val="nil"/>
            </w:tcBorders>
            <w:shd w:val="clear" w:color="auto" w:fill="auto"/>
            <w:noWrap/>
            <w:vAlign w:val="bottom"/>
            <w:hideMark/>
          </w:tcPr>
          <w:p w14:paraId="1173B15B" w14:textId="77777777" w:rsidR="00B632AC" w:rsidRPr="00DF68E4" w:rsidRDefault="00B632AC" w:rsidP="002E2B5B">
            <w:pPr>
              <w:rPr>
                <w:rFonts w:ascii="Calibri" w:hAnsi="Calibri" w:cs="Calibri"/>
                <w:b/>
                <w:bCs/>
                <w:color w:val="000000"/>
                <w:sz w:val="16"/>
                <w:szCs w:val="16"/>
              </w:rPr>
            </w:pPr>
            <w:r w:rsidRPr="00DF68E4">
              <w:rPr>
                <w:rFonts w:ascii="Calibri" w:hAnsi="Calibri" w:cs="Calibri"/>
                <w:b/>
                <w:bCs/>
                <w:color w:val="000000"/>
                <w:sz w:val="16"/>
                <w:szCs w:val="16"/>
              </w:rPr>
              <w:t>VARAS</w:t>
            </w:r>
          </w:p>
        </w:tc>
        <w:tc>
          <w:tcPr>
            <w:tcW w:w="2133" w:type="pct"/>
            <w:tcBorders>
              <w:top w:val="nil"/>
              <w:left w:val="nil"/>
              <w:bottom w:val="single" w:sz="8" w:space="0" w:color="auto"/>
              <w:right w:val="nil"/>
            </w:tcBorders>
            <w:shd w:val="clear" w:color="auto" w:fill="auto"/>
            <w:vAlign w:val="bottom"/>
          </w:tcPr>
          <w:p w14:paraId="1E67A9D5" w14:textId="77777777" w:rsidR="00B632AC" w:rsidRPr="00DF68E4" w:rsidRDefault="00B632AC" w:rsidP="002E2B5B">
            <w:pPr>
              <w:jc w:val="right"/>
              <w:rPr>
                <w:rFonts w:ascii="Calibri" w:hAnsi="Calibri" w:cs="Calibri"/>
                <w:b/>
                <w:bCs/>
                <w:color w:val="000000"/>
                <w:sz w:val="16"/>
                <w:szCs w:val="16"/>
              </w:rPr>
            </w:pPr>
          </w:p>
        </w:tc>
        <w:tc>
          <w:tcPr>
            <w:tcW w:w="880" w:type="pct"/>
            <w:tcBorders>
              <w:top w:val="nil"/>
              <w:left w:val="nil"/>
              <w:bottom w:val="single" w:sz="8" w:space="0" w:color="auto"/>
              <w:right w:val="nil"/>
            </w:tcBorders>
            <w:shd w:val="clear" w:color="auto" w:fill="auto"/>
            <w:vAlign w:val="bottom"/>
          </w:tcPr>
          <w:p w14:paraId="09EB0595" w14:textId="448F83FB" w:rsidR="00B632AC" w:rsidRPr="00DF68E4" w:rsidRDefault="00B632AC" w:rsidP="002E2B5B">
            <w:pPr>
              <w:jc w:val="right"/>
              <w:rPr>
                <w:rFonts w:ascii="Calibri" w:hAnsi="Calibri" w:cs="Calibri"/>
                <w:b/>
                <w:bCs/>
                <w:color w:val="000000"/>
                <w:sz w:val="16"/>
                <w:szCs w:val="16"/>
              </w:rPr>
            </w:pPr>
          </w:p>
        </w:tc>
        <w:tc>
          <w:tcPr>
            <w:tcW w:w="870" w:type="pct"/>
            <w:tcBorders>
              <w:top w:val="nil"/>
              <w:left w:val="nil"/>
              <w:bottom w:val="single" w:sz="8" w:space="0" w:color="auto"/>
              <w:right w:val="nil"/>
            </w:tcBorders>
            <w:vAlign w:val="bottom"/>
          </w:tcPr>
          <w:p w14:paraId="1841D742" w14:textId="5460D2CD" w:rsidR="00B632AC" w:rsidRPr="00DF68E4" w:rsidRDefault="00255AD7" w:rsidP="002E2B5B">
            <w:pPr>
              <w:jc w:val="right"/>
              <w:rPr>
                <w:rFonts w:ascii="Calibri" w:hAnsi="Calibri" w:cs="Calibri"/>
                <w:b/>
                <w:bCs/>
                <w:color w:val="000000"/>
                <w:sz w:val="16"/>
                <w:szCs w:val="16"/>
              </w:rPr>
            </w:pPr>
            <w:r>
              <w:rPr>
                <w:rFonts w:ascii="Calibri" w:hAnsi="Calibri" w:cs="Calibri"/>
                <w:b/>
                <w:bCs/>
                <w:color w:val="000000"/>
                <w:sz w:val="16"/>
                <w:szCs w:val="16"/>
              </w:rPr>
              <w:t>30/06/2021</w:t>
            </w:r>
          </w:p>
        </w:tc>
      </w:tr>
      <w:tr w:rsidR="00B632AC" w:rsidRPr="00DF68E4" w14:paraId="6F509C99" w14:textId="77777777" w:rsidTr="00C34E8D">
        <w:trPr>
          <w:trHeight w:hRule="exact" w:val="227"/>
        </w:trPr>
        <w:tc>
          <w:tcPr>
            <w:tcW w:w="1116" w:type="pct"/>
            <w:tcBorders>
              <w:top w:val="nil"/>
              <w:left w:val="nil"/>
              <w:bottom w:val="nil"/>
              <w:right w:val="nil"/>
            </w:tcBorders>
            <w:shd w:val="clear" w:color="auto" w:fill="auto"/>
            <w:noWrap/>
            <w:vAlign w:val="center"/>
            <w:hideMark/>
          </w:tcPr>
          <w:p w14:paraId="60239B8A" w14:textId="77777777" w:rsidR="00B632AC" w:rsidRPr="00DF68E4" w:rsidRDefault="00B632AC" w:rsidP="002E2B5B">
            <w:pPr>
              <w:rPr>
                <w:rFonts w:ascii="Calibri" w:hAnsi="Calibri" w:cs="Calibri"/>
                <w:color w:val="000000"/>
                <w:sz w:val="16"/>
                <w:szCs w:val="16"/>
              </w:rPr>
            </w:pPr>
            <w:r w:rsidRPr="00DF68E4">
              <w:rPr>
                <w:rFonts w:ascii="Calibri" w:hAnsi="Calibri" w:cs="Calibri"/>
                <w:color w:val="000000"/>
                <w:sz w:val="16"/>
                <w:szCs w:val="16"/>
              </w:rPr>
              <w:t>Cíveis</w:t>
            </w:r>
          </w:p>
        </w:tc>
        <w:tc>
          <w:tcPr>
            <w:tcW w:w="2133" w:type="pct"/>
            <w:tcBorders>
              <w:top w:val="nil"/>
              <w:left w:val="nil"/>
              <w:bottom w:val="nil"/>
              <w:right w:val="nil"/>
            </w:tcBorders>
            <w:shd w:val="clear" w:color="auto" w:fill="auto"/>
            <w:noWrap/>
            <w:vAlign w:val="center"/>
          </w:tcPr>
          <w:p w14:paraId="5112EAFA" w14:textId="77777777" w:rsidR="00B632AC" w:rsidRPr="00DF68E4" w:rsidRDefault="00B632AC" w:rsidP="002E2B5B">
            <w:pPr>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5DCD5D99" w14:textId="50C700D6" w:rsidR="00B632AC" w:rsidRPr="00DF68E4" w:rsidRDefault="00B632AC" w:rsidP="002E2B5B">
            <w:pPr>
              <w:jc w:val="right"/>
              <w:rPr>
                <w:rFonts w:ascii="Calibri" w:hAnsi="Calibri" w:cs="Calibri"/>
                <w:color w:val="000000"/>
                <w:sz w:val="16"/>
                <w:szCs w:val="16"/>
              </w:rPr>
            </w:pPr>
          </w:p>
        </w:tc>
        <w:tc>
          <w:tcPr>
            <w:tcW w:w="870" w:type="pct"/>
            <w:tcBorders>
              <w:top w:val="nil"/>
              <w:left w:val="nil"/>
              <w:bottom w:val="nil"/>
              <w:right w:val="nil"/>
            </w:tcBorders>
            <w:vAlign w:val="center"/>
          </w:tcPr>
          <w:p w14:paraId="2A8C9C30" w14:textId="6202114A" w:rsidR="00B632AC" w:rsidRPr="00DF68E4" w:rsidRDefault="00456F49" w:rsidP="002E2B5B">
            <w:pPr>
              <w:jc w:val="right"/>
              <w:rPr>
                <w:rFonts w:ascii="Calibri" w:hAnsi="Calibri" w:cs="Calibri"/>
                <w:color w:val="000000"/>
                <w:sz w:val="16"/>
                <w:szCs w:val="16"/>
              </w:rPr>
            </w:pPr>
            <w:r w:rsidRPr="00DF68E4">
              <w:rPr>
                <w:rFonts w:ascii="Calibri" w:hAnsi="Calibri" w:cs="Calibri"/>
                <w:color w:val="000000"/>
                <w:sz w:val="16"/>
                <w:szCs w:val="16"/>
              </w:rPr>
              <w:t>988.680.208</w:t>
            </w:r>
          </w:p>
        </w:tc>
      </w:tr>
      <w:tr w:rsidR="00B632AC" w:rsidRPr="00DF68E4" w14:paraId="26C5D3BF" w14:textId="77777777" w:rsidTr="00C34E8D">
        <w:trPr>
          <w:trHeight w:hRule="exact" w:val="227"/>
        </w:trPr>
        <w:tc>
          <w:tcPr>
            <w:tcW w:w="1116" w:type="pct"/>
            <w:tcBorders>
              <w:top w:val="nil"/>
              <w:left w:val="nil"/>
              <w:bottom w:val="nil"/>
              <w:right w:val="nil"/>
            </w:tcBorders>
            <w:shd w:val="clear" w:color="auto" w:fill="auto"/>
            <w:noWrap/>
            <w:vAlign w:val="center"/>
            <w:hideMark/>
          </w:tcPr>
          <w:p w14:paraId="02949E82" w14:textId="77777777" w:rsidR="00B632AC" w:rsidRPr="00DF68E4" w:rsidRDefault="00B632AC" w:rsidP="002E2B5B">
            <w:pPr>
              <w:rPr>
                <w:rFonts w:ascii="Calibri" w:hAnsi="Calibri" w:cs="Calibri"/>
                <w:color w:val="000000"/>
                <w:sz w:val="16"/>
                <w:szCs w:val="16"/>
              </w:rPr>
            </w:pPr>
            <w:r w:rsidRPr="00DF68E4">
              <w:rPr>
                <w:rFonts w:ascii="Calibri" w:hAnsi="Calibri" w:cs="Calibri"/>
                <w:color w:val="000000"/>
                <w:sz w:val="16"/>
                <w:szCs w:val="16"/>
              </w:rPr>
              <w:t>Trabalhistas</w:t>
            </w:r>
          </w:p>
        </w:tc>
        <w:tc>
          <w:tcPr>
            <w:tcW w:w="2133" w:type="pct"/>
            <w:tcBorders>
              <w:top w:val="nil"/>
              <w:left w:val="nil"/>
              <w:bottom w:val="nil"/>
              <w:right w:val="nil"/>
            </w:tcBorders>
            <w:shd w:val="clear" w:color="auto" w:fill="auto"/>
            <w:noWrap/>
            <w:vAlign w:val="center"/>
          </w:tcPr>
          <w:p w14:paraId="1A919DB2" w14:textId="77777777" w:rsidR="00B632AC" w:rsidRPr="00DF68E4" w:rsidRDefault="00B632AC" w:rsidP="002E2B5B">
            <w:pPr>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5F5B7F8B" w14:textId="7D77E49C" w:rsidR="00B632AC" w:rsidRPr="00DF68E4" w:rsidRDefault="00B632AC" w:rsidP="002E2B5B">
            <w:pPr>
              <w:jc w:val="right"/>
              <w:rPr>
                <w:rFonts w:ascii="Calibri" w:hAnsi="Calibri" w:cs="Calibri"/>
                <w:color w:val="000000"/>
                <w:sz w:val="16"/>
                <w:szCs w:val="16"/>
              </w:rPr>
            </w:pPr>
          </w:p>
        </w:tc>
        <w:tc>
          <w:tcPr>
            <w:tcW w:w="870" w:type="pct"/>
            <w:tcBorders>
              <w:top w:val="nil"/>
              <w:left w:val="nil"/>
              <w:bottom w:val="nil"/>
              <w:right w:val="nil"/>
            </w:tcBorders>
            <w:vAlign w:val="center"/>
          </w:tcPr>
          <w:p w14:paraId="5438EC15" w14:textId="3B61C20C" w:rsidR="00B632AC" w:rsidRPr="00DF68E4" w:rsidRDefault="00456F49" w:rsidP="002E2B5B">
            <w:pPr>
              <w:jc w:val="right"/>
              <w:rPr>
                <w:rFonts w:ascii="Calibri" w:hAnsi="Calibri" w:cs="Calibri"/>
                <w:color w:val="000000"/>
                <w:sz w:val="16"/>
                <w:szCs w:val="16"/>
              </w:rPr>
            </w:pPr>
            <w:r w:rsidRPr="00DF68E4">
              <w:rPr>
                <w:rFonts w:ascii="Calibri" w:hAnsi="Calibri" w:cs="Calibri"/>
                <w:color w:val="000000"/>
                <w:sz w:val="16"/>
                <w:szCs w:val="16"/>
              </w:rPr>
              <w:t>33.362.819</w:t>
            </w:r>
          </w:p>
        </w:tc>
      </w:tr>
      <w:tr w:rsidR="00B632AC" w:rsidRPr="002E2B5B" w14:paraId="7D1350C8" w14:textId="77777777" w:rsidTr="00C34E8D">
        <w:trPr>
          <w:trHeight w:hRule="exact" w:val="227"/>
        </w:trPr>
        <w:tc>
          <w:tcPr>
            <w:tcW w:w="1116" w:type="pct"/>
            <w:tcBorders>
              <w:top w:val="single" w:sz="8" w:space="0" w:color="auto"/>
              <w:left w:val="nil"/>
              <w:bottom w:val="single" w:sz="8" w:space="0" w:color="auto"/>
              <w:right w:val="nil"/>
            </w:tcBorders>
            <w:shd w:val="clear" w:color="auto" w:fill="auto"/>
            <w:noWrap/>
            <w:vAlign w:val="center"/>
            <w:hideMark/>
          </w:tcPr>
          <w:p w14:paraId="0E59125E" w14:textId="77777777" w:rsidR="00B632AC" w:rsidRPr="00DF68E4" w:rsidRDefault="00B632AC" w:rsidP="002E2B5B">
            <w:pPr>
              <w:rPr>
                <w:rFonts w:ascii="Calibri" w:hAnsi="Calibri" w:cs="Calibri"/>
                <w:b/>
                <w:bCs/>
                <w:color w:val="000000"/>
                <w:sz w:val="16"/>
                <w:szCs w:val="16"/>
              </w:rPr>
            </w:pPr>
            <w:r w:rsidRPr="00DF68E4">
              <w:rPr>
                <w:rFonts w:ascii="Calibri" w:hAnsi="Calibri" w:cs="Calibri"/>
                <w:b/>
                <w:bCs/>
                <w:color w:val="000000"/>
                <w:sz w:val="16"/>
                <w:szCs w:val="16"/>
              </w:rPr>
              <w:t>SALDO</w:t>
            </w:r>
          </w:p>
        </w:tc>
        <w:tc>
          <w:tcPr>
            <w:tcW w:w="2133" w:type="pct"/>
            <w:tcBorders>
              <w:top w:val="single" w:sz="8" w:space="0" w:color="auto"/>
              <w:left w:val="nil"/>
              <w:bottom w:val="single" w:sz="8" w:space="0" w:color="auto"/>
              <w:right w:val="nil"/>
            </w:tcBorders>
            <w:shd w:val="clear" w:color="auto" w:fill="auto"/>
            <w:noWrap/>
            <w:vAlign w:val="center"/>
          </w:tcPr>
          <w:p w14:paraId="0A225AAC" w14:textId="77777777" w:rsidR="00B632AC" w:rsidRPr="00DF68E4" w:rsidRDefault="00B632AC" w:rsidP="002E2B5B">
            <w:pPr>
              <w:jc w:val="right"/>
              <w:rPr>
                <w:rFonts w:ascii="Calibri" w:hAnsi="Calibri" w:cs="Calibri"/>
                <w:b/>
                <w:bCs/>
                <w:color w:val="000000"/>
                <w:sz w:val="16"/>
                <w:szCs w:val="16"/>
              </w:rPr>
            </w:pPr>
          </w:p>
        </w:tc>
        <w:tc>
          <w:tcPr>
            <w:tcW w:w="880" w:type="pct"/>
            <w:tcBorders>
              <w:top w:val="single" w:sz="8" w:space="0" w:color="auto"/>
              <w:left w:val="nil"/>
              <w:bottom w:val="single" w:sz="8" w:space="0" w:color="auto"/>
              <w:right w:val="nil"/>
            </w:tcBorders>
            <w:shd w:val="clear" w:color="auto" w:fill="auto"/>
            <w:vAlign w:val="center"/>
          </w:tcPr>
          <w:p w14:paraId="62FD26A3" w14:textId="7B8A30D3" w:rsidR="00B632AC" w:rsidRPr="00DF68E4" w:rsidRDefault="00B632AC" w:rsidP="002E2B5B">
            <w:pPr>
              <w:jc w:val="right"/>
              <w:rPr>
                <w:rFonts w:ascii="Calibri" w:hAnsi="Calibri" w:cs="Calibri"/>
                <w:b/>
                <w:bCs/>
                <w:color w:val="000000"/>
                <w:sz w:val="16"/>
                <w:szCs w:val="16"/>
              </w:rPr>
            </w:pPr>
          </w:p>
        </w:tc>
        <w:tc>
          <w:tcPr>
            <w:tcW w:w="870" w:type="pct"/>
            <w:tcBorders>
              <w:top w:val="single" w:sz="8" w:space="0" w:color="auto"/>
              <w:left w:val="nil"/>
              <w:bottom w:val="single" w:sz="8" w:space="0" w:color="auto"/>
              <w:right w:val="nil"/>
            </w:tcBorders>
            <w:vAlign w:val="center"/>
          </w:tcPr>
          <w:p w14:paraId="24C03739" w14:textId="1A891249" w:rsidR="00B632AC" w:rsidRPr="002E2B5B" w:rsidRDefault="00456F49" w:rsidP="002E2B5B">
            <w:pPr>
              <w:jc w:val="right"/>
              <w:rPr>
                <w:rFonts w:ascii="Calibri" w:hAnsi="Calibri" w:cs="Calibri"/>
                <w:b/>
                <w:bCs/>
                <w:color w:val="000000"/>
                <w:sz w:val="16"/>
                <w:szCs w:val="16"/>
              </w:rPr>
            </w:pPr>
            <w:r w:rsidRPr="00DF68E4">
              <w:rPr>
                <w:rFonts w:ascii="Calibri" w:hAnsi="Calibri" w:cs="Calibri"/>
                <w:b/>
                <w:bCs/>
                <w:color w:val="000000"/>
                <w:sz w:val="16"/>
                <w:szCs w:val="16"/>
              </w:rPr>
              <w:t>1.022.043.027</w:t>
            </w:r>
          </w:p>
        </w:tc>
      </w:tr>
    </w:tbl>
    <w:p w14:paraId="18241BBD" w14:textId="152FFDBD" w:rsidR="00B60B6C" w:rsidRPr="002E2B5B" w:rsidRDefault="00970EA8" w:rsidP="002E2B5B">
      <w:pPr>
        <w:ind w:right="57"/>
        <w:jc w:val="both"/>
        <w:rPr>
          <w:rFonts w:ascii="Calibri" w:hAnsi="Calibri" w:cs="Calibri"/>
          <w:sz w:val="22"/>
          <w:szCs w:val="22"/>
        </w:rPr>
      </w:pPr>
      <w:r w:rsidRPr="002E2B5B">
        <w:rPr>
          <w:rFonts w:ascii="Calibri" w:hAnsi="Calibri" w:cs="Calibri"/>
          <w:sz w:val="22"/>
          <w:szCs w:val="22"/>
        </w:rPr>
        <w:t xml:space="preserve">Os valores classificados como possíveis “superfaturamentos” ou “sobrepreços” levantados por Tomadas de Contas Especiais do Tribunal de Contas da União, divulgados nas notas explicativas de anos anteriores, foram desconsiderados para fins de divulgação nestas Notas, devido ao reconhecimento da perda pelo valor recuperável após a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da Ferrovia Norte Sul.</w:t>
      </w:r>
      <w:bookmarkEnd w:id="6"/>
    </w:p>
    <w:p w14:paraId="6D25EE3C" w14:textId="77777777" w:rsidR="003657C6" w:rsidRPr="002E2B5B" w:rsidRDefault="003657C6" w:rsidP="002E2B5B">
      <w:pPr>
        <w:ind w:right="57"/>
        <w:jc w:val="both"/>
        <w:rPr>
          <w:rFonts w:ascii="Calibri" w:hAnsi="Calibri" w:cs="Calibri"/>
          <w:sz w:val="22"/>
          <w:szCs w:val="22"/>
        </w:rPr>
      </w:pPr>
    </w:p>
    <w:p w14:paraId="34975232" w14:textId="37E4114F" w:rsidR="00526F70" w:rsidRPr="002E2B5B" w:rsidRDefault="000568B0" w:rsidP="002E2B5B">
      <w:pPr>
        <w:pStyle w:val="Ttulo4"/>
        <w:numPr>
          <w:ilvl w:val="0"/>
          <w:numId w:val="5"/>
        </w:numPr>
        <w:tabs>
          <w:tab w:val="left" w:pos="0"/>
        </w:tabs>
        <w:spacing w:after="120" w:line="240" w:lineRule="auto"/>
        <w:ind w:left="284" w:hanging="284"/>
        <w:rPr>
          <w:rFonts w:ascii="Calibri" w:hAnsi="Calibri" w:cs="Calibri"/>
          <w:sz w:val="22"/>
          <w:szCs w:val="22"/>
        </w:rPr>
      </w:pPr>
      <w:r w:rsidRPr="002E2B5B">
        <w:rPr>
          <w:rFonts w:ascii="Calibri" w:hAnsi="Calibri" w:cs="Calibri"/>
          <w:sz w:val="22"/>
          <w:szCs w:val="22"/>
        </w:rPr>
        <w:t xml:space="preserve">Adiantamento para Futuro Aumento de Capital </w:t>
      </w:r>
      <w:r w:rsidR="008A147B" w:rsidRPr="002E2B5B">
        <w:rPr>
          <w:rFonts w:ascii="Calibri" w:hAnsi="Calibri" w:cs="Calibri"/>
          <w:sz w:val="22"/>
          <w:szCs w:val="22"/>
        </w:rPr>
        <w:t xml:space="preserve">– AFAC </w:t>
      </w:r>
    </w:p>
    <w:p w14:paraId="6502EF8A" w14:textId="263058A2" w:rsidR="00B87A63" w:rsidRPr="002E2B5B" w:rsidRDefault="00894308" w:rsidP="002E2B5B">
      <w:pPr>
        <w:spacing w:after="120"/>
        <w:ind w:right="57"/>
        <w:jc w:val="both"/>
        <w:rPr>
          <w:rFonts w:ascii="Calibri" w:hAnsi="Calibri" w:cs="Calibri"/>
          <w:sz w:val="22"/>
          <w:szCs w:val="22"/>
        </w:rPr>
      </w:pPr>
      <w:r w:rsidRPr="002E2B5B">
        <w:rPr>
          <w:rFonts w:ascii="Calibri" w:hAnsi="Calibri" w:cs="Calibri"/>
          <w:sz w:val="22"/>
          <w:szCs w:val="22"/>
        </w:rPr>
        <w:t>Os Adiantamentos para futuros aumentos de capital são compostos de recursos, oriundos do Orçamento Geral da União, no</w:t>
      </w:r>
      <w:r w:rsidR="00E70716" w:rsidRPr="002E2B5B">
        <w:rPr>
          <w:rFonts w:ascii="Calibri" w:hAnsi="Calibri" w:cs="Calibri"/>
          <w:sz w:val="22"/>
          <w:szCs w:val="22"/>
        </w:rPr>
        <w:t>s</w:t>
      </w:r>
      <w:r w:rsidRPr="002E2B5B">
        <w:rPr>
          <w:rFonts w:ascii="Calibri" w:hAnsi="Calibri" w:cs="Calibri"/>
          <w:sz w:val="22"/>
          <w:szCs w:val="22"/>
        </w:rPr>
        <w:t xml:space="preserve"> exercício</w:t>
      </w:r>
      <w:r w:rsidR="00E70716" w:rsidRPr="002E2B5B">
        <w:rPr>
          <w:rFonts w:ascii="Calibri" w:hAnsi="Calibri" w:cs="Calibri"/>
          <w:sz w:val="22"/>
          <w:szCs w:val="22"/>
        </w:rPr>
        <w:t>s</w:t>
      </w:r>
      <w:r w:rsidR="000776F4" w:rsidRPr="002E2B5B">
        <w:rPr>
          <w:rFonts w:ascii="Calibri" w:hAnsi="Calibri" w:cs="Calibri"/>
          <w:sz w:val="22"/>
          <w:szCs w:val="22"/>
        </w:rPr>
        <w:t xml:space="preserve"> de 201</w:t>
      </w:r>
      <w:r w:rsidR="00EE24E9" w:rsidRPr="002E2B5B">
        <w:rPr>
          <w:rFonts w:ascii="Calibri" w:hAnsi="Calibri" w:cs="Calibri"/>
          <w:sz w:val="22"/>
          <w:szCs w:val="22"/>
        </w:rPr>
        <w:t>8</w:t>
      </w:r>
      <w:r w:rsidR="00651F44" w:rsidRPr="002E2B5B">
        <w:rPr>
          <w:rFonts w:ascii="Calibri" w:hAnsi="Calibri" w:cs="Calibri"/>
          <w:sz w:val="22"/>
          <w:szCs w:val="22"/>
        </w:rPr>
        <w:t xml:space="preserve"> a 20</w:t>
      </w:r>
      <w:r w:rsidR="00EE24E9" w:rsidRPr="002E2B5B">
        <w:rPr>
          <w:rFonts w:ascii="Calibri" w:hAnsi="Calibri" w:cs="Calibri"/>
          <w:sz w:val="22"/>
          <w:szCs w:val="22"/>
        </w:rPr>
        <w:t>2</w:t>
      </w:r>
      <w:r w:rsidR="007D5E89">
        <w:rPr>
          <w:rFonts w:ascii="Calibri" w:hAnsi="Calibri" w:cs="Calibri"/>
          <w:sz w:val="22"/>
          <w:szCs w:val="22"/>
        </w:rPr>
        <w:t>1</w:t>
      </w:r>
      <w:r w:rsidRPr="002E2B5B">
        <w:rPr>
          <w:rFonts w:ascii="Calibri" w:hAnsi="Calibri" w:cs="Calibri"/>
          <w:sz w:val="22"/>
          <w:szCs w:val="22"/>
        </w:rPr>
        <w:t>, na categoria Investimento, e sua utilização destinou-se à construção das Ferrovias Norte-Sul EF-151, Extensão Sul, Ferrovia Integração Oeste-Leste EF-334 (FIOL) e Ferrovia</w:t>
      </w:r>
      <w:r w:rsidR="007F4918" w:rsidRPr="002E2B5B">
        <w:rPr>
          <w:rFonts w:ascii="Calibri" w:hAnsi="Calibri" w:cs="Calibri"/>
          <w:sz w:val="22"/>
          <w:szCs w:val="22"/>
        </w:rPr>
        <w:t xml:space="preserve"> Integração Centro-Oeste</w:t>
      </w:r>
      <w:r w:rsidRPr="002E2B5B">
        <w:rPr>
          <w:rFonts w:ascii="Calibri" w:hAnsi="Calibri" w:cs="Calibri"/>
          <w:sz w:val="22"/>
          <w:szCs w:val="22"/>
        </w:rPr>
        <w:t xml:space="preserve"> EF-354 (FICO). </w:t>
      </w:r>
    </w:p>
    <w:p w14:paraId="0E1F65C7" w14:textId="3DC648E9" w:rsidR="00B87A63" w:rsidRPr="002E2B5B" w:rsidRDefault="00894308" w:rsidP="002E2B5B">
      <w:pPr>
        <w:spacing w:after="120"/>
        <w:ind w:right="57"/>
        <w:jc w:val="both"/>
        <w:rPr>
          <w:rFonts w:ascii="Calibri" w:hAnsi="Calibri" w:cs="Calibri"/>
          <w:sz w:val="22"/>
          <w:szCs w:val="22"/>
        </w:rPr>
      </w:pPr>
      <w:r w:rsidRPr="002E2B5B">
        <w:rPr>
          <w:rFonts w:ascii="Calibri" w:hAnsi="Calibri" w:cs="Calibri"/>
          <w:sz w:val="22"/>
          <w:szCs w:val="22"/>
        </w:rPr>
        <w:t>Conforme o Decreto nº 8.945 de 27</w:t>
      </w:r>
      <w:r w:rsidR="00BD7C0B" w:rsidRPr="002E2B5B">
        <w:rPr>
          <w:rFonts w:ascii="Calibri" w:hAnsi="Calibri" w:cs="Calibri"/>
          <w:sz w:val="22"/>
          <w:szCs w:val="22"/>
        </w:rPr>
        <w:t xml:space="preserve"> de dezembro de </w:t>
      </w:r>
      <w:r w:rsidRPr="002E2B5B">
        <w:rPr>
          <w:rFonts w:ascii="Calibri" w:hAnsi="Calibri" w:cs="Calibri"/>
          <w:sz w:val="22"/>
          <w:szCs w:val="22"/>
        </w:rPr>
        <w:t xml:space="preserve">2016, a atualização monetária pela taxa SELIC não incide mais sobre os valores aportados a partir de </w:t>
      </w:r>
      <w:r w:rsidR="00ED6C30" w:rsidRPr="002E2B5B">
        <w:rPr>
          <w:rFonts w:ascii="Calibri" w:hAnsi="Calibri" w:cs="Calibri"/>
          <w:sz w:val="22"/>
          <w:szCs w:val="22"/>
        </w:rPr>
        <w:t>01 de janeiro de 2017</w:t>
      </w:r>
      <w:r w:rsidRPr="002E2B5B">
        <w:rPr>
          <w:rFonts w:ascii="Calibri" w:hAnsi="Calibri" w:cs="Calibri"/>
          <w:sz w:val="22"/>
          <w:szCs w:val="22"/>
        </w:rPr>
        <w:t xml:space="preserve">, entretanto, a atualização permanece sobre os saldos dos recursos anteriores a </w:t>
      </w:r>
      <w:r w:rsidR="00ED6C30" w:rsidRPr="002E2B5B">
        <w:rPr>
          <w:rFonts w:ascii="Calibri" w:hAnsi="Calibri" w:cs="Calibri"/>
          <w:sz w:val="22"/>
          <w:szCs w:val="22"/>
        </w:rPr>
        <w:t>31 de dezembro de 2016</w:t>
      </w:r>
      <w:r w:rsidRPr="002E2B5B">
        <w:rPr>
          <w:rFonts w:ascii="Calibri" w:hAnsi="Calibri" w:cs="Calibri"/>
          <w:sz w:val="22"/>
          <w:szCs w:val="22"/>
        </w:rPr>
        <w:t xml:space="preserve"> até a sua efetiva integraliz</w:t>
      </w:r>
      <w:r w:rsidR="00B1166A" w:rsidRPr="002E2B5B">
        <w:rPr>
          <w:rFonts w:ascii="Calibri" w:hAnsi="Calibri" w:cs="Calibri"/>
          <w:sz w:val="22"/>
          <w:szCs w:val="22"/>
        </w:rPr>
        <w:t>ação ao capital social da VALEC,</w:t>
      </w:r>
      <w:r w:rsidR="006748DE" w:rsidRPr="002E2B5B">
        <w:rPr>
          <w:rFonts w:ascii="Calibri" w:hAnsi="Calibri" w:cs="Calibri"/>
          <w:sz w:val="22"/>
          <w:szCs w:val="22"/>
        </w:rPr>
        <w:t xml:space="preserve"> </w:t>
      </w:r>
      <w:r w:rsidR="00B1166A" w:rsidRPr="002E2B5B">
        <w:rPr>
          <w:rFonts w:ascii="Calibri" w:hAnsi="Calibri" w:cs="Calibri"/>
          <w:sz w:val="22"/>
          <w:szCs w:val="22"/>
        </w:rPr>
        <w:t>que ocorreu em agosto de 2019 conforme aprovação da 72ª Assembleia Geral Extraordinária realizada no dia 22</w:t>
      </w:r>
      <w:r w:rsidR="00BD7C0B" w:rsidRPr="002E2B5B">
        <w:rPr>
          <w:rFonts w:ascii="Calibri" w:hAnsi="Calibri" w:cs="Calibri"/>
          <w:sz w:val="22"/>
          <w:szCs w:val="22"/>
        </w:rPr>
        <w:t xml:space="preserve"> de agosto de 20</w:t>
      </w:r>
      <w:r w:rsidR="00B1166A" w:rsidRPr="002E2B5B">
        <w:rPr>
          <w:rFonts w:ascii="Calibri" w:hAnsi="Calibri" w:cs="Calibri"/>
          <w:sz w:val="22"/>
          <w:szCs w:val="22"/>
        </w:rPr>
        <w:t>19. Desse modo, os aportes a título de AFAC realizados a partir de 2017 são registrados na conta de AFAC do Patrimônio Líquido.</w:t>
      </w:r>
    </w:p>
    <w:p w14:paraId="0E1D3BD6" w14:textId="65BBBEB2" w:rsidR="00994A9D" w:rsidRDefault="000827A5" w:rsidP="00994A9D">
      <w:pPr>
        <w:spacing w:after="120"/>
        <w:jc w:val="both"/>
        <w:rPr>
          <w:rFonts w:ascii="Calibri" w:hAnsi="Calibri" w:cs="Calibri"/>
          <w:sz w:val="22"/>
          <w:szCs w:val="22"/>
        </w:rPr>
      </w:pPr>
      <w:r w:rsidRPr="002E2B5B">
        <w:rPr>
          <w:rFonts w:ascii="Calibri" w:hAnsi="Calibri" w:cs="Calibri"/>
          <w:sz w:val="22"/>
          <w:szCs w:val="22"/>
        </w:rPr>
        <w:t>A movimentação de AFAC</w:t>
      </w:r>
      <w:r w:rsidR="00994A9D">
        <w:rPr>
          <w:rFonts w:ascii="Calibri" w:hAnsi="Calibri" w:cs="Calibri"/>
          <w:sz w:val="22"/>
          <w:szCs w:val="22"/>
        </w:rPr>
        <w:t>,</w:t>
      </w:r>
      <w:r w:rsidRPr="002E2B5B">
        <w:rPr>
          <w:rFonts w:ascii="Calibri" w:hAnsi="Calibri" w:cs="Calibri"/>
          <w:sz w:val="22"/>
          <w:szCs w:val="22"/>
        </w:rPr>
        <w:t xml:space="preserve"> no </w:t>
      </w:r>
      <w:r w:rsidR="00994A9D">
        <w:rPr>
          <w:rFonts w:ascii="Calibri" w:hAnsi="Calibri" w:cs="Calibri"/>
          <w:sz w:val="22"/>
          <w:szCs w:val="22"/>
        </w:rPr>
        <w:t>ano</w:t>
      </w:r>
      <w:r w:rsidR="00456F49">
        <w:rPr>
          <w:rFonts w:ascii="Calibri" w:hAnsi="Calibri" w:cs="Calibri"/>
          <w:sz w:val="22"/>
          <w:szCs w:val="22"/>
        </w:rPr>
        <w:t xml:space="preserve"> de </w:t>
      </w:r>
      <w:r w:rsidRPr="002E2B5B">
        <w:rPr>
          <w:rFonts w:ascii="Calibri" w:hAnsi="Calibri" w:cs="Calibri"/>
          <w:sz w:val="22"/>
          <w:szCs w:val="22"/>
        </w:rPr>
        <w:t>20</w:t>
      </w:r>
      <w:r w:rsidR="00EE24E9" w:rsidRPr="002E2B5B">
        <w:rPr>
          <w:rFonts w:ascii="Calibri" w:hAnsi="Calibri" w:cs="Calibri"/>
          <w:sz w:val="22"/>
          <w:szCs w:val="22"/>
        </w:rPr>
        <w:t>2</w:t>
      </w:r>
      <w:r w:rsidR="00456F49">
        <w:rPr>
          <w:rFonts w:ascii="Calibri" w:hAnsi="Calibri" w:cs="Calibri"/>
          <w:sz w:val="22"/>
          <w:szCs w:val="22"/>
        </w:rPr>
        <w:t>1</w:t>
      </w:r>
      <w:r w:rsidR="00994A9D">
        <w:rPr>
          <w:rFonts w:ascii="Calibri" w:hAnsi="Calibri" w:cs="Calibri"/>
          <w:sz w:val="22"/>
          <w:szCs w:val="22"/>
        </w:rPr>
        <w:t xml:space="preserve"> até o segundo trimestre,</w:t>
      </w:r>
      <w:r w:rsidRPr="002E2B5B">
        <w:rPr>
          <w:rFonts w:ascii="Calibri" w:hAnsi="Calibri" w:cs="Calibri"/>
          <w:sz w:val="22"/>
          <w:szCs w:val="22"/>
        </w:rPr>
        <w:t xml:space="preserve"> foi:</w:t>
      </w:r>
    </w:p>
    <w:tbl>
      <w:tblPr>
        <w:tblW w:w="5000" w:type="pct"/>
        <w:tblCellMar>
          <w:left w:w="70" w:type="dxa"/>
          <w:right w:w="70" w:type="dxa"/>
        </w:tblCellMar>
        <w:tblLook w:val="04A0" w:firstRow="1" w:lastRow="0" w:firstColumn="1" w:lastColumn="0" w:noHBand="0" w:noVBand="1"/>
      </w:tblPr>
      <w:tblGrid>
        <w:gridCol w:w="2266"/>
        <w:gridCol w:w="1352"/>
        <w:gridCol w:w="2057"/>
        <w:gridCol w:w="2044"/>
        <w:gridCol w:w="2748"/>
      </w:tblGrid>
      <w:tr w:rsidR="00994A9D" w14:paraId="48F9547F" w14:textId="77777777" w:rsidTr="00994A9D">
        <w:trPr>
          <w:trHeight w:hRule="exact" w:val="227"/>
        </w:trPr>
        <w:tc>
          <w:tcPr>
            <w:tcW w:w="1000" w:type="pct"/>
            <w:tcBorders>
              <w:top w:val="nil"/>
              <w:left w:val="nil"/>
              <w:bottom w:val="single" w:sz="8" w:space="0" w:color="auto"/>
              <w:right w:val="nil"/>
            </w:tcBorders>
            <w:shd w:val="clear" w:color="auto" w:fill="auto"/>
            <w:noWrap/>
            <w:vAlign w:val="center"/>
            <w:hideMark/>
          </w:tcPr>
          <w:p w14:paraId="21D2D59F" w14:textId="77777777" w:rsidR="00994A9D" w:rsidRDefault="00994A9D">
            <w:pPr>
              <w:rPr>
                <w:rFonts w:ascii="Calibri" w:hAnsi="Calibri" w:cs="Calibri"/>
                <w:b/>
                <w:bCs/>
                <w:color w:val="000000"/>
                <w:sz w:val="16"/>
                <w:szCs w:val="16"/>
              </w:rPr>
            </w:pPr>
            <w:r>
              <w:rPr>
                <w:rFonts w:ascii="Calibri" w:hAnsi="Calibri" w:cs="Calibri"/>
                <w:b/>
                <w:bCs/>
                <w:color w:val="000000"/>
                <w:sz w:val="16"/>
                <w:szCs w:val="16"/>
              </w:rPr>
              <w:t>AFAC – PL</w:t>
            </w:r>
          </w:p>
        </w:tc>
        <w:tc>
          <w:tcPr>
            <w:tcW w:w="667" w:type="pct"/>
            <w:tcBorders>
              <w:top w:val="nil"/>
              <w:left w:val="nil"/>
              <w:bottom w:val="single" w:sz="8" w:space="0" w:color="auto"/>
              <w:right w:val="nil"/>
            </w:tcBorders>
            <w:shd w:val="clear" w:color="auto" w:fill="auto"/>
            <w:noWrap/>
            <w:vAlign w:val="center"/>
            <w:hideMark/>
          </w:tcPr>
          <w:p w14:paraId="3059EB16" w14:textId="77777777"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 </w:t>
            </w:r>
          </w:p>
        </w:tc>
        <w:tc>
          <w:tcPr>
            <w:tcW w:w="2000" w:type="pct"/>
            <w:gridSpan w:val="2"/>
            <w:tcBorders>
              <w:top w:val="nil"/>
              <w:left w:val="nil"/>
              <w:bottom w:val="single" w:sz="8" w:space="0" w:color="auto"/>
              <w:right w:val="nil"/>
            </w:tcBorders>
            <w:shd w:val="clear" w:color="auto" w:fill="auto"/>
            <w:vAlign w:val="center"/>
            <w:hideMark/>
          </w:tcPr>
          <w:p w14:paraId="049C78EC" w14:textId="77777777"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30/06/2021</w:t>
            </w:r>
          </w:p>
        </w:tc>
        <w:tc>
          <w:tcPr>
            <w:tcW w:w="1333" w:type="pct"/>
            <w:tcBorders>
              <w:top w:val="nil"/>
              <w:left w:val="nil"/>
              <w:bottom w:val="single" w:sz="8" w:space="0" w:color="auto"/>
              <w:right w:val="nil"/>
            </w:tcBorders>
            <w:shd w:val="clear" w:color="auto" w:fill="auto"/>
            <w:vAlign w:val="center"/>
            <w:hideMark/>
          </w:tcPr>
          <w:p w14:paraId="01D7A59E" w14:textId="77777777"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31/12/2020</w:t>
            </w:r>
          </w:p>
        </w:tc>
      </w:tr>
      <w:tr w:rsidR="00994A9D" w14:paraId="650C956D" w14:textId="77777777" w:rsidTr="00994A9D">
        <w:trPr>
          <w:trHeight w:hRule="exact" w:val="227"/>
        </w:trPr>
        <w:tc>
          <w:tcPr>
            <w:tcW w:w="1000" w:type="pct"/>
            <w:tcBorders>
              <w:top w:val="single" w:sz="8" w:space="0" w:color="auto"/>
              <w:left w:val="nil"/>
              <w:bottom w:val="nil"/>
              <w:right w:val="nil"/>
            </w:tcBorders>
            <w:shd w:val="clear" w:color="auto" w:fill="auto"/>
            <w:noWrap/>
            <w:vAlign w:val="center"/>
            <w:hideMark/>
          </w:tcPr>
          <w:p w14:paraId="202B6B86" w14:textId="77777777" w:rsidR="00994A9D" w:rsidRDefault="00994A9D">
            <w:pPr>
              <w:rPr>
                <w:rFonts w:ascii="Calibri" w:hAnsi="Calibri" w:cs="Calibri"/>
                <w:color w:val="000000"/>
                <w:sz w:val="16"/>
                <w:szCs w:val="16"/>
              </w:rPr>
            </w:pPr>
            <w:r>
              <w:rPr>
                <w:rFonts w:ascii="Calibri" w:hAnsi="Calibri" w:cs="Calibri"/>
                <w:color w:val="000000"/>
                <w:sz w:val="16"/>
                <w:szCs w:val="16"/>
              </w:rPr>
              <w:t>Saldo anterior</w:t>
            </w:r>
          </w:p>
        </w:tc>
        <w:tc>
          <w:tcPr>
            <w:tcW w:w="667" w:type="pct"/>
            <w:tcBorders>
              <w:top w:val="nil"/>
              <w:left w:val="nil"/>
              <w:bottom w:val="nil"/>
              <w:right w:val="nil"/>
            </w:tcBorders>
            <w:shd w:val="clear" w:color="auto" w:fill="auto"/>
            <w:noWrap/>
            <w:vAlign w:val="center"/>
            <w:hideMark/>
          </w:tcPr>
          <w:p w14:paraId="3CC8C6ED" w14:textId="77777777" w:rsidR="00994A9D" w:rsidRDefault="00994A9D">
            <w:pPr>
              <w:rPr>
                <w:rFonts w:ascii="Calibri" w:hAnsi="Calibri" w:cs="Calibri"/>
                <w:color w:val="000000"/>
                <w:sz w:val="16"/>
                <w:szCs w:val="16"/>
              </w:rPr>
            </w:pPr>
          </w:p>
        </w:tc>
        <w:tc>
          <w:tcPr>
            <w:tcW w:w="2000" w:type="pct"/>
            <w:gridSpan w:val="2"/>
            <w:tcBorders>
              <w:top w:val="single" w:sz="8" w:space="0" w:color="auto"/>
              <w:left w:val="nil"/>
              <w:bottom w:val="nil"/>
              <w:right w:val="nil"/>
            </w:tcBorders>
            <w:shd w:val="clear" w:color="auto" w:fill="auto"/>
            <w:vAlign w:val="center"/>
            <w:hideMark/>
          </w:tcPr>
          <w:p w14:paraId="7D84445E"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903.489.907</w:t>
            </w:r>
          </w:p>
        </w:tc>
        <w:tc>
          <w:tcPr>
            <w:tcW w:w="1333" w:type="pct"/>
            <w:tcBorders>
              <w:top w:val="nil"/>
              <w:left w:val="nil"/>
              <w:bottom w:val="nil"/>
              <w:right w:val="nil"/>
            </w:tcBorders>
            <w:shd w:val="clear" w:color="auto" w:fill="auto"/>
            <w:vAlign w:val="center"/>
            <w:hideMark/>
          </w:tcPr>
          <w:p w14:paraId="563FB4EC"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568.674.563</w:t>
            </w:r>
          </w:p>
        </w:tc>
      </w:tr>
      <w:tr w:rsidR="00994A9D" w14:paraId="0C7081C5" w14:textId="77777777" w:rsidTr="00994A9D">
        <w:trPr>
          <w:trHeight w:hRule="exact" w:val="227"/>
        </w:trPr>
        <w:tc>
          <w:tcPr>
            <w:tcW w:w="1000" w:type="pct"/>
            <w:tcBorders>
              <w:top w:val="nil"/>
              <w:left w:val="nil"/>
              <w:bottom w:val="nil"/>
              <w:right w:val="nil"/>
            </w:tcBorders>
            <w:shd w:val="clear" w:color="auto" w:fill="auto"/>
            <w:noWrap/>
            <w:vAlign w:val="center"/>
            <w:hideMark/>
          </w:tcPr>
          <w:p w14:paraId="2ECD72AE" w14:textId="77777777" w:rsidR="00994A9D" w:rsidRDefault="00994A9D">
            <w:pPr>
              <w:rPr>
                <w:rFonts w:ascii="Calibri" w:hAnsi="Calibri" w:cs="Calibri"/>
                <w:color w:val="000000"/>
                <w:sz w:val="16"/>
                <w:szCs w:val="16"/>
              </w:rPr>
            </w:pPr>
            <w:r>
              <w:rPr>
                <w:rFonts w:ascii="Calibri" w:hAnsi="Calibri" w:cs="Calibri"/>
                <w:color w:val="000000"/>
                <w:sz w:val="16"/>
                <w:szCs w:val="16"/>
              </w:rPr>
              <w:t>Ingressos</w:t>
            </w:r>
          </w:p>
        </w:tc>
        <w:tc>
          <w:tcPr>
            <w:tcW w:w="667" w:type="pct"/>
            <w:tcBorders>
              <w:top w:val="nil"/>
              <w:left w:val="nil"/>
              <w:bottom w:val="nil"/>
              <w:right w:val="nil"/>
            </w:tcBorders>
            <w:shd w:val="clear" w:color="auto" w:fill="auto"/>
            <w:noWrap/>
            <w:vAlign w:val="center"/>
            <w:hideMark/>
          </w:tcPr>
          <w:p w14:paraId="1AB54F43" w14:textId="77777777" w:rsidR="00994A9D" w:rsidRDefault="00994A9D">
            <w:pPr>
              <w:rPr>
                <w:rFonts w:ascii="Calibri" w:hAnsi="Calibri" w:cs="Calibri"/>
                <w:color w:val="000000"/>
                <w:sz w:val="16"/>
                <w:szCs w:val="16"/>
              </w:rPr>
            </w:pPr>
          </w:p>
        </w:tc>
        <w:tc>
          <w:tcPr>
            <w:tcW w:w="2000" w:type="pct"/>
            <w:gridSpan w:val="2"/>
            <w:tcBorders>
              <w:top w:val="nil"/>
              <w:left w:val="nil"/>
              <w:bottom w:val="nil"/>
              <w:right w:val="nil"/>
            </w:tcBorders>
            <w:shd w:val="clear" w:color="auto" w:fill="auto"/>
            <w:vAlign w:val="center"/>
            <w:hideMark/>
          </w:tcPr>
          <w:p w14:paraId="38AE6CD8"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167.934.090</w:t>
            </w:r>
          </w:p>
        </w:tc>
        <w:tc>
          <w:tcPr>
            <w:tcW w:w="1333" w:type="pct"/>
            <w:tcBorders>
              <w:top w:val="nil"/>
              <w:left w:val="nil"/>
              <w:bottom w:val="nil"/>
              <w:right w:val="nil"/>
            </w:tcBorders>
            <w:shd w:val="clear" w:color="auto" w:fill="auto"/>
            <w:vAlign w:val="center"/>
            <w:hideMark/>
          </w:tcPr>
          <w:p w14:paraId="16927A74"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335.415.344</w:t>
            </w:r>
          </w:p>
        </w:tc>
      </w:tr>
      <w:tr w:rsidR="00994A9D" w14:paraId="2C5120A1" w14:textId="77777777" w:rsidTr="00994A9D">
        <w:trPr>
          <w:trHeight w:hRule="exact" w:val="227"/>
        </w:trPr>
        <w:tc>
          <w:tcPr>
            <w:tcW w:w="1000" w:type="pct"/>
            <w:tcBorders>
              <w:top w:val="nil"/>
              <w:left w:val="nil"/>
              <w:bottom w:val="nil"/>
              <w:right w:val="nil"/>
            </w:tcBorders>
            <w:shd w:val="clear" w:color="auto" w:fill="auto"/>
            <w:noWrap/>
            <w:vAlign w:val="center"/>
            <w:hideMark/>
          </w:tcPr>
          <w:p w14:paraId="532F1CEF" w14:textId="77777777" w:rsidR="00994A9D" w:rsidRDefault="00994A9D">
            <w:pPr>
              <w:rPr>
                <w:rFonts w:ascii="Calibri" w:hAnsi="Calibri" w:cs="Calibri"/>
                <w:color w:val="000000"/>
                <w:sz w:val="16"/>
                <w:szCs w:val="16"/>
              </w:rPr>
            </w:pPr>
            <w:r>
              <w:rPr>
                <w:rFonts w:ascii="Calibri" w:hAnsi="Calibri" w:cs="Calibri"/>
                <w:color w:val="000000"/>
                <w:sz w:val="16"/>
                <w:szCs w:val="16"/>
              </w:rPr>
              <w:t>Integralização</w:t>
            </w:r>
          </w:p>
        </w:tc>
        <w:tc>
          <w:tcPr>
            <w:tcW w:w="667" w:type="pct"/>
            <w:tcBorders>
              <w:top w:val="nil"/>
              <w:left w:val="nil"/>
              <w:bottom w:val="nil"/>
              <w:right w:val="nil"/>
            </w:tcBorders>
            <w:shd w:val="clear" w:color="auto" w:fill="auto"/>
            <w:noWrap/>
            <w:vAlign w:val="center"/>
            <w:hideMark/>
          </w:tcPr>
          <w:p w14:paraId="5175E9C5" w14:textId="77777777" w:rsidR="00994A9D" w:rsidRDefault="00994A9D">
            <w:pPr>
              <w:rPr>
                <w:rFonts w:ascii="Calibri" w:hAnsi="Calibri" w:cs="Calibri"/>
                <w:color w:val="000000"/>
                <w:sz w:val="16"/>
                <w:szCs w:val="16"/>
              </w:rPr>
            </w:pPr>
          </w:p>
        </w:tc>
        <w:tc>
          <w:tcPr>
            <w:tcW w:w="2000" w:type="pct"/>
            <w:gridSpan w:val="2"/>
            <w:tcBorders>
              <w:top w:val="nil"/>
              <w:left w:val="nil"/>
              <w:bottom w:val="nil"/>
              <w:right w:val="nil"/>
            </w:tcBorders>
            <w:shd w:val="clear" w:color="auto" w:fill="auto"/>
            <w:vAlign w:val="center"/>
            <w:hideMark/>
          </w:tcPr>
          <w:p w14:paraId="33960874"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0</w:t>
            </w:r>
          </w:p>
        </w:tc>
        <w:tc>
          <w:tcPr>
            <w:tcW w:w="1333" w:type="pct"/>
            <w:tcBorders>
              <w:top w:val="nil"/>
              <w:left w:val="nil"/>
              <w:bottom w:val="nil"/>
              <w:right w:val="nil"/>
            </w:tcBorders>
            <w:shd w:val="clear" w:color="auto" w:fill="auto"/>
            <w:vAlign w:val="center"/>
            <w:hideMark/>
          </w:tcPr>
          <w:p w14:paraId="1DCF1479"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0</w:t>
            </w:r>
          </w:p>
        </w:tc>
      </w:tr>
      <w:tr w:rsidR="00994A9D" w14:paraId="11E92767" w14:textId="77777777" w:rsidTr="00994A9D">
        <w:trPr>
          <w:trHeight w:hRule="exact" w:val="227"/>
        </w:trPr>
        <w:tc>
          <w:tcPr>
            <w:tcW w:w="1000" w:type="pct"/>
            <w:tcBorders>
              <w:top w:val="nil"/>
              <w:left w:val="nil"/>
              <w:bottom w:val="nil"/>
              <w:right w:val="nil"/>
            </w:tcBorders>
            <w:shd w:val="clear" w:color="auto" w:fill="auto"/>
            <w:noWrap/>
            <w:vAlign w:val="center"/>
            <w:hideMark/>
          </w:tcPr>
          <w:p w14:paraId="3F5D7C95" w14:textId="77777777" w:rsidR="00994A9D" w:rsidRDefault="00994A9D">
            <w:pPr>
              <w:rPr>
                <w:rFonts w:ascii="Calibri" w:hAnsi="Calibri" w:cs="Calibri"/>
                <w:color w:val="000000"/>
                <w:sz w:val="16"/>
                <w:szCs w:val="16"/>
              </w:rPr>
            </w:pPr>
            <w:r>
              <w:rPr>
                <w:rFonts w:ascii="Calibri" w:hAnsi="Calibri" w:cs="Calibri"/>
                <w:color w:val="000000"/>
                <w:sz w:val="16"/>
                <w:szCs w:val="16"/>
              </w:rPr>
              <w:t>Devolução de AFAC</w:t>
            </w:r>
          </w:p>
        </w:tc>
        <w:tc>
          <w:tcPr>
            <w:tcW w:w="667" w:type="pct"/>
            <w:tcBorders>
              <w:top w:val="nil"/>
              <w:left w:val="nil"/>
              <w:bottom w:val="nil"/>
              <w:right w:val="nil"/>
            </w:tcBorders>
            <w:shd w:val="clear" w:color="auto" w:fill="auto"/>
            <w:noWrap/>
            <w:vAlign w:val="center"/>
            <w:hideMark/>
          </w:tcPr>
          <w:p w14:paraId="00812D89" w14:textId="77777777" w:rsidR="00994A9D" w:rsidRDefault="00994A9D">
            <w:pPr>
              <w:rPr>
                <w:rFonts w:ascii="Calibri" w:hAnsi="Calibri" w:cs="Calibri"/>
                <w:color w:val="000000"/>
                <w:sz w:val="16"/>
                <w:szCs w:val="16"/>
              </w:rPr>
            </w:pPr>
          </w:p>
        </w:tc>
        <w:tc>
          <w:tcPr>
            <w:tcW w:w="2000" w:type="pct"/>
            <w:gridSpan w:val="2"/>
            <w:tcBorders>
              <w:top w:val="nil"/>
              <w:left w:val="nil"/>
              <w:bottom w:val="nil"/>
              <w:right w:val="nil"/>
            </w:tcBorders>
            <w:shd w:val="clear" w:color="auto" w:fill="auto"/>
            <w:vAlign w:val="center"/>
            <w:hideMark/>
          </w:tcPr>
          <w:p w14:paraId="76BC863B"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0</w:t>
            </w:r>
          </w:p>
        </w:tc>
        <w:tc>
          <w:tcPr>
            <w:tcW w:w="1333" w:type="pct"/>
            <w:tcBorders>
              <w:top w:val="nil"/>
              <w:left w:val="nil"/>
              <w:bottom w:val="nil"/>
              <w:right w:val="nil"/>
            </w:tcBorders>
            <w:shd w:val="clear" w:color="auto" w:fill="auto"/>
            <w:vAlign w:val="center"/>
            <w:hideMark/>
          </w:tcPr>
          <w:p w14:paraId="39767EBF" w14:textId="5B67F64B" w:rsidR="00994A9D" w:rsidRDefault="00994A9D">
            <w:pPr>
              <w:jc w:val="right"/>
              <w:rPr>
                <w:rFonts w:ascii="Calibri" w:hAnsi="Calibri" w:cs="Calibri"/>
                <w:color w:val="000000"/>
                <w:sz w:val="16"/>
                <w:szCs w:val="16"/>
              </w:rPr>
            </w:pPr>
            <w:r>
              <w:rPr>
                <w:rFonts w:ascii="Calibri" w:hAnsi="Calibri" w:cs="Calibri"/>
                <w:color w:val="000000"/>
                <w:sz w:val="16"/>
                <w:szCs w:val="16"/>
              </w:rPr>
              <w:t>(600.000)</w:t>
            </w:r>
          </w:p>
        </w:tc>
      </w:tr>
      <w:tr w:rsidR="00994A9D" w14:paraId="0124B933" w14:textId="77777777" w:rsidTr="00994A9D">
        <w:trPr>
          <w:trHeight w:hRule="exact" w:val="227"/>
        </w:trPr>
        <w:tc>
          <w:tcPr>
            <w:tcW w:w="1000" w:type="pct"/>
            <w:tcBorders>
              <w:top w:val="nil"/>
              <w:left w:val="nil"/>
              <w:bottom w:val="single" w:sz="8" w:space="0" w:color="auto"/>
              <w:right w:val="nil"/>
            </w:tcBorders>
            <w:shd w:val="clear" w:color="auto" w:fill="auto"/>
            <w:noWrap/>
            <w:vAlign w:val="center"/>
            <w:hideMark/>
          </w:tcPr>
          <w:p w14:paraId="38994EDE" w14:textId="77777777" w:rsidR="00994A9D" w:rsidRDefault="00994A9D">
            <w:pPr>
              <w:rPr>
                <w:rFonts w:ascii="Calibri" w:hAnsi="Calibri" w:cs="Calibri"/>
                <w:b/>
                <w:bCs/>
                <w:color w:val="000000"/>
                <w:sz w:val="16"/>
                <w:szCs w:val="16"/>
              </w:rPr>
            </w:pPr>
            <w:r>
              <w:rPr>
                <w:rFonts w:ascii="Calibri" w:hAnsi="Calibri" w:cs="Calibri"/>
                <w:b/>
                <w:bCs/>
                <w:color w:val="000000"/>
                <w:sz w:val="16"/>
                <w:szCs w:val="16"/>
              </w:rPr>
              <w:t xml:space="preserve">TOTAL AFAC Patrimônio Líquido </w:t>
            </w:r>
          </w:p>
        </w:tc>
        <w:tc>
          <w:tcPr>
            <w:tcW w:w="667" w:type="pct"/>
            <w:tcBorders>
              <w:top w:val="nil"/>
              <w:left w:val="nil"/>
              <w:bottom w:val="single" w:sz="8" w:space="0" w:color="auto"/>
              <w:right w:val="nil"/>
            </w:tcBorders>
            <w:shd w:val="clear" w:color="auto" w:fill="auto"/>
            <w:noWrap/>
            <w:vAlign w:val="center"/>
            <w:hideMark/>
          </w:tcPr>
          <w:p w14:paraId="6C737A2E" w14:textId="77777777"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 </w:t>
            </w:r>
          </w:p>
        </w:tc>
        <w:tc>
          <w:tcPr>
            <w:tcW w:w="2000" w:type="pct"/>
            <w:gridSpan w:val="2"/>
            <w:tcBorders>
              <w:top w:val="nil"/>
              <w:left w:val="nil"/>
              <w:bottom w:val="single" w:sz="8" w:space="0" w:color="auto"/>
              <w:right w:val="nil"/>
            </w:tcBorders>
            <w:shd w:val="clear" w:color="auto" w:fill="auto"/>
            <w:vAlign w:val="center"/>
            <w:hideMark/>
          </w:tcPr>
          <w:p w14:paraId="25232741" w14:textId="77777777"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1.071.423.997</w:t>
            </w:r>
          </w:p>
        </w:tc>
        <w:tc>
          <w:tcPr>
            <w:tcW w:w="1333" w:type="pct"/>
            <w:tcBorders>
              <w:top w:val="nil"/>
              <w:left w:val="nil"/>
              <w:bottom w:val="single" w:sz="8" w:space="0" w:color="auto"/>
              <w:right w:val="nil"/>
            </w:tcBorders>
            <w:shd w:val="clear" w:color="auto" w:fill="auto"/>
            <w:vAlign w:val="center"/>
            <w:hideMark/>
          </w:tcPr>
          <w:p w14:paraId="50A5BBDC" w14:textId="77777777"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903.489.907</w:t>
            </w:r>
          </w:p>
        </w:tc>
      </w:tr>
      <w:tr w:rsidR="00994A9D" w14:paraId="3781CB04" w14:textId="77777777" w:rsidTr="00994A9D">
        <w:trPr>
          <w:trHeight w:hRule="exact" w:val="227"/>
        </w:trPr>
        <w:tc>
          <w:tcPr>
            <w:tcW w:w="1667" w:type="pct"/>
            <w:gridSpan w:val="2"/>
            <w:tcBorders>
              <w:top w:val="single" w:sz="8" w:space="0" w:color="auto"/>
              <w:left w:val="nil"/>
              <w:bottom w:val="single" w:sz="8" w:space="0" w:color="auto"/>
              <w:right w:val="nil"/>
            </w:tcBorders>
            <w:shd w:val="clear" w:color="auto" w:fill="auto"/>
            <w:noWrap/>
            <w:vAlign w:val="center"/>
            <w:hideMark/>
          </w:tcPr>
          <w:p w14:paraId="78E17792" w14:textId="77777777" w:rsidR="00994A9D" w:rsidRDefault="00994A9D">
            <w:pPr>
              <w:rPr>
                <w:rFonts w:ascii="Calibri" w:hAnsi="Calibri" w:cs="Calibri"/>
                <w:b/>
                <w:bCs/>
                <w:color w:val="000000"/>
                <w:sz w:val="16"/>
                <w:szCs w:val="16"/>
              </w:rPr>
            </w:pPr>
            <w:r>
              <w:rPr>
                <w:rFonts w:ascii="Calibri" w:hAnsi="Calibri" w:cs="Calibri"/>
                <w:b/>
                <w:bCs/>
                <w:color w:val="000000"/>
                <w:sz w:val="16"/>
                <w:szCs w:val="16"/>
              </w:rPr>
              <w:t>FORMAÇÃO DO SALDO DO AFAC</w:t>
            </w:r>
          </w:p>
        </w:tc>
        <w:tc>
          <w:tcPr>
            <w:tcW w:w="1003" w:type="pct"/>
            <w:tcBorders>
              <w:top w:val="nil"/>
              <w:left w:val="nil"/>
              <w:bottom w:val="single" w:sz="8" w:space="0" w:color="auto"/>
              <w:right w:val="nil"/>
            </w:tcBorders>
            <w:shd w:val="clear" w:color="auto" w:fill="auto"/>
            <w:noWrap/>
            <w:vAlign w:val="center"/>
            <w:hideMark/>
          </w:tcPr>
          <w:p w14:paraId="7CB51605" w14:textId="77777777" w:rsidR="00994A9D" w:rsidRDefault="00994A9D">
            <w:pPr>
              <w:jc w:val="center"/>
              <w:rPr>
                <w:rFonts w:ascii="Calibri" w:hAnsi="Calibri" w:cs="Calibri"/>
                <w:b/>
                <w:bCs/>
                <w:color w:val="000000"/>
                <w:sz w:val="16"/>
                <w:szCs w:val="16"/>
              </w:rPr>
            </w:pPr>
            <w:r>
              <w:rPr>
                <w:rFonts w:ascii="Calibri" w:hAnsi="Calibri" w:cs="Calibri"/>
                <w:b/>
                <w:bCs/>
                <w:color w:val="000000"/>
                <w:sz w:val="16"/>
                <w:szCs w:val="16"/>
              </w:rPr>
              <w:t> </w:t>
            </w:r>
          </w:p>
        </w:tc>
        <w:tc>
          <w:tcPr>
            <w:tcW w:w="997" w:type="pct"/>
            <w:tcBorders>
              <w:top w:val="nil"/>
              <w:left w:val="nil"/>
              <w:bottom w:val="single" w:sz="8" w:space="0" w:color="auto"/>
              <w:right w:val="nil"/>
            </w:tcBorders>
            <w:shd w:val="clear" w:color="auto" w:fill="auto"/>
            <w:noWrap/>
            <w:vAlign w:val="center"/>
            <w:hideMark/>
          </w:tcPr>
          <w:p w14:paraId="4A1ABE78" w14:textId="77777777"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 </w:t>
            </w:r>
          </w:p>
        </w:tc>
        <w:tc>
          <w:tcPr>
            <w:tcW w:w="1333" w:type="pct"/>
            <w:tcBorders>
              <w:top w:val="single" w:sz="8" w:space="0" w:color="auto"/>
              <w:left w:val="nil"/>
              <w:bottom w:val="single" w:sz="8" w:space="0" w:color="auto"/>
              <w:right w:val="nil"/>
            </w:tcBorders>
            <w:shd w:val="clear" w:color="auto" w:fill="auto"/>
            <w:vAlign w:val="center"/>
            <w:hideMark/>
          </w:tcPr>
          <w:p w14:paraId="7F09D6C9" w14:textId="77777777" w:rsidR="00994A9D" w:rsidRDefault="00994A9D">
            <w:pPr>
              <w:rPr>
                <w:color w:val="000000"/>
                <w:sz w:val="20"/>
                <w:szCs w:val="20"/>
              </w:rPr>
            </w:pPr>
            <w:r>
              <w:rPr>
                <w:color w:val="000000"/>
                <w:sz w:val="20"/>
                <w:szCs w:val="20"/>
              </w:rPr>
              <w:t> </w:t>
            </w:r>
          </w:p>
        </w:tc>
      </w:tr>
      <w:tr w:rsidR="00994A9D" w14:paraId="024F6A92" w14:textId="77777777" w:rsidTr="00994A9D">
        <w:trPr>
          <w:trHeight w:hRule="exact" w:val="227"/>
        </w:trPr>
        <w:tc>
          <w:tcPr>
            <w:tcW w:w="2669" w:type="pct"/>
            <w:gridSpan w:val="3"/>
            <w:tcBorders>
              <w:top w:val="single" w:sz="8" w:space="0" w:color="auto"/>
              <w:left w:val="nil"/>
              <w:bottom w:val="nil"/>
              <w:right w:val="nil"/>
            </w:tcBorders>
            <w:shd w:val="clear" w:color="auto" w:fill="auto"/>
            <w:noWrap/>
            <w:vAlign w:val="center"/>
            <w:hideMark/>
          </w:tcPr>
          <w:p w14:paraId="095624CF" w14:textId="77777777" w:rsidR="00994A9D" w:rsidRDefault="00994A9D">
            <w:pPr>
              <w:rPr>
                <w:rFonts w:ascii="Calibri" w:hAnsi="Calibri" w:cs="Calibri"/>
                <w:color w:val="000000"/>
                <w:sz w:val="16"/>
                <w:szCs w:val="16"/>
              </w:rPr>
            </w:pPr>
            <w:r>
              <w:rPr>
                <w:rFonts w:ascii="Calibri" w:hAnsi="Calibri" w:cs="Calibri"/>
                <w:color w:val="000000"/>
                <w:sz w:val="16"/>
                <w:szCs w:val="16"/>
              </w:rPr>
              <w:t>Recursos recebidos em 2018 (aplicados em 2019)</w:t>
            </w:r>
          </w:p>
        </w:tc>
        <w:tc>
          <w:tcPr>
            <w:tcW w:w="997" w:type="pct"/>
            <w:tcBorders>
              <w:top w:val="nil"/>
              <w:left w:val="nil"/>
              <w:bottom w:val="nil"/>
              <w:right w:val="nil"/>
            </w:tcBorders>
            <w:shd w:val="clear" w:color="auto" w:fill="auto"/>
            <w:noWrap/>
            <w:vAlign w:val="center"/>
            <w:hideMark/>
          </w:tcPr>
          <w:p w14:paraId="48CED032" w14:textId="77777777" w:rsidR="00994A9D" w:rsidRDefault="00994A9D">
            <w:pPr>
              <w:rPr>
                <w:rFonts w:ascii="Calibri" w:hAnsi="Calibri" w:cs="Calibri"/>
                <w:color w:val="000000"/>
                <w:sz w:val="16"/>
                <w:szCs w:val="16"/>
              </w:rPr>
            </w:pPr>
          </w:p>
        </w:tc>
        <w:tc>
          <w:tcPr>
            <w:tcW w:w="1333" w:type="pct"/>
            <w:tcBorders>
              <w:top w:val="single" w:sz="8" w:space="0" w:color="auto"/>
              <w:left w:val="nil"/>
              <w:bottom w:val="nil"/>
              <w:right w:val="nil"/>
            </w:tcBorders>
            <w:shd w:val="clear" w:color="auto" w:fill="auto"/>
            <w:vAlign w:val="center"/>
            <w:hideMark/>
          </w:tcPr>
          <w:p w14:paraId="4115F471"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27.332.435</w:t>
            </w:r>
          </w:p>
        </w:tc>
      </w:tr>
      <w:tr w:rsidR="00994A9D" w14:paraId="1C7454B3" w14:textId="77777777" w:rsidTr="00994A9D">
        <w:trPr>
          <w:trHeight w:hRule="exact" w:val="227"/>
        </w:trPr>
        <w:tc>
          <w:tcPr>
            <w:tcW w:w="2669" w:type="pct"/>
            <w:gridSpan w:val="3"/>
            <w:tcBorders>
              <w:top w:val="nil"/>
              <w:left w:val="nil"/>
              <w:bottom w:val="nil"/>
              <w:right w:val="nil"/>
            </w:tcBorders>
            <w:shd w:val="clear" w:color="auto" w:fill="auto"/>
            <w:noWrap/>
            <w:vAlign w:val="center"/>
            <w:hideMark/>
          </w:tcPr>
          <w:p w14:paraId="3BB81C82" w14:textId="77777777" w:rsidR="00994A9D" w:rsidRDefault="00994A9D">
            <w:pPr>
              <w:rPr>
                <w:rFonts w:ascii="Calibri" w:hAnsi="Calibri" w:cs="Calibri"/>
                <w:color w:val="000000"/>
                <w:sz w:val="16"/>
                <w:szCs w:val="16"/>
              </w:rPr>
            </w:pPr>
            <w:r>
              <w:rPr>
                <w:rFonts w:ascii="Calibri" w:hAnsi="Calibri" w:cs="Calibri"/>
                <w:color w:val="000000"/>
                <w:sz w:val="16"/>
                <w:szCs w:val="16"/>
              </w:rPr>
              <w:t>Recursos recebidos em 2019</w:t>
            </w:r>
          </w:p>
        </w:tc>
        <w:tc>
          <w:tcPr>
            <w:tcW w:w="997" w:type="pct"/>
            <w:tcBorders>
              <w:top w:val="nil"/>
              <w:left w:val="nil"/>
              <w:bottom w:val="nil"/>
              <w:right w:val="nil"/>
            </w:tcBorders>
            <w:shd w:val="clear" w:color="auto" w:fill="auto"/>
            <w:noWrap/>
            <w:vAlign w:val="center"/>
            <w:hideMark/>
          </w:tcPr>
          <w:p w14:paraId="212A8D49" w14:textId="77777777" w:rsidR="00994A9D" w:rsidRDefault="00994A9D">
            <w:pPr>
              <w:rPr>
                <w:rFonts w:ascii="Calibri" w:hAnsi="Calibri" w:cs="Calibri"/>
                <w:color w:val="000000"/>
                <w:sz w:val="16"/>
                <w:szCs w:val="16"/>
              </w:rPr>
            </w:pPr>
          </w:p>
        </w:tc>
        <w:tc>
          <w:tcPr>
            <w:tcW w:w="1333" w:type="pct"/>
            <w:tcBorders>
              <w:top w:val="nil"/>
              <w:left w:val="nil"/>
              <w:bottom w:val="nil"/>
              <w:right w:val="nil"/>
            </w:tcBorders>
            <w:shd w:val="clear" w:color="auto" w:fill="auto"/>
            <w:vAlign w:val="center"/>
            <w:hideMark/>
          </w:tcPr>
          <w:p w14:paraId="787ADCC4"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541.342.128</w:t>
            </w:r>
          </w:p>
        </w:tc>
      </w:tr>
      <w:tr w:rsidR="00994A9D" w14:paraId="3FD15890" w14:textId="77777777" w:rsidTr="00994A9D">
        <w:trPr>
          <w:trHeight w:hRule="exact" w:val="227"/>
        </w:trPr>
        <w:tc>
          <w:tcPr>
            <w:tcW w:w="2669" w:type="pct"/>
            <w:gridSpan w:val="3"/>
            <w:tcBorders>
              <w:top w:val="nil"/>
              <w:left w:val="nil"/>
              <w:bottom w:val="nil"/>
              <w:right w:val="nil"/>
            </w:tcBorders>
            <w:shd w:val="clear" w:color="auto" w:fill="auto"/>
            <w:noWrap/>
            <w:vAlign w:val="center"/>
            <w:hideMark/>
          </w:tcPr>
          <w:p w14:paraId="35E2167E" w14:textId="77777777" w:rsidR="00994A9D" w:rsidRDefault="00994A9D">
            <w:pPr>
              <w:rPr>
                <w:rFonts w:ascii="Calibri" w:hAnsi="Calibri" w:cs="Calibri"/>
                <w:color w:val="000000"/>
                <w:sz w:val="16"/>
                <w:szCs w:val="16"/>
              </w:rPr>
            </w:pPr>
            <w:r>
              <w:rPr>
                <w:rFonts w:ascii="Calibri" w:hAnsi="Calibri" w:cs="Calibri"/>
                <w:color w:val="000000"/>
                <w:sz w:val="16"/>
                <w:szCs w:val="16"/>
              </w:rPr>
              <w:t>Recursos recebidos em 2020</w:t>
            </w:r>
          </w:p>
        </w:tc>
        <w:tc>
          <w:tcPr>
            <w:tcW w:w="997" w:type="pct"/>
            <w:tcBorders>
              <w:top w:val="nil"/>
              <w:left w:val="nil"/>
              <w:bottom w:val="nil"/>
              <w:right w:val="nil"/>
            </w:tcBorders>
            <w:shd w:val="clear" w:color="auto" w:fill="auto"/>
            <w:noWrap/>
            <w:vAlign w:val="center"/>
            <w:hideMark/>
          </w:tcPr>
          <w:p w14:paraId="3D85B3D8" w14:textId="77777777" w:rsidR="00994A9D" w:rsidRDefault="00994A9D">
            <w:pPr>
              <w:rPr>
                <w:rFonts w:ascii="Calibri" w:hAnsi="Calibri" w:cs="Calibri"/>
                <w:color w:val="000000"/>
                <w:sz w:val="16"/>
                <w:szCs w:val="16"/>
              </w:rPr>
            </w:pPr>
          </w:p>
        </w:tc>
        <w:tc>
          <w:tcPr>
            <w:tcW w:w="1333" w:type="pct"/>
            <w:tcBorders>
              <w:top w:val="nil"/>
              <w:left w:val="nil"/>
              <w:bottom w:val="nil"/>
              <w:right w:val="nil"/>
            </w:tcBorders>
            <w:shd w:val="clear" w:color="auto" w:fill="auto"/>
            <w:vAlign w:val="center"/>
            <w:hideMark/>
          </w:tcPr>
          <w:p w14:paraId="4D5137AA"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334.815.344</w:t>
            </w:r>
          </w:p>
        </w:tc>
      </w:tr>
      <w:tr w:rsidR="00994A9D" w14:paraId="5A04ECAF" w14:textId="77777777" w:rsidTr="00994A9D">
        <w:trPr>
          <w:trHeight w:hRule="exact" w:val="227"/>
        </w:trPr>
        <w:tc>
          <w:tcPr>
            <w:tcW w:w="2669" w:type="pct"/>
            <w:gridSpan w:val="3"/>
            <w:tcBorders>
              <w:top w:val="nil"/>
              <w:left w:val="nil"/>
              <w:bottom w:val="single" w:sz="8" w:space="0" w:color="auto"/>
              <w:right w:val="nil"/>
            </w:tcBorders>
            <w:shd w:val="clear" w:color="auto" w:fill="auto"/>
            <w:noWrap/>
            <w:vAlign w:val="center"/>
            <w:hideMark/>
          </w:tcPr>
          <w:p w14:paraId="5D3F640D" w14:textId="77777777" w:rsidR="00994A9D" w:rsidRDefault="00994A9D">
            <w:pPr>
              <w:rPr>
                <w:rFonts w:ascii="Calibri" w:hAnsi="Calibri" w:cs="Calibri"/>
                <w:color w:val="000000"/>
                <w:sz w:val="16"/>
                <w:szCs w:val="16"/>
              </w:rPr>
            </w:pPr>
            <w:r>
              <w:rPr>
                <w:rFonts w:ascii="Calibri" w:hAnsi="Calibri" w:cs="Calibri"/>
                <w:color w:val="000000"/>
                <w:sz w:val="16"/>
                <w:szCs w:val="16"/>
              </w:rPr>
              <w:t>Recursos recebidos até o 2º trimestre de 2021</w:t>
            </w:r>
          </w:p>
        </w:tc>
        <w:tc>
          <w:tcPr>
            <w:tcW w:w="997" w:type="pct"/>
            <w:tcBorders>
              <w:top w:val="nil"/>
              <w:left w:val="nil"/>
              <w:bottom w:val="single" w:sz="8" w:space="0" w:color="auto"/>
              <w:right w:val="nil"/>
            </w:tcBorders>
            <w:shd w:val="clear" w:color="auto" w:fill="auto"/>
            <w:noWrap/>
            <w:vAlign w:val="center"/>
            <w:hideMark/>
          </w:tcPr>
          <w:p w14:paraId="63EE3B76"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 </w:t>
            </w:r>
          </w:p>
        </w:tc>
        <w:tc>
          <w:tcPr>
            <w:tcW w:w="1333" w:type="pct"/>
            <w:tcBorders>
              <w:top w:val="nil"/>
              <w:left w:val="nil"/>
              <w:bottom w:val="single" w:sz="8" w:space="0" w:color="auto"/>
              <w:right w:val="nil"/>
            </w:tcBorders>
            <w:shd w:val="clear" w:color="auto" w:fill="auto"/>
            <w:vAlign w:val="center"/>
            <w:hideMark/>
          </w:tcPr>
          <w:p w14:paraId="456BF78E"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167.934.090</w:t>
            </w:r>
          </w:p>
        </w:tc>
      </w:tr>
      <w:tr w:rsidR="00994A9D" w14:paraId="2D72ADC2" w14:textId="77777777" w:rsidTr="00994A9D">
        <w:trPr>
          <w:trHeight w:hRule="exact" w:val="227"/>
        </w:trPr>
        <w:tc>
          <w:tcPr>
            <w:tcW w:w="2669" w:type="pct"/>
            <w:gridSpan w:val="3"/>
            <w:tcBorders>
              <w:top w:val="single" w:sz="8" w:space="0" w:color="auto"/>
              <w:left w:val="nil"/>
              <w:bottom w:val="single" w:sz="8" w:space="0" w:color="auto"/>
              <w:right w:val="nil"/>
            </w:tcBorders>
            <w:shd w:val="clear" w:color="auto" w:fill="auto"/>
            <w:noWrap/>
            <w:vAlign w:val="center"/>
            <w:hideMark/>
          </w:tcPr>
          <w:p w14:paraId="09F8D736" w14:textId="77777777" w:rsidR="00994A9D" w:rsidRDefault="00994A9D">
            <w:pPr>
              <w:rPr>
                <w:rFonts w:ascii="Calibri" w:hAnsi="Calibri" w:cs="Calibri"/>
                <w:b/>
                <w:bCs/>
                <w:color w:val="000000"/>
                <w:sz w:val="16"/>
                <w:szCs w:val="16"/>
              </w:rPr>
            </w:pPr>
            <w:r>
              <w:rPr>
                <w:rFonts w:ascii="Calibri" w:hAnsi="Calibri" w:cs="Calibri"/>
                <w:b/>
                <w:bCs/>
                <w:color w:val="000000"/>
                <w:sz w:val="16"/>
                <w:szCs w:val="16"/>
              </w:rPr>
              <w:t>TOTAL AFAC EM 30/06/2021</w:t>
            </w:r>
          </w:p>
        </w:tc>
        <w:tc>
          <w:tcPr>
            <w:tcW w:w="997" w:type="pct"/>
            <w:tcBorders>
              <w:top w:val="nil"/>
              <w:left w:val="nil"/>
              <w:bottom w:val="single" w:sz="8" w:space="0" w:color="auto"/>
              <w:right w:val="nil"/>
            </w:tcBorders>
            <w:shd w:val="clear" w:color="auto" w:fill="auto"/>
            <w:noWrap/>
            <w:vAlign w:val="center"/>
            <w:hideMark/>
          </w:tcPr>
          <w:p w14:paraId="2A64D9BB" w14:textId="77777777"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 </w:t>
            </w:r>
          </w:p>
        </w:tc>
        <w:tc>
          <w:tcPr>
            <w:tcW w:w="1333" w:type="pct"/>
            <w:tcBorders>
              <w:top w:val="single" w:sz="8" w:space="0" w:color="auto"/>
              <w:left w:val="nil"/>
              <w:bottom w:val="single" w:sz="8" w:space="0" w:color="auto"/>
              <w:right w:val="nil"/>
            </w:tcBorders>
            <w:shd w:val="clear" w:color="auto" w:fill="auto"/>
            <w:vAlign w:val="center"/>
            <w:hideMark/>
          </w:tcPr>
          <w:p w14:paraId="7A01ADBA" w14:textId="77777777"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1.071.423.997</w:t>
            </w:r>
          </w:p>
        </w:tc>
      </w:tr>
    </w:tbl>
    <w:p w14:paraId="74BF51B7" w14:textId="1629478F" w:rsidR="003657C6" w:rsidRPr="002E2B5B" w:rsidRDefault="003657C6" w:rsidP="00994A9D">
      <w:pPr>
        <w:spacing w:after="120"/>
        <w:jc w:val="both"/>
        <w:rPr>
          <w:rFonts w:ascii="Calibri" w:hAnsi="Calibri" w:cs="Calibri"/>
          <w:sz w:val="22"/>
          <w:szCs w:val="22"/>
        </w:rPr>
      </w:pPr>
    </w:p>
    <w:p w14:paraId="54AB6C61" w14:textId="15FC6C4B" w:rsidR="00783590" w:rsidRPr="00C34E8D" w:rsidRDefault="00D22F5E" w:rsidP="00C34E8D">
      <w:pPr>
        <w:pStyle w:val="Ttulo4"/>
        <w:tabs>
          <w:tab w:val="left" w:pos="0"/>
        </w:tabs>
        <w:spacing w:line="240" w:lineRule="auto"/>
        <w:rPr>
          <w:rFonts w:ascii="Calibri" w:hAnsi="Calibri" w:cs="Calibri"/>
          <w:bCs w:val="0"/>
          <w:sz w:val="22"/>
          <w:szCs w:val="22"/>
        </w:rPr>
      </w:pPr>
      <w:r w:rsidRPr="002E2B5B">
        <w:rPr>
          <w:rFonts w:ascii="Calibri" w:hAnsi="Calibri" w:cs="Calibri"/>
          <w:bCs w:val="0"/>
          <w:sz w:val="22"/>
          <w:szCs w:val="22"/>
        </w:rPr>
        <w:t>NOTA 1</w:t>
      </w:r>
      <w:r w:rsidR="00E24F86">
        <w:rPr>
          <w:rFonts w:ascii="Calibri" w:hAnsi="Calibri" w:cs="Calibri"/>
          <w:bCs w:val="0"/>
          <w:sz w:val="22"/>
          <w:szCs w:val="22"/>
        </w:rPr>
        <w:t>2</w:t>
      </w:r>
      <w:r w:rsidRPr="002E2B5B">
        <w:rPr>
          <w:rFonts w:ascii="Calibri" w:hAnsi="Calibri" w:cs="Calibri"/>
          <w:bCs w:val="0"/>
          <w:sz w:val="22"/>
          <w:szCs w:val="22"/>
        </w:rPr>
        <w:t xml:space="preserve"> </w:t>
      </w:r>
      <w:r w:rsidR="00740478" w:rsidRPr="002E2B5B">
        <w:rPr>
          <w:rFonts w:ascii="Calibri" w:hAnsi="Calibri" w:cs="Calibri"/>
          <w:bCs w:val="0"/>
          <w:sz w:val="22"/>
          <w:szCs w:val="22"/>
        </w:rPr>
        <w:t xml:space="preserve">– </w:t>
      </w:r>
      <w:r w:rsidR="00AB1E5E" w:rsidRPr="002E2B5B">
        <w:rPr>
          <w:rFonts w:ascii="Calibri" w:hAnsi="Calibri" w:cs="Calibri"/>
          <w:bCs w:val="0"/>
          <w:sz w:val="22"/>
          <w:szCs w:val="22"/>
        </w:rPr>
        <w:t>RECEITA A DIFERIR</w:t>
      </w:r>
    </w:p>
    <w:p w14:paraId="4F699BEE" w14:textId="77777777" w:rsidR="00526F70" w:rsidRPr="002E2B5B" w:rsidRDefault="00783590" w:rsidP="002E2B5B">
      <w:pPr>
        <w:spacing w:after="120"/>
        <w:ind w:right="57"/>
        <w:jc w:val="both"/>
        <w:rPr>
          <w:rFonts w:ascii="Calibri" w:hAnsi="Calibri" w:cs="Calibri"/>
          <w:sz w:val="22"/>
          <w:szCs w:val="22"/>
        </w:rPr>
      </w:pPr>
      <w:r w:rsidRPr="002E2B5B">
        <w:rPr>
          <w:rFonts w:ascii="Calibri" w:hAnsi="Calibri" w:cs="Calibri"/>
          <w:sz w:val="22"/>
          <w:szCs w:val="22"/>
        </w:rPr>
        <w:t xml:space="preserve">A conta </w:t>
      </w:r>
      <w:r w:rsidR="00AB1E5E" w:rsidRPr="002E2B5B">
        <w:rPr>
          <w:rFonts w:ascii="Calibri" w:hAnsi="Calibri" w:cs="Calibri"/>
          <w:sz w:val="22"/>
          <w:szCs w:val="22"/>
        </w:rPr>
        <w:t>Receita a Diferir – Pátios e Terminais</w:t>
      </w:r>
      <w:r w:rsidRPr="002E2B5B">
        <w:rPr>
          <w:rFonts w:ascii="Calibri" w:hAnsi="Calibri" w:cs="Calibri"/>
          <w:sz w:val="22"/>
          <w:szCs w:val="22"/>
        </w:rPr>
        <w:t xml:space="preserve"> expressa os valores </w:t>
      </w:r>
      <w:r w:rsidR="00AB1E5E" w:rsidRPr="002E2B5B">
        <w:rPr>
          <w:rFonts w:ascii="Calibri" w:hAnsi="Calibri" w:cs="Calibri"/>
          <w:sz w:val="22"/>
          <w:szCs w:val="22"/>
        </w:rPr>
        <w:t>contratados</w:t>
      </w:r>
      <w:r w:rsidRPr="002E2B5B">
        <w:rPr>
          <w:rFonts w:ascii="Calibri" w:hAnsi="Calibri" w:cs="Calibri"/>
          <w:sz w:val="22"/>
          <w:szCs w:val="22"/>
        </w:rPr>
        <w:t xml:space="preserve">, conforme contratos de Permissão </w:t>
      </w:r>
      <w:r w:rsidR="006E3EE4" w:rsidRPr="002E2B5B">
        <w:rPr>
          <w:rFonts w:ascii="Calibri" w:hAnsi="Calibri" w:cs="Calibri"/>
          <w:sz w:val="22"/>
          <w:szCs w:val="22"/>
        </w:rPr>
        <w:t>para</w:t>
      </w:r>
      <w:r w:rsidRPr="002E2B5B">
        <w:rPr>
          <w:rFonts w:ascii="Calibri" w:hAnsi="Calibri" w:cs="Calibri"/>
          <w:sz w:val="22"/>
          <w:szCs w:val="22"/>
        </w:rPr>
        <w:t xml:space="preserve"> Uso dos Pátios </w:t>
      </w:r>
      <w:r w:rsidR="00AB1E5E" w:rsidRPr="002E2B5B">
        <w:rPr>
          <w:rFonts w:ascii="Calibri" w:hAnsi="Calibri" w:cs="Calibri"/>
          <w:sz w:val="22"/>
          <w:szCs w:val="22"/>
        </w:rPr>
        <w:t xml:space="preserve">e Terminais </w:t>
      </w:r>
      <w:r w:rsidRPr="002E2B5B">
        <w:rPr>
          <w:rFonts w:ascii="Calibri" w:hAnsi="Calibri" w:cs="Calibri"/>
          <w:sz w:val="22"/>
          <w:szCs w:val="22"/>
        </w:rPr>
        <w:t xml:space="preserve">da VALEC. Como são de longo prazo (15 anos), em atendimento ao regime de competência, os </w:t>
      </w:r>
      <w:r w:rsidR="00AB1E5E" w:rsidRPr="002E2B5B">
        <w:rPr>
          <w:rFonts w:ascii="Calibri" w:hAnsi="Calibri" w:cs="Calibri"/>
          <w:sz w:val="22"/>
          <w:szCs w:val="22"/>
        </w:rPr>
        <w:t>contratos</w:t>
      </w:r>
      <w:r w:rsidRPr="002E2B5B">
        <w:rPr>
          <w:rFonts w:ascii="Calibri" w:hAnsi="Calibri" w:cs="Calibri"/>
          <w:sz w:val="22"/>
          <w:szCs w:val="22"/>
        </w:rPr>
        <w:t xml:space="preserve"> são </w:t>
      </w:r>
      <w:r w:rsidR="00AB1E5E" w:rsidRPr="002E2B5B">
        <w:rPr>
          <w:rFonts w:ascii="Calibri" w:hAnsi="Calibri" w:cs="Calibri"/>
          <w:sz w:val="22"/>
          <w:szCs w:val="22"/>
        </w:rPr>
        <w:t>reconhecidos</w:t>
      </w:r>
      <w:r w:rsidRPr="002E2B5B">
        <w:rPr>
          <w:rFonts w:ascii="Calibri" w:hAnsi="Calibri" w:cs="Calibri"/>
          <w:sz w:val="22"/>
          <w:szCs w:val="22"/>
        </w:rPr>
        <w:t xml:space="preserve"> como </w:t>
      </w:r>
      <w:r w:rsidR="00AB1E5E" w:rsidRPr="002E2B5B">
        <w:rPr>
          <w:rFonts w:ascii="Calibri" w:hAnsi="Calibri" w:cs="Calibri"/>
          <w:sz w:val="22"/>
          <w:szCs w:val="22"/>
        </w:rPr>
        <w:t>Receita a Diferir,</w:t>
      </w:r>
      <w:r w:rsidRPr="002E2B5B">
        <w:rPr>
          <w:rFonts w:ascii="Calibri" w:hAnsi="Calibri" w:cs="Calibri"/>
          <w:sz w:val="22"/>
          <w:szCs w:val="22"/>
        </w:rPr>
        <w:t xml:space="preserve"> no passivo</w:t>
      </w:r>
      <w:r w:rsidR="00AB1E5E" w:rsidRPr="002E2B5B">
        <w:rPr>
          <w:rFonts w:ascii="Calibri" w:hAnsi="Calibri" w:cs="Calibri"/>
          <w:sz w:val="22"/>
          <w:szCs w:val="22"/>
        </w:rPr>
        <w:t>,</w:t>
      </w:r>
      <w:r w:rsidRPr="002E2B5B">
        <w:rPr>
          <w:rFonts w:ascii="Calibri" w:hAnsi="Calibri" w:cs="Calibri"/>
          <w:sz w:val="22"/>
          <w:szCs w:val="22"/>
        </w:rPr>
        <w:t xml:space="preserve"> para </w:t>
      </w:r>
      <w:r w:rsidR="00AB1E5E" w:rsidRPr="002E2B5B">
        <w:rPr>
          <w:rFonts w:ascii="Calibri" w:hAnsi="Calibri" w:cs="Calibri"/>
          <w:sz w:val="22"/>
          <w:szCs w:val="22"/>
        </w:rPr>
        <w:t>diferimento</w:t>
      </w:r>
      <w:r w:rsidRPr="002E2B5B">
        <w:rPr>
          <w:rFonts w:ascii="Calibri" w:hAnsi="Calibri" w:cs="Calibri"/>
          <w:sz w:val="22"/>
          <w:szCs w:val="22"/>
        </w:rPr>
        <w:t xml:space="preserve"> mensal no resultado (receita operacional) conforme o prazo contratual. </w:t>
      </w:r>
    </w:p>
    <w:p w14:paraId="2692D82C" w14:textId="6104D576" w:rsidR="00783590" w:rsidRDefault="006E2E39" w:rsidP="002E2B5B">
      <w:pPr>
        <w:spacing w:after="120"/>
        <w:ind w:right="57"/>
        <w:jc w:val="both"/>
        <w:rPr>
          <w:rFonts w:ascii="Calibri" w:hAnsi="Calibri" w:cs="Calibri"/>
          <w:sz w:val="22"/>
          <w:szCs w:val="22"/>
        </w:rPr>
      </w:pPr>
      <w:r>
        <w:rPr>
          <w:rFonts w:ascii="Calibri" w:hAnsi="Calibri" w:cs="Calibri"/>
          <w:sz w:val="22"/>
          <w:szCs w:val="22"/>
        </w:rPr>
        <w:t>No ano</w:t>
      </w:r>
      <w:r w:rsidR="00995E1B">
        <w:rPr>
          <w:rFonts w:ascii="Calibri" w:hAnsi="Calibri" w:cs="Calibri"/>
          <w:sz w:val="22"/>
          <w:szCs w:val="22"/>
        </w:rPr>
        <w:t xml:space="preserve"> de 2</w:t>
      </w:r>
      <w:r w:rsidR="00F16681" w:rsidRPr="002E2B5B">
        <w:rPr>
          <w:rFonts w:ascii="Calibri" w:hAnsi="Calibri" w:cs="Calibri"/>
          <w:sz w:val="22"/>
          <w:szCs w:val="22"/>
        </w:rPr>
        <w:t>0</w:t>
      </w:r>
      <w:r w:rsidR="00EE24E9" w:rsidRPr="002E2B5B">
        <w:rPr>
          <w:rFonts w:ascii="Calibri" w:hAnsi="Calibri" w:cs="Calibri"/>
          <w:sz w:val="22"/>
          <w:szCs w:val="22"/>
        </w:rPr>
        <w:t>2</w:t>
      </w:r>
      <w:r w:rsidR="00995E1B">
        <w:rPr>
          <w:rFonts w:ascii="Calibri" w:hAnsi="Calibri" w:cs="Calibri"/>
          <w:sz w:val="22"/>
          <w:szCs w:val="22"/>
        </w:rPr>
        <w:t>1</w:t>
      </w:r>
      <w:r w:rsidR="00783590" w:rsidRPr="002E2B5B">
        <w:rPr>
          <w:rFonts w:ascii="Calibri" w:hAnsi="Calibri" w:cs="Calibri"/>
          <w:sz w:val="22"/>
          <w:szCs w:val="22"/>
        </w:rPr>
        <w:t xml:space="preserve">, </w:t>
      </w:r>
      <w:r>
        <w:rPr>
          <w:rFonts w:ascii="Calibri" w:hAnsi="Calibri" w:cs="Calibri"/>
          <w:sz w:val="22"/>
          <w:szCs w:val="22"/>
        </w:rPr>
        <w:t xml:space="preserve">até o segundo trimestre. </w:t>
      </w:r>
      <w:r w:rsidR="00136016" w:rsidRPr="002E2B5B">
        <w:rPr>
          <w:rFonts w:ascii="Calibri" w:hAnsi="Calibri" w:cs="Calibri"/>
          <w:sz w:val="22"/>
          <w:szCs w:val="22"/>
        </w:rPr>
        <w:t xml:space="preserve">as contas </w:t>
      </w:r>
      <w:r w:rsidR="00783590" w:rsidRPr="002E2B5B">
        <w:rPr>
          <w:rFonts w:ascii="Calibri" w:hAnsi="Calibri" w:cs="Calibri"/>
          <w:sz w:val="22"/>
          <w:szCs w:val="22"/>
        </w:rPr>
        <w:t xml:space="preserve">de </w:t>
      </w:r>
      <w:r w:rsidR="00AB1E5E" w:rsidRPr="002E2B5B">
        <w:rPr>
          <w:rFonts w:ascii="Calibri" w:hAnsi="Calibri" w:cs="Calibri"/>
          <w:sz w:val="22"/>
          <w:szCs w:val="22"/>
        </w:rPr>
        <w:t xml:space="preserve">Receita a Diferir – Pátios e Terminais, </w:t>
      </w:r>
      <w:r w:rsidR="00783590" w:rsidRPr="002E2B5B">
        <w:rPr>
          <w:rFonts w:ascii="Calibri" w:hAnsi="Calibri" w:cs="Calibri"/>
          <w:sz w:val="22"/>
          <w:szCs w:val="22"/>
        </w:rPr>
        <w:t>de cu</w:t>
      </w:r>
      <w:r w:rsidR="00136016" w:rsidRPr="002E2B5B">
        <w:rPr>
          <w:rFonts w:ascii="Calibri" w:hAnsi="Calibri" w:cs="Calibri"/>
          <w:sz w:val="22"/>
          <w:szCs w:val="22"/>
        </w:rPr>
        <w:t>rto e longo prazo</w:t>
      </w:r>
      <w:r w:rsidR="00AB1E5E" w:rsidRPr="002E2B5B">
        <w:rPr>
          <w:rFonts w:ascii="Calibri" w:hAnsi="Calibri" w:cs="Calibri"/>
          <w:sz w:val="22"/>
          <w:szCs w:val="22"/>
        </w:rPr>
        <w:t>,</w:t>
      </w:r>
      <w:r w:rsidR="00136016" w:rsidRPr="002E2B5B">
        <w:rPr>
          <w:rFonts w:ascii="Calibri" w:hAnsi="Calibri" w:cs="Calibri"/>
          <w:sz w:val="22"/>
          <w:szCs w:val="22"/>
        </w:rPr>
        <w:t xml:space="preserve"> apresentaram o</w:t>
      </w:r>
      <w:r w:rsidR="004706C7" w:rsidRPr="002E2B5B">
        <w:rPr>
          <w:rFonts w:ascii="Calibri" w:hAnsi="Calibri" w:cs="Calibri"/>
          <w:sz w:val="22"/>
          <w:szCs w:val="22"/>
        </w:rPr>
        <w:t>s</w:t>
      </w:r>
      <w:r w:rsidR="00783590" w:rsidRPr="002E2B5B">
        <w:rPr>
          <w:rFonts w:ascii="Calibri" w:hAnsi="Calibri" w:cs="Calibri"/>
          <w:sz w:val="22"/>
          <w:szCs w:val="22"/>
        </w:rPr>
        <w:t xml:space="preserve"> seguinte</w:t>
      </w:r>
      <w:r w:rsidR="004706C7" w:rsidRPr="002E2B5B">
        <w:rPr>
          <w:rFonts w:ascii="Calibri" w:hAnsi="Calibri" w:cs="Calibri"/>
          <w:sz w:val="22"/>
          <w:szCs w:val="22"/>
        </w:rPr>
        <w:t>s</w:t>
      </w:r>
      <w:r w:rsidR="00783590" w:rsidRPr="002E2B5B">
        <w:rPr>
          <w:rFonts w:ascii="Calibri" w:hAnsi="Calibri" w:cs="Calibri"/>
          <w:sz w:val="22"/>
          <w:szCs w:val="22"/>
        </w:rPr>
        <w:t xml:space="preserve"> </w:t>
      </w:r>
      <w:r w:rsidR="00AB1E5E" w:rsidRPr="002E2B5B">
        <w:rPr>
          <w:rFonts w:ascii="Calibri" w:hAnsi="Calibri" w:cs="Calibri"/>
          <w:sz w:val="22"/>
          <w:szCs w:val="22"/>
        </w:rPr>
        <w:t>movimentos:</w:t>
      </w:r>
    </w:p>
    <w:p w14:paraId="117E0249" w14:textId="2A2A6C02" w:rsidR="00810F1C" w:rsidRDefault="00810F1C" w:rsidP="002E2B5B">
      <w:pPr>
        <w:spacing w:after="120"/>
        <w:ind w:right="57"/>
        <w:jc w:val="both"/>
        <w:rPr>
          <w:rFonts w:ascii="Calibri" w:hAnsi="Calibri" w:cs="Calibri"/>
          <w:sz w:val="22"/>
          <w:szCs w:val="22"/>
        </w:rPr>
      </w:pPr>
    </w:p>
    <w:p w14:paraId="387E5920" w14:textId="622DF6A4" w:rsidR="00810F1C" w:rsidRDefault="00810F1C" w:rsidP="002E2B5B">
      <w:pPr>
        <w:spacing w:after="120"/>
        <w:ind w:right="57"/>
        <w:jc w:val="both"/>
        <w:rPr>
          <w:rFonts w:ascii="Calibri" w:hAnsi="Calibri" w:cs="Calibri"/>
          <w:sz w:val="22"/>
          <w:szCs w:val="22"/>
        </w:rPr>
      </w:pPr>
    </w:p>
    <w:p w14:paraId="185BDF80" w14:textId="1799F6E3" w:rsidR="00810F1C" w:rsidRDefault="00810F1C" w:rsidP="002E2B5B">
      <w:pPr>
        <w:spacing w:after="120"/>
        <w:ind w:right="57"/>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5507"/>
        <w:gridCol w:w="389"/>
        <w:gridCol w:w="389"/>
        <w:gridCol w:w="2093"/>
        <w:gridCol w:w="2089"/>
      </w:tblGrid>
      <w:tr w:rsidR="006E2E39" w14:paraId="45D91878" w14:textId="77777777" w:rsidTr="00810F1C">
        <w:trPr>
          <w:trHeight w:hRule="exact" w:val="227"/>
        </w:trPr>
        <w:tc>
          <w:tcPr>
            <w:tcW w:w="3001" w:type="pct"/>
            <w:gridSpan w:val="3"/>
            <w:tcBorders>
              <w:top w:val="nil"/>
              <w:left w:val="nil"/>
              <w:bottom w:val="single" w:sz="8" w:space="0" w:color="auto"/>
              <w:right w:val="nil"/>
            </w:tcBorders>
            <w:shd w:val="clear" w:color="auto" w:fill="auto"/>
            <w:noWrap/>
            <w:vAlign w:val="center"/>
            <w:hideMark/>
          </w:tcPr>
          <w:p w14:paraId="660B4911" w14:textId="77777777" w:rsidR="006E2E39" w:rsidRDefault="006E2E39">
            <w:pPr>
              <w:rPr>
                <w:rFonts w:ascii="Calibri" w:hAnsi="Calibri" w:cs="Calibri"/>
                <w:b/>
                <w:bCs/>
                <w:color w:val="000000"/>
                <w:sz w:val="16"/>
                <w:szCs w:val="16"/>
              </w:rPr>
            </w:pPr>
            <w:r>
              <w:rPr>
                <w:rFonts w:ascii="Calibri" w:hAnsi="Calibri" w:cs="Calibri"/>
                <w:b/>
                <w:bCs/>
                <w:color w:val="000000"/>
                <w:sz w:val="16"/>
                <w:szCs w:val="16"/>
              </w:rPr>
              <w:lastRenderedPageBreak/>
              <w:t xml:space="preserve">ADIANTAMENTO DE CLIENTES </w:t>
            </w:r>
          </w:p>
        </w:tc>
        <w:tc>
          <w:tcPr>
            <w:tcW w:w="1000" w:type="pct"/>
            <w:tcBorders>
              <w:top w:val="nil"/>
              <w:left w:val="nil"/>
              <w:bottom w:val="single" w:sz="8" w:space="0" w:color="auto"/>
              <w:right w:val="nil"/>
            </w:tcBorders>
            <w:shd w:val="clear" w:color="auto" w:fill="auto"/>
            <w:noWrap/>
            <w:vAlign w:val="center"/>
            <w:hideMark/>
          </w:tcPr>
          <w:p w14:paraId="59FEEB63" w14:textId="77777777" w:rsidR="006E2E39" w:rsidRDefault="006E2E39">
            <w:pPr>
              <w:jc w:val="right"/>
              <w:rPr>
                <w:rFonts w:ascii="Calibri" w:hAnsi="Calibri" w:cs="Calibri"/>
                <w:b/>
                <w:bCs/>
                <w:color w:val="000000"/>
                <w:sz w:val="16"/>
                <w:szCs w:val="16"/>
              </w:rPr>
            </w:pPr>
            <w:r>
              <w:rPr>
                <w:rFonts w:ascii="Calibri" w:hAnsi="Calibri" w:cs="Calibri"/>
                <w:b/>
                <w:bCs/>
                <w:color w:val="000000"/>
                <w:sz w:val="16"/>
                <w:szCs w:val="16"/>
              </w:rPr>
              <w:t>30/06/2021</w:t>
            </w:r>
          </w:p>
        </w:tc>
        <w:tc>
          <w:tcPr>
            <w:tcW w:w="999" w:type="pct"/>
            <w:tcBorders>
              <w:top w:val="nil"/>
              <w:left w:val="nil"/>
              <w:bottom w:val="single" w:sz="8" w:space="0" w:color="auto"/>
              <w:right w:val="nil"/>
            </w:tcBorders>
            <w:shd w:val="clear" w:color="auto" w:fill="auto"/>
            <w:vAlign w:val="center"/>
            <w:hideMark/>
          </w:tcPr>
          <w:p w14:paraId="2399297B" w14:textId="77777777" w:rsidR="006E2E39" w:rsidRDefault="006E2E39">
            <w:pPr>
              <w:jc w:val="right"/>
              <w:rPr>
                <w:rFonts w:ascii="Calibri" w:hAnsi="Calibri" w:cs="Calibri"/>
                <w:b/>
                <w:bCs/>
                <w:color w:val="000000"/>
                <w:sz w:val="16"/>
                <w:szCs w:val="16"/>
              </w:rPr>
            </w:pPr>
            <w:r>
              <w:rPr>
                <w:rFonts w:ascii="Calibri" w:hAnsi="Calibri" w:cs="Calibri"/>
                <w:b/>
                <w:bCs/>
                <w:color w:val="000000"/>
                <w:sz w:val="16"/>
                <w:szCs w:val="16"/>
              </w:rPr>
              <w:t>31/12/2020</w:t>
            </w:r>
          </w:p>
        </w:tc>
      </w:tr>
      <w:tr w:rsidR="006E2E39" w14:paraId="47DC6EEE" w14:textId="77777777" w:rsidTr="00810F1C">
        <w:trPr>
          <w:trHeight w:hRule="exact" w:val="227"/>
        </w:trPr>
        <w:tc>
          <w:tcPr>
            <w:tcW w:w="2630" w:type="pct"/>
            <w:tcBorders>
              <w:top w:val="nil"/>
              <w:left w:val="nil"/>
              <w:bottom w:val="nil"/>
              <w:right w:val="nil"/>
            </w:tcBorders>
            <w:shd w:val="clear" w:color="auto" w:fill="auto"/>
            <w:noWrap/>
            <w:vAlign w:val="center"/>
            <w:hideMark/>
          </w:tcPr>
          <w:p w14:paraId="348C83B1" w14:textId="77777777" w:rsidR="006E2E39" w:rsidRDefault="006E2E39">
            <w:pPr>
              <w:rPr>
                <w:rFonts w:ascii="Calibri" w:hAnsi="Calibri" w:cs="Calibri"/>
                <w:color w:val="000000"/>
                <w:sz w:val="16"/>
                <w:szCs w:val="16"/>
              </w:rPr>
            </w:pPr>
            <w:r>
              <w:rPr>
                <w:rFonts w:ascii="Calibri" w:hAnsi="Calibri" w:cs="Calibri"/>
                <w:color w:val="000000"/>
                <w:sz w:val="16"/>
                <w:szCs w:val="16"/>
              </w:rPr>
              <w:t xml:space="preserve">Saldo anterior </w:t>
            </w:r>
          </w:p>
        </w:tc>
        <w:tc>
          <w:tcPr>
            <w:tcW w:w="186" w:type="pct"/>
            <w:tcBorders>
              <w:top w:val="nil"/>
              <w:left w:val="nil"/>
              <w:bottom w:val="nil"/>
              <w:right w:val="nil"/>
            </w:tcBorders>
            <w:shd w:val="clear" w:color="auto" w:fill="auto"/>
            <w:noWrap/>
            <w:vAlign w:val="center"/>
            <w:hideMark/>
          </w:tcPr>
          <w:p w14:paraId="0DA4FDD0" w14:textId="77777777" w:rsidR="006E2E39" w:rsidRDefault="006E2E39">
            <w:pPr>
              <w:rPr>
                <w:rFonts w:ascii="Calibri" w:hAnsi="Calibri" w:cs="Calibri"/>
                <w:color w:val="000000"/>
                <w:sz w:val="16"/>
                <w:szCs w:val="16"/>
              </w:rPr>
            </w:pPr>
          </w:p>
        </w:tc>
        <w:tc>
          <w:tcPr>
            <w:tcW w:w="186" w:type="pct"/>
            <w:tcBorders>
              <w:top w:val="nil"/>
              <w:left w:val="nil"/>
              <w:bottom w:val="nil"/>
              <w:right w:val="nil"/>
            </w:tcBorders>
            <w:shd w:val="clear" w:color="auto" w:fill="auto"/>
            <w:noWrap/>
            <w:vAlign w:val="center"/>
            <w:hideMark/>
          </w:tcPr>
          <w:p w14:paraId="0DA9C63E" w14:textId="77777777" w:rsidR="006E2E39" w:rsidRDefault="006E2E39">
            <w:pPr>
              <w:rPr>
                <w:sz w:val="20"/>
                <w:szCs w:val="20"/>
              </w:rPr>
            </w:pPr>
          </w:p>
        </w:tc>
        <w:tc>
          <w:tcPr>
            <w:tcW w:w="1000" w:type="pct"/>
            <w:tcBorders>
              <w:top w:val="nil"/>
              <w:left w:val="nil"/>
              <w:bottom w:val="nil"/>
              <w:right w:val="nil"/>
            </w:tcBorders>
            <w:shd w:val="clear" w:color="auto" w:fill="auto"/>
            <w:noWrap/>
            <w:vAlign w:val="center"/>
            <w:hideMark/>
          </w:tcPr>
          <w:p w14:paraId="4526FC69" w14:textId="77777777" w:rsidR="006E2E39" w:rsidRDefault="006E2E39">
            <w:pPr>
              <w:jc w:val="right"/>
              <w:rPr>
                <w:rFonts w:ascii="Calibri" w:hAnsi="Calibri" w:cs="Calibri"/>
                <w:color w:val="000000"/>
                <w:sz w:val="16"/>
                <w:szCs w:val="16"/>
              </w:rPr>
            </w:pPr>
            <w:r>
              <w:rPr>
                <w:rFonts w:ascii="Calibri" w:hAnsi="Calibri" w:cs="Calibri"/>
                <w:color w:val="000000"/>
                <w:sz w:val="16"/>
                <w:szCs w:val="16"/>
              </w:rPr>
              <w:t>25.642.834</w:t>
            </w:r>
          </w:p>
        </w:tc>
        <w:tc>
          <w:tcPr>
            <w:tcW w:w="999" w:type="pct"/>
            <w:tcBorders>
              <w:top w:val="nil"/>
              <w:left w:val="nil"/>
              <w:bottom w:val="nil"/>
              <w:right w:val="nil"/>
            </w:tcBorders>
            <w:shd w:val="clear" w:color="auto" w:fill="auto"/>
            <w:vAlign w:val="center"/>
            <w:hideMark/>
          </w:tcPr>
          <w:p w14:paraId="03AE115A" w14:textId="77777777" w:rsidR="006E2E39" w:rsidRDefault="006E2E39">
            <w:pPr>
              <w:jc w:val="right"/>
              <w:rPr>
                <w:rFonts w:ascii="Calibri" w:hAnsi="Calibri" w:cs="Calibri"/>
                <w:color w:val="000000"/>
                <w:sz w:val="16"/>
                <w:szCs w:val="16"/>
              </w:rPr>
            </w:pPr>
            <w:r>
              <w:rPr>
                <w:rFonts w:ascii="Calibri" w:hAnsi="Calibri" w:cs="Calibri"/>
                <w:color w:val="000000"/>
                <w:sz w:val="16"/>
                <w:szCs w:val="16"/>
              </w:rPr>
              <w:t>26.556.382</w:t>
            </w:r>
          </w:p>
        </w:tc>
      </w:tr>
      <w:tr w:rsidR="006E2E39" w14:paraId="1BEB4B59" w14:textId="77777777" w:rsidTr="00810F1C">
        <w:trPr>
          <w:trHeight w:hRule="exact" w:val="227"/>
        </w:trPr>
        <w:tc>
          <w:tcPr>
            <w:tcW w:w="2816" w:type="pct"/>
            <w:gridSpan w:val="2"/>
            <w:tcBorders>
              <w:top w:val="nil"/>
              <w:left w:val="nil"/>
              <w:bottom w:val="nil"/>
              <w:right w:val="nil"/>
            </w:tcBorders>
            <w:shd w:val="clear" w:color="auto" w:fill="auto"/>
            <w:noWrap/>
            <w:vAlign w:val="center"/>
            <w:hideMark/>
          </w:tcPr>
          <w:p w14:paraId="6E987401" w14:textId="77777777" w:rsidR="006E2E39" w:rsidRDefault="006E2E39">
            <w:pPr>
              <w:rPr>
                <w:rFonts w:ascii="Calibri" w:hAnsi="Calibri" w:cs="Calibri"/>
                <w:color w:val="000000"/>
                <w:sz w:val="16"/>
                <w:szCs w:val="16"/>
              </w:rPr>
            </w:pPr>
            <w:r>
              <w:rPr>
                <w:rFonts w:ascii="Calibri" w:hAnsi="Calibri" w:cs="Calibri"/>
                <w:color w:val="000000"/>
                <w:sz w:val="16"/>
                <w:szCs w:val="16"/>
              </w:rPr>
              <w:t>Novas permissões</w:t>
            </w:r>
          </w:p>
        </w:tc>
        <w:tc>
          <w:tcPr>
            <w:tcW w:w="186" w:type="pct"/>
            <w:tcBorders>
              <w:top w:val="nil"/>
              <w:left w:val="nil"/>
              <w:bottom w:val="nil"/>
              <w:right w:val="nil"/>
            </w:tcBorders>
            <w:shd w:val="clear" w:color="auto" w:fill="auto"/>
            <w:noWrap/>
            <w:vAlign w:val="center"/>
            <w:hideMark/>
          </w:tcPr>
          <w:p w14:paraId="69A73881" w14:textId="77777777" w:rsidR="006E2E39" w:rsidRDefault="006E2E39">
            <w:pPr>
              <w:rPr>
                <w:rFonts w:ascii="Calibri" w:hAnsi="Calibri" w:cs="Calibri"/>
                <w:color w:val="000000"/>
                <w:sz w:val="16"/>
                <w:szCs w:val="16"/>
              </w:rPr>
            </w:pPr>
          </w:p>
        </w:tc>
        <w:tc>
          <w:tcPr>
            <w:tcW w:w="1000" w:type="pct"/>
            <w:tcBorders>
              <w:top w:val="nil"/>
              <w:left w:val="nil"/>
              <w:bottom w:val="nil"/>
              <w:right w:val="nil"/>
            </w:tcBorders>
            <w:shd w:val="clear" w:color="auto" w:fill="auto"/>
            <w:noWrap/>
            <w:vAlign w:val="center"/>
            <w:hideMark/>
          </w:tcPr>
          <w:p w14:paraId="4F2FADAA" w14:textId="77777777" w:rsidR="006E2E39" w:rsidRDefault="006E2E39">
            <w:pPr>
              <w:jc w:val="right"/>
              <w:rPr>
                <w:rFonts w:ascii="Calibri" w:hAnsi="Calibri" w:cs="Calibri"/>
                <w:color w:val="000000"/>
                <w:sz w:val="16"/>
                <w:szCs w:val="16"/>
              </w:rPr>
            </w:pPr>
            <w:r>
              <w:rPr>
                <w:rFonts w:ascii="Calibri" w:hAnsi="Calibri" w:cs="Calibri"/>
                <w:color w:val="000000"/>
                <w:sz w:val="16"/>
                <w:szCs w:val="16"/>
              </w:rPr>
              <w:t>0</w:t>
            </w:r>
          </w:p>
        </w:tc>
        <w:tc>
          <w:tcPr>
            <w:tcW w:w="999" w:type="pct"/>
            <w:tcBorders>
              <w:top w:val="nil"/>
              <w:left w:val="nil"/>
              <w:bottom w:val="nil"/>
              <w:right w:val="nil"/>
            </w:tcBorders>
            <w:shd w:val="clear" w:color="auto" w:fill="auto"/>
            <w:vAlign w:val="center"/>
            <w:hideMark/>
          </w:tcPr>
          <w:p w14:paraId="732635CF" w14:textId="77777777" w:rsidR="006E2E39" w:rsidRDefault="006E2E39">
            <w:pPr>
              <w:jc w:val="right"/>
              <w:rPr>
                <w:rFonts w:ascii="Calibri" w:hAnsi="Calibri" w:cs="Calibri"/>
                <w:color w:val="000000"/>
                <w:sz w:val="16"/>
                <w:szCs w:val="16"/>
              </w:rPr>
            </w:pPr>
            <w:r>
              <w:rPr>
                <w:rFonts w:ascii="Calibri" w:hAnsi="Calibri" w:cs="Calibri"/>
                <w:color w:val="000000"/>
                <w:sz w:val="16"/>
                <w:szCs w:val="16"/>
              </w:rPr>
              <w:t>1.050.000</w:t>
            </w:r>
          </w:p>
        </w:tc>
      </w:tr>
      <w:tr w:rsidR="006E2E39" w14:paraId="2FE2BD6D" w14:textId="77777777" w:rsidTr="00810F1C">
        <w:trPr>
          <w:trHeight w:hRule="exact" w:val="227"/>
        </w:trPr>
        <w:tc>
          <w:tcPr>
            <w:tcW w:w="2816" w:type="pct"/>
            <w:gridSpan w:val="2"/>
            <w:tcBorders>
              <w:top w:val="nil"/>
              <w:left w:val="nil"/>
              <w:bottom w:val="nil"/>
              <w:right w:val="nil"/>
            </w:tcBorders>
            <w:shd w:val="clear" w:color="auto" w:fill="auto"/>
            <w:noWrap/>
            <w:vAlign w:val="center"/>
            <w:hideMark/>
          </w:tcPr>
          <w:p w14:paraId="2CB666A1" w14:textId="77777777" w:rsidR="006E2E39" w:rsidRDefault="006E2E39">
            <w:pPr>
              <w:rPr>
                <w:rFonts w:ascii="Calibri" w:hAnsi="Calibri" w:cs="Calibri"/>
                <w:color w:val="000000"/>
                <w:sz w:val="16"/>
                <w:szCs w:val="16"/>
              </w:rPr>
            </w:pPr>
            <w:r>
              <w:rPr>
                <w:rFonts w:ascii="Calibri" w:hAnsi="Calibri" w:cs="Calibri"/>
                <w:color w:val="000000"/>
                <w:sz w:val="16"/>
                <w:szCs w:val="16"/>
              </w:rPr>
              <w:t>Reconhecimento da receita</w:t>
            </w:r>
          </w:p>
        </w:tc>
        <w:tc>
          <w:tcPr>
            <w:tcW w:w="186" w:type="pct"/>
            <w:tcBorders>
              <w:top w:val="nil"/>
              <w:left w:val="nil"/>
              <w:bottom w:val="nil"/>
              <w:right w:val="nil"/>
            </w:tcBorders>
            <w:shd w:val="clear" w:color="auto" w:fill="auto"/>
            <w:noWrap/>
            <w:vAlign w:val="center"/>
            <w:hideMark/>
          </w:tcPr>
          <w:p w14:paraId="6C8C0B66" w14:textId="77777777" w:rsidR="006E2E39" w:rsidRDefault="006E2E39">
            <w:pPr>
              <w:rPr>
                <w:rFonts w:ascii="Calibri" w:hAnsi="Calibri" w:cs="Calibri"/>
                <w:color w:val="000000"/>
                <w:sz w:val="16"/>
                <w:szCs w:val="16"/>
              </w:rPr>
            </w:pPr>
          </w:p>
        </w:tc>
        <w:tc>
          <w:tcPr>
            <w:tcW w:w="1000" w:type="pct"/>
            <w:tcBorders>
              <w:top w:val="nil"/>
              <w:left w:val="nil"/>
              <w:bottom w:val="nil"/>
              <w:right w:val="nil"/>
            </w:tcBorders>
            <w:shd w:val="clear" w:color="auto" w:fill="auto"/>
            <w:noWrap/>
            <w:vAlign w:val="center"/>
            <w:hideMark/>
          </w:tcPr>
          <w:p w14:paraId="539E2AE2" w14:textId="19DF0B6A" w:rsidR="006E2E39" w:rsidRDefault="006E2E39">
            <w:pPr>
              <w:jc w:val="right"/>
              <w:rPr>
                <w:rFonts w:ascii="Calibri" w:hAnsi="Calibri" w:cs="Calibri"/>
                <w:color w:val="000000"/>
                <w:sz w:val="16"/>
                <w:szCs w:val="16"/>
              </w:rPr>
            </w:pPr>
            <w:r>
              <w:rPr>
                <w:rFonts w:ascii="Calibri" w:hAnsi="Calibri" w:cs="Calibri"/>
                <w:color w:val="000000"/>
                <w:sz w:val="16"/>
                <w:szCs w:val="16"/>
              </w:rPr>
              <w:t>(1.196.191)</w:t>
            </w:r>
          </w:p>
        </w:tc>
        <w:tc>
          <w:tcPr>
            <w:tcW w:w="999" w:type="pct"/>
            <w:tcBorders>
              <w:top w:val="nil"/>
              <w:left w:val="nil"/>
              <w:bottom w:val="nil"/>
              <w:right w:val="nil"/>
            </w:tcBorders>
            <w:shd w:val="clear" w:color="auto" w:fill="auto"/>
            <w:vAlign w:val="center"/>
            <w:hideMark/>
          </w:tcPr>
          <w:p w14:paraId="75E0106B" w14:textId="3B002394" w:rsidR="006E2E39" w:rsidRDefault="006E2E39">
            <w:pPr>
              <w:jc w:val="right"/>
              <w:rPr>
                <w:rFonts w:ascii="Calibri" w:hAnsi="Calibri" w:cs="Calibri"/>
                <w:color w:val="000000"/>
                <w:sz w:val="16"/>
                <w:szCs w:val="16"/>
              </w:rPr>
            </w:pPr>
            <w:r>
              <w:rPr>
                <w:rFonts w:ascii="Calibri" w:hAnsi="Calibri" w:cs="Calibri"/>
                <w:color w:val="000000"/>
                <w:sz w:val="16"/>
                <w:szCs w:val="16"/>
              </w:rPr>
              <w:t>(1.963.548)</w:t>
            </w:r>
          </w:p>
        </w:tc>
      </w:tr>
      <w:tr w:rsidR="006E2E39" w14:paraId="3C1C37EB" w14:textId="77777777" w:rsidTr="00810F1C">
        <w:trPr>
          <w:trHeight w:hRule="exact" w:val="227"/>
        </w:trPr>
        <w:tc>
          <w:tcPr>
            <w:tcW w:w="2630" w:type="pct"/>
            <w:tcBorders>
              <w:top w:val="nil"/>
              <w:left w:val="nil"/>
              <w:bottom w:val="single" w:sz="8" w:space="0" w:color="auto"/>
              <w:right w:val="nil"/>
            </w:tcBorders>
            <w:shd w:val="clear" w:color="auto" w:fill="auto"/>
            <w:noWrap/>
            <w:vAlign w:val="center"/>
            <w:hideMark/>
          </w:tcPr>
          <w:p w14:paraId="2889CF72" w14:textId="77777777" w:rsidR="006E2E39" w:rsidRDefault="006E2E39">
            <w:pPr>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86" w:type="pct"/>
            <w:tcBorders>
              <w:top w:val="nil"/>
              <w:left w:val="nil"/>
              <w:bottom w:val="single" w:sz="8" w:space="0" w:color="auto"/>
              <w:right w:val="nil"/>
            </w:tcBorders>
            <w:shd w:val="clear" w:color="auto" w:fill="auto"/>
            <w:noWrap/>
            <w:vAlign w:val="center"/>
            <w:hideMark/>
          </w:tcPr>
          <w:p w14:paraId="49E821E1" w14:textId="77777777" w:rsidR="006E2E39" w:rsidRDefault="006E2E39">
            <w:pPr>
              <w:rPr>
                <w:rFonts w:ascii="Calibri" w:hAnsi="Calibri" w:cs="Calibri"/>
                <w:color w:val="000000"/>
                <w:sz w:val="16"/>
                <w:szCs w:val="16"/>
              </w:rPr>
            </w:pPr>
            <w:r>
              <w:rPr>
                <w:rFonts w:ascii="Calibri" w:hAnsi="Calibri" w:cs="Calibri"/>
                <w:color w:val="000000"/>
                <w:sz w:val="16"/>
                <w:szCs w:val="16"/>
              </w:rPr>
              <w:t> </w:t>
            </w:r>
          </w:p>
        </w:tc>
        <w:tc>
          <w:tcPr>
            <w:tcW w:w="186" w:type="pct"/>
            <w:tcBorders>
              <w:top w:val="nil"/>
              <w:left w:val="nil"/>
              <w:bottom w:val="single" w:sz="8" w:space="0" w:color="auto"/>
              <w:right w:val="nil"/>
            </w:tcBorders>
            <w:shd w:val="clear" w:color="auto" w:fill="auto"/>
            <w:noWrap/>
            <w:vAlign w:val="center"/>
            <w:hideMark/>
          </w:tcPr>
          <w:p w14:paraId="696889EE" w14:textId="77777777" w:rsidR="006E2E39" w:rsidRDefault="006E2E39">
            <w:pPr>
              <w:jc w:val="right"/>
              <w:rPr>
                <w:rFonts w:ascii="Calibri" w:hAnsi="Calibri" w:cs="Calibri"/>
                <w:b/>
                <w:bCs/>
                <w:color w:val="000000"/>
                <w:sz w:val="16"/>
                <w:szCs w:val="16"/>
              </w:rPr>
            </w:pPr>
            <w:r>
              <w:rPr>
                <w:rFonts w:ascii="Calibri" w:hAnsi="Calibri" w:cs="Calibri"/>
                <w:b/>
                <w:bCs/>
                <w:color w:val="000000"/>
                <w:sz w:val="16"/>
                <w:szCs w:val="16"/>
              </w:rPr>
              <w:t> </w:t>
            </w:r>
          </w:p>
        </w:tc>
        <w:tc>
          <w:tcPr>
            <w:tcW w:w="1000" w:type="pct"/>
            <w:tcBorders>
              <w:top w:val="nil"/>
              <w:left w:val="nil"/>
              <w:bottom w:val="single" w:sz="8" w:space="0" w:color="auto"/>
              <w:right w:val="nil"/>
            </w:tcBorders>
            <w:shd w:val="clear" w:color="auto" w:fill="auto"/>
            <w:noWrap/>
            <w:vAlign w:val="center"/>
            <w:hideMark/>
          </w:tcPr>
          <w:p w14:paraId="6A805D74" w14:textId="77777777" w:rsidR="006E2E39" w:rsidRDefault="006E2E39">
            <w:pPr>
              <w:jc w:val="right"/>
              <w:rPr>
                <w:rFonts w:ascii="Calibri" w:hAnsi="Calibri" w:cs="Calibri"/>
                <w:b/>
                <w:bCs/>
                <w:color w:val="000000"/>
                <w:sz w:val="16"/>
                <w:szCs w:val="16"/>
              </w:rPr>
            </w:pPr>
            <w:r>
              <w:rPr>
                <w:rFonts w:ascii="Calibri" w:hAnsi="Calibri" w:cs="Calibri"/>
                <w:b/>
                <w:bCs/>
                <w:color w:val="000000"/>
                <w:sz w:val="16"/>
                <w:szCs w:val="16"/>
              </w:rPr>
              <w:t>24.446.643</w:t>
            </w:r>
          </w:p>
        </w:tc>
        <w:tc>
          <w:tcPr>
            <w:tcW w:w="999" w:type="pct"/>
            <w:tcBorders>
              <w:top w:val="nil"/>
              <w:left w:val="nil"/>
              <w:bottom w:val="single" w:sz="8" w:space="0" w:color="auto"/>
              <w:right w:val="nil"/>
            </w:tcBorders>
            <w:shd w:val="clear" w:color="auto" w:fill="auto"/>
            <w:vAlign w:val="center"/>
            <w:hideMark/>
          </w:tcPr>
          <w:p w14:paraId="598E1DDB" w14:textId="77777777" w:rsidR="006E2E39" w:rsidRDefault="006E2E39">
            <w:pPr>
              <w:jc w:val="right"/>
              <w:rPr>
                <w:rFonts w:ascii="Calibri" w:hAnsi="Calibri" w:cs="Calibri"/>
                <w:b/>
                <w:bCs/>
                <w:color w:val="000000"/>
                <w:sz w:val="16"/>
                <w:szCs w:val="16"/>
              </w:rPr>
            </w:pPr>
            <w:r>
              <w:rPr>
                <w:rFonts w:ascii="Calibri" w:hAnsi="Calibri" w:cs="Calibri"/>
                <w:b/>
                <w:bCs/>
                <w:color w:val="000000"/>
                <w:sz w:val="16"/>
                <w:szCs w:val="16"/>
              </w:rPr>
              <w:t>25.642.834</w:t>
            </w:r>
          </w:p>
        </w:tc>
      </w:tr>
      <w:tr w:rsidR="006E2E39" w14:paraId="13B7AA51" w14:textId="77777777" w:rsidTr="00810F1C">
        <w:trPr>
          <w:trHeight w:hRule="exact" w:val="227"/>
        </w:trPr>
        <w:tc>
          <w:tcPr>
            <w:tcW w:w="3001" w:type="pct"/>
            <w:gridSpan w:val="3"/>
            <w:tcBorders>
              <w:top w:val="nil"/>
              <w:left w:val="nil"/>
              <w:bottom w:val="single" w:sz="8" w:space="0" w:color="auto"/>
              <w:right w:val="nil"/>
            </w:tcBorders>
            <w:shd w:val="clear" w:color="auto" w:fill="auto"/>
            <w:noWrap/>
            <w:vAlign w:val="center"/>
            <w:hideMark/>
          </w:tcPr>
          <w:p w14:paraId="219A18A7" w14:textId="77777777" w:rsidR="006E2E39" w:rsidRDefault="006E2E39">
            <w:pPr>
              <w:rPr>
                <w:rFonts w:ascii="Calibri" w:hAnsi="Calibri" w:cs="Calibri"/>
                <w:b/>
                <w:bCs/>
                <w:color w:val="000000"/>
                <w:sz w:val="16"/>
                <w:szCs w:val="16"/>
              </w:rPr>
            </w:pPr>
            <w:r>
              <w:rPr>
                <w:rFonts w:ascii="Calibri" w:hAnsi="Calibri" w:cs="Calibri"/>
                <w:b/>
                <w:bCs/>
                <w:color w:val="000000"/>
                <w:sz w:val="16"/>
                <w:szCs w:val="16"/>
              </w:rPr>
              <w:t>Receita a Diferir Pátios e Terminais – Circulante</w:t>
            </w:r>
          </w:p>
        </w:tc>
        <w:tc>
          <w:tcPr>
            <w:tcW w:w="1000" w:type="pct"/>
            <w:tcBorders>
              <w:top w:val="nil"/>
              <w:left w:val="nil"/>
              <w:bottom w:val="single" w:sz="8" w:space="0" w:color="auto"/>
              <w:right w:val="nil"/>
            </w:tcBorders>
            <w:shd w:val="clear" w:color="auto" w:fill="auto"/>
            <w:noWrap/>
            <w:vAlign w:val="center"/>
            <w:hideMark/>
          </w:tcPr>
          <w:p w14:paraId="2FB06FD2" w14:textId="77777777" w:rsidR="006E2E39" w:rsidRDefault="006E2E39">
            <w:pPr>
              <w:jc w:val="right"/>
              <w:rPr>
                <w:rFonts w:ascii="Calibri" w:hAnsi="Calibri" w:cs="Calibri"/>
                <w:b/>
                <w:bCs/>
                <w:color w:val="000000"/>
                <w:sz w:val="16"/>
                <w:szCs w:val="16"/>
              </w:rPr>
            </w:pPr>
            <w:r>
              <w:rPr>
                <w:rFonts w:ascii="Calibri" w:hAnsi="Calibri" w:cs="Calibri"/>
                <w:b/>
                <w:bCs/>
                <w:color w:val="000000"/>
                <w:sz w:val="16"/>
                <w:szCs w:val="16"/>
              </w:rPr>
              <w:t>2.242.086</w:t>
            </w:r>
          </w:p>
        </w:tc>
        <w:tc>
          <w:tcPr>
            <w:tcW w:w="999" w:type="pct"/>
            <w:tcBorders>
              <w:top w:val="nil"/>
              <w:left w:val="nil"/>
              <w:bottom w:val="single" w:sz="8" w:space="0" w:color="auto"/>
              <w:right w:val="nil"/>
            </w:tcBorders>
            <w:shd w:val="clear" w:color="auto" w:fill="auto"/>
            <w:vAlign w:val="center"/>
            <w:hideMark/>
          </w:tcPr>
          <w:p w14:paraId="1EBEAB20" w14:textId="77777777" w:rsidR="006E2E39" w:rsidRDefault="006E2E39">
            <w:pPr>
              <w:jc w:val="right"/>
              <w:rPr>
                <w:rFonts w:ascii="Calibri" w:hAnsi="Calibri" w:cs="Calibri"/>
                <w:b/>
                <w:bCs/>
                <w:color w:val="000000"/>
                <w:sz w:val="16"/>
                <w:szCs w:val="16"/>
              </w:rPr>
            </w:pPr>
            <w:r>
              <w:rPr>
                <w:rFonts w:ascii="Calibri" w:hAnsi="Calibri" w:cs="Calibri"/>
                <w:b/>
                <w:bCs/>
                <w:color w:val="000000"/>
                <w:sz w:val="16"/>
                <w:szCs w:val="16"/>
              </w:rPr>
              <w:t>2.271.695</w:t>
            </w:r>
          </w:p>
        </w:tc>
      </w:tr>
      <w:tr w:rsidR="006E2E39" w14:paraId="1281F913" w14:textId="77777777" w:rsidTr="00810F1C">
        <w:trPr>
          <w:trHeight w:hRule="exact" w:val="227"/>
        </w:trPr>
        <w:tc>
          <w:tcPr>
            <w:tcW w:w="3001" w:type="pct"/>
            <w:gridSpan w:val="3"/>
            <w:tcBorders>
              <w:top w:val="nil"/>
              <w:left w:val="nil"/>
              <w:bottom w:val="single" w:sz="8" w:space="0" w:color="auto"/>
              <w:right w:val="nil"/>
            </w:tcBorders>
            <w:shd w:val="clear" w:color="auto" w:fill="auto"/>
            <w:noWrap/>
            <w:vAlign w:val="center"/>
            <w:hideMark/>
          </w:tcPr>
          <w:p w14:paraId="080DA80A" w14:textId="77777777" w:rsidR="006E2E39" w:rsidRDefault="006E2E39">
            <w:pPr>
              <w:rPr>
                <w:rFonts w:ascii="Calibri" w:hAnsi="Calibri" w:cs="Calibri"/>
                <w:b/>
                <w:bCs/>
                <w:color w:val="000000"/>
                <w:sz w:val="16"/>
                <w:szCs w:val="16"/>
              </w:rPr>
            </w:pPr>
            <w:r>
              <w:rPr>
                <w:rFonts w:ascii="Calibri" w:hAnsi="Calibri" w:cs="Calibri"/>
                <w:b/>
                <w:bCs/>
                <w:color w:val="000000"/>
                <w:sz w:val="16"/>
                <w:szCs w:val="16"/>
              </w:rPr>
              <w:t>Receita a Diferir Pátios e Terminais – Não Circulante</w:t>
            </w:r>
          </w:p>
        </w:tc>
        <w:tc>
          <w:tcPr>
            <w:tcW w:w="1000" w:type="pct"/>
            <w:tcBorders>
              <w:top w:val="nil"/>
              <w:left w:val="nil"/>
              <w:bottom w:val="single" w:sz="8" w:space="0" w:color="auto"/>
              <w:right w:val="nil"/>
            </w:tcBorders>
            <w:shd w:val="clear" w:color="auto" w:fill="auto"/>
            <w:noWrap/>
            <w:vAlign w:val="center"/>
            <w:hideMark/>
          </w:tcPr>
          <w:p w14:paraId="0EF44D78" w14:textId="77777777" w:rsidR="006E2E39" w:rsidRDefault="006E2E39">
            <w:pPr>
              <w:jc w:val="right"/>
              <w:rPr>
                <w:rFonts w:ascii="Calibri" w:hAnsi="Calibri" w:cs="Calibri"/>
                <w:b/>
                <w:bCs/>
                <w:color w:val="000000"/>
                <w:sz w:val="16"/>
                <w:szCs w:val="16"/>
              </w:rPr>
            </w:pPr>
            <w:r>
              <w:rPr>
                <w:rFonts w:ascii="Calibri" w:hAnsi="Calibri" w:cs="Calibri"/>
                <w:b/>
                <w:bCs/>
                <w:color w:val="000000"/>
                <w:sz w:val="16"/>
                <w:szCs w:val="16"/>
              </w:rPr>
              <w:t>22.204.557</w:t>
            </w:r>
          </w:p>
        </w:tc>
        <w:tc>
          <w:tcPr>
            <w:tcW w:w="999" w:type="pct"/>
            <w:tcBorders>
              <w:top w:val="nil"/>
              <w:left w:val="nil"/>
              <w:bottom w:val="single" w:sz="8" w:space="0" w:color="auto"/>
              <w:right w:val="nil"/>
            </w:tcBorders>
            <w:shd w:val="clear" w:color="auto" w:fill="auto"/>
            <w:vAlign w:val="center"/>
            <w:hideMark/>
          </w:tcPr>
          <w:p w14:paraId="4D4CB329" w14:textId="77777777" w:rsidR="006E2E39" w:rsidRDefault="006E2E39">
            <w:pPr>
              <w:jc w:val="right"/>
              <w:rPr>
                <w:rFonts w:ascii="Calibri" w:hAnsi="Calibri" w:cs="Calibri"/>
                <w:b/>
                <w:bCs/>
                <w:color w:val="000000"/>
                <w:sz w:val="16"/>
                <w:szCs w:val="16"/>
              </w:rPr>
            </w:pPr>
            <w:r>
              <w:rPr>
                <w:rFonts w:ascii="Calibri" w:hAnsi="Calibri" w:cs="Calibri"/>
                <w:b/>
                <w:bCs/>
                <w:color w:val="000000"/>
                <w:sz w:val="16"/>
                <w:szCs w:val="16"/>
              </w:rPr>
              <w:t>23.371.139</w:t>
            </w:r>
          </w:p>
        </w:tc>
      </w:tr>
    </w:tbl>
    <w:p w14:paraId="536A207A" w14:textId="77777777" w:rsidR="00810E4B" w:rsidRDefault="00810E4B" w:rsidP="002E2B5B">
      <w:pPr>
        <w:pStyle w:val="Ttulo4"/>
        <w:tabs>
          <w:tab w:val="left" w:pos="0"/>
        </w:tabs>
        <w:spacing w:line="240" w:lineRule="auto"/>
        <w:rPr>
          <w:rFonts w:ascii="Calibri" w:hAnsi="Calibri" w:cs="Calibri"/>
          <w:bCs w:val="0"/>
          <w:sz w:val="22"/>
          <w:szCs w:val="22"/>
        </w:rPr>
      </w:pPr>
    </w:p>
    <w:p w14:paraId="43798450" w14:textId="7BBE6D0A" w:rsidR="0097313E" w:rsidRPr="002E2B5B" w:rsidRDefault="0097313E" w:rsidP="002E2B5B">
      <w:pPr>
        <w:pStyle w:val="Ttulo4"/>
        <w:tabs>
          <w:tab w:val="left" w:pos="0"/>
        </w:tabs>
        <w:spacing w:line="240" w:lineRule="auto"/>
        <w:rPr>
          <w:rFonts w:ascii="Calibri" w:hAnsi="Calibri" w:cs="Calibri"/>
          <w:bCs w:val="0"/>
          <w:sz w:val="22"/>
          <w:szCs w:val="22"/>
        </w:rPr>
      </w:pPr>
      <w:r w:rsidRPr="002E2B5B">
        <w:rPr>
          <w:rFonts w:ascii="Calibri" w:hAnsi="Calibri" w:cs="Calibri"/>
          <w:bCs w:val="0"/>
          <w:sz w:val="22"/>
          <w:szCs w:val="22"/>
        </w:rPr>
        <w:t xml:space="preserve">NOTA </w:t>
      </w:r>
      <w:r w:rsidR="00C57BA3" w:rsidRPr="002E2B5B">
        <w:rPr>
          <w:rFonts w:ascii="Calibri" w:hAnsi="Calibri" w:cs="Calibri"/>
          <w:bCs w:val="0"/>
          <w:sz w:val="22"/>
          <w:szCs w:val="22"/>
        </w:rPr>
        <w:t>1</w:t>
      </w:r>
      <w:r w:rsidR="00E24F86">
        <w:rPr>
          <w:rFonts w:ascii="Calibri" w:hAnsi="Calibri" w:cs="Calibri"/>
          <w:bCs w:val="0"/>
          <w:sz w:val="22"/>
          <w:szCs w:val="22"/>
        </w:rPr>
        <w:t>3</w:t>
      </w:r>
      <w:r w:rsidRPr="002E2B5B">
        <w:rPr>
          <w:rFonts w:ascii="Calibri" w:hAnsi="Calibri" w:cs="Calibri"/>
          <w:bCs w:val="0"/>
          <w:sz w:val="22"/>
          <w:szCs w:val="22"/>
        </w:rPr>
        <w:t xml:space="preserve"> – DIREITOS DE USO E PASSIVOS DE ARRENDAMENTOS</w:t>
      </w:r>
    </w:p>
    <w:p w14:paraId="5683CF53" w14:textId="77777777" w:rsidR="000C065B" w:rsidRPr="002E2B5B" w:rsidRDefault="000C065B" w:rsidP="002E2B5B"/>
    <w:p w14:paraId="27D5C090" w14:textId="77777777" w:rsidR="0097313E" w:rsidRPr="002E2B5B" w:rsidRDefault="0097313E" w:rsidP="002E2B5B">
      <w:pPr>
        <w:ind w:right="57"/>
        <w:jc w:val="both"/>
        <w:rPr>
          <w:rFonts w:ascii="Calibri" w:hAnsi="Calibri" w:cs="Calibri"/>
          <w:sz w:val="22"/>
          <w:szCs w:val="22"/>
        </w:rPr>
      </w:pPr>
      <w:r w:rsidRPr="002E2B5B">
        <w:rPr>
          <w:rFonts w:ascii="Calibri" w:hAnsi="Calibri" w:cs="Calibri"/>
          <w:sz w:val="22"/>
          <w:szCs w:val="22"/>
        </w:rPr>
        <w:t>O Pronunciamento Contábil CPC  06 (R2) estabeleceu um modelo único de contabilização de arrendamentos no balanço patrimonial para arrendatários. Um arrendatário reconhece um ativo de direito de uso que representa o seu direito de utilizar o ativo arrendado, o qual é reconhecido inicialmente pelo custo e, subsequentemente, pelo custo menos qualquer depreciação acumulada e ajustado pela taxa dos respectivos contratos</w:t>
      </w:r>
      <w:r w:rsidR="004966A1" w:rsidRPr="002E2B5B">
        <w:rPr>
          <w:rFonts w:ascii="Calibri" w:hAnsi="Calibri" w:cs="Calibri"/>
          <w:sz w:val="22"/>
          <w:szCs w:val="22"/>
        </w:rPr>
        <w:t>; e um passivo de arrendamento que representa sua obrigação de efetuar pagamentos do arrendamento, mensurado inicialmente pelo valor presente dos pagamentos.</w:t>
      </w:r>
    </w:p>
    <w:p w14:paraId="653D95DA" w14:textId="255C9D5B" w:rsidR="001B71DD" w:rsidRPr="00E24F86" w:rsidRDefault="001B71DD" w:rsidP="002E2B5B">
      <w:pPr>
        <w:spacing w:before="120" w:after="120"/>
        <w:ind w:right="57"/>
        <w:jc w:val="both"/>
        <w:rPr>
          <w:rFonts w:ascii="Calibri" w:hAnsi="Calibri" w:cs="Calibri"/>
          <w:sz w:val="22"/>
          <w:szCs w:val="22"/>
        </w:rPr>
      </w:pPr>
      <w:r w:rsidRPr="00E24F86">
        <w:rPr>
          <w:rFonts w:ascii="Calibri" w:hAnsi="Calibri" w:cs="Calibri"/>
          <w:sz w:val="22"/>
          <w:szCs w:val="22"/>
        </w:rPr>
        <w:t>A VALEC realiza periodicamente a análise de seus contratos de locação vigentes para identificar quais se enquadram no alcance abrangência do referido normativo contábil. Atualmente são contabilizados como Direito de Uso e Passivos de Arrendamentos os contratos de locação de imóveis e veículos, com período contratual superior a 12 meses, considerando a possibilidade de renovação, que obedecem aos critérios para mensuração, reconhecimento e registro de contratos de arrendamento.</w:t>
      </w:r>
    </w:p>
    <w:p w14:paraId="23A943A0" w14:textId="0FD34082" w:rsidR="00554B7B" w:rsidRDefault="0097313E" w:rsidP="002E2B5B">
      <w:pPr>
        <w:spacing w:before="120" w:after="120"/>
        <w:ind w:right="57"/>
        <w:jc w:val="both"/>
        <w:rPr>
          <w:rFonts w:ascii="Calibri" w:hAnsi="Calibri" w:cs="Calibri"/>
          <w:sz w:val="22"/>
          <w:szCs w:val="22"/>
        </w:rPr>
      </w:pPr>
      <w:r w:rsidRPr="002E2B5B">
        <w:rPr>
          <w:rFonts w:ascii="Calibri" w:hAnsi="Calibri" w:cs="Calibri"/>
          <w:sz w:val="22"/>
          <w:szCs w:val="22"/>
        </w:rPr>
        <w:t xml:space="preserve">A conta “Direito de Uso de Veículos” trata-se de direitos estabelecidos em contratos de locação de veículos para utilização na sede e nos trechos em obras da VALEC. Já a conta “Direito de Uso de Imóvel” trata-se de direitos com origem em contratos de locação de imóveis que, após análise nos contratos, verificou-se que somente o contrato de locação do imóvel onde se encontra a sede da empresa preenche os requisitos estabelecidos no CPC 06 (R2). </w:t>
      </w:r>
    </w:p>
    <w:tbl>
      <w:tblPr>
        <w:tblW w:w="5000" w:type="pct"/>
        <w:tblCellMar>
          <w:left w:w="70" w:type="dxa"/>
          <w:right w:w="70" w:type="dxa"/>
        </w:tblCellMar>
        <w:tblLook w:val="04A0" w:firstRow="1" w:lastRow="0" w:firstColumn="1" w:lastColumn="0" w:noHBand="0" w:noVBand="1"/>
      </w:tblPr>
      <w:tblGrid>
        <w:gridCol w:w="3718"/>
        <w:gridCol w:w="2144"/>
        <w:gridCol w:w="2537"/>
        <w:gridCol w:w="2068"/>
      </w:tblGrid>
      <w:tr w:rsidR="00554B7B" w14:paraId="173CD5E2" w14:textId="77777777" w:rsidTr="00554B7B">
        <w:trPr>
          <w:trHeight w:val="227"/>
        </w:trPr>
        <w:tc>
          <w:tcPr>
            <w:tcW w:w="1776" w:type="pct"/>
            <w:tcBorders>
              <w:top w:val="nil"/>
              <w:left w:val="nil"/>
              <w:bottom w:val="single" w:sz="8" w:space="0" w:color="auto"/>
              <w:right w:val="nil"/>
            </w:tcBorders>
            <w:shd w:val="clear" w:color="auto" w:fill="auto"/>
            <w:noWrap/>
            <w:vAlign w:val="center"/>
            <w:hideMark/>
          </w:tcPr>
          <w:p w14:paraId="67D2B85C" w14:textId="77777777" w:rsidR="00554B7B" w:rsidRDefault="00554B7B">
            <w:pPr>
              <w:rPr>
                <w:rFonts w:ascii="Calibri" w:hAnsi="Calibri" w:cs="Calibri"/>
                <w:b/>
                <w:bCs/>
                <w:color w:val="000000"/>
                <w:sz w:val="16"/>
                <w:szCs w:val="16"/>
              </w:rPr>
            </w:pPr>
            <w:r>
              <w:rPr>
                <w:rFonts w:ascii="Calibri" w:hAnsi="Calibri" w:cs="Calibri"/>
                <w:b/>
                <w:bCs/>
                <w:color w:val="000000"/>
                <w:sz w:val="16"/>
                <w:szCs w:val="16"/>
              </w:rPr>
              <w:t xml:space="preserve">DIREITO DE USO </w:t>
            </w:r>
          </w:p>
        </w:tc>
        <w:tc>
          <w:tcPr>
            <w:tcW w:w="1024" w:type="pct"/>
            <w:tcBorders>
              <w:top w:val="nil"/>
              <w:left w:val="nil"/>
              <w:bottom w:val="single" w:sz="8" w:space="0" w:color="auto"/>
              <w:right w:val="nil"/>
            </w:tcBorders>
            <w:shd w:val="clear" w:color="auto" w:fill="auto"/>
            <w:noWrap/>
            <w:vAlign w:val="center"/>
            <w:hideMark/>
          </w:tcPr>
          <w:p w14:paraId="19F78AC6"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VALOR CONTRATUAL</w:t>
            </w:r>
          </w:p>
        </w:tc>
        <w:tc>
          <w:tcPr>
            <w:tcW w:w="1212" w:type="pct"/>
            <w:tcBorders>
              <w:top w:val="nil"/>
              <w:left w:val="nil"/>
              <w:bottom w:val="single" w:sz="8" w:space="0" w:color="auto"/>
              <w:right w:val="nil"/>
            </w:tcBorders>
            <w:shd w:val="clear" w:color="auto" w:fill="auto"/>
            <w:noWrap/>
            <w:vAlign w:val="center"/>
            <w:hideMark/>
          </w:tcPr>
          <w:p w14:paraId="4893903E"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DEPRECIAÇÃO ACUMULADA</w:t>
            </w:r>
          </w:p>
        </w:tc>
        <w:tc>
          <w:tcPr>
            <w:tcW w:w="988" w:type="pct"/>
            <w:tcBorders>
              <w:top w:val="nil"/>
              <w:left w:val="nil"/>
              <w:bottom w:val="single" w:sz="8" w:space="0" w:color="auto"/>
              <w:right w:val="nil"/>
            </w:tcBorders>
            <w:shd w:val="clear" w:color="auto" w:fill="auto"/>
            <w:vAlign w:val="center"/>
            <w:hideMark/>
          </w:tcPr>
          <w:p w14:paraId="60116AD8"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SALDO LÍQUIDO EM 30/06/2021</w:t>
            </w:r>
          </w:p>
        </w:tc>
      </w:tr>
      <w:tr w:rsidR="00554B7B" w14:paraId="3D18A1B6" w14:textId="77777777" w:rsidTr="00554B7B">
        <w:trPr>
          <w:trHeight w:val="227"/>
        </w:trPr>
        <w:tc>
          <w:tcPr>
            <w:tcW w:w="1776" w:type="pct"/>
            <w:tcBorders>
              <w:top w:val="nil"/>
              <w:left w:val="nil"/>
              <w:bottom w:val="nil"/>
              <w:right w:val="nil"/>
            </w:tcBorders>
            <w:shd w:val="clear" w:color="auto" w:fill="auto"/>
            <w:noWrap/>
            <w:vAlign w:val="center"/>
            <w:hideMark/>
          </w:tcPr>
          <w:p w14:paraId="13E60AC8" w14:textId="77777777" w:rsidR="00554B7B" w:rsidRDefault="00554B7B">
            <w:pPr>
              <w:rPr>
                <w:rFonts w:ascii="Calibri" w:hAnsi="Calibri" w:cs="Calibri"/>
                <w:color w:val="000000"/>
                <w:sz w:val="16"/>
                <w:szCs w:val="16"/>
              </w:rPr>
            </w:pPr>
            <w:r>
              <w:rPr>
                <w:rFonts w:ascii="Calibri" w:hAnsi="Calibri" w:cs="Calibri"/>
                <w:color w:val="000000"/>
                <w:sz w:val="16"/>
                <w:szCs w:val="16"/>
              </w:rPr>
              <w:t xml:space="preserve">Direito de Uso de Veículos </w:t>
            </w:r>
          </w:p>
        </w:tc>
        <w:tc>
          <w:tcPr>
            <w:tcW w:w="1024" w:type="pct"/>
            <w:tcBorders>
              <w:top w:val="nil"/>
              <w:left w:val="nil"/>
              <w:bottom w:val="nil"/>
              <w:right w:val="nil"/>
            </w:tcBorders>
            <w:shd w:val="clear" w:color="auto" w:fill="auto"/>
            <w:noWrap/>
            <w:vAlign w:val="center"/>
            <w:hideMark/>
          </w:tcPr>
          <w:p w14:paraId="7B385FA9" w14:textId="77777777" w:rsidR="00554B7B" w:rsidRDefault="00554B7B">
            <w:pPr>
              <w:jc w:val="right"/>
              <w:rPr>
                <w:rFonts w:ascii="Calibri" w:hAnsi="Calibri" w:cs="Calibri"/>
                <w:color w:val="000000"/>
                <w:sz w:val="16"/>
                <w:szCs w:val="16"/>
              </w:rPr>
            </w:pPr>
            <w:r>
              <w:rPr>
                <w:rFonts w:ascii="Calibri" w:hAnsi="Calibri" w:cs="Calibri"/>
                <w:color w:val="000000"/>
                <w:sz w:val="16"/>
                <w:szCs w:val="16"/>
              </w:rPr>
              <w:t>2.700.800</w:t>
            </w:r>
          </w:p>
        </w:tc>
        <w:tc>
          <w:tcPr>
            <w:tcW w:w="1212" w:type="pct"/>
            <w:tcBorders>
              <w:top w:val="nil"/>
              <w:left w:val="nil"/>
              <w:bottom w:val="nil"/>
              <w:right w:val="nil"/>
            </w:tcBorders>
            <w:shd w:val="clear" w:color="auto" w:fill="auto"/>
            <w:noWrap/>
            <w:vAlign w:val="center"/>
            <w:hideMark/>
          </w:tcPr>
          <w:p w14:paraId="3CBAE1C3" w14:textId="75F1DDCC" w:rsidR="00554B7B" w:rsidRDefault="00554B7B">
            <w:pPr>
              <w:jc w:val="right"/>
              <w:rPr>
                <w:rFonts w:ascii="Calibri" w:hAnsi="Calibri" w:cs="Calibri"/>
                <w:color w:val="000000"/>
                <w:sz w:val="16"/>
                <w:szCs w:val="16"/>
              </w:rPr>
            </w:pPr>
            <w:r>
              <w:rPr>
                <w:rFonts w:ascii="Calibri" w:hAnsi="Calibri" w:cs="Calibri"/>
                <w:color w:val="000000"/>
                <w:sz w:val="16"/>
                <w:szCs w:val="16"/>
              </w:rPr>
              <w:t>(656.100)</w:t>
            </w:r>
          </w:p>
        </w:tc>
        <w:tc>
          <w:tcPr>
            <w:tcW w:w="988" w:type="pct"/>
            <w:tcBorders>
              <w:top w:val="nil"/>
              <w:left w:val="nil"/>
              <w:bottom w:val="nil"/>
              <w:right w:val="nil"/>
            </w:tcBorders>
            <w:shd w:val="clear" w:color="auto" w:fill="auto"/>
            <w:noWrap/>
            <w:vAlign w:val="center"/>
            <w:hideMark/>
          </w:tcPr>
          <w:p w14:paraId="6873C9FB" w14:textId="77777777" w:rsidR="00554B7B" w:rsidRDefault="00554B7B">
            <w:pPr>
              <w:jc w:val="right"/>
              <w:rPr>
                <w:rFonts w:ascii="Calibri" w:hAnsi="Calibri" w:cs="Calibri"/>
                <w:color w:val="000000"/>
                <w:sz w:val="16"/>
                <w:szCs w:val="16"/>
              </w:rPr>
            </w:pPr>
            <w:r>
              <w:rPr>
                <w:rFonts w:ascii="Calibri" w:hAnsi="Calibri" w:cs="Calibri"/>
                <w:color w:val="000000"/>
                <w:sz w:val="16"/>
                <w:szCs w:val="16"/>
              </w:rPr>
              <w:t>2.044.700</w:t>
            </w:r>
          </w:p>
        </w:tc>
      </w:tr>
      <w:tr w:rsidR="00554B7B" w14:paraId="7B1CA47F" w14:textId="77777777" w:rsidTr="00554B7B">
        <w:trPr>
          <w:trHeight w:val="227"/>
        </w:trPr>
        <w:tc>
          <w:tcPr>
            <w:tcW w:w="1776" w:type="pct"/>
            <w:tcBorders>
              <w:top w:val="nil"/>
              <w:left w:val="nil"/>
              <w:bottom w:val="single" w:sz="8" w:space="0" w:color="auto"/>
              <w:right w:val="nil"/>
            </w:tcBorders>
            <w:shd w:val="clear" w:color="auto" w:fill="auto"/>
            <w:noWrap/>
            <w:vAlign w:val="center"/>
            <w:hideMark/>
          </w:tcPr>
          <w:p w14:paraId="7500A2CC" w14:textId="77777777" w:rsidR="00554B7B" w:rsidRDefault="00554B7B">
            <w:pPr>
              <w:rPr>
                <w:rFonts w:ascii="Calibri" w:hAnsi="Calibri" w:cs="Calibri"/>
                <w:color w:val="000000"/>
                <w:sz w:val="16"/>
                <w:szCs w:val="16"/>
              </w:rPr>
            </w:pPr>
            <w:r>
              <w:rPr>
                <w:rFonts w:ascii="Calibri" w:hAnsi="Calibri" w:cs="Calibri"/>
                <w:color w:val="000000"/>
                <w:sz w:val="16"/>
                <w:szCs w:val="16"/>
              </w:rPr>
              <w:t>Direito de Uso de Imóveis</w:t>
            </w:r>
          </w:p>
        </w:tc>
        <w:tc>
          <w:tcPr>
            <w:tcW w:w="1024" w:type="pct"/>
            <w:tcBorders>
              <w:top w:val="nil"/>
              <w:left w:val="nil"/>
              <w:bottom w:val="single" w:sz="8" w:space="0" w:color="auto"/>
              <w:right w:val="nil"/>
            </w:tcBorders>
            <w:shd w:val="clear" w:color="auto" w:fill="auto"/>
            <w:noWrap/>
            <w:vAlign w:val="center"/>
            <w:hideMark/>
          </w:tcPr>
          <w:p w14:paraId="34726A97" w14:textId="77777777" w:rsidR="00554B7B" w:rsidRDefault="00554B7B">
            <w:pPr>
              <w:jc w:val="right"/>
              <w:rPr>
                <w:rFonts w:ascii="Calibri" w:hAnsi="Calibri" w:cs="Calibri"/>
                <w:color w:val="000000"/>
                <w:sz w:val="16"/>
                <w:szCs w:val="16"/>
              </w:rPr>
            </w:pPr>
            <w:r>
              <w:rPr>
                <w:rFonts w:ascii="Calibri" w:hAnsi="Calibri" w:cs="Calibri"/>
                <w:color w:val="000000"/>
                <w:sz w:val="16"/>
                <w:szCs w:val="16"/>
              </w:rPr>
              <w:t>33.075.032</w:t>
            </w:r>
          </w:p>
        </w:tc>
        <w:tc>
          <w:tcPr>
            <w:tcW w:w="1212" w:type="pct"/>
            <w:tcBorders>
              <w:top w:val="nil"/>
              <w:left w:val="nil"/>
              <w:bottom w:val="single" w:sz="8" w:space="0" w:color="auto"/>
              <w:right w:val="nil"/>
            </w:tcBorders>
            <w:shd w:val="clear" w:color="auto" w:fill="auto"/>
            <w:noWrap/>
            <w:vAlign w:val="center"/>
            <w:hideMark/>
          </w:tcPr>
          <w:p w14:paraId="246FEDB6" w14:textId="45E0B02A" w:rsidR="00554B7B" w:rsidRDefault="00554B7B">
            <w:pPr>
              <w:jc w:val="right"/>
              <w:rPr>
                <w:rFonts w:ascii="Calibri" w:hAnsi="Calibri" w:cs="Calibri"/>
                <w:color w:val="000000"/>
                <w:sz w:val="16"/>
                <w:szCs w:val="16"/>
              </w:rPr>
            </w:pPr>
            <w:r>
              <w:rPr>
                <w:rFonts w:ascii="Calibri" w:hAnsi="Calibri" w:cs="Calibri"/>
                <w:color w:val="000000"/>
                <w:sz w:val="16"/>
                <w:szCs w:val="16"/>
              </w:rPr>
              <w:t>(31.780.549)</w:t>
            </w:r>
          </w:p>
        </w:tc>
        <w:tc>
          <w:tcPr>
            <w:tcW w:w="988" w:type="pct"/>
            <w:tcBorders>
              <w:top w:val="nil"/>
              <w:left w:val="nil"/>
              <w:bottom w:val="single" w:sz="8" w:space="0" w:color="auto"/>
              <w:right w:val="nil"/>
            </w:tcBorders>
            <w:shd w:val="clear" w:color="auto" w:fill="auto"/>
            <w:vAlign w:val="center"/>
            <w:hideMark/>
          </w:tcPr>
          <w:p w14:paraId="74FF2433" w14:textId="77777777" w:rsidR="00554B7B" w:rsidRDefault="00554B7B">
            <w:pPr>
              <w:jc w:val="right"/>
              <w:rPr>
                <w:rFonts w:ascii="Calibri" w:hAnsi="Calibri" w:cs="Calibri"/>
                <w:color w:val="000000"/>
                <w:sz w:val="16"/>
                <w:szCs w:val="16"/>
              </w:rPr>
            </w:pPr>
            <w:r>
              <w:rPr>
                <w:rFonts w:ascii="Calibri" w:hAnsi="Calibri" w:cs="Calibri"/>
                <w:color w:val="000000"/>
                <w:sz w:val="16"/>
                <w:szCs w:val="16"/>
              </w:rPr>
              <w:t>1.294.483</w:t>
            </w:r>
          </w:p>
        </w:tc>
      </w:tr>
      <w:tr w:rsidR="00554B7B" w14:paraId="26C8E4F6" w14:textId="77777777" w:rsidTr="00554B7B">
        <w:trPr>
          <w:trHeight w:val="227"/>
        </w:trPr>
        <w:tc>
          <w:tcPr>
            <w:tcW w:w="1776" w:type="pct"/>
            <w:tcBorders>
              <w:top w:val="nil"/>
              <w:left w:val="nil"/>
              <w:bottom w:val="single" w:sz="8" w:space="0" w:color="auto"/>
              <w:right w:val="nil"/>
            </w:tcBorders>
            <w:shd w:val="clear" w:color="auto" w:fill="auto"/>
            <w:noWrap/>
            <w:vAlign w:val="center"/>
            <w:hideMark/>
          </w:tcPr>
          <w:p w14:paraId="14DF929A" w14:textId="77777777" w:rsidR="00554B7B" w:rsidRDefault="00554B7B">
            <w:pPr>
              <w:rPr>
                <w:rFonts w:ascii="Calibri" w:hAnsi="Calibri" w:cs="Calibri"/>
                <w:b/>
                <w:bCs/>
                <w:color w:val="000000"/>
                <w:sz w:val="16"/>
                <w:szCs w:val="16"/>
              </w:rPr>
            </w:pPr>
            <w:r>
              <w:rPr>
                <w:rFonts w:ascii="Calibri" w:hAnsi="Calibri" w:cs="Calibri"/>
                <w:b/>
                <w:bCs/>
                <w:color w:val="000000"/>
                <w:sz w:val="16"/>
                <w:szCs w:val="16"/>
              </w:rPr>
              <w:t>TOTAL DIREITO DE USO</w:t>
            </w:r>
          </w:p>
        </w:tc>
        <w:tc>
          <w:tcPr>
            <w:tcW w:w="1024" w:type="pct"/>
            <w:tcBorders>
              <w:top w:val="nil"/>
              <w:left w:val="nil"/>
              <w:bottom w:val="single" w:sz="8" w:space="0" w:color="auto"/>
              <w:right w:val="nil"/>
            </w:tcBorders>
            <w:shd w:val="clear" w:color="auto" w:fill="auto"/>
            <w:noWrap/>
            <w:vAlign w:val="center"/>
            <w:hideMark/>
          </w:tcPr>
          <w:p w14:paraId="6007D82A"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35.775.832</w:t>
            </w:r>
          </w:p>
        </w:tc>
        <w:tc>
          <w:tcPr>
            <w:tcW w:w="1212" w:type="pct"/>
            <w:tcBorders>
              <w:top w:val="nil"/>
              <w:left w:val="nil"/>
              <w:bottom w:val="single" w:sz="8" w:space="0" w:color="auto"/>
              <w:right w:val="nil"/>
            </w:tcBorders>
            <w:shd w:val="clear" w:color="auto" w:fill="auto"/>
            <w:noWrap/>
            <w:vAlign w:val="center"/>
            <w:hideMark/>
          </w:tcPr>
          <w:p w14:paraId="27FCA245" w14:textId="3694C69F"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(32.436.649)</w:t>
            </w:r>
          </w:p>
        </w:tc>
        <w:tc>
          <w:tcPr>
            <w:tcW w:w="988" w:type="pct"/>
            <w:tcBorders>
              <w:top w:val="nil"/>
              <w:left w:val="nil"/>
              <w:bottom w:val="single" w:sz="8" w:space="0" w:color="auto"/>
              <w:right w:val="nil"/>
            </w:tcBorders>
            <w:shd w:val="clear" w:color="auto" w:fill="auto"/>
            <w:vAlign w:val="center"/>
            <w:hideMark/>
          </w:tcPr>
          <w:p w14:paraId="21E9F0D5"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3.339.183</w:t>
            </w:r>
          </w:p>
        </w:tc>
      </w:tr>
    </w:tbl>
    <w:p w14:paraId="73986DD8" w14:textId="597E067A" w:rsidR="00554B7B" w:rsidRPr="00554B7B" w:rsidRDefault="00F77F85" w:rsidP="00554B7B">
      <w:pPr>
        <w:spacing w:before="240" w:after="120"/>
        <w:ind w:right="57"/>
        <w:jc w:val="both"/>
        <w:rPr>
          <w:rFonts w:ascii="Calibri" w:hAnsi="Calibri" w:cs="Calibri"/>
          <w:sz w:val="22"/>
          <w:szCs w:val="22"/>
        </w:rPr>
      </w:pPr>
      <w:r w:rsidRPr="002E2B5B">
        <w:rPr>
          <w:rFonts w:ascii="Calibri" w:hAnsi="Calibri" w:cs="Calibri"/>
          <w:sz w:val="22"/>
          <w:szCs w:val="22"/>
        </w:rPr>
        <w:t>As o</w:t>
      </w:r>
      <w:r w:rsidR="009A20A2" w:rsidRPr="002E2B5B">
        <w:rPr>
          <w:rFonts w:ascii="Calibri" w:hAnsi="Calibri" w:cs="Calibri"/>
          <w:sz w:val="22"/>
          <w:szCs w:val="22"/>
        </w:rPr>
        <w:t xml:space="preserve">brigações contratuais a pagar referente a contratos de locação de veículos e imóveis classificados como contratos de arrendamentos como base na vigência do contrato, em conformidade com o </w:t>
      </w:r>
      <w:r w:rsidR="00633924" w:rsidRPr="002E2B5B">
        <w:rPr>
          <w:rFonts w:ascii="Calibri" w:hAnsi="Calibri" w:cs="Calibri"/>
          <w:sz w:val="22"/>
          <w:szCs w:val="22"/>
        </w:rPr>
        <w:t>C</w:t>
      </w:r>
      <w:r w:rsidR="009A20A2" w:rsidRPr="002E2B5B">
        <w:rPr>
          <w:rFonts w:ascii="Calibri" w:hAnsi="Calibri" w:cs="Calibri"/>
          <w:sz w:val="22"/>
          <w:szCs w:val="22"/>
        </w:rPr>
        <w:t>PC 06 (R2)</w:t>
      </w:r>
      <w:r w:rsidR="00633924" w:rsidRPr="002E2B5B">
        <w:rPr>
          <w:rFonts w:ascii="Calibri" w:hAnsi="Calibri" w:cs="Calibri"/>
          <w:sz w:val="22"/>
          <w:szCs w:val="22"/>
        </w:rPr>
        <w:t xml:space="preserve"> apresentam a seguinte movimentação </w:t>
      </w:r>
      <w:r w:rsidR="000155FA">
        <w:rPr>
          <w:rFonts w:ascii="Calibri" w:hAnsi="Calibri" w:cs="Calibri"/>
          <w:sz w:val="22"/>
          <w:szCs w:val="22"/>
        </w:rPr>
        <w:t>até o segundo trimestre</w:t>
      </w:r>
      <w:r w:rsidR="0025648E">
        <w:rPr>
          <w:rFonts w:ascii="Calibri" w:hAnsi="Calibri" w:cs="Calibri"/>
          <w:sz w:val="22"/>
          <w:szCs w:val="22"/>
        </w:rPr>
        <w:t xml:space="preserve"> de </w:t>
      </w:r>
      <w:r w:rsidR="00633924" w:rsidRPr="002E2B5B">
        <w:rPr>
          <w:rFonts w:ascii="Calibri" w:hAnsi="Calibri" w:cs="Calibri"/>
          <w:sz w:val="22"/>
          <w:szCs w:val="22"/>
        </w:rPr>
        <w:t>20</w:t>
      </w:r>
      <w:r w:rsidR="00DF33EF" w:rsidRPr="002E2B5B">
        <w:rPr>
          <w:rFonts w:ascii="Calibri" w:hAnsi="Calibri" w:cs="Calibri"/>
          <w:sz w:val="22"/>
          <w:szCs w:val="22"/>
        </w:rPr>
        <w:t>2</w:t>
      </w:r>
      <w:r w:rsidR="0025648E">
        <w:rPr>
          <w:rFonts w:ascii="Calibri" w:hAnsi="Calibri" w:cs="Calibri"/>
          <w:sz w:val="22"/>
          <w:szCs w:val="22"/>
        </w:rPr>
        <w:t>1</w:t>
      </w:r>
      <w:r w:rsidR="00633924" w:rsidRPr="002E2B5B">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2973"/>
        <w:gridCol w:w="1531"/>
        <w:gridCol w:w="1822"/>
        <w:gridCol w:w="1477"/>
        <w:gridCol w:w="1333"/>
        <w:gridCol w:w="1331"/>
      </w:tblGrid>
      <w:tr w:rsidR="00554B7B" w14:paraId="3218C907"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17F6D7BB" w14:textId="77777777" w:rsidR="00554B7B" w:rsidRDefault="00554B7B">
            <w:pPr>
              <w:rPr>
                <w:rFonts w:ascii="Calibri" w:hAnsi="Calibri" w:cs="Calibri"/>
                <w:b/>
                <w:bCs/>
                <w:color w:val="000000"/>
                <w:sz w:val="16"/>
                <w:szCs w:val="16"/>
              </w:rPr>
            </w:pPr>
            <w:r>
              <w:rPr>
                <w:rFonts w:ascii="Calibri" w:hAnsi="Calibri" w:cs="Calibri"/>
                <w:b/>
                <w:bCs/>
                <w:color w:val="000000"/>
                <w:sz w:val="16"/>
                <w:szCs w:val="16"/>
              </w:rPr>
              <w:t>PASSIVO DE ARRENDAMENTO</w:t>
            </w:r>
          </w:p>
        </w:tc>
        <w:tc>
          <w:tcPr>
            <w:tcW w:w="754" w:type="pct"/>
            <w:tcBorders>
              <w:top w:val="nil"/>
              <w:left w:val="nil"/>
              <w:bottom w:val="single" w:sz="8" w:space="0" w:color="auto"/>
              <w:right w:val="nil"/>
            </w:tcBorders>
            <w:shd w:val="clear" w:color="auto" w:fill="auto"/>
            <w:vAlign w:val="center"/>
            <w:hideMark/>
          </w:tcPr>
          <w:p w14:paraId="73BECEDD" w14:textId="77777777" w:rsidR="00554B7B" w:rsidRDefault="00554B7B">
            <w:pPr>
              <w:jc w:val="center"/>
              <w:rPr>
                <w:rFonts w:ascii="Calibri" w:hAnsi="Calibri" w:cs="Calibri"/>
                <w:b/>
                <w:bCs/>
                <w:color w:val="000000"/>
                <w:sz w:val="16"/>
                <w:szCs w:val="16"/>
              </w:rPr>
            </w:pPr>
            <w:r>
              <w:rPr>
                <w:rFonts w:ascii="Calibri" w:hAnsi="Calibri" w:cs="Calibri"/>
                <w:b/>
                <w:bCs/>
                <w:color w:val="000000"/>
                <w:sz w:val="16"/>
                <w:szCs w:val="16"/>
              </w:rPr>
              <w:t>SALDO LÍQUIDO EM 31/12/2020</w:t>
            </w:r>
          </w:p>
        </w:tc>
        <w:tc>
          <w:tcPr>
            <w:tcW w:w="893" w:type="pct"/>
            <w:tcBorders>
              <w:top w:val="nil"/>
              <w:left w:val="nil"/>
              <w:bottom w:val="single" w:sz="8" w:space="0" w:color="auto"/>
              <w:right w:val="nil"/>
            </w:tcBorders>
            <w:shd w:val="clear" w:color="auto" w:fill="auto"/>
            <w:vAlign w:val="center"/>
            <w:hideMark/>
          </w:tcPr>
          <w:p w14:paraId="7A12DB62" w14:textId="77777777" w:rsidR="00554B7B" w:rsidRDefault="00554B7B">
            <w:pPr>
              <w:jc w:val="center"/>
              <w:rPr>
                <w:rFonts w:ascii="Calibri" w:hAnsi="Calibri" w:cs="Calibri"/>
                <w:b/>
                <w:bCs/>
                <w:color w:val="000000"/>
                <w:sz w:val="16"/>
                <w:szCs w:val="16"/>
              </w:rPr>
            </w:pPr>
            <w:r>
              <w:rPr>
                <w:rFonts w:ascii="Calibri" w:hAnsi="Calibri" w:cs="Calibri"/>
                <w:b/>
                <w:bCs/>
                <w:color w:val="000000"/>
                <w:sz w:val="16"/>
                <w:szCs w:val="16"/>
              </w:rPr>
              <w:t>REVISÃO CONTRATUAL/ REAJUSTES</w:t>
            </w:r>
          </w:p>
        </w:tc>
        <w:tc>
          <w:tcPr>
            <w:tcW w:w="728" w:type="pct"/>
            <w:tcBorders>
              <w:top w:val="nil"/>
              <w:left w:val="nil"/>
              <w:bottom w:val="single" w:sz="8" w:space="0" w:color="auto"/>
              <w:right w:val="nil"/>
            </w:tcBorders>
            <w:shd w:val="clear" w:color="auto" w:fill="auto"/>
            <w:vAlign w:val="center"/>
            <w:hideMark/>
          </w:tcPr>
          <w:p w14:paraId="40773C68" w14:textId="77777777" w:rsidR="00554B7B" w:rsidRDefault="00554B7B">
            <w:pPr>
              <w:jc w:val="center"/>
              <w:rPr>
                <w:rFonts w:ascii="Calibri" w:hAnsi="Calibri" w:cs="Calibri"/>
                <w:b/>
                <w:bCs/>
                <w:color w:val="000000"/>
                <w:sz w:val="16"/>
                <w:szCs w:val="16"/>
              </w:rPr>
            </w:pPr>
            <w:r>
              <w:rPr>
                <w:rFonts w:ascii="Calibri" w:hAnsi="Calibri" w:cs="Calibri"/>
                <w:b/>
                <w:bCs/>
                <w:color w:val="000000"/>
                <w:sz w:val="16"/>
                <w:szCs w:val="16"/>
              </w:rPr>
              <w:t xml:space="preserve">DESCONTOS OBTIDOS </w:t>
            </w:r>
          </w:p>
        </w:tc>
        <w:tc>
          <w:tcPr>
            <w:tcW w:w="659" w:type="pct"/>
            <w:tcBorders>
              <w:top w:val="nil"/>
              <w:left w:val="nil"/>
              <w:bottom w:val="single" w:sz="8" w:space="0" w:color="auto"/>
              <w:right w:val="nil"/>
            </w:tcBorders>
            <w:shd w:val="clear" w:color="auto" w:fill="auto"/>
            <w:vAlign w:val="center"/>
            <w:hideMark/>
          </w:tcPr>
          <w:p w14:paraId="39553AB9" w14:textId="77777777" w:rsidR="00554B7B" w:rsidRDefault="00554B7B">
            <w:pPr>
              <w:jc w:val="center"/>
              <w:rPr>
                <w:rFonts w:ascii="Calibri" w:hAnsi="Calibri" w:cs="Calibri"/>
                <w:b/>
                <w:bCs/>
                <w:color w:val="000000"/>
                <w:sz w:val="16"/>
                <w:szCs w:val="16"/>
              </w:rPr>
            </w:pPr>
            <w:r>
              <w:rPr>
                <w:rFonts w:ascii="Calibri" w:hAnsi="Calibri" w:cs="Calibri"/>
                <w:b/>
                <w:bCs/>
                <w:color w:val="000000"/>
                <w:sz w:val="16"/>
                <w:szCs w:val="16"/>
              </w:rPr>
              <w:t>PAGAMENTOS EFETUADOS</w:t>
            </w:r>
          </w:p>
        </w:tc>
        <w:tc>
          <w:tcPr>
            <w:tcW w:w="659" w:type="pct"/>
            <w:tcBorders>
              <w:top w:val="nil"/>
              <w:left w:val="nil"/>
              <w:bottom w:val="single" w:sz="8" w:space="0" w:color="auto"/>
              <w:right w:val="nil"/>
            </w:tcBorders>
            <w:shd w:val="clear" w:color="auto" w:fill="auto"/>
            <w:vAlign w:val="center"/>
            <w:hideMark/>
          </w:tcPr>
          <w:p w14:paraId="15BA95FD" w14:textId="77777777" w:rsidR="00554B7B" w:rsidRDefault="00554B7B">
            <w:pPr>
              <w:jc w:val="center"/>
              <w:rPr>
                <w:rFonts w:ascii="Calibri" w:hAnsi="Calibri" w:cs="Calibri"/>
                <w:b/>
                <w:bCs/>
                <w:color w:val="000000"/>
                <w:sz w:val="16"/>
                <w:szCs w:val="16"/>
              </w:rPr>
            </w:pPr>
            <w:r>
              <w:rPr>
                <w:rFonts w:ascii="Calibri" w:hAnsi="Calibri" w:cs="Calibri"/>
                <w:b/>
                <w:bCs/>
                <w:color w:val="000000"/>
                <w:sz w:val="16"/>
                <w:szCs w:val="16"/>
              </w:rPr>
              <w:t>SALDO LÍQUIDO EM 30/06/2021</w:t>
            </w:r>
          </w:p>
        </w:tc>
      </w:tr>
      <w:tr w:rsidR="00554B7B" w14:paraId="4E8DFAD9" w14:textId="77777777" w:rsidTr="00554B7B">
        <w:trPr>
          <w:trHeight w:hRule="exact" w:val="227"/>
        </w:trPr>
        <w:tc>
          <w:tcPr>
            <w:tcW w:w="1308" w:type="pct"/>
            <w:tcBorders>
              <w:top w:val="nil"/>
              <w:left w:val="nil"/>
              <w:bottom w:val="nil"/>
              <w:right w:val="nil"/>
            </w:tcBorders>
            <w:shd w:val="clear" w:color="auto" w:fill="auto"/>
            <w:noWrap/>
            <w:vAlign w:val="center"/>
            <w:hideMark/>
          </w:tcPr>
          <w:p w14:paraId="7BE4DB45" w14:textId="77777777" w:rsidR="00554B7B" w:rsidRDefault="00554B7B">
            <w:pPr>
              <w:rPr>
                <w:rFonts w:ascii="Calibri" w:hAnsi="Calibri" w:cs="Calibri"/>
                <w:color w:val="000000"/>
                <w:sz w:val="16"/>
                <w:szCs w:val="16"/>
              </w:rPr>
            </w:pPr>
            <w:r>
              <w:rPr>
                <w:rFonts w:ascii="Calibri" w:hAnsi="Calibri" w:cs="Calibri"/>
                <w:color w:val="000000"/>
                <w:sz w:val="16"/>
                <w:szCs w:val="16"/>
              </w:rPr>
              <w:t xml:space="preserve">Passivo de Arrendamento de Veículos </w:t>
            </w:r>
          </w:p>
        </w:tc>
        <w:tc>
          <w:tcPr>
            <w:tcW w:w="754" w:type="pct"/>
            <w:tcBorders>
              <w:top w:val="nil"/>
              <w:left w:val="nil"/>
              <w:bottom w:val="nil"/>
              <w:right w:val="nil"/>
            </w:tcBorders>
            <w:shd w:val="clear" w:color="auto" w:fill="auto"/>
            <w:noWrap/>
            <w:vAlign w:val="center"/>
            <w:hideMark/>
          </w:tcPr>
          <w:p w14:paraId="15BCDC15" w14:textId="77777777" w:rsidR="00554B7B" w:rsidRDefault="00554B7B">
            <w:pPr>
              <w:jc w:val="right"/>
              <w:rPr>
                <w:rFonts w:ascii="Calibri" w:hAnsi="Calibri" w:cs="Calibri"/>
                <w:color w:val="000000"/>
                <w:sz w:val="16"/>
                <w:szCs w:val="16"/>
              </w:rPr>
            </w:pPr>
            <w:r>
              <w:rPr>
                <w:rFonts w:ascii="Calibri" w:hAnsi="Calibri" w:cs="Calibri"/>
                <w:color w:val="000000"/>
                <w:sz w:val="16"/>
                <w:szCs w:val="16"/>
              </w:rPr>
              <w:t>2.592.700</w:t>
            </w:r>
          </w:p>
        </w:tc>
        <w:tc>
          <w:tcPr>
            <w:tcW w:w="893" w:type="pct"/>
            <w:tcBorders>
              <w:top w:val="nil"/>
              <w:left w:val="nil"/>
              <w:bottom w:val="nil"/>
              <w:right w:val="nil"/>
            </w:tcBorders>
            <w:shd w:val="clear" w:color="auto" w:fill="auto"/>
            <w:vAlign w:val="center"/>
            <w:hideMark/>
          </w:tcPr>
          <w:p w14:paraId="0953C868" w14:textId="06B0D5CF" w:rsidR="00554B7B" w:rsidRDefault="00554B7B" w:rsidP="00554B7B">
            <w:pPr>
              <w:jc w:val="center"/>
              <w:rPr>
                <w:rFonts w:ascii="Calibri" w:hAnsi="Calibri" w:cs="Calibri"/>
                <w:color w:val="000000"/>
                <w:sz w:val="16"/>
                <w:szCs w:val="16"/>
              </w:rPr>
            </w:pPr>
            <w:r>
              <w:rPr>
                <w:rFonts w:ascii="Calibri" w:hAnsi="Calibri" w:cs="Calibri"/>
                <w:color w:val="000000"/>
                <w:sz w:val="16"/>
                <w:szCs w:val="16"/>
              </w:rPr>
              <w:t>(362.200)</w:t>
            </w:r>
          </w:p>
        </w:tc>
        <w:tc>
          <w:tcPr>
            <w:tcW w:w="728" w:type="pct"/>
            <w:tcBorders>
              <w:top w:val="nil"/>
              <w:left w:val="nil"/>
              <w:bottom w:val="nil"/>
              <w:right w:val="nil"/>
            </w:tcBorders>
            <w:shd w:val="clear" w:color="auto" w:fill="auto"/>
            <w:noWrap/>
            <w:vAlign w:val="center"/>
            <w:hideMark/>
          </w:tcPr>
          <w:p w14:paraId="6E3BE8CA" w14:textId="3E4D0E89" w:rsidR="00554B7B" w:rsidRDefault="00554B7B" w:rsidP="00554B7B">
            <w:pPr>
              <w:jc w:val="center"/>
              <w:rPr>
                <w:rFonts w:ascii="Calibri" w:hAnsi="Calibri" w:cs="Calibri"/>
                <w:color w:val="000000"/>
                <w:sz w:val="16"/>
                <w:szCs w:val="16"/>
              </w:rPr>
            </w:pPr>
            <w:r>
              <w:rPr>
                <w:rFonts w:ascii="Calibri" w:hAnsi="Calibri" w:cs="Calibri"/>
                <w:color w:val="000000"/>
                <w:sz w:val="16"/>
                <w:szCs w:val="16"/>
              </w:rPr>
              <w:t>(173)</w:t>
            </w:r>
          </w:p>
        </w:tc>
        <w:tc>
          <w:tcPr>
            <w:tcW w:w="659" w:type="pct"/>
            <w:tcBorders>
              <w:top w:val="nil"/>
              <w:left w:val="nil"/>
              <w:bottom w:val="nil"/>
              <w:right w:val="nil"/>
            </w:tcBorders>
            <w:shd w:val="clear" w:color="auto" w:fill="auto"/>
            <w:noWrap/>
            <w:vAlign w:val="center"/>
            <w:hideMark/>
          </w:tcPr>
          <w:p w14:paraId="0B5E7144" w14:textId="63F0322F" w:rsidR="00554B7B" w:rsidRDefault="00554B7B">
            <w:pPr>
              <w:jc w:val="right"/>
              <w:rPr>
                <w:rFonts w:ascii="Calibri" w:hAnsi="Calibri" w:cs="Calibri"/>
                <w:color w:val="000000"/>
                <w:sz w:val="16"/>
                <w:szCs w:val="16"/>
              </w:rPr>
            </w:pPr>
            <w:r>
              <w:rPr>
                <w:rFonts w:ascii="Calibri" w:hAnsi="Calibri" w:cs="Calibri"/>
                <w:color w:val="000000"/>
                <w:sz w:val="16"/>
                <w:szCs w:val="16"/>
              </w:rPr>
              <w:t>(185.627)</w:t>
            </w:r>
          </w:p>
        </w:tc>
        <w:tc>
          <w:tcPr>
            <w:tcW w:w="659" w:type="pct"/>
            <w:tcBorders>
              <w:top w:val="nil"/>
              <w:left w:val="nil"/>
              <w:bottom w:val="nil"/>
              <w:right w:val="nil"/>
            </w:tcBorders>
            <w:shd w:val="clear" w:color="auto" w:fill="auto"/>
            <w:noWrap/>
            <w:vAlign w:val="center"/>
            <w:hideMark/>
          </w:tcPr>
          <w:p w14:paraId="412BF620" w14:textId="77777777" w:rsidR="00554B7B" w:rsidRDefault="00554B7B">
            <w:pPr>
              <w:jc w:val="right"/>
              <w:rPr>
                <w:rFonts w:ascii="Calibri" w:hAnsi="Calibri" w:cs="Calibri"/>
                <w:color w:val="000000"/>
                <w:sz w:val="16"/>
                <w:szCs w:val="16"/>
              </w:rPr>
            </w:pPr>
            <w:r>
              <w:rPr>
                <w:rFonts w:ascii="Calibri" w:hAnsi="Calibri" w:cs="Calibri"/>
                <w:color w:val="000000"/>
                <w:sz w:val="16"/>
                <w:szCs w:val="16"/>
              </w:rPr>
              <w:t>2.044.700</w:t>
            </w:r>
          </w:p>
        </w:tc>
      </w:tr>
      <w:tr w:rsidR="00554B7B" w14:paraId="311D8129"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37DD2CC7" w14:textId="77777777" w:rsidR="00554B7B" w:rsidRDefault="00554B7B">
            <w:pPr>
              <w:rPr>
                <w:rFonts w:ascii="Calibri" w:hAnsi="Calibri" w:cs="Calibri"/>
                <w:color w:val="000000"/>
                <w:sz w:val="16"/>
                <w:szCs w:val="16"/>
              </w:rPr>
            </w:pPr>
            <w:r>
              <w:rPr>
                <w:rFonts w:ascii="Calibri" w:hAnsi="Calibri" w:cs="Calibri"/>
                <w:color w:val="000000"/>
                <w:sz w:val="16"/>
                <w:szCs w:val="16"/>
              </w:rPr>
              <w:t>Passivo de Arrendamento de Imóveis</w:t>
            </w:r>
          </w:p>
        </w:tc>
        <w:tc>
          <w:tcPr>
            <w:tcW w:w="754" w:type="pct"/>
            <w:tcBorders>
              <w:top w:val="nil"/>
              <w:left w:val="nil"/>
              <w:bottom w:val="single" w:sz="8" w:space="0" w:color="auto"/>
              <w:right w:val="nil"/>
            </w:tcBorders>
            <w:shd w:val="clear" w:color="auto" w:fill="auto"/>
            <w:noWrap/>
            <w:vAlign w:val="center"/>
            <w:hideMark/>
          </w:tcPr>
          <w:p w14:paraId="3B0B8EE2" w14:textId="77777777" w:rsidR="00554B7B" w:rsidRDefault="00554B7B">
            <w:pPr>
              <w:jc w:val="right"/>
              <w:rPr>
                <w:rFonts w:ascii="Calibri" w:hAnsi="Calibri" w:cs="Calibri"/>
                <w:color w:val="000000"/>
                <w:sz w:val="16"/>
                <w:szCs w:val="16"/>
              </w:rPr>
            </w:pPr>
            <w:r>
              <w:rPr>
                <w:rFonts w:ascii="Calibri" w:hAnsi="Calibri" w:cs="Calibri"/>
                <w:color w:val="000000"/>
                <w:sz w:val="16"/>
                <w:szCs w:val="16"/>
              </w:rPr>
              <w:t>3.451.954</w:t>
            </w:r>
          </w:p>
        </w:tc>
        <w:tc>
          <w:tcPr>
            <w:tcW w:w="893" w:type="pct"/>
            <w:tcBorders>
              <w:top w:val="nil"/>
              <w:left w:val="nil"/>
              <w:bottom w:val="single" w:sz="8" w:space="0" w:color="auto"/>
              <w:right w:val="nil"/>
            </w:tcBorders>
            <w:shd w:val="clear" w:color="auto" w:fill="auto"/>
            <w:vAlign w:val="center"/>
            <w:hideMark/>
          </w:tcPr>
          <w:p w14:paraId="45753D9B" w14:textId="77777777" w:rsidR="00554B7B" w:rsidRDefault="00554B7B" w:rsidP="00554B7B">
            <w:pPr>
              <w:jc w:val="center"/>
              <w:rPr>
                <w:rFonts w:ascii="Calibri" w:hAnsi="Calibri" w:cs="Calibri"/>
                <w:color w:val="000000"/>
                <w:sz w:val="16"/>
                <w:szCs w:val="16"/>
              </w:rPr>
            </w:pPr>
            <w:r>
              <w:rPr>
                <w:rFonts w:ascii="Calibri" w:hAnsi="Calibri" w:cs="Calibri"/>
                <w:color w:val="000000"/>
                <w:sz w:val="16"/>
                <w:szCs w:val="16"/>
              </w:rPr>
              <w:t>0</w:t>
            </w:r>
          </w:p>
        </w:tc>
        <w:tc>
          <w:tcPr>
            <w:tcW w:w="728" w:type="pct"/>
            <w:tcBorders>
              <w:top w:val="nil"/>
              <w:left w:val="nil"/>
              <w:bottom w:val="single" w:sz="8" w:space="0" w:color="auto"/>
              <w:right w:val="nil"/>
            </w:tcBorders>
            <w:shd w:val="clear" w:color="auto" w:fill="auto"/>
            <w:noWrap/>
            <w:vAlign w:val="center"/>
            <w:hideMark/>
          </w:tcPr>
          <w:p w14:paraId="3DC9446B" w14:textId="77777777" w:rsidR="00554B7B" w:rsidRDefault="00554B7B" w:rsidP="00554B7B">
            <w:pPr>
              <w:jc w:val="center"/>
              <w:rPr>
                <w:rFonts w:ascii="Calibri" w:hAnsi="Calibri" w:cs="Calibri"/>
                <w:color w:val="000000"/>
                <w:sz w:val="16"/>
                <w:szCs w:val="16"/>
              </w:rPr>
            </w:pPr>
            <w:r>
              <w:rPr>
                <w:rFonts w:ascii="Calibri" w:hAnsi="Calibri" w:cs="Calibri"/>
                <w:color w:val="000000"/>
                <w:sz w:val="16"/>
                <w:szCs w:val="16"/>
              </w:rPr>
              <w:t>0</w:t>
            </w:r>
          </w:p>
        </w:tc>
        <w:tc>
          <w:tcPr>
            <w:tcW w:w="659" w:type="pct"/>
            <w:tcBorders>
              <w:top w:val="nil"/>
              <w:left w:val="nil"/>
              <w:bottom w:val="single" w:sz="8" w:space="0" w:color="auto"/>
              <w:right w:val="nil"/>
            </w:tcBorders>
            <w:shd w:val="clear" w:color="auto" w:fill="auto"/>
            <w:noWrap/>
            <w:vAlign w:val="center"/>
            <w:hideMark/>
          </w:tcPr>
          <w:p w14:paraId="6D527FEE" w14:textId="4FD562C8" w:rsidR="00554B7B" w:rsidRDefault="00554B7B">
            <w:pPr>
              <w:jc w:val="right"/>
              <w:rPr>
                <w:rFonts w:ascii="Calibri" w:hAnsi="Calibri" w:cs="Calibri"/>
                <w:color w:val="000000"/>
                <w:sz w:val="16"/>
                <w:szCs w:val="16"/>
              </w:rPr>
            </w:pPr>
            <w:r>
              <w:rPr>
                <w:rFonts w:ascii="Calibri" w:hAnsi="Calibri" w:cs="Calibri"/>
                <w:color w:val="000000"/>
                <w:sz w:val="16"/>
                <w:szCs w:val="16"/>
              </w:rPr>
              <w:t>(2.157.471)</w:t>
            </w:r>
          </w:p>
        </w:tc>
        <w:tc>
          <w:tcPr>
            <w:tcW w:w="659" w:type="pct"/>
            <w:tcBorders>
              <w:top w:val="nil"/>
              <w:left w:val="nil"/>
              <w:bottom w:val="single" w:sz="8" w:space="0" w:color="auto"/>
              <w:right w:val="nil"/>
            </w:tcBorders>
            <w:shd w:val="clear" w:color="auto" w:fill="auto"/>
            <w:noWrap/>
            <w:vAlign w:val="center"/>
            <w:hideMark/>
          </w:tcPr>
          <w:p w14:paraId="1102BD1B" w14:textId="77777777" w:rsidR="00554B7B" w:rsidRDefault="00554B7B">
            <w:pPr>
              <w:jc w:val="right"/>
              <w:rPr>
                <w:rFonts w:ascii="Calibri" w:hAnsi="Calibri" w:cs="Calibri"/>
                <w:color w:val="000000"/>
                <w:sz w:val="16"/>
                <w:szCs w:val="16"/>
              </w:rPr>
            </w:pPr>
            <w:r>
              <w:rPr>
                <w:rFonts w:ascii="Calibri" w:hAnsi="Calibri" w:cs="Calibri"/>
                <w:color w:val="000000"/>
                <w:sz w:val="16"/>
                <w:szCs w:val="16"/>
              </w:rPr>
              <w:t>1.294.483</w:t>
            </w:r>
          </w:p>
        </w:tc>
      </w:tr>
      <w:tr w:rsidR="00554B7B" w14:paraId="10A2EEC2"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53F0DF41" w14:textId="77777777" w:rsidR="00554B7B" w:rsidRDefault="00554B7B">
            <w:pPr>
              <w:rPr>
                <w:rFonts w:ascii="Calibri" w:hAnsi="Calibri" w:cs="Calibri"/>
                <w:b/>
                <w:bCs/>
                <w:color w:val="000000"/>
                <w:sz w:val="16"/>
                <w:szCs w:val="16"/>
              </w:rPr>
            </w:pPr>
            <w:r>
              <w:rPr>
                <w:rFonts w:ascii="Calibri" w:hAnsi="Calibri" w:cs="Calibri"/>
                <w:b/>
                <w:bCs/>
                <w:color w:val="000000"/>
                <w:sz w:val="16"/>
                <w:szCs w:val="16"/>
              </w:rPr>
              <w:t>TOTAL DE PASSIVOS DE ARRENDAMENTOS</w:t>
            </w:r>
          </w:p>
        </w:tc>
        <w:tc>
          <w:tcPr>
            <w:tcW w:w="754" w:type="pct"/>
            <w:tcBorders>
              <w:top w:val="nil"/>
              <w:left w:val="nil"/>
              <w:bottom w:val="single" w:sz="8" w:space="0" w:color="auto"/>
              <w:right w:val="nil"/>
            </w:tcBorders>
            <w:shd w:val="clear" w:color="auto" w:fill="auto"/>
            <w:noWrap/>
            <w:vAlign w:val="center"/>
            <w:hideMark/>
          </w:tcPr>
          <w:p w14:paraId="5AB1A6E4"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6.044.654</w:t>
            </w:r>
          </w:p>
        </w:tc>
        <w:tc>
          <w:tcPr>
            <w:tcW w:w="893" w:type="pct"/>
            <w:tcBorders>
              <w:top w:val="nil"/>
              <w:left w:val="nil"/>
              <w:bottom w:val="single" w:sz="8" w:space="0" w:color="auto"/>
              <w:right w:val="nil"/>
            </w:tcBorders>
            <w:shd w:val="clear" w:color="auto" w:fill="auto"/>
            <w:noWrap/>
            <w:vAlign w:val="center"/>
            <w:hideMark/>
          </w:tcPr>
          <w:p w14:paraId="6C5C5058" w14:textId="1A9145F3" w:rsidR="00554B7B" w:rsidRDefault="00554B7B" w:rsidP="00554B7B">
            <w:pPr>
              <w:jc w:val="center"/>
              <w:rPr>
                <w:rFonts w:ascii="Calibri" w:hAnsi="Calibri" w:cs="Calibri"/>
                <w:b/>
                <w:bCs/>
                <w:color w:val="000000"/>
                <w:sz w:val="16"/>
                <w:szCs w:val="16"/>
              </w:rPr>
            </w:pPr>
            <w:r>
              <w:rPr>
                <w:rFonts w:ascii="Calibri" w:hAnsi="Calibri" w:cs="Calibri"/>
                <w:b/>
                <w:bCs/>
                <w:color w:val="000000"/>
                <w:sz w:val="16"/>
                <w:szCs w:val="16"/>
              </w:rPr>
              <w:t>(362.200)</w:t>
            </w:r>
          </w:p>
        </w:tc>
        <w:tc>
          <w:tcPr>
            <w:tcW w:w="728" w:type="pct"/>
            <w:tcBorders>
              <w:top w:val="nil"/>
              <w:left w:val="nil"/>
              <w:bottom w:val="single" w:sz="8" w:space="0" w:color="auto"/>
              <w:right w:val="nil"/>
            </w:tcBorders>
            <w:shd w:val="clear" w:color="auto" w:fill="auto"/>
            <w:noWrap/>
            <w:vAlign w:val="center"/>
            <w:hideMark/>
          </w:tcPr>
          <w:p w14:paraId="2C831FCE" w14:textId="124E10EF" w:rsidR="00554B7B" w:rsidRDefault="00554B7B" w:rsidP="00554B7B">
            <w:pPr>
              <w:jc w:val="center"/>
              <w:rPr>
                <w:rFonts w:ascii="Calibri" w:hAnsi="Calibri" w:cs="Calibri"/>
                <w:b/>
                <w:bCs/>
                <w:color w:val="000000"/>
                <w:sz w:val="16"/>
                <w:szCs w:val="16"/>
              </w:rPr>
            </w:pPr>
            <w:r>
              <w:rPr>
                <w:rFonts w:ascii="Calibri" w:hAnsi="Calibri" w:cs="Calibri"/>
                <w:b/>
                <w:bCs/>
                <w:color w:val="000000"/>
                <w:sz w:val="16"/>
                <w:szCs w:val="16"/>
              </w:rPr>
              <w:t>(173)</w:t>
            </w:r>
          </w:p>
        </w:tc>
        <w:tc>
          <w:tcPr>
            <w:tcW w:w="659" w:type="pct"/>
            <w:tcBorders>
              <w:top w:val="nil"/>
              <w:left w:val="nil"/>
              <w:bottom w:val="single" w:sz="8" w:space="0" w:color="auto"/>
              <w:right w:val="nil"/>
            </w:tcBorders>
            <w:shd w:val="clear" w:color="auto" w:fill="auto"/>
            <w:noWrap/>
            <w:vAlign w:val="center"/>
            <w:hideMark/>
          </w:tcPr>
          <w:p w14:paraId="3D67E19A" w14:textId="40B421B5"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(2.343.098)</w:t>
            </w:r>
          </w:p>
        </w:tc>
        <w:tc>
          <w:tcPr>
            <w:tcW w:w="659" w:type="pct"/>
            <w:tcBorders>
              <w:top w:val="nil"/>
              <w:left w:val="nil"/>
              <w:bottom w:val="single" w:sz="8" w:space="0" w:color="auto"/>
              <w:right w:val="nil"/>
            </w:tcBorders>
            <w:shd w:val="clear" w:color="auto" w:fill="auto"/>
            <w:noWrap/>
            <w:vAlign w:val="center"/>
            <w:hideMark/>
          </w:tcPr>
          <w:p w14:paraId="55469A86"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3.339.183</w:t>
            </w:r>
          </w:p>
        </w:tc>
      </w:tr>
      <w:tr w:rsidR="00554B7B" w14:paraId="3FB7FAC8"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55AE476A" w14:textId="77777777" w:rsidR="00554B7B" w:rsidRDefault="00554B7B">
            <w:pPr>
              <w:rPr>
                <w:rFonts w:ascii="Calibri" w:hAnsi="Calibri" w:cs="Calibri"/>
                <w:b/>
                <w:bCs/>
                <w:color w:val="000000"/>
                <w:sz w:val="16"/>
                <w:szCs w:val="16"/>
              </w:rPr>
            </w:pPr>
            <w:r>
              <w:rPr>
                <w:rFonts w:ascii="Calibri" w:hAnsi="Calibri" w:cs="Calibri"/>
                <w:b/>
                <w:bCs/>
                <w:color w:val="000000"/>
                <w:sz w:val="16"/>
                <w:szCs w:val="16"/>
              </w:rPr>
              <w:t>Passivo Circulante</w:t>
            </w:r>
          </w:p>
        </w:tc>
        <w:tc>
          <w:tcPr>
            <w:tcW w:w="754" w:type="pct"/>
            <w:tcBorders>
              <w:top w:val="nil"/>
              <w:left w:val="nil"/>
              <w:bottom w:val="single" w:sz="8" w:space="0" w:color="auto"/>
              <w:right w:val="nil"/>
            </w:tcBorders>
            <w:shd w:val="clear" w:color="auto" w:fill="auto"/>
            <w:noWrap/>
            <w:vAlign w:val="center"/>
            <w:hideMark/>
          </w:tcPr>
          <w:p w14:paraId="19F69D87"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4.064.554</w:t>
            </w:r>
          </w:p>
        </w:tc>
        <w:tc>
          <w:tcPr>
            <w:tcW w:w="893" w:type="pct"/>
            <w:tcBorders>
              <w:top w:val="nil"/>
              <w:left w:val="nil"/>
              <w:bottom w:val="single" w:sz="8" w:space="0" w:color="auto"/>
              <w:right w:val="nil"/>
            </w:tcBorders>
            <w:shd w:val="clear" w:color="auto" w:fill="auto"/>
            <w:vAlign w:val="center"/>
            <w:hideMark/>
          </w:tcPr>
          <w:p w14:paraId="25060CBA"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 </w:t>
            </w:r>
          </w:p>
        </w:tc>
        <w:tc>
          <w:tcPr>
            <w:tcW w:w="728" w:type="pct"/>
            <w:tcBorders>
              <w:top w:val="nil"/>
              <w:left w:val="nil"/>
              <w:bottom w:val="single" w:sz="8" w:space="0" w:color="auto"/>
              <w:right w:val="nil"/>
            </w:tcBorders>
            <w:shd w:val="clear" w:color="auto" w:fill="auto"/>
            <w:noWrap/>
            <w:vAlign w:val="center"/>
            <w:hideMark/>
          </w:tcPr>
          <w:p w14:paraId="7422F663"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 </w:t>
            </w:r>
          </w:p>
        </w:tc>
        <w:tc>
          <w:tcPr>
            <w:tcW w:w="659" w:type="pct"/>
            <w:tcBorders>
              <w:top w:val="nil"/>
              <w:left w:val="nil"/>
              <w:bottom w:val="single" w:sz="8" w:space="0" w:color="auto"/>
              <w:right w:val="nil"/>
            </w:tcBorders>
            <w:shd w:val="clear" w:color="auto" w:fill="auto"/>
            <w:noWrap/>
            <w:vAlign w:val="center"/>
            <w:hideMark/>
          </w:tcPr>
          <w:p w14:paraId="7C53245B"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 </w:t>
            </w:r>
          </w:p>
        </w:tc>
        <w:tc>
          <w:tcPr>
            <w:tcW w:w="659" w:type="pct"/>
            <w:tcBorders>
              <w:top w:val="nil"/>
              <w:left w:val="nil"/>
              <w:bottom w:val="single" w:sz="8" w:space="0" w:color="auto"/>
              <w:right w:val="nil"/>
            </w:tcBorders>
            <w:shd w:val="clear" w:color="auto" w:fill="auto"/>
            <w:noWrap/>
            <w:vAlign w:val="center"/>
            <w:hideMark/>
          </w:tcPr>
          <w:p w14:paraId="1CA6A295"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1.815.883</w:t>
            </w:r>
          </w:p>
        </w:tc>
      </w:tr>
      <w:tr w:rsidR="00554B7B" w14:paraId="77B77A48"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101C9D88" w14:textId="77777777" w:rsidR="00554B7B" w:rsidRDefault="00554B7B">
            <w:pPr>
              <w:rPr>
                <w:rFonts w:ascii="Calibri" w:hAnsi="Calibri" w:cs="Calibri"/>
                <w:b/>
                <w:bCs/>
                <w:color w:val="000000"/>
                <w:sz w:val="16"/>
                <w:szCs w:val="16"/>
              </w:rPr>
            </w:pPr>
            <w:r>
              <w:rPr>
                <w:rFonts w:ascii="Calibri" w:hAnsi="Calibri" w:cs="Calibri"/>
                <w:b/>
                <w:bCs/>
                <w:color w:val="000000"/>
                <w:sz w:val="16"/>
                <w:szCs w:val="16"/>
              </w:rPr>
              <w:t>Passivo Não Circulante</w:t>
            </w:r>
          </w:p>
        </w:tc>
        <w:tc>
          <w:tcPr>
            <w:tcW w:w="754" w:type="pct"/>
            <w:tcBorders>
              <w:top w:val="nil"/>
              <w:left w:val="nil"/>
              <w:bottom w:val="single" w:sz="8" w:space="0" w:color="auto"/>
              <w:right w:val="nil"/>
            </w:tcBorders>
            <w:shd w:val="clear" w:color="auto" w:fill="auto"/>
            <w:noWrap/>
            <w:vAlign w:val="center"/>
            <w:hideMark/>
          </w:tcPr>
          <w:p w14:paraId="34D419D6"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1.980.100</w:t>
            </w:r>
          </w:p>
        </w:tc>
        <w:tc>
          <w:tcPr>
            <w:tcW w:w="893" w:type="pct"/>
            <w:tcBorders>
              <w:top w:val="nil"/>
              <w:left w:val="nil"/>
              <w:bottom w:val="single" w:sz="8" w:space="0" w:color="auto"/>
              <w:right w:val="nil"/>
            </w:tcBorders>
            <w:shd w:val="clear" w:color="auto" w:fill="auto"/>
            <w:vAlign w:val="center"/>
            <w:hideMark/>
          </w:tcPr>
          <w:p w14:paraId="47EFFFC2"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 </w:t>
            </w:r>
          </w:p>
        </w:tc>
        <w:tc>
          <w:tcPr>
            <w:tcW w:w="728" w:type="pct"/>
            <w:tcBorders>
              <w:top w:val="nil"/>
              <w:left w:val="nil"/>
              <w:bottom w:val="single" w:sz="8" w:space="0" w:color="auto"/>
              <w:right w:val="nil"/>
            </w:tcBorders>
            <w:shd w:val="clear" w:color="auto" w:fill="auto"/>
            <w:noWrap/>
            <w:vAlign w:val="center"/>
            <w:hideMark/>
          </w:tcPr>
          <w:p w14:paraId="5D338739"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 </w:t>
            </w:r>
          </w:p>
        </w:tc>
        <w:tc>
          <w:tcPr>
            <w:tcW w:w="659" w:type="pct"/>
            <w:tcBorders>
              <w:top w:val="nil"/>
              <w:left w:val="nil"/>
              <w:bottom w:val="single" w:sz="8" w:space="0" w:color="auto"/>
              <w:right w:val="nil"/>
            </w:tcBorders>
            <w:shd w:val="clear" w:color="auto" w:fill="auto"/>
            <w:noWrap/>
            <w:vAlign w:val="center"/>
            <w:hideMark/>
          </w:tcPr>
          <w:p w14:paraId="1CD77611"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 </w:t>
            </w:r>
          </w:p>
        </w:tc>
        <w:tc>
          <w:tcPr>
            <w:tcW w:w="659" w:type="pct"/>
            <w:tcBorders>
              <w:top w:val="nil"/>
              <w:left w:val="nil"/>
              <w:bottom w:val="single" w:sz="8" w:space="0" w:color="auto"/>
              <w:right w:val="nil"/>
            </w:tcBorders>
            <w:shd w:val="clear" w:color="auto" w:fill="auto"/>
            <w:noWrap/>
            <w:vAlign w:val="center"/>
            <w:hideMark/>
          </w:tcPr>
          <w:p w14:paraId="10D93448"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1.523.300</w:t>
            </w:r>
          </w:p>
        </w:tc>
      </w:tr>
    </w:tbl>
    <w:p w14:paraId="3FC411B6" w14:textId="77777777" w:rsidR="00554B7B" w:rsidRPr="00554B7B" w:rsidRDefault="00554B7B" w:rsidP="00554B7B"/>
    <w:p w14:paraId="227EEFBC" w14:textId="49A5AADB" w:rsidR="00F40821" w:rsidRPr="002E2B5B" w:rsidRDefault="00D22F5E" w:rsidP="002E2B5B">
      <w:pPr>
        <w:pStyle w:val="Ttulo4"/>
        <w:spacing w:line="240" w:lineRule="auto"/>
        <w:jc w:val="left"/>
        <w:rPr>
          <w:rFonts w:ascii="Calibri" w:hAnsi="Calibri" w:cs="Calibri"/>
          <w:bCs w:val="0"/>
          <w:sz w:val="22"/>
          <w:szCs w:val="22"/>
        </w:rPr>
      </w:pPr>
      <w:r w:rsidRPr="002E2B5B">
        <w:rPr>
          <w:rFonts w:ascii="Calibri" w:hAnsi="Calibri" w:cs="Calibri"/>
          <w:bCs w:val="0"/>
          <w:sz w:val="22"/>
          <w:szCs w:val="22"/>
        </w:rPr>
        <w:t>NOTA 1</w:t>
      </w:r>
      <w:r w:rsidR="00586E18">
        <w:rPr>
          <w:rFonts w:ascii="Calibri" w:hAnsi="Calibri" w:cs="Calibri"/>
          <w:bCs w:val="0"/>
          <w:sz w:val="22"/>
          <w:szCs w:val="22"/>
        </w:rPr>
        <w:t>4</w:t>
      </w:r>
      <w:r w:rsidR="00F40821" w:rsidRPr="002E2B5B">
        <w:rPr>
          <w:rFonts w:ascii="Calibri" w:hAnsi="Calibri" w:cs="Calibri"/>
          <w:bCs w:val="0"/>
          <w:sz w:val="22"/>
          <w:szCs w:val="22"/>
        </w:rPr>
        <w:t xml:space="preserve"> - PATRIMÔNIO LÍQUIDO </w:t>
      </w:r>
    </w:p>
    <w:p w14:paraId="7ABFC188" w14:textId="77777777" w:rsidR="00F40821" w:rsidRPr="002E2B5B" w:rsidRDefault="00F40821" w:rsidP="002E2B5B">
      <w:pPr>
        <w:rPr>
          <w:rFonts w:ascii="Calibri" w:hAnsi="Calibri" w:cs="Calibri"/>
          <w:color w:val="FF0000"/>
          <w:sz w:val="22"/>
          <w:szCs w:val="22"/>
        </w:rPr>
      </w:pPr>
    </w:p>
    <w:p w14:paraId="29706E20" w14:textId="77777777" w:rsidR="00CE32D4" w:rsidRPr="002E2B5B" w:rsidRDefault="00997B3F" w:rsidP="002E2B5B">
      <w:pPr>
        <w:numPr>
          <w:ilvl w:val="0"/>
          <w:numId w:val="7"/>
        </w:numPr>
        <w:ind w:left="284" w:right="-142" w:hanging="284"/>
        <w:rPr>
          <w:rFonts w:ascii="Calibri" w:hAnsi="Calibri" w:cs="Calibri"/>
          <w:b/>
          <w:sz w:val="22"/>
          <w:szCs w:val="22"/>
        </w:rPr>
      </w:pPr>
      <w:r w:rsidRPr="002E2B5B">
        <w:rPr>
          <w:rFonts w:ascii="Calibri" w:hAnsi="Calibri" w:cs="Calibri"/>
          <w:b/>
          <w:sz w:val="22"/>
          <w:szCs w:val="22"/>
        </w:rPr>
        <w:t xml:space="preserve">Capital Social </w:t>
      </w:r>
    </w:p>
    <w:p w14:paraId="2A850149" w14:textId="27F8C308" w:rsidR="006069D0" w:rsidRDefault="00796E5C" w:rsidP="002E2B5B">
      <w:pPr>
        <w:spacing w:before="120" w:after="120"/>
        <w:ind w:right="57"/>
        <w:jc w:val="both"/>
        <w:rPr>
          <w:rFonts w:ascii="Calibri" w:hAnsi="Calibri" w:cs="Calibri"/>
          <w:sz w:val="22"/>
          <w:szCs w:val="22"/>
        </w:rPr>
      </w:pPr>
      <w:r w:rsidRPr="002E2B5B">
        <w:rPr>
          <w:rFonts w:ascii="Calibri" w:hAnsi="Calibri" w:cs="Calibri"/>
          <w:sz w:val="22"/>
          <w:szCs w:val="22"/>
        </w:rPr>
        <w:t>O Capital Social</w:t>
      </w:r>
      <w:r w:rsidR="00DB795A" w:rsidRPr="002E2B5B">
        <w:rPr>
          <w:rFonts w:ascii="Calibri" w:hAnsi="Calibri" w:cs="Calibri"/>
          <w:sz w:val="22"/>
          <w:szCs w:val="22"/>
        </w:rPr>
        <w:t>, a</w:t>
      </w:r>
      <w:r w:rsidR="00EC6EEC" w:rsidRPr="002E2B5B">
        <w:rPr>
          <w:rFonts w:ascii="Calibri" w:hAnsi="Calibri" w:cs="Calibri"/>
          <w:sz w:val="22"/>
          <w:szCs w:val="22"/>
        </w:rPr>
        <w:t xml:space="preserve">pós a integralização de capital, Conforme Ata da </w:t>
      </w:r>
      <w:r w:rsidR="002136B7" w:rsidRPr="002E2B5B">
        <w:rPr>
          <w:rFonts w:ascii="Calibri" w:hAnsi="Calibri" w:cs="Calibri"/>
          <w:sz w:val="22"/>
          <w:szCs w:val="22"/>
        </w:rPr>
        <w:t>72</w:t>
      </w:r>
      <w:r w:rsidR="00EC6EEC" w:rsidRPr="002E2B5B">
        <w:rPr>
          <w:rFonts w:ascii="Calibri" w:hAnsi="Calibri" w:cs="Calibri"/>
          <w:sz w:val="22"/>
          <w:szCs w:val="22"/>
        </w:rPr>
        <w:t>ª Assembleia Geral Extraordinária de 22</w:t>
      </w:r>
      <w:r w:rsidR="00BD7C0B" w:rsidRPr="002E2B5B">
        <w:rPr>
          <w:rFonts w:ascii="Calibri" w:hAnsi="Calibri" w:cs="Calibri"/>
          <w:sz w:val="22"/>
          <w:szCs w:val="22"/>
        </w:rPr>
        <w:t xml:space="preserve"> de agosto de </w:t>
      </w:r>
      <w:r w:rsidR="00EC6EEC" w:rsidRPr="002E2B5B">
        <w:rPr>
          <w:rFonts w:ascii="Calibri" w:hAnsi="Calibri" w:cs="Calibri"/>
          <w:sz w:val="22"/>
          <w:szCs w:val="22"/>
        </w:rPr>
        <w:t>201</w:t>
      </w:r>
      <w:r w:rsidR="002136B7" w:rsidRPr="002E2B5B">
        <w:rPr>
          <w:rFonts w:ascii="Calibri" w:hAnsi="Calibri" w:cs="Calibri"/>
          <w:sz w:val="22"/>
          <w:szCs w:val="22"/>
        </w:rPr>
        <w:t>9</w:t>
      </w:r>
      <w:r w:rsidR="00DB795A" w:rsidRPr="002E2B5B">
        <w:rPr>
          <w:rFonts w:ascii="Calibri" w:hAnsi="Calibri" w:cs="Calibri"/>
          <w:sz w:val="22"/>
          <w:szCs w:val="22"/>
        </w:rPr>
        <w:t>,</w:t>
      </w:r>
      <w:r w:rsidRPr="002E2B5B">
        <w:rPr>
          <w:rFonts w:ascii="Calibri" w:hAnsi="Calibri" w:cs="Calibri"/>
          <w:sz w:val="22"/>
          <w:szCs w:val="22"/>
        </w:rPr>
        <w:t xml:space="preserve"> </w:t>
      </w:r>
      <w:r w:rsidR="00DB795A" w:rsidRPr="002E2B5B">
        <w:rPr>
          <w:rFonts w:ascii="Calibri" w:hAnsi="Calibri" w:cs="Calibri"/>
          <w:sz w:val="22"/>
          <w:szCs w:val="22"/>
        </w:rPr>
        <w:t>totaliza</w:t>
      </w:r>
      <w:r w:rsidRPr="002E2B5B">
        <w:rPr>
          <w:rFonts w:ascii="Calibri" w:hAnsi="Calibri" w:cs="Calibri"/>
          <w:sz w:val="22"/>
          <w:szCs w:val="22"/>
        </w:rPr>
        <w:t xml:space="preserve"> R$ </w:t>
      </w:r>
      <w:r w:rsidR="000C194A" w:rsidRPr="002E2B5B">
        <w:rPr>
          <w:rFonts w:ascii="Calibri" w:hAnsi="Calibri" w:cs="Calibri"/>
          <w:sz w:val="22"/>
          <w:szCs w:val="22"/>
        </w:rPr>
        <w:t>22</w:t>
      </w:r>
      <w:r w:rsidR="00586E18">
        <w:rPr>
          <w:rFonts w:ascii="Calibri" w:hAnsi="Calibri" w:cs="Calibri"/>
          <w:sz w:val="22"/>
          <w:szCs w:val="22"/>
        </w:rPr>
        <w:t xml:space="preserve"> bilhões</w:t>
      </w:r>
      <w:r w:rsidR="00DB795A" w:rsidRPr="002E2B5B">
        <w:rPr>
          <w:rFonts w:ascii="Calibri" w:hAnsi="Calibri" w:cs="Calibri"/>
          <w:sz w:val="22"/>
          <w:szCs w:val="22"/>
        </w:rPr>
        <w:t xml:space="preserve"> </w:t>
      </w:r>
      <w:r w:rsidR="000C3E4F" w:rsidRPr="002E2B5B">
        <w:rPr>
          <w:rFonts w:ascii="Calibri" w:hAnsi="Calibri" w:cs="Calibri"/>
          <w:sz w:val="22"/>
          <w:szCs w:val="22"/>
        </w:rPr>
        <w:t xml:space="preserve">e </w:t>
      </w:r>
      <w:r w:rsidRPr="002E2B5B">
        <w:rPr>
          <w:rFonts w:ascii="Calibri" w:hAnsi="Calibri" w:cs="Calibri"/>
          <w:sz w:val="22"/>
          <w:szCs w:val="22"/>
        </w:rPr>
        <w:t xml:space="preserve">é composto de 8.090.009 ações ordinárias, sem valor nominal, </w:t>
      </w:r>
      <w:r w:rsidR="00657941" w:rsidRPr="002E2B5B">
        <w:rPr>
          <w:rFonts w:ascii="Calibri" w:hAnsi="Calibri" w:cs="Calibri"/>
          <w:sz w:val="22"/>
          <w:szCs w:val="22"/>
        </w:rPr>
        <w:t xml:space="preserve">no qual a </w:t>
      </w:r>
      <w:r w:rsidRPr="002E2B5B">
        <w:rPr>
          <w:rFonts w:ascii="Calibri" w:hAnsi="Calibri" w:cs="Calibri"/>
          <w:sz w:val="22"/>
          <w:szCs w:val="22"/>
        </w:rPr>
        <w:t xml:space="preserve">União é detentora de 100% dessas ações. </w:t>
      </w:r>
    </w:p>
    <w:p w14:paraId="0D5EE4F3" w14:textId="0C81E5FE" w:rsidR="00810F1C" w:rsidRDefault="00810F1C" w:rsidP="002E2B5B">
      <w:pPr>
        <w:spacing w:before="120" w:after="120"/>
        <w:ind w:right="57"/>
        <w:jc w:val="both"/>
        <w:rPr>
          <w:rFonts w:ascii="Calibri" w:hAnsi="Calibri" w:cs="Calibri"/>
          <w:sz w:val="22"/>
          <w:szCs w:val="22"/>
        </w:rPr>
      </w:pPr>
    </w:p>
    <w:p w14:paraId="6E60FF16" w14:textId="77777777" w:rsidR="00810F1C" w:rsidRPr="002E2B5B" w:rsidRDefault="00810F1C" w:rsidP="002E2B5B">
      <w:pPr>
        <w:spacing w:before="120" w:after="120"/>
        <w:ind w:right="57"/>
        <w:jc w:val="both"/>
        <w:rPr>
          <w:rFonts w:ascii="Calibri" w:hAnsi="Calibri" w:cs="Calibri"/>
          <w:sz w:val="22"/>
          <w:szCs w:val="22"/>
        </w:rPr>
      </w:pPr>
    </w:p>
    <w:tbl>
      <w:tblPr>
        <w:tblW w:w="10120" w:type="dxa"/>
        <w:tblLayout w:type="fixed"/>
        <w:tblCellMar>
          <w:left w:w="70" w:type="dxa"/>
          <w:right w:w="70" w:type="dxa"/>
        </w:tblCellMar>
        <w:tblLook w:val="04A0" w:firstRow="1" w:lastRow="0" w:firstColumn="1" w:lastColumn="0" w:noHBand="0" w:noVBand="1"/>
      </w:tblPr>
      <w:tblGrid>
        <w:gridCol w:w="3732"/>
        <w:gridCol w:w="1056"/>
        <w:gridCol w:w="1378"/>
        <w:gridCol w:w="101"/>
        <w:gridCol w:w="2167"/>
        <w:gridCol w:w="1686"/>
      </w:tblGrid>
      <w:tr w:rsidR="00852C9E" w:rsidRPr="002E2B5B" w14:paraId="2C1435F0" w14:textId="77777777" w:rsidTr="00852C9E">
        <w:trPr>
          <w:trHeight w:val="315"/>
        </w:trPr>
        <w:tc>
          <w:tcPr>
            <w:tcW w:w="3732" w:type="dxa"/>
            <w:tcBorders>
              <w:top w:val="nil"/>
              <w:left w:val="nil"/>
              <w:bottom w:val="single" w:sz="8" w:space="0" w:color="auto"/>
              <w:right w:val="nil"/>
            </w:tcBorders>
            <w:shd w:val="clear" w:color="auto" w:fill="auto"/>
            <w:noWrap/>
            <w:vAlign w:val="center"/>
            <w:hideMark/>
          </w:tcPr>
          <w:p w14:paraId="4B8F11EE" w14:textId="77777777" w:rsidR="00852C9E" w:rsidRPr="002E2B5B" w:rsidRDefault="00852C9E" w:rsidP="002E2B5B">
            <w:pPr>
              <w:rPr>
                <w:rFonts w:ascii="Calibri" w:hAnsi="Calibri" w:cs="Calibri"/>
                <w:b/>
                <w:bCs/>
                <w:color w:val="000000"/>
                <w:sz w:val="16"/>
                <w:szCs w:val="16"/>
              </w:rPr>
            </w:pPr>
            <w:r w:rsidRPr="002E2B5B">
              <w:rPr>
                <w:rFonts w:ascii="Calibri" w:hAnsi="Calibri" w:cs="Calibri"/>
                <w:b/>
                <w:bCs/>
                <w:color w:val="000000"/>
                <w:sz w:val="16"/>
                <w:szCs w:val="16"/>
              </w:rPr>
              <w:lastRenderedPageBreak/>
              <w:t>CAPITAL SOCIAL</w:t>
            </w:r>
          </w:p>
        </w:tc>
        <w:tc>
          <w:tcPr>
            <w:tcW w:w="1056" w:type="dxa"/>
            <w:tcBorders>
              <w:top w:val="nil"/>
              <w:left w:val="nil"/>
              <w:bottom w:val="single" w:sz="8" w:space="0" w:color="auto"/>
              <w:right w:val="nil"/>
            </w:tcBorders>
            <w:shd w:val="clear" w:color="auto" w:fill="auto"/>
            <w:noWrap/>
            <w:vAlign w:val="center"/>
            <w:hideMark/>
          </w:tcPr>
          <w:p w14:paraId="4AAFAB15" w14:textId="77777777" w:rsidR="00852C9E" w:rsidRPr="002E2B5B" w:rsidRDefault="00852C9E"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1378" w:type="dxa"/>
            <w:tcBorders>
              <w:top w:val="nil"/>
              <w:left w:val="nil"/>
              <w:bottom w:val="single" w:sz="8" w:space="0" w:color="auto"/>
              <w:right w:val="nil"/>
            </w:tcBorders>
            <w:shd w:val="clear" w:color="auto" w:fill="auto"/>
            <w:noWrap/>
            <w:vAlign w:val="center"/>
          </w:tcPr>
          <w:p w14:paraId="50431361" w14:textId="77777777" w:rsidR="00852C9E" w:rsidRPr="002E2B5B" w:rsidRDefault="00852C9E" w:rsidP="002E2B5B">
            <w:pPr>
              <w:jc w:val="right"/>
              <w:rPr>
                <w:rFonts w:ascii="Calibri" w:hAnsi="Calibri" w:cs="Calibri"/>
                <w:b/>
                <w:bCs/>
                <w:color w:val="000000"/>
                <w:sz w:val="16"/>
                <w:szCs w:val="16"/>
              </w:rPr>
            </w:pPr>
          </w:p>
        </w:tc>
        <w:tc>
          <w:tcPr>
            <w:tcW w:w="2268" w:type="dxa"/>
            <w:gridSpan w:val="2"/>
            <w:tcBorders>
              <w:top w:val="nil"/>
              <w:left w:val="nil"/>
              <w:bottom w:val="single" w:sz="8" w:space="0" w:color="auto"/>
              <w:right w:val="nil"/>
            </w:tcBorders>
            <w:shd w:val="clear" w:color="auto" w:fill="auto"/>
            <w:noWrap/>
            <w:vAlign w:val="center"/>
          </w:tcPr>
          <w:p w14:paraId="384B4668" w14:textId="1BED68EA" w:rsidR="00852C9E" w:rsidRPr="002E2B5B" w:rsidRDefault="00C43A93" w:rsidP="002E2B5B">
            <w:pPr>
              <w:jc w:val="right"/>
              <w:rPr>
                <w:rFonts w:ascii="Calibri" w:hAnsi="Calibri" w:cs="Calibri"/>
                <w:b/>
                <w:bCs/>
                <w:color w:val="000000"/>
                <w:sz w:val="16"/>
                <w:szCs w:val="16"/>
              </w:rPr>
            </w:pPr>
            <w:r>
              <w:rPr>
                <w:rFonts w:ascii="Calibri" w:hAnsi="Calibri" w:cs="Calibri"/>
                <w:b/>
                <w:bCs/>
                <w:color w:val="000000"/>
                <w:sz w:val="16"/>
                <w:szCs w:val="16"/>
              </w:rPr>
              <w:t>30/06/2021</w:t>
            </w:r>
          </w:p>
        </w:tc>
        <w:tc>
          <w:tcPr>
            <w:tcW w:w="1686" w:type="dxa"/>
            <w:tcBorders>
              <w:top w:val="nil"/>
              <w:left w:val="nil"/>
              <w:bottom w:val="single" w:sz="8" w:space="0" w:color="auto"/>
              <w:right w:val="nil"/>
            </w:tcBorders>
            <w:vAlign w:val="center"/>
          </w:tcPr>
          <w:p w14:paraId="3AD8D946" w14:textId="1D529E3D" w:rsidR="00852C9E" w:rsidRPr="002E2B5B" w:rsidRDefault="00852C9E"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w:t>
            </w:r>
            <w:r w:rsidR="00FA301F">
              <w:rPr>
                <w:rFonts w:ascii="Calibri" w:hAnsi="Calibri" w:cs="Calibri"/>
                <w:b/>
                <w:bCs/>
                <w:color w:val="000000"/>
                <w:sz w:val="16"/>
                <w:szCs w:val="16"/>
              </w:rPr>
              <w:t>020</w:t>
            </w:r>
          </w:p>
        </w:tc>
      </w:tr>
      <w:tr w:rsidR="00852C9E" w:rsidRPr="002E2B5B" w14:paraId="5F113EE8" w14:textId="77777777" w:rsidTr="00852C9E">
        <w:trPr>
          <w:trHeight w:val="300"/>
        </w:trPr>
        <w:tc>
          <w:tcPr>
            <w:tcW w:w="3732" w:type="dxa"/>
            <w:tcBorders>
              <w:top w:val="nil"/>
              <w:left w:val="nil"/>
              <w:bottom w:val="nil"/>
              <w:right w:val="nil"/>
            </w:tcBorders>
            <w:shd w:val="clear" w:color="auto" w:fill="auto"/>
            <w:noWrap/>
            <w:vAlign w:val="center"/>
            <w:hideMark/>
          </w:tcPr>
          <w:p w14:paraId="1E65F40F" w14:textId="77777777" w:rsidR="00852C9E" w:rsidRPr="002E2B5B" w:rsidRDefault="00852C9E" w:rsidP="002E2B5B">
            <w:pPr>
              <w:rPr>
                <w:rFonts w:ascii="Calibri" w:hAnsi="Calibri" w:cs="Calibri"/>
                <w:color w:val="000000"/>
                <w:sz w:val="16"/>
                <w:szCs w:val="16"/>
              </w:rPr>
            </w:pPr>
            <w:r w:rsidRPr="002E2B5B">
              <w:rPr>
                <w:rFonts w:ascii="Calibri" w:hAnsi="Calibri" w:cs="Calibri"/>
                <w:color w:val="000000"/>
                <w:sz w:val="16"/>
                <w:szCs w:val="16"/>
              </w:rPr>
              <w:t xml:space="preserve"> Saldo anterior</w:t>
            </w:r>
          </w:p>
        </w:tc>
        <w:tc>
          <w:tcPr>
            <w:tcW w:w="1056" w:type="dxa"/>
            <w:tcBorders>
              <w:top w:val="nil"/>
              <w:left w:val="nil"/>
              <w:bottom w:val="nil"/>
              <w:right w:val="nil"/>
            </w:tcBorders>
            <w:shd w:val="clear" w:color="auto" w:fill="auto"/>
            <w:noWrap/>
            <w:vAlign w:val="center"/>
            <w:hideMark/>
          </w:tcPr>
          <w:p w14:paraId="48509BF2" w14:textId="77777777" w:rsidR="00852C9E" w:rsidRPr="002E2B5B" w:rsidRDefault="00852C9E" w:rsidP="002E2B5B">
            <w:pPr>
              <w:rPr>
                <w:rFonts w:ascii="Calibri" w:hAnsi="Calibri" w:cs="Calibri"/>
                <w:color w:val="000000"/>
                <w:sz w:val="16"/>
                <w:szCs w:val="16"/>
              </w:rPr>
            </w:pPr>
            <w:r w:rsidRPr="002E2B5B">
              <w:rPr>
                <w:rFonts w:ascii="Calibri" w:hAnsi="Calibri" w:cs="Calibri"/>
                <w:color w:val="000000"/>
                <w:sz w:val="16"/>
                <w:szCs w:val="16"/>
              </w:rPr>
              <w:t> </w:t>
            </w:r>
          </w:p>
        </w:tc>
        <w:tc>
          <w:tcPr>
            <w:tcW w:w="1479" w:type="dxa"/>
            <w:gridSpan w:val="2"/>
            <w:tcBorders>
              <w:top w:val="nil"/>
              <w:left w:val="nil"/>
              <w:bottom w:val="nil"/>
              <w:right w:val="nil"/>
            </w:tcBorders>
            <w:shd w:val="clear" w:color="auto" w:fill="auto"/>
            <w:noWrap/>
            <w:vAlign w:val="center"/>
          </w:tcPr>
          <w:p w14:paraId="577B6B1B" w14:textId="77777777" w:rsidR="00852C9E" w:rsidRPr="002E2B5B" w:rsidRDefault="00852C9E" w:rsidP="002E2B5B">
            <w:pPr>
              <w:jc w:val="right"/>
              <w:rPr>
                <w:rFonts w:ascii="Calibri" w:hAnsi="Calibri" w:cs="Calibri"/>
                <w:b/>
                <w:bCs/>
                <w:color w:val="000000"/>
                <w:sz w:val="16"/>
                <w:szCs w:val="16"/>
              </w:rPr>
            </w:pPr>
          </w:p>
        </w:tc>
        <w:tc>
          <w:tcPr>
            <w:tcW w:w="2167" w:type="dxa"/>
            <w:tcBorders>
              <w:top w:val="nil"/>
              <w:left w:val="nil"/>
              <w:bottom w:val="nil"/>
              <w:right w:val="nil"/>
            </w:tcBorders>
            <w:shd w:val="clear" w:color="auto" w:fill="auto"/>
            <w:noWrap/>
            <w:vAlign w:val="center"/>
            <w:hideMark/>
          </w:tcPr>
          <w:p w14:paraId="34C8BCA2" w14:textId="77777777" w:rsidR="00852C9E" w:rsidRPr="002E2B5B" w:rsidRDefault="00852C9E" w:rsidP="002E2B5B">
            <w:pPr>
              <w:jc w:val="right"/>
              <w:rPr>
                <w:rFonts w:ascii="Calibri" w:hAnsi="Calibri" w:cs="Calibri"/>
                <w:color w:val="000000"/>
                <w:sz w:val="16"/>
                <w:szCs w:val="16"/>
              </w:rPr>
            </w:pPr>
            <w:r w:rsidRPr="002E2B5B">
              <w:rPr>
                <w:rFonts w:ascii="Calibri" w:hAnsi="Calibri" w:cs="Calibri"/>
                <w:color w:val="000000"/>
                <w:sz w:val="16"/>
                <w:szCs w:val="16"/>
              </w:rPr>
              <w:t>22.233.502.272</w:t>
            </w:r>
          </w:p>
        </w:tc>
        <w:tc>
          <w:tcPr>
            <w:tcW w:w="1686" w:type="dxa"/>
            <w:tcBorders>
              <w:top w:val="nil"/>
              <w:left w:val="nil"/>
              <w:bottom w:val="nil"/>
              <w:right w:val="nil"/>
            </w:tcBorders>
            <w:vAlign w:val="center"/>
          </w:tcPr>
          <w:p w14:paraId="13F953D1" w14:textId="326392E2" w:rsidR="00852C9E" w:rsidRPr="002E2B5B" w:rsidRDefault="00FA301F" w:rsidP="002E2B5B">
            <w:pPr>
              <w:jc w:val="right"/>
              <w:rPr>
                <w:rFonts w:ascii="Calibri" w:hAnsi="Calibri" w:cs="Calibri"/>
                <w:b/>
                <w:bCs/>
                <w:color w:val="000000"/>
                <w:sz w:val="16"/>
                <w:szCs w:val="16"/>
              </w:rPr>
            </w:pPr>
            <w:r w:rsidRPr="002E2B5B">
              <w:rPr>
                <w:rFonts w:ascii="Calibri" w:hAnsi="Calibri" w:cs="Calibri"/>
                <w:color w:val="000000"/>
                <w:sz w:val="16"/>
                <w:szCs w:val="16"/>
              </w:rPr>
              <w:t>22.233.502.272</w:t>
            </w:r>
          </w:p>
        </w:tc>
      </w:tr>
      <w:tr w:rsidR="00852C9E" w:rsidRPr="002E2B5B" w14:paraId="2C8A4241" w14:textId="77777777" w:rsidTr="00852C9E">
        <w:trPr>
          <w:trHeight w:val="315"/>
        </w:trPr>
        <w:tc>
          <w:tcPr>
            <w:tcW w:w="4788" w:type="dxa"/>
            <w:gridSpan w:val="2"/>
            <w:tcBorders>
              <w:top w:val="nil"/>
              <w:left w:val="nil"/>
              <w:bottom w:val="single" w:sz="8" w:space="0" w:color="auto"/>
              <w:right w:val="nil"/>
            </w:tcBorders>
            <w:shd w:val="clear" w:color="auto" w:fill="auto"/>
            <w:noWrap/>
            <w:vAlign w:val="center"/>
            <w:hideMark/>
          </w:tcPr>
          <w:p w14:paraId="33A73D26" w14:textId="77777777" w:rsidR="00852C9E" w:rsidRPr="002E2B5B" w:rsidRDefault="00852C9E" w:rsidP="002E2B5B">
            <w:pPr>
              <w:rPr>
                <w:rFonts w:ascii="Calibri" w:hAnsi="Calibri" w:cs="Calibri"/>
                <w:color w:val="000000"/>
                <w:sz w:val="16"/>
                <w:szCs w:val="16"/>
              </w:rPr>
            </w:pPr>
            <w:r w:rsidRPr="002E2B5B">
              <w:rPr>
                <w:rFonts w:ascii="Calibri" w:hAnsi="Calibri" w:cs="Calibri"/>
                <w:color w:val="000000"/>
                <w:sz w:val="16"/>
                <w:szCs w:val="16"/>
              </w:rPr>
              <w:t>Aumento do capital pela integralização do AFAC</w:t>
            </w:r>
          </w:p>
        </w:tc>
        <w:tc>
          <w:tcPr>
            <w:tcW w:w="1479" w:type="dxa"/>
            <w:gridSpan w:val="2"/>
            <w:tcBorders>
              <w:top w:val="nil"/>
              <w:left w:val="nil"/>
              <w:bottom w:val="nil"/>
              <w:right w:val="nil"/>
            </w:tcBorders>
            <w:shd w:val="clear" w:color="auto" w:fill="auto"/>
            <w:noWrap/>
            <w:vAlign w:val="center"/>
          </w:tcPr>
          <w:p w14:paraId="31E19FBD" w14:textId="77777777" w:rsidR="00852C9E" w:rsidRPr="002E2B5B" w:rsidRDefault="00852C9E" w:rsidP="002E2B5B">
            <w:pPr>
              <w:jc w:val="right"/>
              <w:rPr>
                <w:rFonts w:ascii="Calibri" w:hAnsi="Calibri" w:cs="Calibri"/>
                <w:color w:val="000000"/>
                <w:sz w:val="16"/>
                <w:szCs w:val="16"/>
              </w:rPr>
            </w:pPr>
          </w:p>
        </w:tc>
        <w:tc>
          <w:tcPr>
            <w:tcW w:w="2167" w:type="dxa"/>
            <w:tcBorders>
              <w:top w:val="nil"/>
              <w:left w:val="nil"/>
              <w:bottom w:val="nil"/>
              <w:right w:val="nil"/>
            </w:tcBorders>
            <w:shd w:val="clear" w:color="auto" w:fill="auto"/>
            <w:noWrap/>
            <w:vAlign w:val="center"/>
            <w:hideMark/>
          </w:tcPr>
          <w:p w14:paraId="37B9F3B2" w14:textId="77777777" w:rsidR="00852C9E" w:rsidRPr="002E2B5B" w:rsidRDefault="00837D86"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686" w:type="dxa"/>
            <w:tcBorders>
              <w:top w:val="nil"/>
              <w:left w:val="nil"/>
              <w:bottom w:val="nil"/>
              <w:right w:val="nil"/>
            </w:tcBorders>
            <w:shd w:val="clear" w:color="auto" w:fill="auto"/>
            <w:noWrap/>
            <w:vAlign w:val="center"/>
            <w:hideMark/>
          </w:tcPr>
          <w:p w14:paraId="73C6CBED" w14:textId="6BACC7D3" w:rsidR="00852C9E" w:rsidRPr="002E2B5B" w:rsidRDefault="00FA301F" w:rsidP="002E2B5B">
            <w:pPr>
              <w:jc w:val="right"/>
              <w:rPr>
                <w:rFonts w:ascii="Calibri" w:hAnsi="Calibri" w:cs="Calibri"/>
                <w:color w:val="000000"/>
                <w:sz w:val="16"/>
                <w:szCs w:val="16"/>
              </w:rPr>
            </w:pPr>
            <w:r>
              <w:rPr>
                <w:rFonts w:ascii="Calibri" w:hAnsi="Calibri" w:cs="Calibri"/>
                <w:color w:val="000000"/>
                <w:sz w:val="16"/>
                <w:szCs w:val="16"/>
              </w:rPr>
              <w:t>0</w:t>
            </w:r>
          </w:p>
        </w:tc>
      </w:tr>
      <w:tr w:rsidR="00852C9E" w:rsidRPr="002E2B5B" w14:paraId="3C46EB82" w14:textId="77777777" w:rsidTr="00852C9E">
        <w:trPr>
          <w:trHeight w:val="315"/>
        </w:trPr>
        <w:tc>
          <w:tcPr>
            <w:tcW w:w="3732" w:type="dxa"/>
            <w:tcBorders>
              <w:top w:val="nil"/>
              <w:left w:val="nil"/>
              <w:bottom w:val="single" w:sz="8" w:space="0" w:color="auto"/>
              <w:right w:val="nil"/>
            </w:tcBorders>
            <w:shd w:val="clear" w:color="auto" w:fill="auto"/>
            <w:noWrap/>
            <w:vAlign w:val="center"/>
            <w:hideMark/>
          </w:tcPr>
          <w:p w14:paraId="4F1C7488" w14:textId="77777777" w:rsidR="00852C9E" w:rsidRPr="002E2B5B" w:rsidRDefault="00852C9E"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1056" w:type="dxa"/>
            <w:tcBorders>
              <w:top w:val="nil"/>
              <w:left w:val="nil"/>
              <w:bottom w:val="single" w:sz="8" w:space="0" w:color="auto"/>
              <w:right w:val="nil"/>
            </w:tcBorders>
            <w:shd w:val="clear" w:color="auto" w:fill="auto"/>
            <w:noWrap/>
            <w:vAlign w:val="center"/>
            <w:hideMark/>
          </w:tcPr>
          <w:p w14:paraId="11AF52BC" w14:textId="77777777" w:rsidR="00852C9E" w:rsidRPr="002E2B5B" w:rsidRDefault="00852C9E" w:rsidP="002E2B5B">
            <w:pPr>
              <w:rPr>
                <w:rFonts w:ascii="Calibri" w:hAnsi="Calibri" w:cs="Calibri"/>
                <w:color w:val="000000"/>
                <w:sz w:val="16"/>
                <w:szCs w:val="16"/>
              </w:rPr>
            </w:pPr>
            <w:r w:rsidRPr="002E2B5B">
              <w:rPr>
                <w:rFonts w:ascii="Calibri" w:hAnsi="Calibri" w:cs="Calibri"/>
                <w:color w:val="000000"/>
                <w:sz w:val="16"/>
                <w:szCs w:val="16"/>
              </w:rPr>
              <w:t> </w:t>
            </w:r>
          </w:p>
        </w:tc>
        <w:tc>
          <w:tcPr>
            <w:tcW w:w="1479" w:type="dxa"/>
            <w:gridSpan w:val="2"/>
            <w:tcBorders>
              <w:top w:val="single" w:sz="8" w:space="0" w:color="auto"/>
              <w:left w:val="nil"/>
              <w:bottom w:val="single" w:sz="8" w:space="0" w:color="auto"/>
              <w:right w:val="nil"/>
            </w:tcBorders>
            <w:shd w:val="clear" w:color="auto" w:fill="auto"/>
            <w:noWrap/>
            <w:vAlign w:val="center"/>
          </w:tcPr>
          <w:p w14:paraId="0E05BB29" w14:textId="77777777" w:rsidR="00852C9E" w:rsidRPr="002E2B5B" w:rsidRDefault="00852C9E" w:rsidP="002E2B5B">
            <w:pPr>
              <w:jc w:val="right"/>
              <w:rPr>
                <w:rFonts w:ascii="Calibri" w:hAnsi="Calibri" w:cs="Calibri"/>
                <w:b/>
                <w:bCs/>
                <w:color w:val="000000"/>
                <w:sz w:val="16"/>
                <w:szCs w:val="16"/>
              </w:rPr>
            </w:pPr>
          </w:p>
        </w:tc>
        <w:tc>
          <w:tcPr>
            <w:tcW w:w="2167" w:type="dxa"/>
            <w:tcBorders>
              <w:top w:val="single" w:sz="8" w:space="0" w:color="auto"/>
              <w:left w:val="nil"/>
              <w:bottom w:val="single" w:sz="8" w:space="0" w:color="auto"/>
              <w:right w:val="nil"/>
            </w:tcBorders>
            <w:shd w:val="clear" w:color="auto" w:fill="auto"/>
            <w:noWrap/>
            <w:vAlign w:val="center"/>
            <w:hideMark/>
          </w:tcPr>
          <w:p w14:paraId="0CE9C49A" w14:textId="77777777" w:rsidR="00852C9E" w:rsidRPr="002E2B5B" w:rsidRDefault="00837D86" w:rsidP="002E2B5B">
            <w:pPr>
              <w:jc w:val="right"/>
              <w:rPr>
                <w:rFonts w:ascii="Calibri" w:hAnsi="Calibri" w:cs="Calibri"/>
                <w:b/>
                <w:bCs/>
                <w:color w:val="000000"/>
                <w:sz w:val="16"/>
                <w:szCs w:val="16"/>
              </w:rPr>
            </w:pPr>
            <w:r w:rsidRPr="002E2B5B">
              <w:rPr>
                <w:rFonts w:ascii="Calibri" w:hAnsi="Calibri" w:cs="Calibri"/>
                <w:b/>
                <w:bCs/>
                <w:color w:val="000000"/>
                <w:sz w:val="16"/>
                <w:szCs w:val="16"/>
              </w:rPr>
              <w:t>22.233.502.272</w:t>
            </w:r>
          </w:p>
        </w:tc>
        <w:tc>
          <w:tcPr>
            <w:tcW w:w="1686" w:type="dxa"/>
            <w:tcBorders>
              <w:top w:val="single" w:sz="8" w:space="0" w:color="auto"/>
              <w:left w:val="nil"/>
              <w:bottom w:val="single" w:sz="8" w:space="0" w:color="auto"/>
              <w:right w:val="nil"/>
            </w:tcBorders>
            <w:vAlign w:val="center"/>
          </w:tcPr>
          <w:p w14:paraId="7F27FDF7" w14:textId="77777777" w:rsidR="00852C9E" w:rsidRPr="002E2B5B" w:rsidRDefault="00852C9E" w:rsidP="002E2B5B">
            <w:pPr>
              <w:jc w:val="right"/>
              <w:rPr>
                <w:rFonts w:ascii="Calibri" w:hAnsi="Calibri" w:cs="Calibri"/>
                <w:b/>
                <w:bCs/>
                <w:color w:val="000000"/>
                <w:sz w:val="16"/>
                <w:szCs w:val="16"/>
              </w:rPr>
            </w:pPr>
            <w:r w:rsidRPr="002E2B5B">
              <w:rPr>
                <w:rFonts w:ascii="Calibri" w:hAnsi="Calibri" w:cs="Calibri"/>
                <w:b/>
                <w:bCs/>
                <w:color w:val="000000"/>
                <w:sz w:val="16"/>
                <w:szCs w:val="16"/>
              </w:rPr>
              <w:t>22.233.502.272</w:t>
            </w:r>
          </w:p>
        </w:tc>
      </w:tr>
    </w:tbl>
    <w:p w14:paraId="7236060E" w14:textId="77777777" w:rsidR="00FA301F" w:rsidRDefault="00FA301F" w:rsidP="00FA301F">
      <w:pPr>
        <w:ind w:left="284" w:right="-142"/>
        <w:jc w:val="both"/>
        <w:rPr>
          <w:rFonts w:ascii="Calibri" w:hAnsi="Calibri" w:cs="Calibri"/>
          <w:b/>
          <w:sz w:val="22"/>
          <w:szCs w:val="22"/>
        </w:rPr>
      </w:pPr>
    </w:p>
    <w:p w14:paraId="48882B9A" w14:textId="1D934ABD" w:rsidR="00CB1154" w:rsidRDefault="00D2082F" w:rsidP="002E2B5B">
      <w:pPr>
        <w:numPr>
          <w:ilvl w:val="0"/>
          <w:numId w:val="3"/>
        </w:numPr>
        <w:ind w:left="284" w:right="-142" w:hanging="284"/>
        <w:jc w:val="both"/>
        <w:rPr>
          <w:rFonts w:ascii="Calibri" w:hAnsi="Calibri" w:cs="Calibri"/>
          <w:b/>
          <w:sz w:val="22"/>
          <w:szCs w:val="22"/>
        </w:rPr>
      </w:pPr>
      <w:r w:rsidRPr="002E2B5B">
        <w:rPr>
          <w:rFonts w:ascii="Calibri" w:hAnsi="Calibri" w:cs="Calibri"/>
          <w:b/>
          <w:sz w:val="22"/>
          <w:szCs w:val="22"/>
        </w:rPr>
        <w:t>Prejuízos Acumulados</w:t>
      </w:r>
    </w:p>
    <w:p w14:paraId="36A6EDAE" w14:textId="77777777" w:rsidR="00FA301F" w:rsidRPr="002E2B5B" w:rsidRDefault="00FA301F" w:rsidP="00FA301F">
      <w:pPr>
        <w:ind w:left="284" w:right="-142"/>
        <w:jc w:val="both"/>
        <w:rPr>
          <w:rFonts w:ascii="Calibri" w:hAnsi="Calibri" w:cs="Calibri"/>
          <w:b/>
          <w:sz w:val="22"/>
          <w:szCs w:val="22"/>
        </w:rPr>
      </w:pPr>
    </w:p>
    <w:p w14:paraId="0E74AFFB" w14:textId="53EE6930" w:rsidR="00B87A63" w:rsidRPr="002E2B5B" w:rsidRDefault="00E458B9" w:rsidP="002E2B5B">
      <w:pPr>
        <w:spacing w:after="120"/>
        <w:ind w:right="57"/>
        <w:jc w:val="both"/>
        <w:rPr>
          <w:rFonts w:ascii="Calibri" w:hAnsi="Calibri" w:cs="Calibri"/>
          <w:sz w:val="22"/>
          <w:szCs w:val="22"/>
        </w:rPr>
      </w:pPr>
      <w:r w:rsidRPr="002E2B5B">
        <w:rPr>
          <w:rFonts w:ascii="Calibri" w:hAnsi="Calibri" w:cs="Calibri"/>
          <w:sz w:val="22"/>
          <w:szCs w:val="22"/>
        </w:rPr>
        <w:t xml:space="preserve">O Prejuízo Acumulado no valor </w:t>
      </w:r>
      <w:r w:rsidR="00824D67" w:rsidRPr="002E2B5B">
        <w:rPr>
          <w:rFonts w:ascii="Calibri" w:hAnsi="Calibri" w:cs="Calibri"/>
          <w:sz w:val="22"/>
          <w:szCs w:val="22"/>
        </w:rPr>
        <w:t xml:space="preserve">de R$ </w:t>
      </w:r>
      <w:r w:rsidR="000D65C1" w:rsidRPr="002E2B5B">
        <w:rPr>
          <w:rFonts w:ascii="Calibri" w:hAnsi="Calibri" w:cs="Calibri"/>
          <w:sz w:val="22"/>
          <w:szCs w:val="22"/>
        </w:rPr>
        <w:t>20,</w:t>
      </w:r>
      <w:r w:rsidR="000A115F" w:rsidRPr="002E2B5B">
        <w:rPr>
          <w:rFonts w:ascii="Calibri" w:hAnsi="Calibri" w:cs="Calibri"/>
          <w:sz w:val="22"/>
          <w:szCs w:val="22"/>
        </w:rPr>
        <w:t>3</w:t>
      </w:r>
      <w:r w:rsidR="006A236D" w:rsidRPr="002E2B5B">
        <w:rPr>
          <w:rFonts w:ascii="Calibri" w:hAnsi="Calibri" w:cs="Calibri"/>
          <w:sz w:val="22"/>
          <w:szCs w:val="22"/>
        </w:rPr>
        <w:t xml:space="preserve"> </w:t>
      </w:r>
      <w:r w:rsidR="0035020D" w:rsidRPr="002E2B5B">
        <w:rPr>
          <w:rFonts w:ascii="Calibri" w:hAnsi="Calibri" w:cs="Calibri"/>
          <w:sz w:val="22"/>
          <w:szCs w:val="22"/>
        </w:rPr>
        <w:t>b</w:t>
      </w:r>
      <w:r w:rsidR="006A236D" w:rsidRPr="002E2B5B">
        <w:rPr>
          <w:rFonts w:ascii="Calibri" w:hAnsi="Calibri" w:cs="Calibri"/>
          <w:sz w:val="22"/>
          <w:szCs w:val="22"/>
        </w:rPr>
        <w:t>ilhões</w:t>
      </w:r>
      <w:r w:rsidRPr="002E2B5B">
        <w:rPr>
          <w:rFonts w:ascii="Calibri" w:hAnsi="Calibri" w:cs="Calibri"/>
          <w:sz w:val="22"/>
          <w:szCs w:val="22"/>
        </w:rPr>
        <w:t xml:space="preserve"> decorre</w:t>
      </w:r>
      <w:r w:rsidR="00FB744A" w:rsidRPr="002E2B5B">
        <w:rPr>
          <w:rFonts w:ascii="Calibri" w:hAnsi="Calibri" w:cs="Calibri"/>
          <w:sz w:val="22"/>
          <w:szCs w:val="22"/>
        </w:rPr>
        <w:t xml:space="preserve"> </w:t>
      </w:r>
      <w:r w:rsidR="00AA74D1" w:rsidRPr="002E2B5B">
        <w:rPr>
          <w:rFonts w:ascii="Calibri" w:hAnsi="Calibri" w:cs="Calibri"/>
          <w:sz w:val="22"/>
          <w:szCs w:val="22"/>
        </w:rPr>
        <w:t xml:space="preserve">das depreciações dos bens patrimoniais e amortizações dos bens intangíveis; </w:t>
      </w:r>
      <w:r w:rsidRPr="002E2B5B">
        <w:rPr>
          <w:rFonts w:ascii="Calibri" w:hAnsi="Calibri" w:cs="Calibri"/>
          <w:sz w:val="22"/>
          <w:szCs w:val="22"/>
        </w:rPr>
        <w:t>dos efeitos inflacionários da atualização monetária dos Adiantamentos para Futuro Aumento de Capital; da constituição de provisões e atualizações monetárias; do resultado negativo da equivalência patrimonial sobre o investimento n</w:t>
      </w:r>
      <w:r w:rsidR="001011FD" w:rsidRPr="002E2B5B">
        <w:rPr>
          <w:rFonts w:ascii="Calibri" w:hAnsi="Calibri" w:cs="Calibri"/>
          <w:sz w:val="22"/>
          <w:szCs w:val="22"/>
        </w:rPr>
        <w:t>a Transnordestina Logística S/A;  da baixa de ativo</w:t>
      </w:r>
      <w:r w:rsidR="000C3C86" w:rsidRPr="002E2B5B">
        <w:rPr>
          <w:rFonts w:ascii="Calibri" w:hAnsi="Calibri" w:cs="Calibri"/>
          <w:sz w:val="22"/>
          <w:szCs w:val="22"/>
        </w:rPr>
        <w:t>s</w:t>
      </w:r>
      <w:r w:rsidR="001011FD" w:rsidRPr="002E2B5B">
        <w:rPr>
          <w:rFonts w:ascii="Calibri" w:hAnsi="Calibri" w:cs="Calibri"/>
          <w:sz w:val="22"/>
          <w:szCs w:val="22"/>
        </w:rPr>
        <w:t xml:space="preserve"> imobilizad</w:t>
      </w:r>
      <w:r w:rsidR="00604EFA" w:rsidRPr="002E2B5B">
        <w:rPr>
          <w:rFonts w:ascii="Calibri" w:hAnsi="Calibri" w:cs="Calibri"/>
          <w:sz w:val="22"/>
          <w:szCs w:val="22"/>
        </w:rPr>
        <w:t>o</w:t>
      </w:r>
      <w:r w:rsidR="000C3C86" w:rsidRPr="002E2B5B">
        <w:rPr>
          <w:rFonts w:ascii="Calibri" w:hAnsi="Calibri" w:cs="Calibri"/>
          <w:sz w:val="22"/>
          <w:szCs w:val="22"/>
        </w:rPr>
        <w:t>s</w:t>
      </w:r>
      <w:r w:rsidR="00604EFA" w:rsidRPr="002E2B5B">
        <w:rPr>
          <w:rFonts w:ascii="Calibri" w:hAnsi="Calibri" w:cs="Calibri"/>
          <w:sz w:val="22"/>
          <w:szCs w:val="22"/>
        </w:rPr>
        <w:t xml:space="preserve"> em decorrência da conclusão de Tomadas de Contas Especiais do</w:t>
      </w:r>
      <w:r w:rsidR="001011FD" w:rsidRPr="002E2B5B">
        <w:rPr>
          <w:rFonts w:ascii="Calibri" w:hAnsi="Calibri" w:cs="Calibri"/>
          <w:sz w:val="22"/>
          <w:szCs w:val="22"/>
        </w:rPr>
        <w:t xml:space="preserve"> TCU</w:t>
      </w:r>
      <w:r w:rsidR="00FB744A" w:rsidRPr="002E2B5B">
        <w:rPr>
          <w:rFonts w:ascii="Calibri" w:hAnsi="Calibri" w:cs="Calibri"/>
          <w:sz w:val="22"/>
          <w:szCs w:val="22"/>
        </w:rPr>
        <w:t xml:space="preserve">; e principalmente, pela </w:t>
      </w:r>
      <w:r w:rsidR="0035020D" w:rsidRPr="002E2B5B">
        <w:rPr>
          <w:rFonts w:ascii="Calibri" w:hAnsi="Calibri" w:cs="Calibri"/>
          <w:sz w:val="22"/>
          <w:szCs w:val="22"/>
        </w:rPr>
        <w:t>provisão de perda ao valor recuperável</w:t>
      </w:r>
      <w:r w:rsidR="00FB744A" w:rsidRPr="002E2B5B">
        <w:rPr>
          <w:rFonts w:ascii="Calibri" w:hAnsi="Calibri" w:cs="Calibri"/>
          <w:sz w:val="22"/>
          <w:szCs w:val="22"/>
        </w:rPr>
        <w:t xml:space="preserve"> dos ativos da Ferrovia Norte Sul</w:t>
      </w:r>
      <w:r w:rsidR="00D518C0" w:rsidRPr="002E2B5B">
        <w:rPr>
          <w:rFonts w:ascii="Calibri" w:hAnsi="Calibri" w:cs="Calibri"/>
          <w:sz w:val="22"/>
          <w:szCs w:val="22"/>
        </w:rPr>
        <w:t xml:space="preserve"> e da Ferrovia de Integração Oeste Leste</w:t>
      </w:r>
      <w:r w:rsidR="00586E18">
        <w:rPr>
          <w:rFonts w:ascii="Calibri" w:hAnsi="Calibri" w:cs="Calibri"/>
          <w:sz w:val="22"/>
          <w:szCs w:val="22"/>
        </w:rPr>
        <w:t>.</w:t>
      </w:r>
    </w:p>
    <w:p w14:paraId="7F9B861A" w14:textId="1D7F693D" w:rsidR="00B87A63" w:rsidRPr="002E2B5B" w:rsidRDefault="001A1797" w:rsidP="002E2B5B">
      <w:pPr>
        <w:spacing w:after="120"/>
        <w:ind w:right="57"/>
        <w:jc w:val="both"/>
        <w:rPr>
          <w:rFonts w:ascii="Calibri" w:hAnsi="Calibri" w:cs="Calibri"/>
          <w:sz w:val="22"/>
          <w:szCs w:val="22"/>
        </w:rPr>
      </w:pPr>
      <w:r w:rsidRPr="002E2B5B">
        <w:rPr>
          <w:rFonts w:ascii="Calibri" w:hAnsi="Calibri" w:cs="Calibri"/>
          <w:sz w:val="22"/>
          <w:szCs w:val="22"/>
        </w:rPr>
        <w:t>O valor total da provisão para perda ao valor recuperável de ativos – FNS é de R$ 11,</w:t>
      </w:r>
      <w:r w:rsidR="00F07F25" w:rsidRPr="002E2B5B">
        <w:rPr>
          <w:rFonts w:ascii="Calibri" w:hAnsi="Calibri" w:cs="Calibri"/>
          <w:sz w:val="22"/>
          <w:szCs w:val="22"/>
        </w:rPr>
        <w:t>3</w:t>
      </w:r>
      <w:r w:rsidRPr="002E2B5B">
        <w:rPr>
          <w:rFonts w:ascii="Calibri" w:hAnsi="Calibri" w:cs="Calibri"/>
          <w:sz w:val="22"/>
          <w:szCs w:val="22"/>
        </w:rPr>
        <w:t xml:space="preserve"> bilhões, sendo que R$ 2,3 bilhões foram provisionados em exercícios anteriores</w:t>
      </w:r>
      <w:r w:rsidR="00F07F25" w:rsidRPr="002E2B5B">
        <w:rPr>
          <w:rFonts w:ascii="Calibri" w:hAnsi="Calibri" w:cs="Calibri"/>
          <w:sz w:val="22"/>
          <w:szCs w:val="22"/>
        </w:rPr>
        <w:t xml:space="preserve"> a 2019</w:t>
      </w:r>
      <w:r w:rsidRPr="002E2B5B">
        <w:rPr>
          <w:rFonts w:ascii="Calibri" w:hAnsi="Calibri" w:cs="Calibri"/>
          <w:sz w:val="22"/>
          <w:szCs w:val="22"/>
        </w:rPr>
        <w:t xml:space="preserve">, por se tratar do Trecho da Ferrovia Norte-Sul </w:t>
      </w:r>
      <w:proofErr w:type="spellStart"/>
      <w:r w:rsidRPr="002E2B5B">
        <w:rPr>
          <w:rFonts w:ascii="Calibri" w:hAnsi="Calibri" w:cs="Calibri"/>
          <w:sz w:val="22"/>
          <w:szCs w:val="22"/>
        </w:rPr>
        <w:t>subconcedido</w:t>
      </w:r>
      <w:proofErr w:type="spellEnd"/>
      <w:r w:rsidRPr="002E2B5B">
        <w:rPr>
          <w:rFonts w:ascii="Calibri" w:hAnsi="Calibri" w:cs="Calibri"/>
          <w:sz w:val="22"/>
          <w:szCs w:val="22"/>
        </w:rPr>
        <w:t xml:space="preserve"> em 2007 para a empresa FNS S/A</w:t>
      </w:r>
      <w:r w:rsidR="00F07F25" w:rsidRPr="002E2B5B">
        <w:rPr>
          <w:rFonts w:ascii="Calibri" w:hAnsi="Calibri" w:cs="Calibri"/>
          <w:sz w:val="22"/>
          <w:szCs w:val="22"/>
        </w:rPr>
        <w:t>,</w:t>
      </w:r>
      <w:r w:rsidRPr="002E2B5B">
        <w:rPr>
          <w:rFonts w:ascii="Calibri" w:hAnsi="Calibri" w:cs="Calibri"/>
          <w:sz w:val="22"/>
          <w:szCs w:val="22"/>
        </w:rPr>
        <w:t xml:space="preserve"> R$ 8,9 bilhões foram provisionados no exercício de 2019, por ocasião da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à Rumo </w:t>
      </w:r>
      <w:r w:rsidR="00DB7529" w:rsidRPr="002E2B5B">
        <w:rPr>
          <w:rFonts w:ascii="Calibri" w:hAnsi="Calibri" w:cs="Calibri"/>
          <w:sz w:val="22"/>
          <w:szCs w:val="22"/>
        </w:rPr>
        <w:t>M</w:t>
      </w:r>
      <w:r w:rsidRPr="002E2B5B">
        <w:rPr>
          <w:rFonts w:ascii="Calibri" w:hAnsi="Calibri" w:cs="Calibri"/>
          <w:sz w:val="22"/>
          <w:szCs w:val="22"/>
        </w:rPr>
        <w:t xml:space="preserve">alha Central S/A ocorrida </w:t>
      </w:r>
      <w:r w:rsidR="007A6436" w:rsidRPr="002E2B5B">
        <w:rPr>
          <w:rFonts w:ascii="Calibri" w:hAnsi="Calibri" w:cs="Calibri"/>
          <w:sz w:val="22"/>
          <w:szCs w:val="22"/>
        </w:rPr>
        <w:t xml:space="preserve">em </w:t>
      </w:r>
      <w:r w:rsidR="00216A83">
        <w:rPr>
          <w:rFonts w:ascii="Calibri" w:hAnsi="Calibri" w:cs="Calibri"/>
          <w:sz w:val="22"/>
          <w:szCs w:val="22"/>
        </w:rPr>
        <w:t>j</w:t>
      </w:r>
      <w:r w:rsidR="007A6436" w:rsidRPr="002E2B5B">
        <w:rPr>
          <w:rFonts w:ascii="Calibri" w:hAnsi="Calibri" w:cs="Calibri"/>
          <w:sz w:val="22"/>
          <w:szCs w:val="22"/>
        </w:rPr>
        <w:t>ulho de 2019 e</w:t>
      </w:r>
      <w:r w:rsidR="00F07F25" w:rsidRPr="002E2B5B">
        <w:rPr>
          <w:rFonts w:ascii="Calibri" w:hAnsi="Calibri" w:cs="Calibri"/>
          <w:sz w:val="22"/>
          <w:szCs w:val="22"/>
        </w:rPr>
        <w:t xml:space="preserve"> R$ 42,4 milhões, referente a entrada de custos Ferrovia Norte Sul, foram provisionados no exercício de 2020.</w:t>
      </w:r>
    </w:p>
    <w:p w14:paraId="1ADFDB0C" w14:textId="54D946E2" w:rsidR="009203C8" w:rsidRPr="002E2B5B" w:rsidRDefault="000D65C1" w:rsidP="002E2B5B">
      <w:pPr>
        <w:ind w:right="57"/>
        <w:jc w:val="both"/>
        <w:rPr>
          <w:rFonts w:ascii="Calibri" w:hAnsi="Calibri" w:cs="Calibri"/>
          <w:sz w:val="22"/>
          <w:szCs w:val="22"/>
        </w:rPr>
      </w:pPr>
      <w:r w:rsidRPr="002E2B5B">
        <w:rPr>
          <w:rFonts w:ascii="Calibri" w:hAnsi="Calibri" w:cs="Calibri"/>
          <w:sz w:val="22"/>
          <w:szCs w:val="22"/>
        </w:rPr>
        <w:t>O valor total da provisão para perda ao valor recuperável de ativos – FIOL é de R$ 3,2</w:t>
      </w:r>
      <w:r w:rsidR="002E504F" w:rsidRPr="002E2B5B">
        <w:rPr>
          <w:rFonts w:ascii="Calibri" w:hAnsi="Calibri" w:cs="Calibri"/>
          <w:sz w:val="22"/>
          <w:szCs w:val="22"/>
        </w:rPr>
        <w:t>4 bilhões, sendo provisionados R$ 3,19 bilhões em 2019 (reapresentado) e R$ 54,8 milhões em 2020.</w:t>
      </w:r>
    </w:p>
    <w:p w14:paraId="6FEF7C80" w14:textId="77777777" w:rsidR="00564DCF" w:rsidRPr="002E2B5B" w:rsidRDefault="00564DCF" w:rsidP="002E2B5B">
      <w:pPr>
        <w:ind w:right="57"/>
        <w:jc w:val="both"/>
        <w:rPr>
          <w:rFonts w:ascii="Calibri" w:hAnsi="Calibri" w:cs="Calibri"/>
          <w:sz w:val="22"/>
          <w:szCs w:val="22"/>
        </w:rPr>
      </w:pPr>
    </w:p>
    <w:p w14:paraId="790F8650" w14:textId="443020FC" w:rsidR="000C065B" w:rsidRPr="002E2B5B" w:rsidRDefault="009D6DA2" w:rsidP="002E2B5B">
      <w:pPr>
        <w:spacing w:after="120"/>
        <w:ind w:right="-142"/>
        <w:jc w:val="both"/>
        <w:rPr>
          <w:rFonts w:ascii="Calibri" w:hAnsi="Calibri" w:cs="Calibri"/>
          <w:b/>
          <w:sz w:val="22"/>
          <w:szCs w:val="22"/>
        </w:rPr>
      </w:pPr>
      <w:r w:rsidRPr="002E2B5B">
        <w:rPr>
          <w:rFonts w:ascii="Calibri" w:hAnsi="Calibri" w:cs="Calibri"/>
          <w:b/>
          <w:sz w:val="22"/>
          <w:szCs w:val="22"/>
        </w:rPr>
        <w:t>N</w:t>
      </w:r>
      <w:r w:rsidR="00BE1376" w:rsidRPr="002E2B5B">
        <w:rPr>
          <w:rFonts w:ascii="Calibri" w:hAnsi="Calibri" w:cs="Calibri"/>
          <w:b/>
          <w:sz w:val="22"/>
          <w:szCs w:val="22"/>
        </w:rPr>
        <w:t>OTA 1</w:t>
      </w:r>
      <w:r w:rsidR="00216A83">
        <w:rPr>
          <w:rFonts w:ascii="Calibri" w:hAnsi="Calibri" w:cs="Calibri"/>
          <w:b/>
          <w:sz w:val="22"/>
          <w:szCs w:val="22"/>
        </w:rPr>
        <w:t>5</w:t>
      </w:r>
      <w:r w:rsidR="004E146F" w:rsidRPr="002E2B5B">
        <w:rPr>
          <w:rFonts w:ascii="Calibri" w:hAnsi="Calibri" w:cs="Calibri"/>
          <w:b/>
          <w:sz w:val="22"/>
          <w:szCs w:val="22"/>
        </w:rPr>
        <w:t xml:space="preserve"> </w:t>
      </w:r>
      <w:r w:rsidR="00BD043E" w:rsidRPr="002E2B5B">
        <w:rPr>
          <w:rFonts w:ascii="Calibri" w:hAnsi="Calibri" w:cs="Calibri"/>
          <w:b/>
          <w:sz w:val="22"/>
          <w:szCs w:val="22"/>
        </w:rPr>
        <w:t>–</w:t>
      </w:r>
      <w:r w:rsidR="004E146F" w:rsidRPr="002E2B5B">
        <w:rPr>
          <w:rFonts w:ascii="Calibri" w:hAnsi="Calibri" w:cs="Calibri"/>
          <w:b/>
          <w:sz w:val="22"/>
          <w:szCs w:val="22"/>
        </w:rPr>
        <w:t xml:space="preserve"> </w:t>
      </w:r>
      <w:r w:rsidR="00BD043E" w:rsidRPr="002E2B5B">
        <w:rPr>
          <w:rFonts w:ascii="Calibri" w:hAnsi="Calibri" w:cs="Calibri"/>
          <w:b/>
          <w:sz w:val="22"/>
          <w:szCs w:val="22"/>
        </w:rPr>
        <w:t xml:space="preserve">RECEITAS </w:t>
      </w:r>
      <w:r w:rsidR="00F0179E" w:rsidRPr="002E2B5B">
        <w:rPr>
          <w:rFonts w:ascii="Calibri" w:hAnsi="Calibri" w:cs="Calibri"/>
          <w:b/>
          <w:sz w:val="22"/>
          <w:szCs w:val="22"/>
        </w:rPr>
        <w:t>LÍ</w:t>
      </w:r>
      <w:r w:rsidR="00472E99" w:rsidRPr="002E2B5B">
        <w:rPr>
          <w:rFonts w:ascii="Calibri" w:hAnsi="Calibri" w:cs="Calibri"/>
          <w:b/>
          <w:sz w:val="22"/>
          <w:szCs w:val="22"/>
        </w:rPr>
        <w:t>QUIDAS</w:t>
      </w:r>
    </w:p>
    <w:p w14:paraId="532A392B" w14:textId="365E64BD" w:rsidR="00317CCE" w:rsidRDefault="00440A58" w:rsidP="002E2B5B">
      <w:pPr>
        <w:spacing w:after="120"/>
        <w:ind w:right="57"/>
        <w:jc w:val="both"/>
        <w:rPr>
          <w:rFonts w:ascii="Calibri" w:hAnsi="Calibri" w:cs="Calibri"/>
          <w:sz w:val="22"/>
          <w:szCs w:val="22"/>
        </w:rPr>
      </w:pPr>
      <w:r w:rsidRPr="002E2B5B">
        <w:rPr>
          <w:rFonts w:ascii="Calibri" w:hAnsi="Calibri" w:cs="Calibri"/>
          <w:sz w:val="22"/>
          <w:szCs w:val="22"/>
        </w:rPr>
        <w:t>A</w:t>
      </w:r>
      <w:r w:rsidR="009F15D2" w:rsidRPr="002E2B5B">
        <w:rPr>
          <w:rFonts w:ascii="Calibri" w:hAnsi="Calibri" w:cs="Calibri"/>
          <w:sz w:val="22"/>
          <w:szCs w:val="22"/>
        </w:rPr>
        <w:t>s</w:t>
      </w:r>
      <w:r w:rsidRPr="002E2B5B">
        <w:rPr>
          <w:rFonts w:ascii="Calibri" w:hAnsi="Calibri" w:cs="Calibri"/>
          <w:sz w:val="22"/>
          <w:szCs w:val="22"/>
        </w:rPr>
        <w:t xml:space="preserve"> receita</w:t>
      </w:r>
      <w:r w:rsidR="009F15D2" w:rsidRPr="002E2B5B">
        <w:rPr>
          <w:rFonts w:ascii="Calibri" w:hAnsi="Calibri" w:cs="Calibri"/>
          <w:sz w:val="22"/>
          <w:szCs w:val="22"/>
        </w:rPr>
        <w:t>s operacionais da VALEC compreendem as receitas</w:t>
      </w:r>
      <w:r w:rsidRPr="002E2B5B">
        <w:rPr>
          <w:rFonts w:ascii="Calibri" w:hAnsi="Calibri" w:cs="Calibri"/>
          <w:sz w:val="22"/>
          <w:szCs w:val="22"/>
        </w:rPr>
        <w:t xml:space="preserve"> de ex</w:t>
      </w:r>
      <w:r w:rsidR="00733B35" w:rsidRPr="002E2B5B">
        <w:rPr>
          <w:rFonts w:ascii="Calibri" w:hAnsi="Calibri" w:cs="Calibri"/>
          <w:sz w:val="22"/>
          <w:szCs w:val="22"/>
        </w:rPr>
        <w:t>ploração da ferrovia</w:t>
      </w:r>
      <w:r w:rsidR="002A4F16" w:rsidRPr="002E2B5B">
        <w:rPr>
          <w:rFonts w:ascii="Calibri" w:hAnsi="Calibri" w:cs="Calibri"/>
          <w:sz w:val="22"/>
          <w:szCs w:val="22"/>
        </w:rPr>
        <w:t xml:space="preserve"> e</w:t>
      </w:r>
      <w:r w:rsidR="009F15D2" w:rsidRPr="002E2B5B">
        <w:rPr>
          <w:rFonts w:ascii="Calibri" w:hAnsi="Calibri" w:cs="Calibri"/>
          <w:sz w:val="22"/>
          <w:szCs w:val="22"/>
        </w:rPr>
        <w:t xml:space="preserve"> as receitas de permissões de uso de pátios. A receita </w:t>
      </w:r>
      <w:r w:rsidR="00472E99" w:rsidRPr="002E2B5B">
        <w:rPr>
          <w:rFonts w:ascii="Calibri" w:hAnsi="Calibri" w:cs="Calibri"/>
          <w:sz w:val="22"/>
          <w:szCs w:val="22"/>
        </w:rPr>
        <w:t>l</w:t>
      </w:r>
      <w:r w:rsidR="006478A2" w:rsidRPr="002E2B5B">
        <w:rPr>
          <w:rFonts w:ascii="Calibri" w:hAnsi="Calibri" w:cs="Calibri"/>
          <w:sz w:val="22"/>
          <w:szCs w:val="22"/>
        </w:rPr>
        <w:t>í</w:t>
      </w:r>
      <w:r w:rsidR="00472E99" w:rsidRPr="002E2B5B">
        <w:rPr>
          <w:rFonts w:ascii="Calibri" w:hAnsi="Calibri" w:cs="Calibri"/>
          <w:sz w:val="22"/>
          <w:szCs w:val="22"/>
        </w:rPr>
        <w:t xml:space="preserve">quida </w:t>
      </w:r>
      <w:r w:rsidR="009F15D2" w:rsidRPr="002E2B5B">
        <w:rPr>
          <w:rFonts w:ascii="Calibri" w:hAnsi="Calibri" w:cs="Calibri"/>
          <w:sz w:val="22"/>
          <w:szCs w:val="22"/>
        </w:rPr>
        <w:t>realizada</w:t>
      </w:r>
      <w:r w:rsidR="006D335E">
        <w:rPr>
          <w:rFonts w:ascii="Calibri" w:hAnsi="Calibri" w:cs="Calibri"/>
          <w:sz w:val="22"/>
          <w:szCs w:val="22"/>
        </w:rPr>
        <w:t xml:space="preserve"> </w:t>
      </w:r>
      <w:r w:rsidR="00317CCE">
        <w:rPr>
          <w:rFonts w:ascii="Calibri" w:hAnsi="Calibri" w:cs="Calibri"/>
          <w:sz w:val="22"/>
          <w:szCs w:val="22"/>
        </w:rPr>
        <w:t>até o segundo</w:t>
      </w:r>
      <w:r w:rsidR="006D335E">
        <w:rPr>
          <w:rFonts w:ascii="Calibri" w:hAnsi="Calibri" w:cs="Calibri"/>
          <w:sz w:val="22"/>
          <w:szCs w:val="22"/>
        </w:rPr>
        <w:t xml:space="preserve"> trimestre de </w:t>
      </w:r>
      <w:r w:rsidR="008005D5" w:rsidRPr="002E2B5B">
        <w:rPr>
          <w:rFonts w:ascii="Calibri" w:hAnsi="Calibri" w:cs="Calibri"/>
          <w:sz w:val="22"/>
          <w:szCs w:val="22"/>
        </w:rPr>
        <w:t>20</w:t>
      </w:r>
      <w:r w:rsidR="00837D86" w:rsidRPr="002E2B5B">
        <w:rPr>
          <w:rFonts w:ascii="Calibri" w:hAnsi="Calibri" w:cs="Calibri"/>
          <w:sz w:val="22"/>
          <w:szCs w:val="22"/>
        </w:rPr>
        <w:t>2</w:t>
      </w:r>
      <w:r w:rsidR="006D335E">
        <w:rPr>
          <w:rFonts w:ascii="Calibri" w:hAnsi="Calibri" w:cs="Calibri"/>
          <w:sz w:val="22"/>
          <w:szCs w:val="22"/>
        </w:rPr>
        <w:t>1</w:t>
      </w:r>
      <w:r w:rsidR="008005D5" w:rsidRPr="002E2B5B">
        <w:rPr>
          <w:rFonts w:ascii="Calibri" w:hAnsi="Calibri" w:cs="Calibri"/>
          <w:sz w:val="22"/>
          <w:szCs w:val="22"/>
        </w:rPr>
        <w:t xml:space="preserve"> </w:t>
      </w:r>
      <w:r w:rsidR="009F15D2" w:rsidRPr="002E2B5B">
        <w:rPr>
          <w:rFonts w:ascii="Calibri" w:hAnsi="Calibri" w:cs="Calibri"/>
          <w:sz w:val="22"/>
          <w:szCs w:val="22"/>
        </w:rPr>
        <w:t xml:space="preserve">foi de R$ </w:t>
      </w:r>
      <w:r w:rsidR="00317CCE">
        <w:rPr>
          <w:rFonts w:ascii="Calibri" w:hAnsi="Calibri" w:cs="Calibri"/>
          <w:sz w:val="22"/>
          <w:szCs w:val="22"/>
        </w:rPr>
        <w:t>1,14 milhões</w:t>
      </w:r>
      <w:r w:rsidR="00216A83">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3076"/>
        <w:gridCol w:w="415"/>
        <w:gridCol w:w="1744"/>
        <w:gridCol w:w="1744"/>
        <w:gridCol w:w="1744"/>
        <w:gridCol w:w="1744"/>
      </w:tblGrid>
      <w:tr w:rsidR="00317CCE" w14:paraId="3CD04DCC" w14:textId="77777777" w:rsidTr="00317CCE">
        <w:trPr>
          <w:trHeight w:val="227"/>
        </w:trPr>
        <w:tc>
          <w:tcPr>
            <w:tcW w:w="1667" w:type="pct"/>
            <w:gridSpan w:val="2"/>
            <w:tcBorders>
              <w:top w:val="nil"/>
              <w:left w:val="nil"/>
              <w:bottom w:val="single" w:sz="8" w:space="0" w:color="auto"/>
              <w:right w:val="nil"/>
            </w:tcBorders>
            <w:shd w:val="clear" w:color="auto" w:fill="auto"/>
            <w:noWrap/>
            <w:vAlign w:val="center"/>
            <w:hideMark/>
          </w:tcPr>
          <w:p w14:paraId="0E5F2E68" w14:textId="77777777" w:rsidR="00317CCE" w:rsidRDefault="00317CCE">
            <w:pPr>
              <w:rPr>
                <w:rFonts w:ascii="Calibri" w:hAnsi="Calibri" w:cs="Calibri"/>
                <w:b/>
                <w:bCs/>
                <w:color w:val="000000"/>
                <w:sz w:val="16"/>
                <w:szCs w:val="16"/>
              </w:rPr>
            </w:pPr>
            <w:r>
              <w:rPr>
                <w:rFonts w:ascii="Calibri" w:hAnsi="Calibri" w:cs="Calibri"/>
                <w:b/>
                <w:bCs/>
                <w:color w:val="000000"/>
                <w:sz w:val="16"/>
                <w:szCs w:val="16"/>
              </w:rPr>
              <w:t>RECEITAS LÍQUIDAS</w:t>
            </w:r>
          </w:p>
        </w:tc>
        <w:tc>
          <w:tcPr>
            <w:tcW w:w="833" w:type="pct"/>
            <w:tcBorders>
              <w:top w:val="nil"/>
              <w:left w:val="nil"/>
              <w:bottom w:val="single" w:sz="8" w:space="0" w:color="auto"/>
              <w:right w:val="nil"/>
            </w:tcBorders>
            <w:shd w:val="clear" w:color="auto" w:fill="auto"/>
            <w:noWrap/>
            <w:vAlign w:val="center"/>
            <w:hideMark/>
          </w:tcPr>
          <w:p w14:paraId="7483FFB4" w14:textId="77777777" w:rsidR="00317CCE" w:rsidRDefault="00317CCE">
            <w:pPr>
              <w:rPr>
                <w:rFonts w:ascii="Calibri" w:hAnsi="Calibri" w:cs="Calibri"/>
                <w:b/>
                <w:bCs/>
                <w:color w:val="000000"/>
                <w:sz w:val="16"/>
                <w:szCs w:val="16"/>
              </w:rPr>
            </w:pPr>
            <w:r>
              <w:rPr>
                <w:rFonts w:ascii="Calibri" w:hAnsi="Calibri" w:cs="Calibri"/>
                <w:b/>
                <w:bCs/>
                <w:color w:val="000000"/>
                <w:sz w:val="16"/>
                <w:szCs w:val="16"/>
              </w:rPr>
              <w:t> </w:t>
            </w:r>
          </w:p>
        </w:tc>
        <w:tc>
          <w:tcPr>
            <w:tcW w:w="833" w:type="pct"/>
            <w:tcBorders>
              <w:top w:val="nil"/>
              <w:left w:val="nil"/>
              <w:bottom w:val="single" w:sz="8" w:space="0" w:color="auto"/>
              <w:right w:val="nil"/>
            </w:tcBorders>
            <w:shd w:val="clear" w:color="auto" w:fill="auto"/>
            <w:noWrap/>
            <w:vAlign w:val="center"/>
            <w:hideMark/>
          </w:tcPr>
          <w:p w14:paraId="06F597E0" w14:textId="77777777" w:rsidR="00317CCE" w:rsidRDefault="00317CCE">
            <w:pPr>
              <w:jc w:val="right"/>
              <w:rPr>
                <w:rFonts w:ascii="Calibri" w:hAnsi="Calibri" w:cs="Calibri"/>
                <w:b/>
                <w:bCs/>
                <w:color w:val="000000"/>
                <w:sz w:val="16"/>
                <w:szCs w:val="16"/>
              </w:rPr>
            </w:pPr>
            <w:r>
              <w:rPr>
                <w:rFonts w:ascii="Calibri" w:hAnsi="Calibri" w:cs="Calibri"/>
                <w:b/>
                <w:bCs/>
                <w:color w:val="000000"/>
                <w:sz w:val="16"/>
                <w:szCs w:val="16"/>
              </w:rPr>
              <w:t> </w:t>
            </w:r>
          </w:p>
        </w:tc>
        <w:tc>
          <w:tcPr>
            <w:tcW w:w="833" w:type="pct"/>
            <w:tcBorders>
              <w:top w:val="nil"/>
              <w:left w:val="nil"/>
              <w:bottom w:val="single" w:sz="8" w:space="0" w:color="auto"/>
              <w:right w:val="nil"/>
            </w:tcBorders>
            <w:shd w:val="clear" w:color="auto" w:fill="auto"/>
            <w:noWrap/>
            <w:vAlign w:val="center"/>
            <w:hideMark/>
          </w:tcPr>
          <w:p w14:paraId="16D02D0A" w14:textId="77777777" w:rsidR="00317CCE" w:rsidRDefault="00317CCE">
            <w:pPr>
              <w:jc w:val="right"/>
              <w:rPr>
                <w:rFonts w:ascii="Calibri" w:hAnsi="Calibri" w:cs="Calibri"/>
                <w:b/>
                <w:bCs/>
                <w:color w:val="000000"/>
                <w:sz w:val="16"/>
                <w:szCs w:val="16"/>
              </w:rPr>
            </w:pPr>
            <w:r>
              <w:rPr>
                <w:rFonts w:ascii="Calibri" w:hAnsi="Calibri" w:cs="Calibri"/>
                <w:b/>
                <w:bCs/>
                <w:color w:val="000000"/>
                <w:sz w:val="16"/>
                <w:szCs w:val="16"/>
              </w:rPr>
              <w:t>30/06/2021</w:t>
            </w:r>
          </w:p>
        </w:tc>
        <w:tc>
          <w:tcPr>
            <w:tcW w:w="833" w:type="pct"/>
            <w:tcBorders>
              <w:top w:val="nil"/>
              <w:left w:val="nil"/>
              <w:bottom w:val="single" w:sz="8" w:space="0" w:color="auto"/>
              <w:right w:val="nil"/>
            </w:tcBorders>
            <w:shd w:val="clear" w:color="auto" w:fill="auto"/>
            <w:noWrap/>
            <w:vAlign w:val="center"/>
            <w:hideMark/>
          </w:tcPr>
          <w:p w14:paraId="4B5CA91B" w14:textId="77777777" w:rsidR="00317CCE" w:rsidRDefault="00317CCE">
            <w:pPr>
              <w:jc w:val="right"/>
              <w:rPr>
                <w:rFonts w:ascii="Calibri" w:hAnsi="Calibri" w:cs="Calibri"/>
                <w:b/>
                <w:bCs/>
                <w:color w:val="000000"/>
                <w:sz w:val="16"/>
                <w:szCs w:val="16"/>
              </w:rPr>
            </w:pPr>
            <w:r>
              <w:rPr>
                <w:rFonts w:ascii="Calibri" w:hAnsi="Calibri" w:cs="Calibri"/>
                <w:b/>
                <w:bCs/>
                <w:color w:val="000000"/>
                <w:sz w:val="16"/>
                <w:szCs w:val="16"/>
              </w:rPr>
              <w:t>30/06/2020</w:t>
            </w:r>
          </w:p>
        </w:tc>
      </w:tr>
      <w:tr w:rsidR="00317CCE" w14:paraId="1A76B8F2" w14:textId="77777777" w:rsidTr="00317CCE">
        <w:trPr>
          <w:trHeight w:val="227"/>
        </w:trPr>
        <w:tc>
          <w:tcPr>
            <w:tcW w:w="1667" w:type="pct"/>
            <w:gridSpan w:val="2"/>
            <w:tcBorders>
              <w:top w:val="single" w:sz="8" w:space="0" w:color="auto"/>
              <w:left w:val="nil"/>
              <w:bottom w:val="nil"/>
              <w:right w:val="nil"/>
            </w:tcBorders>
            <w:shd w:val="clear" w:color="auto" w:fill="auto"/>
            <w:noWrap/>
            <w:vAlign w:val="center"/>
            <w:hideMark/>
          </w:tcPr>
          <w:p w14:paraId="1E454E8C" w14:textId="77777777" w:rsidR="00317CCE" w:rsidRDefault="00317CCE">
            <w:pPr>
              <w:rPr>
                <w:rFonts w:ascii="Calibri" w:hAnsi="Calibri" w:cs="Calibri"/>
                <w:color w:val="000000"/>
                <w:sz w:val="16"/>
                <w:szCs w:val="16"/>
              </w:rPr>
            </w:pPr>
            <w:r>
              <w:rPr>
                <w:rFonts w:ascii="Calibri" w:hAnsi="Calibri" w:cs="Calibri"/>
                <w:color w:val="000000"/>
                <w:sz w:val="16"/>
                <w:szCs w:val="16"/>
              </w:rPr>
              <w:t>Exploração de ferrovia</w:t>
            </w:r>
          </w:p>
        </w:tc>
        <w:tc>
          <w:tcPr>
            <w:tcW w:w="833" w:type="pct"/>
            <w:tcBorders>
              <w:top w:val="nil"/>
              <w:left w:val="nil"/>
              <w:bottom w:val="nil"/>
              <w:right w:val="nil"/>
            </w:tcBorders>
            <w:shd w:val="clear" w:color="auto" w:fill="auto"/>
            <w:noWrap/>
            <w:vAlign w:val="center"/>
            <w:hideMark/>
          </w:tcPr>
          <w:p w14:paraId="63E3169E" w14:textId="77777777" w:rsidR="00317CCE" w:rsidRDefault="00317CCE">
            <w:pPr>
              <w:rPr>
                <w:rFonts w:ascii="Calibri" w:hAnsi="Calibri" w:cs="Calibri"/>
                <w:color w:val="000000"/>
                <w:sz w:val="16"/>
                <w:szCs w:val="16"/>
              </w:rPr>
            </w:pPr>
          </w:p>
        </w:tc>
        <w:tc>
          <w:tcPr>
            <w:tcW w:w="833" w:type="pct"/>
            <w:tcBorders>
              <w:top w:val="nil"/>
              <w:left w:val="nil"/>
              <w:bottom w:val="nil"/>
              <w:right w:val="nil"/>
            </w:tcBorders>
            <w:shd w:val="clear" w:color="auto" w:fill="auto"/>
            <w:noWrap/>
            <w:vAlign w:val="center"/>
            <w:hideMark/>
          </w:tcPr>
          <w:p w14:paraId="19E7895C" w14:textId="77777777" w:rsidR="00317CCE" w:rsidRDefault="00317CCE">
            <w:pPr>
              <w:rPr>
                <w:sz w:val="20"/>
                <w:szCs w:val="20"/>
              </w:rPr>
            </w:pPr>
          </w:p>
        </w:tc>
        <w:tc>
          <w:tcPr>
            <w:tcW w:w="833" w:type="pct"/>
            <w:tcBorders>
              <w:top w:val="nil"/>
              <w:left w:val="nil"/>
              <w:bottom w:val="nil"/>
              <w:right w:val="nil"/>
            </w:tcBorders>
            <w:shd w:val="clear" w:color="auto" w:fill="auto"/>
            <w:noWrap/>
            <w:vAlign w:val="center"/>
            <w:hideMark/>
          </w:tcPr>
          <w:p w14:paraId="628D5FB8" w14:textId="77777777" w:rsidR="00317CCE" w:rsidRDefault="00317CCE">
            <w:pPr>
              <w:jc w:val="right"/>
              <w:rPr>
                <w:rFonts w:ascii="Calibri" w:hAnsi="Calibri" w:cs="Calibri"/>
                <w:color w:val="000000"/>
                <w:sz w:val="16"/>
                <w:szCs w:val="16"/>
              </w:rPr>
            </w:pPr>
            <w:r>
              <w:rPr>
                <w:rFonts w:ascii="Calibri" w:hAnsi="Calibri" w:cs="Calibri"/>
                <w:color w:val="000000"/>
                <w:sz w:val="16"/>
                <w:szCs w:val="16"/>
              </w:rPr>
              <w:t>110.877</w:t>
            </w:r>
          </w:p>
        </w:tc>
        <w:tc>
          <w:tcPr>
            <w:tcW w:w="833" w:type="pct"/>
            <w:tcBorders>
              <w:top w:val="nil"/>
              <w:left w:val="nil"/>
              <w:bottom w:val="nil"/>
              <w:right w:val="nil"/>
            </w:tcBorders>
            <w:shd w:val="clear" w:color="auto" w:fill="auto"/>
            <w:noWrap/>
            <w:vAlign w:val="center"/>
            <w:hideMark/>
          </w:tcPr>
          <w:p w14:paraId="649DF2C1" w14:textId="59D75D18" w:rsidR="00317CCE" w:rsidRDefault="00317CCE">
            <w:pPr>
              <w:jc w:val="right"/>
              <w:rPr>
                <w:rFonts w:ascii="Calibri" w:hAnsi="Calibri" w:cs="Calibri"/>
                <w:color w:val="000000"/>
                <w:sz w:val="16"/>
                <w:szCs w:val="16"/>
              </w:rPr>
            </w:pPr>
            <w:r>
              <w:rPr>
                <w:rFonts w:ascii="Calibri" w:hAnsi="Calibri" w:cs="Calibri"/>
                <w:color w:val="000000"/>
                <w:sz w:val="16"/>
                <w:szCs w:val="16"/>
              </w:rPr>
              <w:t>6.251</w:t>
            </w:r>
          </w:p>
        </w:tc>
      </w:tr>
      <w:tr w:rsidR="00317CCE" w14:paraId="023B66AC" w14:textId="77777777" w:rsidTr="00317CCE">
        <w:trPr>
          <w:trHeight w:val="227"/>
        </w:trPr>
        <w:tc>
          <w:tcPr>
            <w:tcW w:w="2500" w:type="pct"/>
            <w:gridSpan w:val="3"/>
            <w:tcBorders>
              <w:top w:val="nil"/>
              <w:left w:val="nil"/>
              <w:bottom w:val="nil"/>
              <w:right w:val="nil"/>
            </w:tcBorders>
            <w:shd w:val="clear" w:color="auto" w:fill="auto"/>
            <w:noWrap/>
            <w:vAlign w:val="center"/>
            <w:hideMark/>
          </w:tcPr>
          <w:p w14:paraId="57A1E5CB" w14:textId="77777777" w:rsidR="00317CCE" w:rsidRDefault="00317CCE">
            <w:pPr>
              <w:rPr>
                <w:rFonts w:ascii="Calibri" w:hAnsi="Calibri" w:cs="Calibri"/>
                <w:color w:val="000000"/>
                <w:sz w:val="16"/>
                <w:szCs w:val="16"/>
              </w:rPr>
            </w:pPr>
            <w:r>
              <w:rPr>
                <w:rFonts w:ascii="Calibri" w:hAnsi="Calibri" w:cs="Calibri"/>
                <w:color w:val="000000"/>
                <w:sz w:val="16"/>
                <w:szCs w:val="16"/>
              </w:rPr>
              <w:t xml:space="preserve">Permissão de uso de pátios </w:t>
            </w:r>
          </w:p>
        </w:tc>
        <w:tc>
          <w:tcPr>
            <w:tcW w:w="833" w:type="pct"/>
            <w:tcBorders>
              <w:top w:val="nil"/>
              <w:left w:val="nil"/>
              <w:bottom w:val="nil"/>
              <w:right w:val="nil"/>
            </w:tcBorders>
            <w:shd w:val="clear" w:color="auto" w:fill="auto"/>
            <w:noWrap/>
            <w:vAlign w:val="center"/>
            <w:hideMark/>
          </w:tcPr>
          <w:p w14:paraId="78F97A54" w14:textId="77777777" w:rsidR="00317CCE" w:rsidRDefault="00317CCE">
            <w:pPr>
              <w:rPr>
                <w:rFonts w:ascii="Calibri" w:hAnsi="Calibri" w:cs="Calibri"/>
                <w:color w:val="000000"/>
                <w:sz w:val="16"/>
                <w:szCs w:val="16"/>
              </w:rPr>
            </w:pPr>
          </w:p>
        </w:tc>
        <w:tc>
          <w:tcPr>
            <w:tcW w:w="833" w:type="pct"/>
            <w:tcBorders>
              <w:top w:val="nil"/>
              <w:left w:val="nil"/>
              <w:bottom w:val="nil"/>
              <w:right w:val="nil"/>
            </w:tcBorders>
            <w:shd w:val="clear" w:color="auto" w:fill="auto"/>
            <w:noWrap/>
            <w:vAlign w:val="center"/>
            <w:hideMark/>
          </w:tcPr>
          <w:p w14:paraId="15D6E3B3" w14:textId="77777777" w:rsidR="00317CCE" w:rsidRDefault="00317CCE">
            <w:pPr>
              <w:jc w:val="right"/>
              <w:rPr>
                <w:rFonts w:ascii="Calibri" w:hAnsi="Calibri" w:cs="Calibri"/>
                <w:color w:val="000000"/>
                <w:sz w:val="16"/>
                <w:szCs w:val="16"/>
              </w:rPr>
            </w:pPr>
            <w:r>
              <w:rPr>
                <w:rFonts w:ascii="Calibri" w:hAnsi="Calibri" w:cs="Calibri"/>
                <w:color w:val="000000"/>
                <w:sz w:val="16"/>
                <w:szCs w:val="16"/>
              </w:rPr>
              <w:t>1.196.191</w:t>
            </w:r>
          </w:p>
        </w:tc>
        <w:tc>
          <w:tcPr>
            <w:tcW w:w="833" w:type="pct"/>
            <w:tcBorders>
              <w:top w:val="nil"/>
              <w:left w:val="nil"/>
              <w:bottom w:val="nil"/>
              <w:right w:val="nil"/>
            </w:tcBorders>
            <w:shd w:val="clear" w:color="auto" w:fill="auto"/>
            <w:noWrap/>
            <w:vAlign w:val="center"/>
            <w:hideMark/>
          </w:tcPr>
          <w:p w14:paraId="6FEA152E" w14:textId="77777777" w:rsidR="00317CCE" w:rsidRDefault="00317CCE">
            <w:pPr>
              <w:jc w:val="right"/>
              <w:rPr>
                <w:rFonts w:ascii="Calibri" w:hAnsi="Calibri" w:cs="Calibri"/>
                <w:color w:val="000000"/>
                <w:sz w:val="16"/>
                <w:szCs w:val="16"/>
              </w:rPr>
            </w:pPr>
            <w:r>
              <w:rPr>
                <w:rFonts w:ascii="Calibri" w:hAnsi="Calibri" w:cs="Calibri"/>
                <w:color w:val="000000"/>
                <w:sz w:val="16"/>
                <w:szCs w:val="16"/>
              </w:rPr>
              <w:t>904.524</w:t>
            </w:r>
          </w:p>
        </w:tc>
      </w:tr>
      <w:tr w:rsidR="00317CCE" w14:paraId="5386EFC0" w14:textId="77777777" w:rsidTr="00317CCE">
        <w:trPr>
          <w:trHeight w:val="227"/>
        </w:trPr>
        <w:tc>
          <w:tcPr>
            <w:tcW w:w="1667" w:type="pct"/>
            <w:gridSpan w:val="2"/>
            <w:tcBorders>
              <w:top w:val="nil"/>
              <w:left w:val="nil"/>
              <w:bottom w:val="single" w:sz="8" w:space="0" w:color="auto"/>
              <w:right w:val="nil"/>
            </w:tcBorders>
            <w:shd w:val="clear" w:color="auto" w:fill="auto"/>
            <w:noWrap/>
            <w:vAlign w:val="center"/>
            <w:hideMark/>
          </w:tcPr>
          <w:p w14:paraId="3BDE89C2" w14:textId="64E5F9A6" w:rsidR="00317CCE" w:rsidRDefault="00317CCE">
            <w:pPr>
              <w:rPr>
                <w:rFonts w:ascii="Calibri" w:hAnsi="Calibri" w:cs="Calibri"/>
                <w:color w:val="000000"/>
                <w:sz w:val="16"/>
                <w:szCs w:val="16"/>
              </w:rPr>
            </w:pPr>
            <w:r>
              <w:rPr>
                <w:rFonts w:ascii="Calibri" w:hAnsi="Calibri" w:cs="Calibri"/>
                <w:color w:val="000000"/>
                <w:sz w:val="16"/>
                <w:szCs w:val="16"/>
              </w:rPr>
              <w:t>Dedução de receita (-)</w:t>
            </w:r>
          </w:p>
        </w:tc>
        <w:tc>
          <w:tcPr>
            <w:tcW w:w="833" w:type="pct"/>
            <w:tcBorders>
              <w:top w:val="nil"/>
              <w:left w:val="nil"/>
              <w:bottom w:val="nil"/>
              <w:right w:val="nil"/>
            </w:tcBorders>
            <w:shd w:val="clear" w:color="auto" w:fill="auto"/>
            <w:noWrap/>
            <w:vAlign w:val="center"/>
            <w:hideMark/>
          </w:tcPr>
          <w:p w14:paraId="6357B6F0" w14:textId="77777777" w:rsidR="00317CCE" w:rsidRDefault="00317CCE">
            <w:pPr>
              <w:rPr>
                <w:rFonts w:ascii="Calibri" w:hAnsi="Calibri" w:cs="Calibri"/>
                <w:color w:val="000000"/>
                <w:sz w:val="16"/>
                <w:szCs w:val="16"/>
              </w:rPr>
            </w:pPr>
          </w:p>
        </w:tc>
        <w:tc>
          <w:tcPr>
            <w:tcW w:w="833" w:type="pct"/>
            <w:tcBorders>
              <w:top w:val="nil"/>
              <w:left w:val="nil"/>
              <w:bottom w:val="nil"/>
              <w:right w:val="nil"/>
            </w:tcBorders>
            <w:shd w:val="clear" w:color="auto" w:fill="auto"/>
            <w:noWrap/>
            <w:vAlign w:val="center"/>
            <w:hideMark/>
          </w:tcPr>
          <w:p w14:paraId="3711EF67" w14:textId="77777777" w:rsidR="00317CCE" w:rsidRDefault="00317CCE">
            <w:pPr>
              <w:rPr>
                <w:sz w:val="20"/>
                <w:szCs w:val="20"/>
              </w:rPr>
            </w:pPr>
          </w:p>
        </w:tc>
        <w:tc>
          <w:tcPr>
            <w:tcW w:w="833" w:type="pct"/>
            <w:tcBorders>
              <w:top w:val="nil"/>
              <w:left w:val="nil"/>
              <w:bottom w:val="nil"/>
              <w:right w:val="nil"/>
            </w:tcBorders>
            <w:shd w:val="clear" w:color="auto" w:fill="auto"/>
            <w:noWrap/>
            <w:vAlign w:val="center"/>
            <w:hideMark/>
          </w:tcPr>
          <w:p w14:paraId="461A1091" w14:textId="1D5E4C49" w:rsidR="00317CCE" w:rsidRDefault="00317CCE">
            <w:pPr>
              <w:jc w:val="right"/>
              <w:rPr>
                <w:rFonts w:ascii="Calibri" w:hAnsi="Calibri" w:cs="Calibri"/>
                <w:color w:val="000000"/>
                <w:sz w:val="16"/>
                <w:szCs w:val="16"/>
              </w:rPr>
            </w:pPr>
            <w:r>
              <w:rPr>
                <w:rFonts w:ascii="Calibri" w:hAnsi="Calibri" w:cs="Calibri"/>
                <w:color w:val="000000"/>
                <w:sz w:val="16"/>
                <w:szCs w:val="16"/>
              </w:rPr>
              <w:t>(163.240)</w:t>
            </w:r>
          </w:p>
        </w:tc>
        <w:tc>
          <w:tcPr>
            <w:tcW w:w="833" w:type="pct"/>
            <w:tcBorders>
              <w:top w:val="nil"/>
              <w:left w:val="nil"/>
              <w:bottom w:val="nil"/>
              <w:right w:val="nil"/>
            </w:tcBorders>
            <w:shd w:val="clear" w:color="auto" w:fill="auto"/>
            <w:noWrap/>
            <w:vAlign w:val="center"/>
            <w:hideMark/>
          </w:tcPr>
          <w:p w14:paraId="70FA75D2" w14:textId="30247578" w:rsidR="00317CCE" w:rsidRDefault="00317CCE">
            <w:pPr>
              <w:jc w:val="right"/>
              <w:rPr>
                <w:rFonts w:ascii="Calibri" w:hAnsi="Calibri" w:cs="Calibri"/>
                <w:color w:val="000000"/>
                <w:sz w:val="16"/>
                <w:szCs w:val="16"/>
              </w:rPr>
            </w:pPr>
            <w:r>
              <w:rPr>
                <w:rFonts w:ascii="Calibri" w:hAnsi="Calibri" w:cs="Calibri"/>
                <w:color w:val="000000"/>
                <w:sz w:val="16"/>
                <w:szCs w:val="16"/>
              </w:rPr>
              <w:t>(443.967)</w:t>
            </w:r>
          </w:p>
        </w:tc>
      </w:tr>
      <w:tr w:rsidR="00317CCE" w14:paraId="251F76E5" w14:textId="77777777" w:rsidTr="00317CCE">
        <w:trPr>
          <w:trHeight w:val="227"/>
        </w:trPr>
        <w:tc>
          <w:tcPr>
            <w:tcW w:w="1469" w:type="pct"/>
            <w:tcBorders>
              <w:top w:val="nil"/>
              <w:left w:val="nil"/>
              <w:bottom w:val="single" w:sz="8" w:space="0" w:color="auto"/>
              <w:right w:val="nil"/>
            </w:tcBorders>
            <w:shd w:val="clear" w:color="auto" w:fill="auto"/>
            <w:noWrap/>
            <w:vAlign w:val="center"/>
            <w:hideMark/>
          </w:tcPr>
          <w:p w14:paraId="7AA87954" w14:textId="77777777" w:rsidR="00317CCE" w:rsidRDefault="00317CCE">
            <w:pPr>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97" w:type="pct"/>
            <w:tcBorders>
              <w:top w:val="nil"/>
              <w:left w:val="nil"/>
              <w:bottom w:val="single" w:sz="8" w:space="0" w:color="auto"/>
              <w:right w:val="nil"/>
            </w:tcBorders>
            <w:shd w:val="clear" w:color="auto" w:fill="auto"/>
            <w:noWrap/>
            <w:vAlign w:val="center"/>
            <w:hideMark/>
          </w:tcPr>
          <w:p w14:paraId="2C4390E4" w14:textId="77777777" w:rsidR="00317CCE" w:rsidRDefault="00317CCE">
            <w:pPr>
              <w:rPr>
                <w:rFonts w:ascii="Calibri" w:hAnsi="Calibri" w:cs="Calibri"/>
                <w:color w:val="000000"/>
                <w:sz w:val="16"/>
                <w:szCs w:val="16"/>
              </w:rPr>
            </w:pPr>
            <w:r>
              <w:rPr>
                <w:rFonts w:ascii="Calibri" w:hAnsi="Calibri" w:cs="Calibri"/>
                <w:color w:val="000000"/>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371A3A98" w14:textId="77777777" w:rsidR="00317CCE" w:rsidRDefault="00317CCE">
            <w:pPr>
              <w:rPr>
                <w:rFonts w:ascii="Calibri" w:hAnsi="Calibri" w:cs="Calibri"/>
                <w:color w:val="000000"/>
                <w:sz w:val="16"/>
                <w:szCs w:val="16"/>
              </w:rPr>
            </w:pPr>
            <w:r>
              <w:rPr>
                <w:rFonts w:ascii="Calibri" w:hAnsi="Calibri" w:cs="Calibri"/>
                <w:color w:val="000000"/>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0446A2CD" w14:textId="77777777" w:rsidR="00317CCE" w:rsidRDefault="00317CCE">
            <w:pPr>
              <w:jc w:val="right"/>
              <w:rPr>
                <w:rFonts w:ascii="Calibri" w:hAnsi="Calibri" w:cs="Calibri"/>
                <w:b/>
                <w:bCs/>
                <w:color w:val="000000"/>
                <w:sz w:val="16"/>
                <w:szCs w:val="16"/>
              </w:rPr>
            </w:pPr>
            <w:r>
              <w:rPr>
                <w:rFonts w:ascii="Calibri" w:hAnsi="Calibri" w:cs="Calibri"/>
                <w:b/>
                <w:bCs/>
                <w:color w:val="000000"/>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24E05430" w14:textId="77777777" w:rsidR="00317CCE" w:rsidRDefault="00317CCE">
            <w:pPr>
              <w:jc w:val="right"/>
              <w:rPr>
                <w:rFonts w:ascii="Calibri" w:hAnsi="Calibri" w:cs="Calibri"/>
                <w:b/>
                <w:bCs/>
                <w:color w:val="000000"/>
                <w:sz w:val="16"/>
                <w:szCs w:val="16"/>
              </w:rPr>
            </w:pPr>
            <w:r>
              <w:rPr>
                <w:rFonts w:ascii="Calibri" w:hAnsi="Calibri" w:cs="Calibri"/>
                <w:b/>
                <w:bCs/>
                <w:color w:val="000000"/>
                <w:sz w:val="16"/>
                <w:szCs w:val="16"/>
              </w:rPr>
              <w:t>1.143.828</w:t>
            </w:r>
          </w:p>
        </w:tc>
        <w:tc>
          <w:tcPr>
            <w:tcW w:w="833" w:type="pct"/>
            <w:tcBorders>
              <w:top w:val="single" w:sz="8" w:space="0" w:color="auto"/>
              <w:left w:val="nil"/>
              <w:bottom w:val="single" w:sz="8" w:space="0" w:color="auto"/>
              <w:right w:val="nil"/>
            </w:tcBorders>
            <w:shd w:val="clear" w:color="auto" w:fill="auto"/>
            <w:noWrap/>
            <w:vAlign w:val="center"/>
            <w:hideMark/>
          </w:tcPr>
          <w:p w14:paraId="4D0A7460" w14:textId="77777777" w:rsidR="00317CCE" w:rsidRDefault="00317CCE">
            <w:pPr>
              <w:jc w:val="right"/>
              <w:rPr>
                <w:rFonts w:ascii="Calibri" w:hAnsi="Calibri" w:cs="Calibri"/>
                <w:b/>
                <w:bCs/>
                <w:color w:val="000000"/>
                <w:sz w:val="16"/>
                <w:szCs w:val="16"/>
              </w:rPr>
            </w:pPr>
            <w:r>
              <w:rPr>
                <w:rFonts w:ascii="Calibri" w:hAnsi="Calibri" w:cs="Calibri"/>
                <w:b/>
                <w:bCs/>
                <w:color w:val="000000"/>
                <w:sz w:val="16"/>
                <w:szCs w:val="16"/>
              </w:rPr>
              <w:t>466.808</w:t>
            </w:r>
          </w:p>
        </w:tc>
      </w:tr>
    </w:tbl>
    <w:p w14:paraId="1CB93BA1" w14:textId="77777777" w:rsidR="00317CCE" w:rsidRDefault="00317CCE" w:rsidP="002E2B5B">
      <w:pPr>
        <w:ind w:right="-142"/>
        <w:rPr>
          <w:rFonts w:ascii="Calibri" w:hAnsi="Calibri" w:cs="Calibri"/>
          <w:b/>
          <w:color w:val="000000"/>
          <w:sz w:val="22"/>
          <w:szCs w:val="22"/>
        </w:rPr>
      </w:pPr>
    </w:p>
    <w:p w14:paraId="58553EBF" w14:textId="5016FB73" w:rsidR="004E146F" w:rsidRPr="002E2B5B" w:rsidRDefault="00434FB3" w:rsidP="002E2B5B">
      <w:pPr>
        <w:ind w:right="-142"/>
        <w:rPr>
          <w:rFonts w:ascii="Calibri" w:hAnsi="Calibri" w:cs="Calibri"/>
          <w:b/>
          <w:color w:val="000000"/>
          <w:sz w:val="22"/>
          <w:szCs w:val="22"/>
        </w:rPr>
      </w:pPr>
      <w:r w:rsidRPr="002E2B5B">
        <w:rPr>
          <w:rFonts w:ascii="Calibri" w:hAnsi="Calibri" w:cs="Calibri"/>
          <w:b/>
          <w:color w:val="000000"/>
          <w:sz w:val="22"/>
          <w:szCs w:val="22"/>
        </w:rPr>
        <w:t>NOTA 1</w:t>
      </w:r>
      <w:r w:rsidR="00216A83">
        <w:rPr>
          <w:rFonts w:ascii="Calibri" w:hAnsi="Calibri" w:cs="Calibri"/>
          <w:b/>
          <w:color w:val="000000"/>
          <w:sz w:val="22"/>
          <w:szCs w:val="22"/>
        </w:rPr>
        <w:t>6</w:t>
      </w:r>
      <w:r w:rsidRPr="002E2B5B">
        <w:rPr>
          <w:rFonts w:ascii="Calibri" w:hAnsi="Calibri" w:cs="Calibri"/>
          <w:b/>
          <w:color w:val="000000"/>
          <w:sz w:val="22"/>
          <w:szCs w:val="22"/>
        </w:rPr>
        <w:t xml:space="preserve"> - </w:t>
      </w:r>
      <w:r w:rsidR="004E146F" w:rsidRPr="002E2B5B">
        <w:rPr>
          <w:rFonts w:ascii="Calibri" w:hAnsi="Calibri" w:cs="Calibri"/>
          <w:b/>
          <w:color w:val="000000"/>
          <w:sz w:val="22"/>
          <w:szCs w:val="22"/>
        </w:rPr>
        <w:t>DESPESAS OPERACIONAIS</w:t>
      </w:r>
    </w:p>
    <w:p w14:paraId="12FE1760" w14:textId="77777777" w:rsidR="00B0612B" w:rsidRPr="002E2B5B" w:rsidRDefault="00B0612B" w:rsidP="002E2B5B">
      <w:pPr>
        <w:ind w:right="-142"/>
        <w:rPr>
          <w:rFonts w:ascii="Calibri" w:hAnsi="Calibri" w:cs="Calibri"/>
          <w:b/>
          <w:color w:val="FF0000"/>
          <w:sz w:val="22"/>
          <w:szCs w:val="22"/>
        </w:rPr>
      </w:pPr>
    </w:p>
    <w:p w14:paraId="5954F75B" w14:textId="2AFC3B23" w:rsidR="001C75AC" w:rsidRPr="00216A83" w:rsidRDefault="00235CD9" w:rsidP="002E2B5B">
      <w:pPr>
        <w:numPr>
          <w:ilvl w:val="0"/>
          <w:numId w:val="1"/>
        </w:numPr>
        <w:ind w:left="284" w:right="-142" w:hanging="284"/>
        <w:rPr>
          <w:rFonts w:ascii="Calibri" w:hAnsi="Calibri" w:cs="Calibri"/>
          <w:b/>
          <w:sz w:val="22"/>
          <w:szCs w:val="22"/>
        </w:rPr>
      </w:pPr>
      <w:r w:rsidRPr="002E2B5B">
        <w:rPr>
          <w:rFonts w:ascii="Calibri" w:hAnsi="Calibri" w:cs="Calibri"/>
          <w:b/>
          <w:color w:val="000000"/>
          <w:sz w:val="22"/>
          <w:szCs w:val="22"/>
        </w:rPr>
        <w:t>Despesas com Pessoal</w:t>
      </w:r>
    </w:p>
    <w:p w14:paraId="2975842F" w14:textId="5DDA0074" w:rsidR="00216A83" w:rsidRDefault="00216A83" w:rsidP="00216A83">
      <w:pPr>
        <w:jc w:val="both"/>
        <w:rPr>
          <w:rFonts w:ascii="Calibri" w:hAnsi="Calibri" w:cs="Calibri"/>
          <w:color w:val="000000"/>
          <w:sz w:val="22"/>
          <w:szCs w:val="22"/>
        </w:rPr>
      </w:pPr>
      <w:r w:rsidRPr="00216A83">
        <w:rPr>
          <w:rFonts w:ascii="Calibri" w:hAnsi="Calibri" w:cs="Calibri"/>
          <w:color w:val="000000"/>
          <w:sz w:val="22"/>
          <w:szCs w:val="22"/>
        </w:rPr>
        <w:t xml:space="preserve">As despesas com pessoal, incluindo remuneração, encargos e benefícios totalizaram no período R$ </w:t>
      </w:r>
      <w:r w:rsidR="0033029E">
        <w:rPr>
          <w:rFonts w:ascii="Calibri" w:hAnsi="Calibri" w:cs="Calibri"/>
          <w:color w:val="000000"/>
          <w:sz w:val="22"/>
          <w:szCs w:val="22"/>
        </w:rPr>
        <w:t>58</w:t>
      </w:r>
      <w:r w:rsidRPr="00216A83">
        <w:rPr>
          <w:rFonts w:ascii="Calibri" w:hAnsi="Calibri" w:cs="Calibri"/>
          <w:color w:val="000000"/>
          <w:sz w:val="22"/>
          <w:szCs w:val="22"/>
        </w:rPr>
        <w:t xml:space="preserve"> milhões</w:t>
      </w:r>
      <w:r>
        <w:rPr>
          <w:rFonts w:ascii="Calibri" w:hAnsi="Calibri" w:cs="Calibri"/>
          <w:color w:val="000000"/>
          <w:sz w:val="22"/>
          <w:szCs w:val="22"/>
        </w:rPr>
        <w:t>:</w:t>
      </w:r>
    </w:p>
    <w:p w14:paraId="0F504E6A" w14:textId="77777777" w:rsidR="0033029E" w:rsidRDefault="0033029E" w:rsidP="00216A83">
      <w:pPr>
        <w:jc w:val="both"/>
        <w:rPr>
          <w:rFonts w:ascii="Calibri" w:hAnsi="Calibri" w:cs="Calibri"/>
          <w:color w:val="000000"/>
          <w:sz w:val="22"/>
          <w:szCs w:val="22"/>
        </w:rPr>
      </w:pPr>
    </w:p>
    <w:tbl>
      <w:tblPr>
        <w:tblW w:w="5000" w:type="pct"/>
        <w:tblCellMar>
          <w:left w:w="70" w:type="dxa"/>
          <w:right w:w="70" w:type="dxa"/>
        </w:tblCellMar>
        <w:tblLook w:val="04A0" w:firstRow="1" w:lastRow="0" w:firstColumn="1" w:lastColumn="0" w:noHBand="0" w:noVBand="1"/>
      </w:tblPr>
      <w:tblGrid>
        <w:gridCol w:w="6037"/>
        <w:gridCol w:w="2215"/>
        <w:gridCol w:w="2215"/>
      </w:tblGrid>
      <w:tr w:rsidR="0033029E" w14:paraId="025E5247" w14:textId="77777777" w:rsidTr="0033029E">
        <w:trPr>
          <w:trHeight w:hRule="exact" w:val="227"/>
        </w:trPr>
        <w:tc>
          <w:tcPr>
            <w:tcW w:w="2883" w:type="pct"/>
            <w:tcBorders>
              <w:top w:val="single" w:sz="8" w:space="0" w:color="auto"/>
              <w:left w:val="nil"/>
              <w:bottom w:val="single" w:sz="8" w:space="0" w:color="auto"/>
              <w:right w:val="nil"/>
            </w:tcBorders>
            <w:shd w:val="clear" w:color="auto" w:fill="auto"/>
            <w:noWrap/>
            <w:vAlign w:val="center"/>
            <w:hideMark/>
          </w:tcPr>
          <w:p w14:paraId="51CC3D46" w14:textId="77777777" w:rsidR="0033029E" w:rsidRDefault="0033029E">
            <w:pPr>
              <w:rPr>
                <w:rFonts w:ascii="Calibri" w:hAnsi="Calibri" w:cs="Calibri"/>
                <w:b/>
                <w:bCs/>
                <w:color w:val="000000"/>
                <w:sz w:val="16"/>
                <w:szCs w:val="16"/>
              </w:rPr>
            </w:pPr>
            <w:r>
              <w:rPr>
                <w:rFonts w:ascii="Calibri" w:hAnsi="Calibri" w:cs="Calibri"/>
                <w:b/>
                <w:bCs/>
                <w:color w:val="000000"/>
                <w:sz w:val="16"/>
                <w:szCs w:val="16"/>
              </w:rPr>
              <w:t>DESPESAS COM PESSOAL</w:t>
            </w:r>
          </w:p>
        </w:tc>
        <w:tc>
          <w:tcPr>
            <w:tcW w:w="1058" w:type="pct"/>
            <w:tcBorders>
              <w:top w:val="single" w:sz="8" w:space="0" w:color="auto"/>
              <w:left w:val="nil"/>
              <w:bottom w:val="single" w:sz="8" w:space="0" w:color="auto"/>
              <w:right w:val="nil"/>
            </w:tcBorders>
            <w:shd w:val="clear" w:color="auto" w:fill="auto"/>
            <w:vAlign w:val="center"/>
            <w:hideMark/>
          </w:tcPr>
          <w:p w14:paraId="235789B6" w14:textId="77777777" w:rsidR="0033029E" w:rsidRDefault="0033029E">
            <w:pPr>
              <w:jc w:val="right"/>
              <w:rPr>
                <w:rFonts w:ascii="Calibri" w:hAnsi="Calibri" w:cs="Calibri"/>
                <w:b/>
                <w:bCs/>
                <w:color w:val="000000"/>
                <w:sz w:val="16"/>
                <w:szCs w:val="16"/>
              </w:rPr>
            </w:pPr>
            <w:r>
              <w:rPr>
                <w:rFonts w:ascii="Calibri" w:hAnsi="Calibri" w:cs="Calibri"/>
                <w:b/>
                <w:bCs/>
                <w:color w:val="000000"/>
                <w:sz w:val="16"/>
                <w:szCs w:val="16"/>
              </w:rPr>
              <w:t>30/06/2021</w:t>
            </w:r>
          </w:p>
        </w:tc>
        <w:tc>
          <w:tcPr>
            <w:tcW w:w="1058" w:type="pct"/>
            <w:tcBorders>
              <w:top w:val="single" w:sz="8" w:space="0" w:color="auto"/>
              <w:left w:val="nil"/>
              <w:bottom w:val="single" w:sz="8" w:space="0" w:color="auto"/>
              <w:right w:val="nil"/>
            </w:tcBorders>
            <w:shd w:val="clear" w:color="auto" w:fill="auto"/>
            <w:vAlign w:val="center"/>
            <w:hideMark/>
          </w:tcPr>
          <w:p w14:paraId="704AD871" w14:textId="77777777" w:rsidR="0033029E" w:rsidRDefault="0033029E">
            <w:pPr>
              <w:jc w:val="right"/>
              <w:rPr>
                <w:rFonts w:ascii="Calibri" w:hAnsi="Calibri" w:cs="Calibri"/>
                <w:b/>
                <w:bCs/>
                <w:color w:val="000000"/>
                <w:sz w:val="16"/>
                <w:szCs w:val="16"/>
              </w:rPr>
            </w:pPr>
            <w:r>
              <w:rPr>
                <w:rFonts w:ascii="Calibri" w:hAnsi="Calibri" w:cs="Calibri"/>
                <w:b/>
                <w:bCs/>
                <w:color w:val="000000"/>
                <w:sz w:val="16"/>
                <w:szCs w:val="16"/>
              </w:rPr>
              <w:t>30/06/2020</w:t>
            </w:r>
          </w:p>
        </w:tc>
      </w:tr>
      <w:tr w:rsidR="0033029E" w14:paraId="7267DAD0" w14:textId="77777777" w:rsidTr="0033029E">
        <w:trPr>
          <w:trHeight w:hRule="exact" w:val="227"/>
        </w:trPr>
        <w:tc>
          <w:tcPr>
            <w:tcW w:w="2883" w:type="pct"/>
            <w:tcBorders>
              <w:top w:val="nil"/>
              <w:left w:val="nil"/>
              <w:bottom w:val="nil"/>
              <w:right w:val="nil"/>
            </w:tcBorders>
            <w:shd w:val="clear" w:color="auto" w:fill="auto"/>
            <w:noWrap/>
            <w:vAlign w:val="center"/>
            <w:hideMark/>
          </w:tcPr>
          <w:p w14:paraId="77871E91" w14:textId="77777777" w:rsidR="0033029E" w:rsidRDefault="0033029E">
            <w:pPr>
              <w:rPr>
                <w:rFonts w:ascii="Calibri" w:hAnsi="Calibri" w:cs="Calibri"/>
                <w:color w:val="000000"/>
                <w:sz w:val="16"/>
                <w:szCs w:val="16"/>
              </w:rPr>
            </w:pPr>
            <w:r>
              <w:rPr>
                <w:rFonts w:ascii="Calibri" w:hAnsi="Calibri" w:cs="Calibri"/>
                <w:color w:val="000000"/>
                <w:sz w:val="16"/>
                <w:szCs w:val="16"/>
              </w:rPr>
              <w:t>Remuneração (Salários, gratificações, 13º salário e férias)</w:t>
            </w:r>
          </w:p>
        </w:tc>
        <w:tc>
          <w:tcPr>
            <w:tcW w:w="1058" w:type="pct"/>
            <w:tcBorders>
              <w:top w:val="nil"/>
              <w:left w:val="nil"/>
              <w:bottom w:val="nil"/>
              <w:right w:val="nil"/>
            </w:tcBorders>
            <w:shd w:val="clear" w:color="auto" w:fill="auto"/>
            <w:vAlign w:val="center"/>
            <w:hideMark/>
          </w:tcPr>
          <w:p w14:paraId="15ACAA66" w14:textId="30D09162" w:rsidR="0033029E" w:rsidRDefault="0033029E">
            <w:pPr>
              <w:jc w:val="right"/>
              <w:rPr>
                <w:rFonts w:ascii="Calibri" w:hAnsi="Calibri" w:cs="Calibri"/>
                <w:color w:val="000000"/>
                <w:sz w:val="16"/>
                <w:szCs w:val="16"/>
              </w:rPr>
            </w:pPr>
            <w:r>
              <w:rPr>
                <w:rFonts w:ascii="Calibri" w:hAnsi="Calibri" w:cs="Calibri"/>
                <w:color w:val="000000"/>
                <w:sz w:val="16"/>
                <w:szCs w:val="16"/>
              </w:rPr>
              <w:t>(38.779.939)</w:t>
            </w:r>
          </w:p>
        </w:tc>
        <w:tc>
          <w:tcPr>
            <w:tcW w:w="1058" w:type="pct"/>
            <w:tcBorders>
              <w:top w:val="nil"/>
              <w:left w:val="nil"/>
              <w:bottom w:val="nil"/>
              <w:right w:val="nil"/>
            </w:tcBorders>
            <w:shd w:val="clear" w:color="auto" w:fill="auto"/>
            <w:vAlign w:val="center"/>
            <w:hideMark/>
          </w:tcPr>
          <w:p w14:paraId="1C11D011" w14:textId="73DE01FC" w:rsidR="0033029E" w:rsidRDefault="0033029E">
            <w:pPr>
              <w:jc w:val="right"/>
              <w:rPr>
                <w:rFonts w:ascii="Calibri" w:hAnsi="Calibri" w:cs="Calibri"/>
                <w:color w:val="000000"/>
                <w:sz w:val="16"/>
                <w:szCs w:val="16"/>
              </w:rPr>
            </w:pPr>
            <w:r>
              <w:rPr>
                <w:rFonts w:ascii="Calibri" w:hAnsi="Calibri" w:cs="Calibri"/>
                <w:color w:val="000000"/>
                <w:sz w:val="16"/>
                <w:szCs w:val="16"/>
              </w:rPr>
              <w:t>(39.103.196)</w:t>
            </w:r>
          </w:p>
        </w:tc>
      </w:tr>
      <w:tr w:rsidR="0033029E" w14:paraId="05E4CAEA" w14:textId="77777777" w:rsidTr="0033029E">
        <w:trPr>
          <w:trHeight w:hRule="exact" w:val="227"/>
        </w:trPr>
        <w:tc>
          <w:tcPr>
            <w:tcW w:w="2883" w:type="pct"/>
            <w:tcBorders>
              <w:top w:val="nil"/>
              <w:left w:val="nil"/>
              <w:bottom w:val="nil"/>
              <w:right w:val="nil"/>
            </w:tcBorders>
            <w:shd w:val="clear" w:color="auto" w:fill="auto"/>
            <w:noWrap/>
            <w:vAlign w:val="center"/>
            <w:hideMark/>
          </w:tcPr>
          <w:p w14:paraId="15425813" w14:textId="77777777" w:rsidR="0033029E" w:rsidRDefault="0033029E">
            <w:pPr>
              <w:rPr>
                <w:rFonts w:ascii="Calibri" w:hAnsi="Calibri" w:cs="Calibri"/>
                <w:color w:val="000000"/>
                <w:sz w:val="16"/>
                <w:szCs w:val="16"/>
              </w:rPr>
            </w:pPr>
            <w:r>
              <w:rPr>
                <w:rFonts w:ascii="Calibri" w:hAnsi="Calibri" w:cs="Calibri"/>
                <w:color w:val="000000"/>
                <w:sz w:val="16"/>
                <w:szCs w:val="16"/>
              </w:rPr>
              <w:t>Encargos Sociais (INSS, FGTS e Prev. Complementar)</w:t>
            </w:r>
          </w:p>
        </w:tc>
        <w:tc>
          <w:tcPr>
            <w:tcW w:w="1058" w:type="pct"/>
            <w:tcBorders>
              <w:top w:val="nil"/>
              <w:left w:val="nil"/>
              <w:bottom w:val="nil"/>
              <w:right w:val="nil"/>
            </w:tcBorders>
            <w:shd w:val="clear" w:color="auto" w:fill="auto"/>
            <w:vAlign w:val="center"/>
            <w:hideMark/>
          </w:tcPr>
          <w:p w14:paraId="2D3983C8" w14:textId="4EBC79C1" w:rsidR="0033029E" w:rsidRDefault="0033029E">
            <w:pPr>
              <w:jc w:val="right"/>
              <w:rPr>
                <w:rFonts w:ascii="Calibri" w:hAnsi="Calibri" w:cs="Calibri"/>
                <w:color w:val="000000"/>
                <w:sz w:val="16"/>
                <w:szCs w:val="16"/>
              </w:rPr>
            </w:pPr>
            <w:r>
              <w:rPr>
                <w:rFonts w:ascii="Calibri" w:hAnsi="Calibri" w:cs="Calibri"/>
                <w:color w:val="000000"/>
                <w:sz w:val="16"/>
                <w:szCs w:val="16"/>
              </w:rPr>
              <w:t>(14.242.464)</w:t>
            </w:r>
          </w:p>
        </w:tc>
        <w:tc>
          <w:tcPr>
            <w:tcW w:w="1058" w:type="pct"/>
            <w:tcBorders>
              <w:top w:val="nil"/>
              <w:left w:val="nil"/>
              <w:bottom w:val="nil"/>
              <w:right w:val="nil"/>
            </w:tcBorders>
            <w:shd w:val="clear" w:color="auto" w:fill="auto"/>
            <w:vAlign w:val="center"/>
            <w:hideMark/>
          </w:tcPr>
          <w:p w14:paraId="12814FF3" w14:textId="28786A8C" w:rsidR="0033029E" w:rsidRDefault="0033029E">
            <w:pPr>
              <w:jc w:val="right"/>
              <w:rPr>
                <w:rFonts w:ascii="Calibri" w:hAnsi="Calibri" w:cs="Calibri"/>
                <w:color w:val="000000"/>
                <w:sz w:val="16"/>
                <w:szCs w:val="16"/>
              </w:rPr>
            </w:pPr>
            <w:r>
              <w:rPr>
                <w:rFonts w:ascii="Calibri" w:hAnsi="Calibri" w:cs="Calibri"/>
                <w:color w:val="000000"/>
                <w:sz w:val="16"/>
                <w:szCs w:val="16"/>
              </w:rPr>
              <w:t>(14.995.387)</w:t>
            </w:r>
          </w:p>
        </w:tc>
      </w:tr>
      <w:tr w:rsidR="0033029E" w14:paraId="0BBEC47C" w14:textId="77777777" w:rsidTr="0033029E">
        <w:trPr>
          <w:trHeight w:hRule="exact" w:val="227"/>
        </w:trPr>
        <w:tc>
          <w:tcPr>
            <w:tcW w:w="2883" w:type="pct"/>
            <w:tcBorders>
              <w:top w:val="nil"/>
              <w:left w:val="nil"/>
              <w:bottom w:val="single" w:sz="8" w:space="0" w:color="auto"/>
              <w:right w:val="nil"/>
            </w:tcBorders>
            <w:shd w:val="clear" w:color="auto" w:fill="auto"/>
            <w:noWrap/>
            <w:vAlign w:val="center"/>
            <w:hideMark/>
          </w:tcPr>
          <w:p w14:paraId="354917E0" w14:textId="77777777" w:rsidR="0033029E" w:rsidRDefault="0033029E">
            <w:pPr>
              <w:rPr>
                <w:rFonts w:ascii="Calibri" w:hAnsi="Calibri" w:cs="Calibri"/>
                <w:color w:val="000000"/>
                <w:sz w:val="16"/>
                <w:szCs w:val="16"/>
              </w:rPr>
            </w:pPr>
            <w:r>
              <w:rPr>
                <w:rFonts w:ascii="Calibri" w:hAnsi="Calibri" w:cs="Calibri"/>
                <w:color w:val="000000"/>
                <w:sz w:val="16"/>
                <w:szCs w:val="16"/>
              </w:rPr>
              <w:t>Benefícios (transporte, creche, saúde e alimentação)</w:t>
            </w:r>
          </w:p>
        </w:tc>
        <w:tc>
          <w:tcPr>
            <w:tcW w:w="1058" w:type="pct"/>
            <w:tcBorders>
              <w:top w:val="nil"/>
              <w:left w:val="nil"/>
              <w:bottom w:val="single" w:sz="8" w:space="0" w:color="auto"/>
              <w:right w:val="nil"/>
            </w:tcBorders>
            <w:shd w:val="clear" w:color="auto" w:fill="auto"/>
            <w:vAlign w:val="center"/>
            <w:hideMark/>
          </w:tcPr>
          <w:p w14:paraId="5025ADF0" w14:textId="34282330" w:rsidR="0033029E" w:rsidRDefault="0033029E">
            <w:pPr>
              <w:jc w:val="right"/>
              <w:rPr>
                <w:rFonts w:ascii="Calibri" w:hAnsi="Calibri" w:cs="Calibri"/>
                <w:color w:val="000000"/>
                <w:sz w:val="16"/>
                <w:szCs w:val="16"/>
              </w:rPr>
            </w:pPr>
            <w:r>
              <w:rPr>
                <w:rFonts w:ascii="Calibri" w:hAnsi="Calibri" w:cs="Calibri"/>
                <w:color w:val="000000"/>
                <w:sz w:val="16"/>
                <w:szCs w:val="16"/>
              </w:rPr>
              <w:t>(5.039.645)</w:t>
            </w:r>
          </w:p>
        </w:tc>
        <w:tc>
          <w:tcPr>
            <w:tcW w:w="1058" w:type="pct"/>
            <w:tcBorders>
              <w:top w:val="nil"/>
              <w:left w:val="nil"/>
              <w:bottom w:val="single" w:sz="8" w:space="0" w:color="auto"/>
              <w:right w:val="nil"/>
            </w:tcBorders>
            <w:shd w:val="clear" w:color="auto" w:fill="auto"/>
            <w:vAlign w:val="center"/>
            <w:hideMark/>
          </w:tcPr>
          <w:p w14:paraId="508EA78E" w14:textId="0B48E4B3" w:rsidR="0033029E" w:rsidRDefault="0033029E">
            <w:pPr>
              <w:jc w:val="right"/>
              <w:rPr>
                <w:rFonts w:ascii="Calibri" w:hAnsi="Calibri" w:cs="Calibri"/>
                <w:color w:val="000000"/>
                <w:sz w:val="16"/>
                <w:szCs w:val="16"/>
              </w:rPr>
            </w:pPr>
            <w:r>
              <w:rPr>
                <w:rFonts w:ascii="Calibri" w:hAnsi="Calibri" w:cs="Calibri"/>
                <w:color w:val="000000"/>
                <w:sz w:val="16"/>
                <w:szCs w:val="16"/>
              </w:rPr>
              <w:t>(5.040.262)</w:t>
            </w:r>
          </w:p>
        </w:tc>
      </w:tr>
      <w:tr w:rsidR="0033029E" w14:paraId="38DFE193" w14:textId="77777777" w:rsidTr="0033029E">
        <w:trPr>
          <w:trHeight w:hRule="exact" w:val="227"/>
        </w:trPr>
        <w:tc>
          <w:tcPr>
            <w:tcW w:w="2883" w:type="pct"/>
            <w:tcBorders>
              <w:top w:val="nil"/>
              <w:left w:val="nil"/>
              <w:bottom w:val="single" w:sz="8" w:space="0" w:color="auto"/>
              <w:right w:val="nil"/>
            </w:tcBorders>
            <w:shd w:val="clear" w:color="auto" w:fill="auto"/>
            <w:noWrap/>
            <w:vAlign w:val="center"/>
            <w:hideMark/>
          </w:tcPr>
          <w:p w14:paraId="308490FB" w14:textId="77777777" w:rsidR="0033029E" w:rsidRDefault="0033029E">
            <w:pPr>
              <w:rPr>
                <w:rFonts w:ascii="Calibri" w:hAnsi="Calibri" w:cs="Calibri"/>
                <w:b/>
                <w:bCs/>
                <w:color w:val="000000"/>
                <w:sz w:val="16"/>
                <w:szCs w:val="16"/>
              </w:rPr>
            </w:pPr>
            <w:r>
              <w:rPr>
                <w:rFonts w:ascii="Calibri" w:hAnsi="Calibri" w:cs="Calibri"/>
                <w:b/>
                <w:bCs/>
                <w:color w:val="000000"/>
                <w:sz w:val="16"/>
                <w:szCs w:val="16"/>
              </w:rPr>
              <w:t>Total das Despesas com Pessoal</w:t>
            </w:r>
          </w:p>
        </w:tc>
        <w:tc>
          <w:tcPr>
            <w:tcW w:w="1058" w:type="pct"/>
            <w:tcBorders>
              <w:top w:val="nil"/>
              <w:left w:val="nil"/>
              <w:bottom w:val="single" w:sz="8" w:space="0" w:color="auto"/>
              <w:right w:val="nil"/>
            </w:tcBorders>
            <w:shd w:val="clear" w:color="auto" w:fill="auto"/>
            <w:vAlign w:val="center"/>
            <w:hideMark/>
          </w:tcPr>
          <w:p w14:paraId="68BAAF0B" w14:textId="4DFAB03C" w:rsidR="0033029E" w:rsidRDefault="0033029E">
            <w:pPr>
              <w:jc w:val="right"/>
              <w:rPr>
                <w:rFonts w:ascii="Calibri" w:hAnsi="Calibri" w:cs="Calibri"/>
                <w:b/>
                <w:bCs/>
                <w:color w:val="000000"/>
                <w:sz w:val="16"/>
                <w:szCs w:val="16"/>
              </w:rPr>
            </w:pPr>
            <w:r>
              <w:rPr>
                <w:rFonts w:ascii="Calibri" w:hAnsi="Calibri" w:cs="Calibri"/>
                <w:b/>
                <w:bCs/>
                <w:color w:val="000000"/>
                <w:sz w:val="16"/>
                <w:szCs w:val="16"/>
              </w:rPr>
              <w:t>(58.062.048)</w:t>
            </w:r>
          </w:p>
        </w:tc>
        <w:tc>
          <w:tcPr>
            <w:tcW w:w="1058" w:type="pct"/>
            <w:tcBorders>
              <w:top w:val="nil"/>
              <w:left w:val="nil"/>
              <w:bottom w:val="single" w:sz="8" w:space="0" w:color="auto"/>
              <w:right w:val="nil"/>
            </w:tcBorders>
            <w:shd w:val="clear" w:color="auto" w:fill="auto"/>
            <w:vAlign w:val="center"/>
            <w:hideMark/>
          </w:tcPr>
          <w:p w14:paraId="5CDA2C3C" w14:textId="1EE11B84" w:rsidR="0033029E" w:rsidRDefault="0033029E">
            <w:pPr>
              <w:jc w:val="right"/>
              <w:rPr>
                <w:rFonts w:ascii="Calibri" w:hAnsi="Calibri" w:cs="Calibri"/>
                <w:b/>
                <w:bCs/>
                <w:color w:val="000000"/>
                <w:sz w:val="16"/>
                <w:szCs w:val="16"/>
              </w:rPr>
            </w:pPr>
            <w:r>
              <w:rPr>
                <w:rFonts w:ascii="Calibri" w:hAnsi="Calibri" w:cs="Calibri"/>
                <w:b/>
                <w:bCs/>
                <w:color w:val="000000"/>
                <w:sz w:val="16"/>
                <w:szCs w:val="16"/>
              </w:rPr>
              <w:t>(59.138.845)</w:t>
            </w:r>
          </w:p>
        </w:tc>
      </w:tr>
      <w:tr w:rsidR="0033029E" w14:paraId="7BF60659" w14:textId="77777777" w:rsidTr="0033029E">
        <w:trPr>
          <w:trHeight w:hRule="exact" w:val="227"/>
        </w:trPr>
        <w:tc>
          <w:tcPr>
            <w:tcW w:w="2883" w:type="pct"/>
            <w:tcBorders>
              <w:top w:val="nil"/>
              <w:left w:val="nil"/>
              <w:bottom w:val="single" w:sz="8" w:space="0" w:color="auto"/>
              <w:right w:val="nil"/>
            </w:tcBorders>
            <w:shd w:val="clear" w:color="auto" w:fill="auto"/>
            <w:noWrap/>
            <w:vAlign w:val="center"/>
            <w:hideMark/>
          </w:tcPr>
          <w:p w14:paraId="7FDD8DD4" w14:textId="77777777" w:rsidR="0033029E" w:rsidRDefault="0033029E">
            <w:pPr>
              <w:rPr>
                <w:rFonts w:ascii="Calibri" w:hAnsi="Calibri" w:cs="Calibri"/>
                <w:color w:val="000000"/>
                <w:sz w:val="16"/>
                <w:szCs w:val="16"/>
              </w:rPr>
            </w:pPr>
            <w:r>
              <w:rPr>
                <w:rFonts w:ascii="Calibri" w:hAnsi="Calibri" w:cs="Calibri"/>
                <w:color w:val="000000"/>
                <w:sz w:val="16"/>
                <w:szCs w:val="16"/>
              </w:rPr>
              <w:t xml:space="preserve">Quantidade de Funcionários </w:t>
            </w:r>
          </w:p>
        </w:tc>
        <w:tc>
          <w:tcPr>
            <w:tcW w:w="1058" w:type="pct"/>
            <w:tcBorders>
              <w:top w:val="nil"/>
              <w:left w:val="nil"/>
              <w:bottom w:val="single" w:sz="8" w:space="0" w:color="auto"/>
              <w:right w:val="nil"/>
            </w:tcBorders>
            <w:shd w:val="clear" w:color="auto" w:fill="auto"/>
            <w:vAlign w:val="center"/>
            <w:hideMark/>
          </w:tcPr>
          <w:p w14:paraId="7196FE84" w14:textId="77777777" w:rsidR="0033029E" w:rsidRDefault="0033029E">
            <w:pPr>
              <w:jc w:val="right"/>
              <w:rPr>
                <w:rFonts w:ascii="Calibri" w:hAnsi="Calibri" w:cs="Calibri"/>
                <w:color w:val="000000"/>
                <w:sz w:val="16"/>
                <w:szCs w:val="16"/>
              </w:rPr>
            </w:pPr>
            <w:r>
              <w:rPr>
                <w:rFonts w:ascii="Calibri" w:hAnsi="Calibri" w:cs="Calibri"/>
                <w:color w:val="000000"/>
                <w:sz w:val="16"/>
                <w:szCs w:val="16"/>
              </w:rPr>
              <w:t>664</w:t>
            </w:r>
          </w:p>
        </w:tc>
        <w:tc>
          <w:tcPr>
            <w:tcW w:w="1058" w:type="pct"/>
            <w:tcBorders>
              <w:top w:val="nil"/>
              <w:left w:val="nil"/>
              <w:bottom w:val="single" w:sz="8" w:space="0" w:color="auto"/>
              <w:right w:val="nil"/>
            </w:tcBorders>
            <w:shd w:val="clear" w:color="auto" w:fill="auto"/>
            <w:vAlign w:val="center"/>
            <w:hideMark/>
          </w:tcPr>
          <w:p w14:paraId="48AEFB93" w14:textId="77777777" w:rsidR="0033029E" w:rsidRDefault="0033029E">
            <w:pPr>
              <w:jc w:val="right"/>
              <w:rPr>
                <w:rFonts w:ascii="Calibri" w:hAnsi="Calibri" w:cs="Calibri"/>
                <w:color w:val="000000"/>
                <w:sz w:val="16"/>
                <w:szCs w:val="16"/>
              </w:rPr>
            </w:pPr>
            <w:r>
              <w:rPr>
                <w:rFonts w:ascii="Calibri" w:hAnsi="Calibri" w:cs="Calibri"/>
                <w:color w:val="000000"/>
                <w:sz w:val="16"/>
                <w:szCs w:val="16"/>
              </w:rPr>
              <w:t>662</w:t>
            </w:r>
          </w:p>
        </w:tc>
      </w:tr>
    </w:tbl>
    <w:p w14:paraId="4827288E" w14:textId="77777777" w:rsidR="0033029E" w:rsidRPr="00216A83" w:rsidRDefault="0033029E" w:rsidP="00216A83">
      <w:pPr>
        <w:jc w:val="both"/>
        <w:rPr>
          <w:rFonts w:ascii="Calibri" w:hAnsi="Calibri" w:cs="Calibri"/>
          <w:color w:val="000000"/>
          <w:sz w:val="22"/>
          <w:szCs w:val="22"/>
        </w:rPr>
      </w:pPr>
    </w:p>
    <w:p w14:paraId="5533F6AC" w14:textId="77777777" w:rsidR="00651F44" w:rsidRPr="002E2B5B" w:rsidRDefault="007F4918" w:rsidP="002E2B5B">
      <w:pPr>
        <w:numPr>
          <w:ilvl w:val="0"/>
          <w:numId w:val="1"/>
        </w:numPr>
        <w:ind w:left="284" w:right="-142" w:hanging="284"/>
        <w:rPr>
          <w:rFonts w:ascii="Calibri" w:hAnsi="Calibri" w:cs="Calibri"/>
          <w:b/>
          <w:color w:val="000000"/>
          <w:sz w:val="22"/>
          <w:szCs w:val="22"/>
        </w:rPr>
      </w:pPr>
      <w:r w:rsidRPr="002E2B5B">
        <w:rPr>
          <w:rFonts w:ascii="Calibri" w:hAnsi="Calibri" w:cs="Calibri"/>
          <w:b/>
          <w:color w:val="000000"/>
          <w:sz w:val="22"/>
          <w:szCs w:val="22"/>
        </w:rPr>
        <w:t>Gerais e</w:t>
      </w:r>
      <w:r w:rsidR="00C3606D" w:rsidRPr="002E2B5B">
        <w:rPr>
          <w:rFonts w:ascii="Calibri" w:hAnsi="Calibri" w:cs="Calibri"/>
          <w:b/>
          <w:color w:val="000000"/>
          <w:sz w:val="22"/>
          <w:szCs w:val="22"/>
        </w:rPr>
        <w:t xml:space="preserve"> Administrativas</w:t>
      </w:r>
    </w:p>
    <w:p w14:paraId="458B11E1" w14:textId="32366708" w:rsidR="00651F44" w:rsidRDefault="000C106E" w:rsidP="002E2B5B">
      <w:pPr>
        <w:jc w:val="both"/>
        <w:rPr>
          <w:rFonts w:ascii="Calibri" w:hAnsi="Calibri" w:cs="Calibri"/>
          <w:color w:val="000000"/>
          <w:sz w:val="22"/>
          <w:szCs w:val="22"/>
        </w:rPr>
      </w:pPr>
      <w:r w:rsidRPr="002E2B5B">
        <w:rPr>
          <w:rFonts w:ascii="Calibri" w:hAnsi="Calibri" w:cs="Calibri"/>
          <w:color w:val="000000"/>
          <w:sz w:val="22"/>
          <w:szCs w:val="22"/>
        </w:rPr>
        <w:t>As Despesas G</w:t>
      </w:r>
      <w:r w:rsidR="00651F44" w:rsidRPr="002E2B5B">
        <w:rPr>
          <w:rFonts w:ascii="Calibri" w:hAnsi="Calibri" w:cs="Calibri"/>
          <w:color w:val="000000"/>
          <w:sz w:val="22"/>
          <w:szCs w:val="22"/>
        </w:rPr>
        <w:t>erais e Administrativas totalizaram</w:t>
      </w:r>
      <w:r w:rsidR="00C22DC1" w:rsidRPr="002E2B5B">
        <w:rPr>
          <w:rFonts w:ascii="Calibri" w:hAnsi="Calibri" w:cs="Calibri"/>
          <w:color w:val="000000"/>
          <w:sz w:val="22"/>
          <w:szCs w:val="22"/>
        </w:rPr>
        <w:t xml:space="preserve"> o valor de </w:t>
      </w:r>
      <w:r w:rsidR="00651F44" w:rsidRPr="002E2B5B">
        <w:rPr>
          <w:rFonts w:ascii="Calibri" w:hAnsi="Calibri" w:cs="Calibri"/>
          <w:color w:val="000000"/>
          <w:sz w:val="22"/>
          <w:szCs w:val="22"/>
        </w:rPr>
        <w:t>R$</w:t>
      </w:r>
      <w:r w:rsidR="00346FAD" w:rsidRPr="002E2B5B">
        <w:rPr>
          <w:rFonts w:ascii="Calibri" w:hAnsi="Calibri" w:cs="Calibri"/>
          <w:color w:val="000000"/>
          <w:sz w:val="22"/>
          <w:szCs w:val="22"/>
        </w:rPr>
        <w:t xml:space="preserve"> </w:t>
      </w:r>
      <w:r w:rsidR="00A2342A">
        <w:rPr>
          <w:rFonts w:ascii="Calibri" w:hAnsi="Calibri" w:cs="Calibri"/>
          <w:color w:val="000000"/>
          <w:sz w:val="22"/>
          <w:szCs w:val="22"/>
        </w:rPr>
        <w:t>15,7</w:t>
      </w:r>
      <w:r w:rsidR="008E63AE" w:rsidRPr="002E2B5B">
        <w:rPr>
          <w:rFonts w:ascii="Calibri" w:hAnsi="Calibri" w:cs="Calibri"/>
          <w:color w:val="000000"/>
          <w:sz w:val="22"/>
          <w:szCs w:val="22"/>
        </w:rPr>
        <w:t xml:space="preserve"> milhões</w:t>
      </w:r>
      <w:r w:rsidR="00216A83">
        <w:rPr>
          <w:rFonts w:ascii="Calibri" w:hAnsi="Calibri" w:cs="Calibri"/>
          <w:color w:val="000000"/>
          <w:sz w:val="22"/>
          <w:szCs w:val="22"/>
        </w:rPr>
        <w:t>:</w:t>
      </w:r>
    </w:p>
    <w:p w14:paraId="121B5476" w14:textId="77777777" w:rsidR="00A2342A" w:rsidRDefault="00A2342A" w:rsidP="002E2B5B">
      <w:pPr>
        <w:jc w:val="both"/>
        <w:rPr>
          <w:rFonts w:ascii="Calibri" w:hAnsi="Calibri" w:cs="Calibri"/>
          <w:color w:val="000000"/>
          <w:sz w:val="22"/>
          <w:szCs w:val="22"/>
        </w:rPr>
      </w:pPr>
    </w:p>
    <w:tbl>
      <w:tblPr>
        <w:tblW w:w="5000" w:type="pct"/>
        <w:tblCellMar>
          <w:left w:w="70" w:type="dxa"/>
          <w:right w:w="70" w:type="dxa"/>
        </w:tblCellMar>
        <w:tblLook w:val="04A0" w:firstRow="1" w:lastRow="0" w:firstColumn="1" w:lastColumn="0" w:noHBand="0" w:noVBand="1"/>
      </w:tblPr>
      <w:tblGrid>
        <w:gridCol w:w="5543"/>
        <w:gridCol w:w="804"/>
        <w:gridCol w:w="2060"/>
        <w:gridCol w:w="2060"/>
      </w:tblGrid>
      <w:tr w:rsidR="00A2342A" w14:paraId="250C1101" w14:textId="77777777" w:rsidTr="00A2342A">
        <w:trPr>
          <w:trHeight w:hRule="exact" w:val="227"/>
        </w:trPr>
        <w:tc>
          <w:tcPr>
            <w:tcW w:w="3031" w:type="pct"/>
            <w:gridSpan w:val="2"/>
            <w:tcBorders>
              <w:top w:val="single" w:sz="8" w:space="0" w:color="auto"/>
              <w:left w:val="nil"/>
              <w:bottom w:val="single" w:sz="8" w:space="0" w:color="auto"/>
              <w:right w:val="nil"/>
            </w:tcBorders>
            <w:shd w:val="clear" w:color="auto" w:fill="auto"/>
            <w:noWrap/>
            <w:vAlign w:val="center"/>
            <w:hideMark/>
          </w:tcPr>
          <w:p w14:paraId="401452DD" w14:textId="77777777" w:rsidR="00A2342A" w:rsidRDefault="00A2342A">
            <w:pPr>
              <w:rPr>
                <w:rFonts w:ascii="Calibri" w:hAnsi="Calibri" w:cs="Calibri"/>
                <w:b/>
                <w:bCs/>
                <w:color w:val="000000"/>
                <w:sz w:val="16"/>
                <w:szCs w:val="16"/>
              </w:rPr>
            </w:pPr>
            <w:r>
              <w:rPr>
                <w:rFonts w:ascii="Calibri" w:hAnsi="Calibri" w:cs="Calibri"/>
                <w:b/>
                <w:bCs/>
                <w:color w:val="000000"/>
                <w:sz w:val="16"/>
                <w:szCs w:val="16"/>
              </w:rPr>
              <w:t>DESPESAS GERAIS E ADMINISTRATIVAS</w:t>
            </w:r>
          </w:p>
        </w:tc>
        <w:tc>
          <w:tcPr>
            <w:tcW w:w="984" w:type="pct"/>
            <w:tcBorders>
              <w:top w:val="single" w:sz="8" w:space="0" w:color="auto"/>
              <w:left w:val="nil"/>
              <w:bottom w:val="single" w:sz="8" w:space="0" w:color="auto"/>
              <w:right w:val="nil"/>
            </w:tcBorders>
            <w:shd w:val="clear" w:color="auto" w:fill="auto"/>
            <w:vAlign w:val="center"/>
            <w:hideMark/>
          </w:tcPr>
          <w:p w14:paraId="66BBC6EB" w14:textId="77777777" w:rsidR="00A2342A" w:rsidRDefault="00A2342A">
            <w:pPr>
              <w:jc w:val="right"/>
              <w:rPr>
                <w:rFonts w:ascii="Calibri" w:hAnsi="Calibri" w:cs="Calibri"/>
                <w:b/>
                <w:bCs/>
                <w:color w:val="000000"/>
                <w:sz w:val="16"/>
                <w:szCs w:val="16"/>
              </w:rPr>
            </w:pPr>
            <w:r>
              <w:rPr>
                <w:rFonts w:ascii="Calibri" w:hAnsi="Calibri" w:cs="Calibri"/>
                <w:b/>
                <w:bCs/>
                <w:color w:val="000000"/>
                <w:sz w:val="16"/>
                <w:szCs w:val="16"/>
              </w:rPr>
              <w:t>30/06/2021</w:t>
            </w:r>
          </w:p>
        </w:tc>
        <w:tc>
          <w:tcPr>
            <w:tcW w:w="984" w:type="pct"/>
            <w:tcBorders>
              <w:top w:val="single" w:sz="8" w:space="0" w:color="auto"/>
              <w:left w:val="nil"/>
              <w:bottom w:val="single" w:sz="8" w:space="0" w:color="auto"/>
              <w:right w:val="nil"/>
            </w:tcBorders>
            <w:shd w:val="clear" w:color="auto" w:fill="auto"/>
            <w:vAlign w:val="center"/>
            <w:hideMark/>
          </w:tcPr>
          <w:p w14:paraId="4CCB0F05" w14:textId="77777777" w:rsidR="00A2342A" w:rsidRDefault="00A2342A">
            <w:pPr>
              <w:jc w:val="right"/>
              <w:rPr>
                <w:rFonts w:ascii="Calibri" w:hAnsi="Calibri" w:cs="Calibri"/>
                <w:b/>
                <w:bCs/>
                <w:color w:val="000000"/>
                <w:sz w:val="16"/>
                <w:szCs w:val="16"/>
              </w:rPr>
            </w:pPr>
            <w:r>
              <w:rPr>
                <w:rFonts w:ascii="Calibri" w:hAnsi="Calibri" w:cs="Calibri"/>
                <w:b/>
                <w:bCs/>
                <w:color w:val="000000"/>
                <w:sz w:val="16"/>
                <w:szCs w:val="16"/>
              </w:rPr>
              <w:t>30/06/2020</w:t>
            </w:r>
          </w:p>
        </w:tc>
      </w:tr>
      <w:tr w:rsidR="00A2342A" w14:paraId="61B30741" w14:textId="77777777" w:rsidTr="00A2342A">
        <w:trPr>
          <w:trHeight w:hRule="exact" w:val="227"/>
        </w:trPr>
        <w:tc>
          <w:tcPr>
            <w:tcW w:w="3031" w:type="pct"/>
            <w:gridSpan w:val="2"/>
            <w:tcBorders>
              <w:top w:val="nil"/>
              <w:left w:val="nil"/>
              <w:bottom w:val="nil"/>
              <w:right w:val="nil"/>
            </w:tcBorders>
            <w:shd w:val="clear" w:color="auto" w:fill="auto"/>
            <w:noWrap/>
            <w:vAlign w:val="center"/>
            <w:hideMark/>
          </w:tcPr>
          <w:p w14:paraId="5AF51333" w14:textId="77777777" w:rsidR="00A2342A" w:rsidRDefault="00A2342A">
            <w:pPr>
              <w:rPr>
                <w:rFonts w:ascii="Calibri" w:hAnsi="Calibri" w:cs="Calibri"/>
                <w:color w:val="000000"/>
                <w:sz w:val="16"/>
                <w:szCs w:val="16"/>
              </w:rPr>
            </w:pPr>
            <w:r>
              <w:rPr>
                <w:rFonts w:ascii="Calibri" w:hAnsi="Calibri" w:cs="Calibri"/>
                <w:color w:val="000000"/>
                <w:sz w:val="16"/>
                <w:szCs w:val="16"/>
              </w:rPr>
              <w:t>Sentenças e Depósitos judiciais</w:t>
            </w:r>
          </w:p>
        </w:tc>
        <w:tc>
          <w:tcPr>
            <w:tcW w:w="984" w:type="pct"/>
            <w:tcBorders>
              <w:top w:val="nil"/>
              <w:left w:val="nil"/>
              <w:bottom w:val="nil"/>
              <w:right w:val="nil"/>
            </w:tcBorders>
            <w:shd w:val="clear" w:color="auto" w:fill="auto"/>
            <w:vAlign w:val="center"/>
            <w:hideMark/>
          </w:tcPr>
          <w:p w14:paraId="06EE8271" w14:textId="6BED8662" w:rsidR="00A2342A" w:rsidRDefault="00A2342A">
            <w:pPr>
              <w:jc w:val="right"/>
              <w:rPr>
                <w:rFonts w:ascii="Calibri" w:hAnsi="Calibri" w:cs="Calibri"/>
                <w:color w:val="000000"/>
                <w:sz w:val="16"/>
                <w:szCs w:val="16"/>
              </w:rPr>
            </w:pPr>
            <w:r>
              <w:rPr>
                <w:rFonts w:ascii="Calibri" w:hAnsi="Calibri" w:cs="Calibri"/>
                <w:color w:val="000000"/>
                <w:sz w:val="16"/>
                <w:szCs w:val="16"/>
              </w:rPr>
              <w:t>(3.341.304)</w:t>
            </w:r>
          </w:p>
        </w:tc>
        <w:tc>
          <w:tcPr>
            <w:tcW w:w="984" w:type="pct"/>
            <w:tcBorders>
              <w:top w:val="nil"/>
              <w:left w:val="nil"/>
              <w:bottom w:val="nil"/>
              <w:right w:val="nil"/>
            </w:tcBorders>
            <w:shd w:val="clear" w:color="auto" w:fill="auto"/>
            <w:vAlign w:val="center"/>
            <w:hideMark/>
          </w:tcPr>
          <w:p w14:paraId="070EE6A5" w14:textId="3518CC69" w:rsidR="00A2342A" w:rsidRDefault="00A2342A">
            <w:pPr>
              <w:jc w:val="right"/>
              <w:rPr>
                <w:rFonts w:ascii="Calibri" w:hAnsi="Calibri" w:cs="Calibri"/>
                <w:color w:val="000000"/>
                <w:sz w:val="16"/>
                <w:szCs w:val="16"/>
              </w:rPr>
            </w:pPr>
            <w:r>
              <w:rPr>
                <w:rFonts w:ascii="Calibri" w:hAnsi="Calibri" w:cs="Calibri"/>
                <w:color w:val="000000"/>
                <w:sz w:val="16"/>
                <w:szCs w:val="16"/>
              </w:rPr>
              <w:t>(2.154.433)</w:t>
            </w:r>
          </w:p>
        </w:tc>
      </w:tr>
      <w:tr w:rsidR="00A2342A" w14:paraId="28C08A5B" w14:textId="77777777" w:rsidTr="00A2342A">
        <w:trPr>
          <w:trHeight w:hRule="exact" w:val="227"/>
        </w:trPr>
        <w:tc>
          <w:tcPr>
            <w:tcW w:w="3031" w:type="pct"/>
            <w:gridSpan w:val="2"/>
            <w:tcBorders>
              <w:top w:val="nil"/>
              <w:left w:val="nil"/>
              <w:bottom w:val="nil"/>
              <w:right w:val="nil"/>
            </w:tcBorders>
            <w:shd w:val="clear" w:color="auto" w:fill="auto"/>
            <w:noWrap/>
            <w:vAlign w:val="center"/>
            <w:hideMark/>
          </w:tcPr>
          <w:p w14:paraId="2C2A351C" w14:textId="77777777" w:rsidR="00A2342A" w:rsidRDefault="00A2342A">
            <w:pPr>
              <w:rPr>
                <w:rFonts w:ascii="Calibri" w:hAnsi="Calibri" w:cs="Calibri"/>
                <w:color w:val="000000"/>
                <w:sz w:val="16"/>
                <w:szCs w:val="16"/>
              </w:rPr>
            </w:pPr>
            <w:r>
              <w:rPr>
                <w:rFonts w:ascii="Calibri" w:hAnsi="Calibri" w:cs="Calibri"/>
                <w:color w:val="000000"/>
                <w:sz w:val="16"/>
                <w:szCs w:val="16"/>
              </w:rPr>
              <w:t>Material de Expediente e Combustíveis</w:t>
            </w:r>
          </w:p>
        </w:tc>
        <w:tc>
          <w:tcPr>
            <w:tcW w:w="984" w:type="pct"/>
            <w:tcBorders>
              <w:top w:val="nil"/>
              <w:left w:val="nil"/>
              <w:bottom w:val="nil"/>
              <w:right w:val="nil"/>
            </w:tcBorders>
            <w:shd w:val="clear" w:color="auto" w:fill="auto"/>
            <w:noWrap/>
            <w:vAlign w:val="center"/>
            <w:hideMark/>
          </w:tcPr>
          <w:p w14:paraId="6A444D9C" w14:textId="4EB1948C" w:rsidR="00A2342A" w:rsidRDefault="00A2342A">
            <w:pPr>
              <w:jc w:val="right"/>
              <w:rPr>
                <w:rFonts w:ascii="Calibri" w:hAnsi="Calibri" w:cs="Calibri"/>
                <w:color w:val="000000"/>
                <w:sz w:val="16"/>
                <w:szCs w:val="16"/>
              </w:rPr>
            </w:pPr>
            <w:r>
              <w:rPr>
                <w:rFonts w:ascii="Calibri" w:hAnsi="Calibri" w:cs="Calibri"/>
                <w:color w:val="000000"/>
                <w:sz w:val="16"/>
                <w:szCs w:val="16"/>
              </w:rPr>
              <w:t>(122.311)</w:t>
            </w:r>
          </w:p>
        </w:tc>
        <w:tc>
          <w:tcPr>
            <w:tcW w:w="984" w:type="pct"/>
            <w:tcBorders>
              <w:top w:val="nil"/>
              <w:left w:val="nil"/>
              <w:bottom w:val="nil"/>
              <w:right w:val="nil"/>
            </w:tcBorders>
            <w:shd w:val="clear" w:color="auto" w:fill="auto"/>
            <w:vAlign w:val="center"/>
            <w:hideMark/>
          </w:tcPr>
          <w:p w14:paraId="59623CBA" w14:textId="006D1444" w:rsidR="00A2342A" w:rsidRDefault="00A2342A">
            <w:pPr>
              <w:jc w:val="right"/>
              <w:rPr>
                <w:rFonts w:ascii="Calibri" w:hAnsi="Calibri" w:cs="Calibri"/>
                <w:color w:val="000000"/>
                <w:sz w:val="16"/>
                <w:szCs w:val="16"/>
              </w:rPr>
            </w:pPr>
            <w:r>
              <w:rPr>
                <w:rFonts w:ascii="Calibri" w:hAnsi="Calibri" w:cs="Calibri"/>
                <w:color w:val="000000"/>
                <w:sz w:val="16"/>
                <w:szCs w:val="16"/>
              </w:rPr>
              <w:t>(147.037)</w:t>
            </w:r>
          </w:p>
        </w:tc>
      </w:tr>
      <w:tr w:rsidR="00A2342A" w14:paraId="4A48DEB8" w14:textId="77777777" w:rsidTr="00A2342A">
        <w:trPr>
          <w:trHeight w:hRule="exact" w:val="227"/>
        </w:trPr>
        <w:tc>
          <w:tcPr>
            <w:tcW w:w="3031" w:type="pct"/>
            <w:gridSpan w:val="2"/>
            <w:tcBorders>
              <w:top w:val="nil"/>
              <w:left w:val="nil"/>
              <w:bottom w:val="nil"/>
              <w:right w:val="nil"/>
            </w:tcBorders>
            <w:shd w:val="clear" w:color="auto" w:fill="auto"/>
            <w:noWrap/>
            <w:vAlign w:val="center"/>
            <w:hideMark/>
          </w:tcPr>
          <w:p w14:paraId="7D889647" w14:textId="77777777" w:rsidR="00A2342A" w:rsidRDefault="00A2342A">
            <w:pPr>
              <w:rPr>
                <w:rFonts w:ascii="Calibri" w:hAnsi="Calibri" w:cs="Calibri"/>
                <w:color w:val="000000"/>
                <w:sz w:val="16"/>
                <w:szCs w:val="16"/>
              </w:rPr>
            </w:pPr>
            <w:r>
              <w:rPr>
                <w:rFonts w:ascii="Calibri" w:hAnsi="Calibri" w:cs="Calibri"/>
                <w:color w:val="000000"/>
                <w:sz w:val="16"/>
                <w:szCs w:val="16"/>
              </w:rPr>
              <w:t>Assessoria, Consultoria, Locação de mão-de-obra, limpeza e vigilância</w:t>
            </w:r>
          </w:p>
        </w:tc>
        <w:tc>
          <w:tcPr>
            <w:tcW w:w="984" w:type="pct"/>
            <w:tcBorders>
              <w:top w:val="nil"/>
              <w:left w:val="nil"/>
              <w:bottom w:val="nil"/>
              <w:right w:val="nil"/>
            </w:tcBorders>
            <w:shd w:val="clear" w:color="auto" w:fill="auto"/>
            <w:noWrap/>
            <w:vAlign w:val="center"/>
            <w:hideMark/>
          </w:tcPr>
          <w:p w14:paraId="7BFA1E18" w14:textId="57A09AB4" w:rsidR="00A2342A" w:rsidRDefault="00A2342A">
            <w:pPr>
              <w:jc w:val="right"/>
              <w:rPr>
                <w:rFonts w:ascii="Calibri" w:hAnsi="Calibri" w:cs="Calibri"/>
                <w:color w:val="000000"/>
                <w:sz w:val="16"/>
                <w:szCs w:val="16"/>
              </w:rPr>
            </w:pPr>
            <w:r>
              <w:rPr>
                <w:rFonts w:ascii="Calibri" w:hAnsi="Calibri" w:cs="Calibri"/>
                <w:color w:val="000000"/>
                <w:sz w:val="16"/>
                <w:szCs w:val="16"/>
              </w:rPr>
              <w:t>(11.184.762)</w:t>
            </w:r>
          </w:p>
        </w:tc>
        <w:tc>
          <w:tcPr>
            <w:tcW w:w="984" w:type="pct"/>
            <w:tcBorders>
              <w:top w:val="nil"/>
              <w:left w:val="nil"/>
              <w:bottom w:val="nil"/>
              <w:right w:val="nil"/>
            </w:tcBorders>
            <w:shd w:val="clear" w:color="auto" w:fill="auto"/>
            <w:vAlign w:val="center"/>
            <w:hideMark/>
          </w:tcPr>
          <w:p w14:paraId="45618C1C" w14:textId="24437437" w:rsidR="00A2342A" w:rsidRDefault="00A2342A">
            <w:pPr>
              <w:jc w:val="right"/>
              <w:rPr>
                <w:rFonts w:ascii="Calibri" w:hAnsi="Calibri" w:cs="Calibri"/>
                <w:color w:val="000000"/>
                <w:sz w:val="16"/>
                <w:szCs w:val="16"/>
              </w:rPr>
            </w:pPr>
            <w:r>
              <w:rPr>
                <w:rFonts w:ascii="Calibri" w:hAnsi="Calibri" w:cs="Calibri"/>
                <w:color w:val="000000"/>
                <w:sz w:val="16"/>
                <w:szCs w:val="16"/>
              </w:rPr>
              <w:t>(7.329.685)</w:t>
            </w:r>
          </w:p>
        </w:tc>
      </w:tr>
      <w:tr w:rsidR="00A2342A" w14:paraId="2F2A9C65" w14:textId="77777777" w:rsidTr="00A2342A">
        <w:trPr>
          <w:trHeight w:hRule="exact" w:val="227"/>
        </w:trPr>
        <w:tc>
          <w:tcPr>
            <w:tcW w:w="3031" w:type="pct"/>
            <w:gridSpan w:val="2"/>
            <w:tcBorders>
              <w:top w:val="nil"/>
              <w:left w:val="nil"/>
              <w:bottom w:val="nil"/>
              <w:right w:val="nil"/>
            </w:tcBorders>
            <w:shd w:val="clear" w:color="auto" w:fill="auto"/>
            <w:noWrap/>
            <w:vAlign w:val="center"/>
            <w:hideMark/>
          </w:tcPr>
          <w:p w14:paraId="68951CCC" w14:textId="77777777" w:rsidR="00A2342A" w:rsidRDefault="00A2342A">
            <w:pPr>
              <w:rPr>
                <w:rFonts w:ascii="Calibri" w:hAnsi="Calibri" w:cs="Calibri"/>
                <w:color w:val="000000"/>
                <w:sz w:val="16"/>
                <w:szCs w:val="16"/>
              </w:rPr>
            </w:pPr>
            <w:r>
              <w:rPr>
                <w:rFonts w:ascii="Calibri" w:hAnsi="Calibri" w:cs="Calibri"/>
                <w:color w:val="000000"/>
                <w:sz w:val="16"/>
                <w:szCs w:val="16"/>
              </w:rPr>
              <w:t>Locação de Imóveis e Equipamentos</w:t>
            </w:r>
          </w:p>
        </w:tc>
        <w:tc>
          <w:tcPr>
            <w:tcW w:w="984" w:type="pct"/>
            <w:tcBorders>
              <w:top w:val="nil"/>
              <w:left w:val="nil"/>
              <w:bottom w:val="nil"/>
              <w:right w:val="nil"/>
            </w:tcBorders>
            <w:shd w:val="clear" w:color="auto" w:fill="auto"/>
            <w:noWrap/>
            <w:vAlign w:val="center"/>
            <w:hideMark/>
          </w:tcPr>
          <w:p w14:paraId="3B7EA3CA" w14:textId="04D91D91" w:rsidR="00A2342A" w:rsidRDefault="00A2342A">
            <w:pPr>
              <w:jc w:val="right"/>
              <w:rPr>
                <w:rFonts w:ascii="Calibri" w:hAnsi="Calibri" w:cs="Calibri"/>
                <w:color w:val="000000"/>
                <w:sz w:val="16"/>
                <w:szCs w:val="16"/>
              </w:rPr>
            </w:pPr>
            <w:r>
              <w:rPr>
                <w:rFonts w:ascii="Calibri" w:hAnsi="Calibri" w:cs="Calibri"/>
                <w:color w:val="000000"/>
                <w:sz w:val="16"/>
                <w:szCs w:val="16"/>
              </w:rPr>
              <w:t>(619.150)</w:t>
            </w:r>
          </w:p>
        </w:tc>
        <w:tc>
          <w:tcPr>
            <w:tcW w:w="984" w:type="pct"/>
            <w:tcBorders>
              <w:top w:val="nil"/>
              <w:left w:val="nil"/>
              <w:bottom w:val="nil"/>
              <w:right w:val="nil"/>
            </w:tcBorders>
            <w:shd w:val="clear" w:color="auto" w:fill="auto"/>
            <w:vAlign w:val="center"/>
            <w:hideMark/>
          </w:tcPr>
          <w:p w14:paraId="045E4285" w14:textId="3F4FDF1B" w:rsidR="00A2342A" w:rsidRDefault="00A2342A">
            <w:pPr>
              <w:jc w:val="right"/>
              <w:rPr>
                <w:rFonts w:ascii="Calibri" w:hAnsi="Calibri" w:cs="Calibri"/>
                <w:color w:val="000000"/>
                <w:sz w:val="16"/>
                <w:szCs w:val="16"/>
              </w:rPr>
            </w:pPr>
            <w:r>
              <w:rPr>
                <w:rFonts w:ascii="Calibri" w:hAnsi="Calibri" w:cs="Calibri"/>
                <w:color w:val="000000"/>
                <w:sz w:val="16"/>
                <w:szCs w:val="16"/>
              </w:rPr>
              <w:t>(356.111)</w:t>
            </w:r>
          </w:p>
        </w:tc>
      </w:tr>
      <w:tr w:rsidR="00A2342A" w14:paraId="62B2E761" w14:textId="77777777" w:rsidTr="00A2342A">
        <w:trPr>
          <w:trHeight w:hRule="exact" w:val="227"/>
        </w:trPr>
        <w:tc>
          <w:tcPr>
            <w:tcW w:w="3031" w:type="pct"/>
            <w:gridSpan w:val="2"/>
            <w:tcBorders>
              <w:top w:val="nil"/>
              <w:left w:val="nil"/>
              <w:bottom w:val="nil"/>
              <w:right w:val="nil"/>
            </w:tcBorders>
            <w:shd w:val="clear" w:color="auto" w:fill="auto"/>
            <w:noWrap/>
            <w:vAlign w:val="center"/>
            <w:hideMark/>
          </w:tcPr>
          <w:p w14:paraId="10BE8B63" w14:textId="77777777" w:rsidR="00A2342A" w:rsidRDefault="00A2342A">
            <w:pPr>
              <w:rPr>
                <w:rFonts w:ascii="Calibri" w:hAnsi="Calibri" w:cs="Calibri"/>
                <w:color w:val="000000"/>
                <w:sz w:val="16"/>
                <w:szCs w:val="16"/>
              </w:rPr>
            </w:pPr>
            <w:r>
              <w:rPr>
                <w:rFonts w:ascii="Calibri" w:hAnsi="Calibri" w:cs="Calibri"/>
                <w:color w:val="000000"/>
                <w:sz w:val="16"/>
                <w:szCs w:val="16"/>
              </w:rPr>
              <w:lastRenderedPageBreak/>
              <w:t>Energia, Água e Telecomunicações</w:t>
            </w:r>
          </w:p>
        </w:tc>
        <w:tc>
          <w:tcPr>
            <w:tcW w:w="984" w:type="pct"/>
            <w:tcBorders>
              <w:top w:val="nil"/>
              <w:left w:val="nil"/>
              <w:bottom w:val="nil"/>
              <w:right w:val="nil"/>
            </w:tcBorders>
            <w:shd w:val="clear" w:color="auto" w:fill="auto"/>
            <w:noWrap/>
            <w:vAlign w:val="center"/>
            <w:hideMark/>
          </w:tcPr>
          <w:p w14:paraId="78F60D62" w14:textId="04962841" w:rsidR="00A2342A" w:rsidRDefault="00A2342A">
            <w:pPr>
              <w:jc w:val="right"/>
              <w:rPr>
                <w:rFonts w:ascii="Calibri" w:hAnsi="Calibri" w:cs="Calibri"/>
                <w:color w:val="000000"/>
                <w:sz w:val="16"/>
                <w:szCs w:val="16"/>
              </w:rPr>
            </w:pPr>
            <w:r>
              <w:rPr>
                <w:rFonts w:ascii="Calibri" w:hAnsi="Calibri" w:cs="Calibri"/>
                <w:color w:val="000000"/>
                <w:sz w:val="16"/>
                <w:szCs w:val="16"/>
              </w:rPr>
              <w:t>(137.047)</w:t>
            </w:r>
          </w:p>
        </w:tc>
        <w:tc>
          <w:tcPr>
            <w:tcW w:w="984" w:type="pct"/>
            <w:tcBorders>
              <w:top w:val="nil"/>
              <w:left w:val="nil"/>
              <w:bottom w:val="nil"/>
              <w:right w:val="nil"/>
            </w:tcBorders>
            <w:shd w:val="clear" w:color="auto" w:fill="auto"/>
            <w:vAlign w:val="center"/>
            <w:hideMark/>
          </w:tcPr>
          <w:p w14:paraId="126C6031" w14:textId="64AE921D" w:rsidR="00A2342A" w:rsidRDefault="00A2342A">
            <w:pPr>
              <w:jc w:val="right"/>
              <w:rPr>
                <w:rFonts w:ascii="Calibri" w:hAnsi="Calibri" w:cs="Calibri"/>
                <w:color w:val="000000"/>
                <w:sz w:val="16"/>
                <w:szCs w:val="16"/>
              </w:rPr>
            </w:pPr>
            <w:r>
              <w:rPr>
                <w:rFonts w:ascii="Calibri" w:hAnsi="Calibri" w:cs="Calibri"/>
                <w:color w:val="000000"/>
                <w:sz w:val="16"/>
                <w:szCs w:val="16"/>
              </w:rPr>
              <w:t>(67.116)</w:t>
            </w:r>
          </w:p>
        </w:tc>
      </w:tr>
      <w:tr w:rsidR="00A2342A" w14:paraId="0CC4357A" w14:textId="77777777" w:rsidTr="00A2342A">
        <w:trPr>
          <w:trHeight w:hRule="exact" w:val="227"/>
        </w:trPr>
        <w:tc>
          <w:tcPr>
            <w:tcW w:w="3031" w:type="pct"/>
            <w:gridSpan w:val="2"/>
            <w:tcBorders>
              <w:top w:val="nil"/>
              <w:left w:val="nil"/>
              <w:bottom w:val="nil"/>
              <w:right w:val="nil"/>
            </w:tcBorders>
            <w:shd w:val="clear" w:color="auto" w:fill="auto"/>
            <w:noWrap/>
            <w:vAlign w:val="center"/>
            <w:hideMark/>
          </w:tcPr>
          <w:p w14:paraId="04635B32" w14:textId="77777777" w:rsidR="00A2342A" w:rsidRDefault="00A2342A">
            <w:pPr>
              <w:rPr>
                <w:rFonts w:ascii="Calibri" w:hAnsi="Calibri" w:cs="Calibri"/>
                <w:color w:val="000000"/>
                <w:sz w:val="16"/>
                <w:szCs w:val="16"/>
              </w:rPr>
            </w:pPr>
            <w:r>
              <w:rPr>
                <w:rFonts w:ascii="Calibri" w:hAnsi="Calibri" w:cs="Calibri"/>
                <w:color w:val="000000"/>
                <w:sz w:val="16"/>
                <w:szCs w:val="16"/>
              </w:rPr>
              <w:t>Impostos e Taxas</w:t>
            </w:r>
          </w:p>
        </w:tc>
        <w:tc>
          <w:tcPr>
            <w:tcW w:w="984" w:type="pct"/>
            <w:tcBorders>
              <w:top w:val="nil"/>
              <w:left w:val="nil"/>
              <w:bottom w:val="nil"/>
              <w:right w:val="nil"/>
            </w:tcBorders>
            <w:shd w:val="clear" w:color="auto" w:fill="auto"/>
            <w:noWrap/>
            <w:vAlign w:val="center"/>
            <w:hideMark/>
          </w:tcPr>
          <w:p w14:paraId="72AE304D" w14:textId="597B52CE" w:rsidR="00A2342A" w:rsidRDefault="00A2342A">
            <w:pPr>
              <w:jc w:val="right"/>
              <w:rPr>
                <w:rFonts w:ascii="Calibri" w:hAnsi="Calibri" w:cs="Calibri"/>
                <w:color w:val="000000"/>
                <w:sz w:val="16"/>
                <w:szCs w:val="16"/>
              </w:rPr>
            </w:pPr>
            <w:r>
              <w:rPr>
                <w:rFonts w:ascii="Calibri" w:hAnsi="Calibri" w:cs="Calibri"/>
                <w:color w:val="000000"/>
                <w:sz w:val="16"/>
                <w:szCs w:val="16"/>
              </w:rPr>
              <w:t>(305.832)</w:t>
            </w:r>
          </w:p>
        </w:tc>
        <w:tc>
          <w:tcPr>
            <w:tcW w:w="984" w:type="pct"/>
            <w:tcBorders>
              <w:top w:val="nil"/>
              <w:left w:val="nil"/>
              <w:bottom w:val="nil"/>
              <w:right w:val="nil"/>
            </w:tcBorders>
            <w:shd w:val="clear" w:color="auto" w:fill="auto"/>
            <w:vAlign w:val="center"/>
            <w:hideMark/>
          </w:tcPr>
          <w:p w14:paraId="1F800172" w14:textId="50D056EB" w:rsidR="00A2342A" w:rsidRDefault="00A2342A">
            <w:pPr>
              <w:jc w:val="right"/>
              <w:rPr>
                <w:rFonts w:ascii="Calibri" w:hAnsi="Calibri" w:cs="Calibri"/>
                <w:color w:val="000000"/>
                <w:sz w:val="16"/>
                <w:szCs w:val="16"/>
              </w:rPr>
            </w:pPr>
            <w:r>
              <w:rPr>
                <w:rFonts w:ascii="Calibri" w:hAnsi="Calibri" w:cs="Calibri"/>
                <w:color w:val="000000"/>
                <w:sz w:val="16"/>
                <w:szCs w:val="16"/>
              </w:rPr>
              <w:t>(28.750)</w:t>
            </w:r>
          </w:p>
        </w:tc>
      </w:tr>
      <w:tr w:rsidR="00A2342A" w14:paraId="32D4D5B3" w14:textId="77777777" w:rsidTr="00A2342A">
        <w:trPr>
          <w:trHeight w:hRule="exact" w:val="227"/>
        </w:trPr>
        <w:tc>
          <w:tcPr>
            <w:tcW w:w="2647" w:type="pct"/>
            <w:tcBorders>
              <w:top w:val="single" w:sz="8" w:space="0" w:color="auto"/>
              <w:left w:val="nil"/>
              <w:bottom w:val="single" w:sz="8" w:space="0" w:color="auto"/>
              <w:right w:val="nil"/>
            </w:tcBorders>
            <w:shd w:val="clear" w:color="auto" w:fill="auto"/>
            <w:noWrap/>
            <w:vAlign w:val="center"/>
            <w:hideMark/>
          </w:tcPr>
          <w:p w14:paraId="5E445299" w14:textId="77777777" w:rsidR="00A2342A" w:rsidRDefault="00A2342A">
            <w:pPr>
              <w:rPr>
                <w:rFonts w:ascii="Calibri" w:hAnsi="Calibri" w:cs="Calibri"/>
                <w:b/>
                <w:bCs/>
                <w:color w:val="000000"/>
                <w:sz w:val="16"/>
                <w:szCs w:val="16"/>
              </w:rPr>
            </w:pPr>
            <w:r>
              <w:rPr>
                <w:rFonts w:ascii="Calibri" w:hAnsi="Calibri" w:cs="Calibri"/>
                <w:b/>
                <w:bCs/>
                <w:color w:val="000000"/>
                <w:sz w:val="16"/>
                <w:szCs w:val="16"/>
              </w:rPr>
              <w:t xml:space="preserve">TOTAL </w:t>
            </w:r>
          </w:p>
        </w:tc>
        <w:tc>
          <w:tcPr>
            <w:tcW w:w="384" w:type="pct"/>
            <w:tcBorders>
              <w:top w:val="single" w:sz="8" w:space="0" w:color="auto"/>
              <w:left w:val="nil"/>
              <w:bottom w:val="single" w:sz="8" w:space="0" w:color="auto"/>
              <w:right w:val="nil"/>
            </w:tcBorders>
            <w:shd w:val="clear" w:color="auto" w:fill="auto"/>
            <w:noWrap/>
            <w:vAlign w:val="center"/>
            <w:hideMark/>
          </w:tcPr>
          <w:p w14:paraId="7E21AA25" w14:textId="77777777" w:rsidR="00A2342A" w:rsidRDefault="00A2342A">
            <w:pPr>
              <w:jc w:val="right"/>
              <w:rPr>
                <w:rFonts w:ascii="Calibri" w:hAnsi="Calibri" w:cs="Calibri"/>
                <w:b/>
                <w:bCs/>
                <w:color w:val="000000"/>
                <w:sz w:val="16"/>
                <w:szCs w:val="16"/>
              </w:rPr>
            </w:pPr>
            <w:r>
              <w:rPr>
                <w:rFonts w:ascii="Calibri" w:hAnsi="Calibri" w:cs="Calibri"/>
                <w:b/>
                <w:bCs/>
                <w:color w:val="000000"/>
                <w:sz w:val="16"/>
                <w:szCs w:val="16"/>
              </w:rPr>
              <w:t> </w:t>
            </w:r>
          </w:p>
        </w:tc>
        <w:tc>
          <w:tcPr>
            <w:tcW w:w="984" w:type="pct"/>
            <w:tcBorders>
              <w:top w:val="single" w:sz="8" w:space="0" w:color="auto"/>
              <w:left w:val="nil"/>
              <w:bottom w:val="single" w:sz="8" w:space="0" w:color="auto"/>
              <w:right w:val="nil"/>
            </w:tcBorders>
            <w:shd w:val="clear" w:color="auto" w:fill="auto"/>
            <w:noWrap/>
            <w:vAlign w:val="center"/>
            <w:hideMark/>
          </w:tcPr>
          <w:p w14:paraId="6C89433A" w14:textId="7F38A21B" w:rsidR="00A2342A" w:rsidRDefault="00A2342A">
            <w:pPr>
              <w:jc w:val="right"/>
              <w:rPr>
                <w:rFonts w:ascii="Calibri" w:hAnsi="Calibri" w:cs="Calibri"/>
                <w:b/>
                <w:bCs/>
                <w:color w:val="000000"/>
                <w:sz w:val="16"/>
                <w:szCs w:val="16"/>
              </w:rPr>
            </w:pPr>
            <w:r>
              <w:rPr>
                <w:rFonts w:ascii="Calibri" w:hAnsi="Calibri" w:cs="Calibri"/>
                <w:b/>
                <w:bCs/>
                <w:color w:val="000000"/>
                <w:sz w:val="16"/>
                <w:szCs w:val="16"/>
              </w:rPr>
              <w:t>(15.710.406)</w:t>
            </w:r>
          </w:p>
        </w:tc>
        <w:tc>
          <w:tcPr>
            <w:tcW w:w="984" w:type="pct"/>
            <w:tcBorders>
              <w:top w:val="single" w:sz="8" w:space="0" w:color="auto"/>
              <w:left w:val="nil"/>
              <w:bottom w:val="single" w:sz="8" w:space="0" w:color="auto"/>
              <w:right w:val="nil"/>
            </w:tcBorders>
            <w:shd w:val="clear" w:color="auto" w:fill="auto"/>
            <w:vAlign w:val="center"/>
            <w:hideMark/>
          </w:tcPr>
          <w:p w14:paraId="68E4F696" w14:textId="7A76E7D4" w:rsidR="00A2342A" w:rsidRDefault="00A2342A">
            <w:pPr>
              <w:jc w:val="right"/>
              <w:rPr>
                <w:rFonts w:ascii="Calibri" w:hAnsi="Calibri" w:cs="Calibri"/>
                <w:b/>
                <w:bCs/>
                <w:color w:val="000000"/>
                <w:sz w:val="16"/>
                <w:szCs w:val="16"/>
              </w:rPr>
            </w:pPr>
            <w:r>
              <w:rPr>
                <w:rFonts w:ascii="Calibri" w:hAnsi="Calibri" w:cs="Calibri"/>
                <w:b/>
                <w:bCs/>
                <w:color w:val="000000"/>
                <w:sz w:val="16"/>
                <w:szCs w:val="16"/>
              </w:rPr>
              <w:t>(10.083.132)</w:t>
            </w:r>
          </w:p>
        </w:tc>
      </w:tr>
    </w:tbl>
    <w:p w14:paraId="6BB2C473" w14:textId="77777777" w:rsidR="00B87A63" w:rsidRPr="002E2B5B" w:rsidRDefault="00B87A63" w:rsidP="002E2B5B">
      <w:pPr>
        <w:ind w:right="57"/>
        <w:jc w:val="both"/>
        <w:rPr>
          <w:rFonts w:ascii="Calibri" w:hAnsi="Calibri" w:cs="Calibri"/>
          <w:sz w:val="22"/>
          <w:szCs w:val="22"/>
        </w:rPr>
      </w:pPr>
    </w:p>
    <w:p w14:paraId="209A3CD2" w14:textId="5E4B7243" w:rsidR="007F4918" w:rsidRDefault="00980858" w:rsidP="002E2B5B">
      <w:pPr>
        <w:ind w:right="57"/>
        <w:jc w:val="both"/>
        <w:rPr>
          <w:rFonts w:ascii="Calibri" w:hAnsi="Calibri" w:cs="Calibri"/>
          <w:sz w:val="22"/>
          <w:szCs w:val="22"/>
        </w:rPr>
      </w:pPr>
      <w:r w:rsidRPr="002E2B5B">
        <w:rPr>
          <w:rFonts w:ascii="Calibri" w:hAnsi="Calibri" w:cs="Calibri"/>
          <w:sz w:val="22"/>
          <w:szCs w:val="22"/>
        </w:rPr>
        <w:t>A</w:t>
      </w:r>
      <w:r w:rsidR="002827B8" w:rsidRPr="002E2B5B">
        <w:rPr>
          <w:rFonts w:ascii="Calibri" w:hAnsi="Calibri" w:cs="Calibri"/>
          <w:sz w:val="22"/>
          <w:szCs w:val="22"/>
        </w:rPr>
        <w:t xml:space="preserve">s despesas de locação foram sensibilizadas pela adoção do CPC – 06 (R2), conforme Nota </w:t>
      </w:r>
      <w:r w:rsidRPr="002E2B5B">
        <w:rPr>
          <w:rFonts w:ascii="Calibri" w:hAnsi="Calibri" w:cs="Calibri"/>
          <w:sz w:val="22"/>
          <w:szCs w:val="22"/>
        </w:rPr>
        <w:t>1</w:t>
      </w:r>
      <w:r w:rsidR="00216A83">
        <w:rPr>
          <w:rFonts w:ascii="Calibri" w:hAnsi="Calibri" w:cs="Calibri"/>
          <w:sz w:val="22"/>
          <w:szCs w:val="22"/>
        </w:rPr>
        <w:t>3</w:t>
      </w:r>
      <w:r w:rsidRPr="002E2B5B">
        <w:rPr>
          <w:rFonts w:ascii="Calibri" w:hAnsi="Calibri" w:cs="Calibri"/>
          <w:sz w:val="22"/>
          <w:szCs w:val="22"/>
        </w:rPr>
        <w:t>.</w:t>
      </w:r>
    </w:p>
    <w:p w14:paraId="0F6B58BF" w14:textId="24385A26" w:rsidR="00C34E8D" w:rsidRDefault="00C34E8D" w:rsidP="002E2B5B">
      <w:pPr>
        <w:ind w:right="57"/>
        <w:jc w:val="both"/>
        <w:rPr>
          <w:rFonts w:ascii="Calibri" w:hAnsi="Calibri" w:cs="Calibri"/>
          <w:sz w:val="22"/>
          <w:szCs w:val="22"/>
        </w:rPr>
      </w:pPr>
    </w:p>
    <w:p w14:paraId="526351D3" w14:textId="74B802AA" w:rsidR="00BE6F7B" w:rsidRPr="002E2B5B" w:rsidRDefault="004E146F" w:rsidP="002E2B5B">
      <w:pPr>
        <w:jc w:val="both"/>
        <w:rPr>
          <w:rFonts w:ascii="Calibri" w:hAnsi="Calibri" w:cs="Calibri"/>
          <w:b/>
          <w:sz w:val="22"/>
          <w:szCs w:val="22"/>
        </w:rPr>
      </w:pPr>
      <w:r w:rsidRPr="00BC605C">
        <w:rPr>
          <w:rFonts w:ascii="Calibri" w:hAnsi="Calibri" w:cs="Calibri"/>
          <w:b/>
          <w:sz w:val="22"/>
          <w:szCs w:val="22"/>
        </w:rPr>
        <w:t>NO</w:t>
      </w:r>
      <w:r w:rsidR="00434FB3" w:rsidRPr="00BC605C">
        <w:rPr>
          <w:rFonts w:ascii="Calibri" w:hAnsi="Calibri" w:cs="Calibri"/>
          <w:b/>
          <w:sz w:val="22"/>
          <w:szCs w:val="22"/>
        </w:rPr>
        <w:t>TA 1</w:t>
      </w:r>
      <w:r w:rsidR="00216A83">
        <w:rPr>
          <w:rFonts w:ascii="Calibri" w:hAnsi="Calibri" w:cs="Calibri"/>
          <w:b/>
          <w:sz w:val="22"/>
          <w:szCs w:val="22"/>
        </w:rPr>
        <w:t>7</w:t>
      </w:r>
      <w:r w:rsidRPr="00BC605C">
        <w:rPr>
          <w:rFonts w:ascii="Calibri" w:hAnsi="Calibri" w:cs="Calibri"/>
          <w:b/>
          <w:sz w:val="22"/>
          <w:szCs w:val="22"/>
        </w:rPr>
        <w:t xml:space="preserve"> – OUTRAS RECEITAS</w:t>
      </w:r>
      <w:r w:rsidR="006C0B4D" w:rsidRPr="00BC605C">
        <w:rPr>
          <w:rFonts w:ascii="Calibri" w:hAnsi="Calibri" w:cs="Calibri"/>
          <w:b/>
          <w:sz w:val="22"/>
          <w:szCs w:val="22"/>
        </w:rPr>
        <w:t>/DESPESAS</w:t>
      </w:r>
      <w:r w:rsidRPr="00BC605C">
        <w:rPr>
          <w:rFonts w:ascii="Calibri" w:hAnsi="Calibri" w:cs="Calibri"/>
          <w:b/>
          <w:sz w:val="22"/>
          <w:szCs w:val="22"/>
        </w:rPr>
        <w:t xml:space="preserve"> OPERACIONAIS</w:t>
      </w:r>
    </w:p>
    <w:p w14:paraId="5A3B7D79" w14:textId="77777777" w:rsidR="000C065B" w:rsidRPr="002E2B5B" w:rsidRDefault="000C065B" w:rsidP="002E2B5B">
      <w:pPr>
        <w:jc w:val="both"/>
        <w:rPr>
          <w:rFonts w:ascii="Calibri" w:hAnsi="Calibri" w:cs="Calibri"/>
          <w:b/>
          <w:sz w:val="22"/>
          <w:szCs w:val="22"/>
        </w:rPr>
      </w:pPr>
    </w:p>
    <w:p w14:paraId="7934F07B" w14:textId="7149CF75" w:rsidR="004E7131" w:rsidRDefault="004E146F" w:rsidP="009B3A36">
      <w:pPr>
        <w:ind w:right="57"/>
        <w:jc w:val="both"/>
        <w:rPr>
          <w:rFonts w:ascii="Calibri" w:hAnsi="Calibri" w:cs="Calibri"/>
          <w:sz w:val="22"/>
          <w:szCs w:val="22"/>
        </w:rPr>
      </w:pPr>
      <w:r w:rsidRPr="002E2B5B">
        <w:rPr>
          <w:rFonts w:ascii="Calibri" w:hAnsi="Calibri" w:cs="Calibri"/>
          <w:sz w:val="22"/>
          <w:szCs w:val="22"/>
        </w:rPr>
        <w:t>A rubrica “Outras Receitas</w:t>
      </w:r>
      <w:r w:rsidR="006C0B4D" w:rsidRPr="002E2B5B">
        <w:rPr>
          <w:rFonts w:ascii="Calibri" w:hAnsi="Calibri" w:cs="Calibri"/>
          <w:sz w:val="22"/>
          <w:szCs w:val="22"/>
        </w:rPr>
        <w:t xml:space="preserve">/Despesas </w:t>
      </w:r>
      <w:r w:rsidRPr="002E2B5B">
        <w:rPr>
          <w:rFonts w:ascii="Calibri" w:hAnsi="Calibri" w:cs="Calibri"/>
          <w:sz w:val="22"/>
          <w:szCs w:val="22"/>
        </w:rPr>
        <w:t xml:space="preserve">Operacionais” </w:t>
      </w:r>
      <w:r w:rsidR="002C7DBE" w:rsidRPr="002E2B5B">
        <w:rPr>
          <w:rFonts w:ascii="Calibri" w:hAnsi="Calibri" w:cs="Calibri"/>
          <w:sz w:val="22"/>
          <w:szCs w:val="22"/>
        </w:rPr>
        <w:t xml:space="preserve">apresentou </w:t>
      </w:r>
      <w:r w:rsidR="00B812FB" w:rsidRPr="002E2B5B">
        <w:rPr>
          <w:rFonts w:ascii="Calibri" w:hAnsi="Calibri" w:cs="Calibri"/>
          <w:sz w:val="22"/>
          <w:szCs w:val="22"/>
        </w:rPr>
        <w:t>o valor</w:t>
      </w:r>
      <w:r w:rsidR="00BC605C">
        <w:rPr>
          <w:rFonts w:ascii="Calibri" w:hAnsi="Calibri" w:cs="Calibri"/>
          <w:sz w:val="22"/>
          <w:szCs w:val="22"/>
        </w:rPr>
        <w:t xml:space="preserve"> negativo</w:t>
      </w:r>
      <w:r w:rsidR="00B812FB" w:rsidRPr="002E2B5B">
        <w:rPr>
          <w:rFonts w:ascii="Calibri" w:hAnsi="Calibri" w:cs="Calibri"/>
          <w:sz w:val="22"/>
          <w:szCs w:val="22"/>
        </w:rPr>
        <w:t xml:space="preserve"> de R$ </w:t>
      </w:r>
      <w:r w:rsidR="00BC605C">
        <w:rPr>
          <w:rFonts w:ascii="Calibri" w:hAnsi="Calibri" w:cs="Calibri"/>
          <w:sz w:val="22"/>
          <w:szCs w:val="22"/>
        </w:rPr>
        <w:t>27,5</w:t>
      </w:r>
      <w:r w:rsidR="005B302C" w:rsidRPr="002E2B5B">
        <w:rPr>
          <w:rFonts w:ascii="Calibri" w:hAnsi="Calibri" w:cs="Calibri"/>
          <w:sz w:val="22"/>
          <w:szCs w:val="22"/>
        </w:rPr>
        <w:t xml:space="preserve"> mil</w:t>
      </w:r>
      <w:r w:rsidR="006D1F53">
        <w:rPr>
          <w:rFonts w:ascii="Calibri" w:hAnsi="Calibri" w:cs="Calibri"/>
          <w:sz w:val="22"/>
          <w:szCs w:val="22"/>
        </w:rPr>
        <w:t>hões</w:t>
      </w:r>
      <w:r w:rsidR="005B302C" w:rsidRPr="002E2B5B">
        <w:rPr>
          <w:rFonts w:ascii="Calibri" w:hAnsi="Calibri" w:cs="Calibri"/>
          <w:sz w:val="22"/>
          <w:szCs w:val="22"/>
        </w:rPr>
        <w:t xml:space="preserve"> e</w:t>
      </w:r>
      <w:r w:rsidR="00B812FB" w:rsidRPr="002E2B5B">
        <w:rPr>
          <w:rFonts w:ascii="Calibri" w:hAnsi="Calibri" w:cs="Calibri"/>
          <w:sz w:val="22"/>
          <w:szCs w:val="22"/>
        </w:rPr>
        <w:t xml:space="preserve"> </w:t>
      </w:r>
      <w:r w:rsidRPr="002E2B5B">
        <w:rPr>
          <w:rFonts w:ascii="Calibri" w:hAnsi="Calibri" w:cs="Calibri"/>
          <w:sz w:val="22"/>
          <w:szCs w:val="22"/>
        </w:rPr>
        <w:t xml:space="preserve">compreende </w:t>
      </w:r>
      <w:r w:rsidR="005B302C" w:rsidRPr="002E2B5B">
        <w:rPr>
          <w:rFonts w:ascii="Calibri" w:hAnsi="Calibri" w:cs="Calibri"/>
          <w:sz w:val="22"/>
          <w:szCs w:val="22"/>
        </w:rPr>
        <w:t>as provisões para contingências e suas</w:t>
      </w:r>
      <w:r w:rsidR="00216A83">
        <w:rPr>
          <w:rFonts w:ascii="Calibri" w:hAnsi="Calibri" w:cs="Calibri"/>
          <w:sz w:val="22"/>
          <w:szCs w:val="22"/>
        </w:rPr>
        <w:t xml:space="preserve"> </w:t>
      </w:r>
      <w:r w:rsidRPr="002E2B5B">
        <w:rPr>
          <w:rFonts w:ascii="Calibri" w:hAnsi="Calibri" w:cs="Calibri"/>
          <w:sz w:val="22"/>
          <w:szCs w:val="22"/>
        </w:rPr>
        <w:t>revers</w:t>
      </w:r>
      <w:r w:rsidR="005B302C" w:rsidRPr="002E2B5B">
        <w:rPr>
          <w:rFonts w:ascii="Calibri" w:hAnsi="Calibri" w:cs="Calibri"/>
          <w:sz w:val="22"/>
          <w:szCs w:val="22"/>
        </w:rPr>
        <w:t>ões</w:t>
      </w:r>
      <w:r w:rsidR="009337AF" w:rsidRPr="002E2B5B">
        <w:rPr>
          <w:rFonts w:ascii="Calibri" w:hAnsi="Calibri" w:cs="Calibri"/>
          <w:sz w:val="22"/>
          <w:szCs w:val="22"/>
        </w:rPr>
        <w:t>,</w:t>
      </w:r>
      <w:r w:rsidR="008F0BEC" w:rsidRPr="002E2B5B">
        <w:rPr>
          <w:rFonts w:ascii="Calibri" w:hAnsi="Calibri" w:cs="Calibri"/>
          <w:sz w:val="22"/>
          <w:szCs w:val="22"/>
        </w:rPr>
        <w:t xml:space="preserve"> T</w:t>
      </w:r>
      <w:r w:rsidR="00B812FB" w:rsidRPr="002E2B5B">
        <w:rPr>
          <w:rFonts w:ascii="Calibri" w:hAnsi="Calibri" w:cs="Calibri"/>
          <w:sz w:val="22"/>
          <w:szCs w:val="22"/>
        </w:rPr>
        <w:t>ermo</w:t>
      </w:r>
      <w:r w:rsidR="008F0BEC" w:rsidRPr="002E2B5B">
        <w:rPr>
          <w:rFonts w:ascii="Calibri" w:hAnsi="Calibri" w:cs="Calibri"/>
          <w:sz w:val="22"/>
          <w:szCs w:val="22"/>
        </w:rPr>
        <w:t xml:space="preserve"> de Execução Descentralizada</w:t>
      </w:r>
      <w:r w:rsidR="00D518C0" w:rsidRPr="002E2B5B">
        <w:rPr>
          <w:rFonts w:ascii="Calibri" w:hAnsi="Calibri" w:cs="Calibri"/>
          <w:sz w:val="22"/>
          <w:szCs w:val="22"/>
        </w:rPr>
        <w:t xml:space="preserve"> (</w:t>
      </w:r>
      <w:r w:rsidR="008F0BEC" w:rsidRPr="002E2B5B">
        <w:rPr>
          <w:rFonts w:ascii="Calibri" w:hAnsi="Calibri" w:cs="Calibri"/>
          <w:sz w:val="22"/>
          <w:szCs w:val="22"/>
        </w:rPr>
        <w:t>TED</w:t>
      </w:r>
      <w:r w:rsidR="00D518C0" w:rsidRPr="002E2B5B">
        <w:rPr>
          <w:rFonts w:ascii="Calibri" w:hAnsi="Calibri" w:cs="Calibri"/>
          <w:sz w:val="22"/>
          <w:szCs w:val="22"/>
        </w:rPr>
        <w:t>)</w:t>
      </w:r>
      <w:r w:rsidR="004E38F5" w:rsidRPr="002E2B5B">
        <w:rPr>
          <w:rFonts w:ascii="Calibri" w:hAnsi="Calibri" w:cs="Calibri"/>
          <w:sz w:val="22"/>
          <w:szCs w:val="22"/>
        </w:rPr>
        <w:t xml:space="preserve">, </w:t>
      </w:r>
      <w:r w:rsidR="00B812FB" w:rsidRPr="002E2B5B">
        <w:rPr>
          <w:rFonts w:ascii="Calibri" w:hAnsi="Calibri" w:cs="Calibri"/>
          <w:sz w:val="22"/>
          <w:szCs w:val="22"/>
        </w:rPr>
        <w:t>baixa de de</w:t>
      </w:r>
      <w:r w:rsidR="004E38F5" w:rsidRPr="002E2B5B">
        <w:rPr>
          <w:rFonts w:ascii="Calibri" w:hAnsi="Calibri" w:cs="Calibri"/>
          <w:sz w:val="22"/>
          <w:szCs w:val="22"/>
        </w:rPr>
        <w:t>pósitos retidos de fornecedores</w:t>
      </w:r>
      <w:r w:rsidR="00AB2F4A" w:rsidRPr="002E2B5B">
        <w:rPr>
          <w:rFonts w:ascii="Calibri" w:hAnsi="Calibri" w:cs="Calibri"/>
          <w:sz w:val="22"/>
          <w:szCs w:val="22"/>
        </w:rPr>
        <w:t>,</w:t>
      </w:r>
      <w:r w:rsidR="004E38F5" w:rsidRPr="002E2B5B">
        <w:rPr>
          <w:rFonts w:ascii="Calibri" w:hAnsi="Calibri" w:cs="Calibri"/>
          <w:sz w:val="22"/>
          <w:szCs w:val="22"/>
        </w:rPr>
        <w:t xml:space="preserve"> </w:t>
      </w:r>
      <w:r w:rsidR="00AB2F4A" w:rsidRPr="002E2B5B">
        <w:rPr>
          <w:rFonts w:ascii="Calibri" w:hAnsi="Calibri" w:cs="Calibri"/>
          <w:sz w:val="22"/>
          <w:szCs w:val="22"/>
        </w:rPr>
        <w:t>doações/transferências recebidas</w:t>
      </w:r>
      <w:r w:rsidR="00D518C0" w:rsidRPr="002E2B5B">
        <w:rPr>
          <w:rFonts w:ascii="Calibri" w:hAnsi="Calibri" w:cs="Calibri"/>
          <w:sz w:val="22"/>
          <w:szCs w:val="22"/>
        </w:rPr>
        <w:t xml:space="preserve">, </w:t>
      </w:r>
      <w:r w:rsidR="00D92B38" w:rsidRPr="002E2B5B">
        <w:rPr>
          <w:rFonts w:ascii="Calibri" w:hAnsi="Calibri" w:cs="Calibri"/>
          <w:sz w:val="22"/>
          <w:szCs w:val="22"/>
        </w:rPr>
        <w:t>multas administrativas</w:t>
      </w:r>
      <w:r w:rsidR="005B302C" w:rsidRPr="002E2B5B">
        <w:rPr>
          <w:rFonts w:ascii="Calibri" w:hAnsi="Calibri" w:cs="Calibri"/>
          <w:sz w:val="22"/>
          <w:szCs w:val="22"/>
        </w:rPr>
        <w:t>, baixa de ativos imobilizados e intangíveis e resultado da equivalência patrimonial sobre o investimento da VALEC em outra companhia.</w:t>
      </w:r>
    </w:p>
    <w:p w14:paraId="37A8C05A" w14:textId="77777777" w:rsidR="00AD39BE" w:rsidRDefault="00AD39BE" w:rsidP="009B3A36">
      <w:pPr>
        <w:ind w:right="57"/>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7230"/>
        <w:gridCol w:w="220"/>
        <w:gridCol w:w="1436"/>
        <w:gridCol w:w="1581"/>
      </w:tblGrid>
      <w:tr w:rsidR="00AD39BE" w14:paraId="7A63DCAF" w14:textId="77777777" w:rsidTr="00AD39BE">
        <w:trPr>
          <w:trHeight w:hRule="exact" w:val="227"/>
        </w:trPr>
        <w:tc>
          <w:tcPr>
            <w:tcW w:w="3559" w:type="pct"/>
            <w:gridSpan w:val="2"/>
            <w:tcBorders>
              <w:top w:val="nil"/>
              <w:left w:val="nil"/>
              <w:bottom w:val="single" w:sz="8" w:space="0" w:color="auto"/>
              <w:right w:val="nil"/>
            </w:tcBorders>
            <w:shd w:val="clear" w:color="auto" w:fill="auto"/>
            <w:noWrap/>
            <w:vAlign w:val="center"/>
            <w:hideMark/>
          </w:tcPr>
          <w:p w14:paraId="0C4F0D20" w14:textId="77777777" w:rsidR="00AD39BE" w:rsidRDefault="00AD39BE">
            <w:pPr>
              <w:rPr>
                <w:rFonts w:ascii="Calibri" w:hAnsi="Calibri" w:cs="Calibri"/>
                <w:b/>
                <w:bCs/>
                <w:color w:val="000000"/>
                <w:sz w:val="16"/>
                <w:szCs w:val="16"/>
              </w:rPr>
            </w:pPr>
            <w:r>
              <w:rPr>
                <w:rFonts w:ascii="Calibri" w:hAnsi="Calibri" w:cs="Calibri"/>
                <w:b/>
                <w:bCs/>
                <w:color w:val="000000"/>
                <w:sz w:val="16"/>
                <w:szCs w:val="16"/>
              </w:rPr>
              <w:t>OUTRAS RECEITAS/ DESPESAS OPERACIONAIS</w:t>
            </w:r>
          </w:p>
        </w:tc>
        <w:tc>
          <w:tcPr>
            <w:tcW w:w="686" w:type="pct"/>
            <w:tcBorders>
              <w:top w:val="nil"/>
              <w:left w:val="nil"/>
              <w:bottom w:val="single" w:sz="8" w:space="0" w:color="auto"/>
              <w:right w:val="nil"/>
            </w:tcBorders>
            <w:shd w:val="clear" w:color="auto" w:fill="auto"/>
            <w:noWrap/>
            <w:vAlign w:val="center"/>
            <w:hideMark/>
          </w:tcPr>
          <w:p w14:paraId="4FB748F5" w14:textId="77777777" w:rsidR="00AD39BE" w:rsidRDefault="00AD39BE">
            <w:pPr>
              <w:jc w:val="right"/>
              <w:rPr>
                <w:rFonts w:ascii="Calibri" w:hAnsi="Calibri" w:cs="Calibri"/>
                <w:b/>
                <w:bCs/>
                <w:color w:val="000000"/>
                <w:sz w:val="16"/>
                <w:szCs w:val="16"/>
              </w:rPr>
            </w:pPr>
            <w:r>
              <w:rPr>
                <w:rFonts w:ascii="Calibri" w:hAnsi="Calibri" w:cs="Calibri"/>
                <w:b/>
                <w:bCs/>
                <w:color w:val="000000"/>
                <w:sz w:val="16"/>
                <w:szCs w:val="16"/>
              </w:rPr>
              <w:t>30/06/2021</w:t>
            </w:r>
          </w:p>
        </w:tc>
        <w:tc>
          <w:tcPr>
            <w:tcW w:w="756" w:type="pct"/>
            <w:tcBorders>
              <w:top w:val="nil"/>
              <w:left w:val="nil"/>
              <w:bottom w:val="single" w:sz="8" w:space="0" w:color="auto"/>
              <w:right w:val="nil"/>
            </w:tcBorders>
            <w:shd w:val="clear" w:color="auto" w:fill="auto"/>
            <w:vAlign w:val="center"/>
            <w:hideMark/>
          </w:tcPr>
          <w:p w14:paraId="4576D205" w14:textId="77777777" w:rsidR="00AD39BE" w:rsidRDefault="00AD39BE">
            <w:pPr>
              <w:jc w:val="right"/>
              <w:rPr>
                <w:rFonts w:ascii="Calibri" w:hAnsi="Calibri" w:cs="Calibri"/>
                <w:b/>
                <w:bCs/>
                <w:color w:val="000000"/>
                <w:sz w:val="16"/>
                <w:szCs w:val="16"/>
              </w:rPr>
            </w:pPr>
            <w:r>
              <w:rPr>
                <w:rFonts w:ascii="Calibri" w:hAnsi="Calibri" w:cs="Calibri"/>
                <w:b/>
                <w:bCs/>
                <w:color w:val="000000"/>
                <w:sz w:val="16"/>
                <w:szCs w:val="16"/>
              </w:rPr>
              <w:t>30/06/2020</w:t>
            </w:r>
          </w:p>
        </w:tc>
      </w:tr>
      <w:tr w:rsidR="00AD39BE" w14:paraId="4B51EF6E" w14:textId="77777777" w:rsidTr="00AD39BE">
        <w:trPr>
          <w:trHeight w:hRule="exact" w:val="227"/>
        </w:trPr>
        <w:tc>
          <w:tcPr>
            <w:tcW w:w="3559" w:type="pct"/>
            <w:gridSpan w:val="2"/>
            <w:tcBorders>
              <w:top w:val="nil"/>
              <w:left w:val="nil"/>
              <w:bottom w:val="nil"/>
              <w:right w:val="nil"/>
            </w:tcBorders>
            <w:shd w:val="clear" w:color="auto" w:fill="auto"/>
            <w:noWrap/>
            <w:vAlign w:val="center"/>
            <w:hideMark/>
          </w:tcPr>
          <w:p w14:paraId="641621BB" w14:textId="77777777" w:rsidR="00AD39BE" w:rsidRDefault="00AD39BE">
            <w:pPr>
              <w:rPr>
                <w:rFonts w:ascii="Calibri" w:hAnsi="Calibri" w:cs="Calibri"/>
                <w:color w:val="000000"/>
                <w:sz w:val="16"/>
                <w:szCs w:val="16"/>
              </w:rPr>
            </w:pPr>
            <w:r>
              <w:rPr>
                <w:rFonts w:ascii="Calibri" w:hAnsi="Calibri" w:cs="Calibri"/>
                <w:color w:val="000000"/>
                <w:sz w:val="16"/>
                <w:szCs w:val="16"/>
              </w:rPr>
              <w:t>Provisão para Contingências (Nota 11b)</w:t>
            </w:r>
          </w:p>
        </w:tc>
        <w:tc>
          <w:tcPr>
            <w:tcW w:w="686" w:type="pct"/>
            <w:tcBorders>
              <w:top w:val="nil"/>
              <w:left w:val="nil"/>
              <w:bottom w:val="nil"/>
              <w:right w:val="nil"/>
            </w:tcBorders>
            <w:shd w:val="clear" w:color="auto" w:fill="auto"/>
            <w:noWrap/>
            <w:vAlign w:val="center"/>
            <w:hideMark/>
          </w:tcPr>
          <w:p w14:paraId="4018DC06" w14:textId="2C0F2499" w:rsidR="00AD39BE" w:rsidRDefault="00AD39BE">
            <w:pPr>
              <w:jc w:val="right"/>
              <w:rPr>
                <w:rFonts w:ascii="Calibri" w:hAnsi="Calibri" w:cs="Calibri"/>
                <w:color w:val="000000"/>
                <w:sz w:val="16"/>
                <w:szCs w:val="16"/>
              </w:rPr>
            </w:pPr>
            <w:r>
              <w:rPr>
                <w:rFonts w:ascii="Calibri" w:hAnsi="Calibri" w:cs="Calibri"/>
                <w:color w:val="000000"/>
                <w:sz w:val="16"/>
                <w:szCs w:val="16"/>
              </w:rPr>
              <w:t>(45.591.521)</w:t>
            </w:r>
          </w:p>
        </w:tc>
        <w:tc>
          <w:tcPr>
            <w:tcW w:w="756" w:type="pct"/>
            <w:tcBorders>
              <w:top w:val="nil"/>
              <w:left w:val="nil"/>
              <w:bottom w:val="nil"/>
              <w:right w:val="nil"/>
            </w:tcBorders>
            <w:shd w:val="clear" w:color="auto" w:fill="auto"/>
            <w:vAlign w:val="center"/>
            <w:hideMark/>
          </w:tcPr>
          <w:p w14:paraId="14BDAAE6" w14:textId="0C463968" w:rsidR="00AD39BE" w:rsidRDefault="00AD39BE">
            <w:pPr>
              <w:jc w:val="right"/>
              <w:rPr>
                <w:rFonts w:ascii="Calibri" w:hAnsi="Calibri" w:cs="Calibri"/>
                <w:color w:val="000000"/>
                <w:sz w:val="16"/>
                <w:szCs w:val="16"/>
              </w:rPr>
            </w:pPr>
            <w:r>
              <w:rPr>
                <w:rFonts w:ascii="Calibri" w:hAnsi="Calibri" w:cs="Calibri"/>
                <w:color w:val="000000"/>
                <w:sz w:val="16"/>
                <w:szCs w:val="16"/>
              </w:rPr>
              <w:t>(870.166.337)</w:t>
            </w:r>
          </w:p>
        </w:tc>
      </w:tr>
      <w:tr w:rsidR="00AD39BE" w14:paraId="4DAFF609" w14:textId="77777777" w:rsidTr="00AD39BE">
        <w:trPr>
          <w:trHeight w:hRule="exact" w:val="227"/>
        </w:trPr>
        <w:tc>
          <w:tcPr>
            <w:tcW w:w="3559" w:type="pct"/>
            <w:gridSpan w:val="2"/>
            <w:tcBorders>
              <w:top w:val="nil"/>
              <w:left w:val="nil"/>
              <w:bottom w:val="nil"/>
              <w:right w:val="nil"/>
            </w:tcBorders>
            <w:shd w:val="clear" w:color="auto" w:fill="auto"/>
            <w:noWrap/>
            <w:vAlign w:val="center"/>
            <w:hideMark/>
          </w:tcPr>
          <w:p w14:paraId="215B1971" w14:textId="77777777" w:rsidR="00AD39BE" w:rsidRDefault="00AD39BE">
            <w:pPr>
              <w:rPr>
                <w:rFonts w:ascii="Calibri" w:hAnsi="Calibri" w:cs="Calibri"/>
                <w:color w:val="000000"/>
                <w:sz w:val="16"/>
                <w:szCs w:val="16"/>
              </w:rPr>
            </w:pPr>
            <w:r>
              <w:rPr>
                <w:rFonts w:ascii="Calibri" w:hAnsi="Calibri" w:cs="Calibri"/>
                <w:color w:val="000000"/>
                <w:sz w:val="16"/>
                <w:szCs w:val="16"/>
              </w:rPr>
              <w:t>Reversão de provisões para contingências (Nota 11b)</w:t>
            </w:r>
          </w:p>
        </w:tc>
        <w:tc>
          <w:tcPr>
            <w:tcW w:w="686" w:type="pct"/>
            <w:tcBorders>
              <w:top w:val="nil"/>
              <w:left w:val="nil"/>
              <w:bottom w:val="nil"/>
              <w:right w:val="nil"/>
            </w:tcBorders>
            <w:shd w:val="clear" w:color="auto" w:fill="auto"/>
            <w:noWrap/>
            <w:vAlign w:val="center"/>
            <w:hideMark/>
          </w:tcPr>
          <w:p w14:paraId="3EEBCCA8"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0</w:t>
            </w:r>
          </w:p>
        </w:tc>
        <w:tc>
          <w:tcPr>
            <w:tcW w:w="756" w:type="pct"/>
            <w:tcBorders>
              <w:top w:val="nil"/>
              <w:left w:val="nil"/>
              <w:bottom w:val="nil"/>
              <w:right w:val="nil"/>
            </w:tcBorders>
            <w:shd w:val="clear" w:color="auto" w:fill="auto"/>
            <w:vAlign w:val="center"/>
            <w:hideMark/>
          </w:tcPr>
          <w:p w14:paraId="7717233E"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881.892.885</w:t>
            </w:r>
          </w:p>
        </w:tc>
      </w:tr>
      <w:tr w:rsidR="00AD39BE" w14:paraId="5B466001" w14:textId="77777777" w:rsidTr="00AD39BE">
        <w:trPr>
          <w:trHeight w:hRule="exact" w:val="227"/>
        </w:trPr>
        <w:tc>
          <w:tcPr>
            <w:tcW w:w="3559" w:type="pct"/>
            <w:gridSpan w:val="2"/>
            <w:tcBorders>
              <w:top w:val="nil"/>
              <w:left w:val="nil"/>
              <w:bottom w:val="nil"/>
              <w:right w:val="nil"/>
            </w:tcBorders>
            <w:shd w:val="clear" w:color="auto" w:fill="auto"/>
            <w:noWrap/>
            <w:vAlign w:val="center"/>
            <w:hideMark/>
          </w:tcPr>
          <w:p w14:paraId="727EA27D" w14:textId="77777777" w:rsidR="00AD39BE" w:rsidRDefault="00AD39BE">
            <w:pPr>
              <w:rPr>
                <w:rFonts w:ascii="Calibri" w:hAnsi="Calibri" w:cs="Calibri"/>
                <w:color w:val="000000"/>
                <w:sz w:val="16"/>
                <w:szCs w:val="16"/>
              </w:rPr>
            </w:pPr>
            <w:r>
              <w:rPr>
                <w:rFonts w:ascii="Calibri" w:hAnsi="Calibri" w:cs="Calibri"/>
                <w:color w:val="000000"/>
                <w:sz w:val="16"/>
                <w:szCs w:val="16"/>
              </w:rPr>
              <w:t>Termo de Execução Descentralizada (TED) (Nota 4c1)</w:t>
            </w:r>
          </w:p>
        </w:tc>
        <w:tc>
          <w:tcPr>
            <w:tcW w:w="686" w:type="pct"/>
            <w:tcBorders>
              <w:top w:val="nil"/>
              <w:left w:val="nil"/>
              <w:bottom w:val="nil"/>
              <w:right w:val="nil"/>
            </w:tcBorders>
            <w:shd w:val="clear" w:color="auto" w:fill="auto"/>
            <w:noWrap/>
            <w:vAlign w:val="center"/>
            <w:hideMark/>
          </w:tcPr>
          <w:p w14:paraId="7F2C92D6"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868.934</w:t>
            </w:r>
          </w:p>
        </w:tc>
        <w:tc>
          <w:tcPr>
            <w:tcW w:w="756" w:type="pct"/>
            <w:tcBorders>
              <w:top w:val="nil"/>
              <w:left w:val="nil"/>
              <w:bottom w:val="nil"/>
              <w:right w:val="nil"/>
            </w:tcBorders>
            <w:shd w:val="clear" w:color="auto" w:fill="auto"/>
            <w:vAlign w:val="center"/>
            <w:hideMark/>
          </w:tcPr>
          <w:p w14:paraId="6C0A1EA4"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0</w:t>
            </w:r>
          </w:p>
        </w:tc>
      </w:tr>
      <w:tr w:rsidR="00AD39BE" w14:paraId="78081C3F" w14:textId="77777777" w:rsidTr="00AD39BE">
        <w:trPr>
          <w:trHeight w:hRule="exact" w:val="227"/>
        </w:trPr>
        <w:tc>
          <w:tcPr>
            <w:tcW w:w="3559" w:type="pct"/>
            <w:gridSpan w:val="2"/>
            <w:tcBorders>
              <w:top w:val="nil"/>
              <w:left w:val="nil"/>
              <w:bottom w:val="nil"/>
              <w:right w:val="nil"/>
            </w:tcBorders>
            <w:shd w:val="clear" w:color="auto" w:fill="auto"/>
            <w:noWrap/>
            <w:vAlign w:val="center"/>
            <w:hideMark/>
          </w:tcPr>
          <w:p w14:paraId="35DDEBE4" w14:textId="77777777" w:rsidR="00AD39BE" w:rsidRDefault="00AD39BE">
            <w:pPr>
              <w:rPr>
                <w:rFonts w:ascii="Calibri" w:hAnsi="Calibri" w:cs="Calibri"/>
                <w:color w:val="000000"/>
                <w:sz w:val="16"/>
                <w:szCs w:val="16"/>
              </w:rPr>
            </w:pPr>
            <w:r>
              <w:rPr>
                <w:rFonts w:ascii="Calibri" w:hAnsi="Calibri" w:cs="Calibri"/>
                <w:color w:val="000000"/>
                <w:sz w:val="16"/>
                <w:szCs w:val="16"/>
              </w:rPr>
              <w:t>Baixa de passivos (desapropriação, fornecedores e depósitos retidos de fornecedores)</w:t>
            </w:r>
          </w:p>
        </w:tc>
        <w:tc>
          <w:tcPr>
            <w:tcW w:w="686" w:type="pct"/>
            <w:tcBorders>
              <w:top w:val="nil"/>
              <w:left w:val="nil"/>
              <w:bottom w:val="nil"/>
              <w:right w:val="nil"/>
            </w:tcBorders>
            <w:shd w:val="clear" w:color="auto" w:fill="auto"/>
            <w:noWrap/>
            <w:vAlign w:val="center"/>
            <w:hideMark/>
          </w:tcPr>
          <w:p w14:paraId="1DAF6864"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2.314</w:t>
            </w:r>
          </w:p>
        </w:tc>
        <w:tc>
          <w:tcPr>
            <w:tcW w:w="756" w:type="pct"/>
            <w:tcBorders>
              <w:top w:val="nil"/>
              <w:left w:val="nil"/>
              <w:bottom w:val="nil"/>
              <w:right w:val="nil"/>
            </w:tcBorders>
            <w:shd w:val="clear" w:color="auto" w:fill="auto"/>
            <w:vAlign w:val="center"/>
            <w:hideMark/>
          </w:tcPr>
          <w:p w14:paraId="6D4480A5"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0</w:t>
            </w:r>
          </w:p>
        </w:tc>
      </w:tr>
      <w:tr w:rsidR="00AD39BE" w14:paraId="57276791" w14:textId="77777777" w:rsidTr="00AD39BE">
        <w:trPr>
          <w:trHeight w:hRule="exact" w:val="227"/>
        </w:trPr>
        <w:tc>
          <w:tcPr>
            <w:tcW w:w="3559" w:type="pct"/>
            <w:gridSpan w:val="2"/>
            <w:tcBorders>
              <w:top w:val="nil"/>
              <w:left w:val="nil"/>
              <w:bottom w:val="nil"/>
              <w:right w:val="nil"/>
            </w:tcBorders>
            <w:shd w:val="clear" w:color="auto" w:fill="auto"/>
            <w:noWrap/>
            <w:vAlign w:val="center"/>
            <w:hideMark/>
          </w:tcPr>
          <w:p w14:paraId="6A3082B6" w14:textId="77777777" w:rsidR="00AD39BE" w:rsidRDefault="00AD39BE">
            <w:pPr>
              <w:rPr>
                <w:rFonts w:ascii="Calibri" w:hAnsi="Calibri" w:cs="Calibri"/>
                <w:color w:val="000000"/>
                <w:sz w:val="16"/>
                <w:szCs w:val="16"/>
              </w:rPr>
            </w:pPr>
            <w:r>
              <w:rPr>
                <w:rFonts w:ascii="Calibri" w:hAnsi="Calibri" w:cs="Calibri"/>
                <w:color w:val="000000"/>
                <w:sz w:val="16"/>
                <w:szCs w:val="16"/>
              </w:rPr>
              <w:t>Doações/Transferências</w:t>
            </w:r>
          </w:p>
        </w:tc>
        <w:tc>
          <w:tcPr>
            <w:tcW w:w="686" w:type="pct"/>
            <w:tcBorders>
              <w:top w:val="nil"/>
              <w:left w:val="nil"/>
              <w:bottom w:val="nil"/>
              <w:right w:val="nil"/>
            </w:tcBorders>
            <w:shd w:val="clear" w:color="auto" w:fill="auto"/>
            <w:noWrap/>
            <w:vAlign w:val="center"/>
            <w:hideMark/>
          </w:tcPr>
          <w:p w14:paraId="62137AA0"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0</w:t>
            </w:r>
          </w:p>
        </w:tc>
        <w:tc>
          <w:tcPr>
            <w:tcW w:w="756" w:type="pct"/>
            <w:tcBorders>
              <w:top w:val="nil"/>
              <w:left w:val="nil"/>
              <w:bottom w:val="nil"/>
              <w:right w:val="nil"/>
            </w:tcBorders>
            <w:shd w:val="clear" w:color="auto" w:fill="auto"/>
            <w:vAlign w:val="center"/>
            <w:hideMark/>
          </w:tcPr>
          <w:p w14:paraId="2054254B"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18.551.962</w:t>
            </w:r>
          </w:p>
        </w:tc>
      </w:tr>
      <w:tr w:rsidR="00AD39BE" w14:paraId="106E24AB" w14:textId="77777777" w:rsidTr="00AD39BE">
        <w:trPr>
          <w:trHeight w:hRule="exact" w:val="227"/>
        </w:trPr>
        <w:tc>
          <w:tcPr>
            <w:tcW w:w="3559" w:type="pct"/>
            <w:gridSpan w:val="2"/>
            <w:tcBorders>
              <w:top w:val="nil"/>
              <w:left w:val="nil"/>
              <w:bottom w:val="nil"/>
              <w:right w:val="nil"/>
            </w:tcBorders>
            <w:shd w:val="clear" w:color="auto" w:fill="auto"/>
            <w:noWrap/>
            <w:vAlign w:val="center"/>
            <w:hideMark/>
          </w:tcPr>
          <w:p w14:paraId="1DBCFDCB" w14:textId="77777777" w:rsidR="00AD39BE" w:rsidRDefault="00AD39BE">
            <w:pPr>
              <w:rPr>
                <w:rFonts w:ascii="Calibri" w:hAnsi="Calibri" w:cs="Calibri"/>
                <w:color w:val="000000"/>
                <w:sz w:val="16"/>
                <w:szCs w:val="16"/>
              </w:rPr>
            </w:pPr>
            <w:r>
              <w:rPr>
                <w:rFonts w:ascii="Calibri" w:hAnsi="Calibri" w:cs="Calibri"/>
                <w:color w:val="000000"/>
                <w:sz w:val="16"/>
                <w:szCs w:val="16"/>
              </w:rPr>
              <w:t>Multas administrativas (Nota 4c2)</w:t>
            </w:r>
          </w:p>
        </w:tc>
        <w:tc>
          <w:tcPr>
            <w:tcW w:w="686" w:type="pct"/>
            <w:tcBorders>
              <w:top w:val="nil"/>
              <w:left w:val="nil"/>
              <w:bottom w:val="nil"/>
              <w:right w:val="nil"/>
            </w:tcBorders>
            <w:shd w:val="clear" w:color="auto" w:fill="auto"/>
            <w:noWrap/>
            <w:vAlign w:val="center"/>
            <w:hideMark/>
          </w:tcPr>
          <w:p w14:paraId="76611F99"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0</w:t>
            </w:r>
          </w:p>
        </w:tc>
        <w:tc>
          <w:tcPr>
            <w:tcW w:w="756" w:type="pct"/>
            <w:tcBorders>
              <w:top w:val="nil"/>
              <w:left w:val="nil"/>
              <w:bottom w:val="nil"/>
              <w:right w:val="nil"/>
            </w:tcBorders>
            <w:shd w:val="clear" w:color="auto" w:fill="auto"/>
            <w:vAlign w:val="center"/>
            <w:hideMark/>
          </w:tcPr>
          <w:p w14:paraId="07061C08"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5.900.209</w:t>
            </w:r>
          </w:p>
        </w:tc>
      </w:tr>
      <w:tr w:rsidR="00AD39BE" w14:paraId="5226E49C" w14:textId="77777777" w:rsidTr="00AD39BE">
        <w:trPr>
          <w:trHeight w:hRule="exact" w:val="227"/>
        </w:trPr>
        <w:tc>
          <w:tcPr>
            <w:tcW w:w="3559" w:type="pct"/>
            <w:gridSpan w:val="2"/>
            <w:tcBorders>
              <w:top w:val="nil"/>
              <w:left w:val="nil"/>
              <w:bottom w:val="nil"/>
              <w:right w:val="nil"/>
            </w:tcBorders>
            <w:shd w:val="clear" w:color="auto" w:fill="auto"/>
            <w:noWrap/>
            <w:vAlign w:val="center"/>
            <w:hideMark/>
          </w:tcPr>
          <w:p w14:paraId="6C816BB7" w14:textId="77777777" w:rsidR="00AD39BE" w:rsidRDefault="00AD39BE">
            <w:pPr>
              <w:rPr>
                <w:rFonts w:ascii="Calibri" w:hAnsi="Calibri" w:cs="Calibri"/>
                <w:color w:val="000000"/>
                <w:sz w:val="16"/>
                <w:szCs w:val="16"/>
              </w:rPr>
            </w:pPr>
            <w:r>
              <w:rPr>
                <w:rFonts w:ascii="Calibri" w:hAnsi="Calibri" w:cs="Calibri"/>
                <w:color w:val="000000"/>
                <w:sz w:val="16"/>
                <w:szCs w:val="16"/>
              </w:rPr>
              <w:t>Restituições</w:t>
            </w:r>
          </w:p>
        </w:tc>
        <w:tc>
          <w:tcPr>
            <w:tcW w:w="686" w:type="pct"/>
            <w:tcBorders>
              <w:top w:val="nil"/>
              <w:left w:val="nil"/>
              <w:bottom w:val="nil"/>
              <w:right w:val="nil"/>
            </w:tcBorders>
            <w:shd w:val="clear" w:color="auto" w:fill="auto"/>
            <w:noWrap/>
            <w:vAlign w:val="center"/>
            <w:hideMark/>
          </w:tcPr>
          <w:p w14:paraId="3C0E4324"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1.844.165</w:t>
            </w:r>
          </w:p>
        </w:tc>
        <w:tc>
          <w:tcPr>
            <w:tcW w:w="756" w:type="pct"/>
            <w:tcBorders>
              <w:top w:val="nil"/>
              <w:left w:val="nil"/>
              <w:bottom w:val="nil"/>
              <w:right w:val="nil"/>
            </w:tcBorders>
            <w:shd w:val="clear" w:color="auto" w:fill="auto"/>
            <w:vAlign w:val="center"/>
            <w:hideMark/>
          </w:tcPr>
          <w:p w14:paraId="0A329911"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0</w:t>
            </w:r>
          </w:p>
        </w:tc>
      </w:tr>
      <w:tr w:rsidR="00AD39BE" w14:paraId="65CA4DA2" w14:textId="77777777" w:rsidTr="00AD39BE">
        <w:trPr>
          <w:trHeight w:hRule="exact" w:val="227"/>
        </w:trPr>
        <w:tc>
          <w:tcPr>
            <w:tcW w:w="3559" w:type="pct"/>
            <w:gridSpan w:val="2"/>
            <w:tcBorders>
              <w:top w:val="nil"/>
              <w:left w:val="nil"/>
              <w:bottom w:val="nil"/>
              <w:right w:val="nil"/>
            </w:tcBorders>
            <w:shd w:val="clear" w:color="auto" w:fill="auto"/>
            <w:noWrap/>
            <w:vAlign w:val="center"/>
            <w:hideMark/>
          </w:tcPr>
          <w:p w14:paraId="391D20CB" w14:textId="77777777" w:rsidR="00AD39BE" w:rsidRDefault="00AD39BE">
            <w:pPr>
              <w:rPr>
                <w:rFonts w:ascii="Calibri" w:hAnsi="Calibri" w:cs="Calibri"/>
                <w:color w:val="000000"/>
                <w:sz w:val="16"/>
                <w:szCs w:val="16"/>
              </w:rPr>
            </w:pPr>
            <w:r>
              <w:rPr>
                <w:rFonts w:ascii="Calibri" w:hAnsi="Calibri" w:cs="Calibri"/>
                <w:color w:val="000000"/>
                <w:sz w:val="16"/>
                <w:szCs w:val="16"/>
              </w:rPr>
              <w:t>Imposto a Recuperar</w:t>
            </w:r>
          </w:p>
        </w:tc>
        <w:tc>
          <w:tcPr>
            <w:tcW w:w="686" w:type="pct"/>
            <w:tcBorders>
              <w:top w:val="nil"/>
              <w:left w:val="nil"/>
              <w:bottom w:val="nil"/>
              <w:right w:val="nil"/>
            </w:tcBorders>
            <w:shd w:val="clear" w:color="auto" w:fill="auto"/>
            <w:noWrap/>
            <w:vAlign w:val="center"/>
            <w:hideMark/>
          </w:tcPr>
          <w:p w14:paraId="2D7FE9B5"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365.849</w:t>
            </w:r>
          </w:p>
        </w:tc>
        <w:tc>
          <w:tcPr>
            <w:tcW w:w="756" w:type="pct"/>
            <w:tcBorders>
              <w:top w:val="nil"/>
              <w:left w:val="nil"/>
              <w:bottom w:val="nil"/>
              <w:right w:val="nil"/>
            </w:tcBorders>
            <w:shd w:val="clear" w:color="auto" w:fill="auto"/>
            <w:vAlign w:val="center"/>
            <w:hideMark/>
          </w:tcPr>
          <w:p w14:paraId="1F35960E" w14:textId="0DC645D1" w:rsidR="00AD39BE" w:rsidRDefault="00AD39BE">
            <w:pPr>
              <w:jc w:val="right"/>
              <w:rPr>
                <w:rFonts w:ascii="Calibri" w:hAnsi="Calibri" w:cs="Calibri"/>
                <w:color w:val="000000"/>
                <w:sz w:val="16"/>
                <w:szCs w:val="16"/>
              </w:rPr>
            </w:pPr>
            <w:r>
              <w:rPr>
                <w:rFonts w:ascii="Calibri" w:hAnsi="Calibri" w:cs="Calibri"/>
                <w:color w:val="000000"/>
                <w:sz w:val="16"/>
                <w:szCs w:val="16"/>
              </w:rPr>
              <w:t>0</w:t>
            </w:r>
          </w:p>
        </w:tc>
      </w:tr>
      <w:tr w:rsidR="00AD39BE" w14:paraId="483D9C64" w14:textId="77777777" w:rsidTr="00AD39BE">
        <w:trPr>
          <w:trHeight w:hRule="exact" w:val="227"/>
        </w:trPr>
        <w:tc>
          <w:tcPr>
            <w:tcW w:w="3559" w:type="pct"/>
            <w:gridSpan w:val="2"/>
            <w:tcBorders>
              <w:top w:val="nil"/>
              <w:left w:val="nil"/>
              <w:bottom w:val="nil"/>
              <w:right w:val="nil"/>
            </w:tcBorders>
            <w:shd w:val="clear" w:color="auto" w:fill="auto"/>
            <w:noWrap/>
            <w:vAlign w:val="center"/>
            <w:hideMark/>
          </w:tcPr>
          <w:p w14:paraId="1D1122AF" w14:textId="77777777" w:rsidR="00AD39BE" w:rsidRDefault="00AD39BE">
            <w:pPr>
              <w:rPr>
                <w:rFonts w:ascii="Calibri" w:hAnsi="Calibri" w:cs="Calibri"/>
                <w:color w:val="000000"/>
                <w:sz w:val="16"/>
                <w:szCs w:val="16"/>
              </w:rPr>
            </w:pPr>
            <w:r>
              <w:rPr>
                <w:rFonts w:ascii="Calibri" w:hAnsi="Calibri" w:cs="Calibri"/>
                <w:color w:val="000000"/>
                <w:sz w:val="16"/>
                <w:szCs w:val="16"/>
              </w:rPr>
              <w:t>Baixa de Ativos – Imobilizado e Intangível (Nota 8)</w:t>
            </w:r>
          </w:p>
        </w:tc>
        <w:tc>
          <w:tcPr>
            <w:tcW w:w="686" w:type="pct"/>
            <w:tcBorders>
              <w:top w:val="nil"/>
              <w:left w:val="nil"/>
              <w:bottom w:val="nil"/>
              <w:right w:val="nil"/>
            </w:tcBorders>
            <w:shd w:val="clear" w:color="auto" w:fill="auto"/>
            <w:noWrap/>
            <w:vAlign w:val="center"/>
            <w:hideMark/>
          </w:tcPr>
          <w:p w14:paraId="356C5D74" w14:textId="7814DF7A" w:rsidR="00AD39BE" w:rsidRDefault="00AD39BE">
            <w:pPr>
              <w:jc w:val="right"/>
              <w:rPr>
                <w:rFonts w:ascii="Calibri" w:hAnsi="Calibri" w:cs="Calibri"/>
                <w:color w:val="000000"/>
                <w:sz w:val="16"/>
                <w:szCs w:val="16"/>
              </w:rPr>
            </w:pPr>
            <w:r>
              <w:rPr>
                <w:rFonts w:ascii="Calibri" w:hAnsi="Calibri" w:cs="Calibri"/>
                <w:color w:val="000000"/>
                <w:sz w:val="16"/>
                <w:szCs w:val="16"/>
              </w:rPr>
              <w:t>(45.904)</w:t>
            </w:r>
          </w:p>
        </w:tc>
        <w:tc>
          <w:tcPr>
            <w:tcW w:w="756" w:type="pct"/>
            <w:tcBorders>
              <w:top w:val="nil"/>
              <w:left w:val="nil"/>
              <w:bottom w:val="nil"/>
              <w:right w:val="nil"/>
            </w:tcBorders>
            <w:shd w:val="clear" w:color="auto" w:fill="auto"/>
            <w:vAlign w:val="center"/>
            <w:hideMark/>
          </w:tcPr>
          <w:p w14:paraId="194A08BB" w14:textId="165C230C" w:rsidR="00AD39BE" w:rsidRDefault="00AD39BE">
            <w:pPr>
              <w:jc w:val="right"/>
              <w:rPr>
                <w:rFonts w:ascii="Calibri" w:hAnsi="Calibri" w:cs="Calibri"/>
                <w:color w:val="000000"/>
                <w:sz w:val="16"/>
                <w:szCs w:val="16"/>
              </w:rPr>
            </w:pPr>
            <w:r>
              <w:rPr>
                <w:rFonts w:ascii="Calibri" w:hAnsi="Calibri" w:cs="Calibri"/>
                <w:color w:val="000000"/>
                <w:sz w:val="16"/>
                <w:szCs w:val="16"/>
              </w:rPr>
              <w:t>(340.295)</w:t>
            </w:r>
          </w:p>
        </w:tc>
      </w:tr>
      <w:tr w:rsidR="00AD39BE" w14:paraId="491AD069" w14:textId="77777777" w:rsidTr="00AD39BE">
        <w:trPr>
          <w:trHeight w:hRule="exact" w:val="227"/>
        </w:trPr>
        <w:tc>
          <w:tcPr>
            <w:tcW w:w="3454" w:type="pct"/>
            <w:tcBorders>
              <w:top w:val="nil"/>
              <w:left w:val="nil"/>
              <w:bottom w:val="single" w:sz="8" w:space="0" w:color="auto"/>
              <w:right w:val="nil"/>
            </w:tcBorders>
            <w:shd w:val="clear" w:color="auto" w:fill="auto"/>
            <w:noWrap/>
            <w:vAlign w:val="center"/>
            <w:hideMark/>
          </w:tcPr>
          <w:p w14:paraId="7EA5737A" w14:textId="77777777" w:rsidR="00AD39BE" w:rsidRDefault="00AD39BE">
            <w:pPr>
              <w:rPr>
                <w:rFonts w:ascii="Calibri" w:hAnsi="Calibri" w:cs="Calibri"/>
                <w:color w:val="000000"/>
                <w:sz w:val="16"/>
                <w:szCs w:val="16"/>
              </w:rPr>
            </w:pPr>
            <w:r>
              <w:rPr>
                <w:rFonts w:ascii="Calibri" w:hAnsi="Calibri" w:cs="Calibri"/>
                <w:color w:val="000000"/>
                <w:sz w:val="16"/>
                <w:szCs w:val="16"/>
              </w:rPr>
              <w:t>Resultado da Equivalência Patrimonial</w:t>
            </w:r>
          </w:p>
        </w:tc>
        <w:tc>
          <w:tcPr>
            <w:tcW w:w="105" w:type="pct"/>
            <w:tcBorders>
              <w:top w:val="nil"/>
              <w:left w:val="nil"/>
              <w:bottom w:val="nil"/>
              <w:right w:val="nil"/>
            </w:tcBorders>
            <w:shd w:val="clear" w:color="auto" w:fill="auto"/>
            <w:noWrap/>
            <w:vAlign w:val="center"/>
            <w:hideMark/>
          </w:tcPr>
          <w:p w14:paraId="2C4C16A4" w14:textId="77777777" w:rsidR="00AD39BE" w:rsidRDefault="00AD39BE">
            <w:pPr>
              <w:rPr>
                <w:rFonts w:ascii="Calibri" w:hAnsi="Calibri" w:cs="Calibri"/>
                <w:color w:val="000000"/>
                <w:sz w:val="16"/>
                <w:szCs w:val="16"/>
              </w:rPr>
            </w:pPr>
          </w:p>
        </w:tc>
        <w:tc>
          <w:tcPr>
            <w:tcW w:w="686" w:type="pct"/>
            <w:tcBorders>
              <w:top w:val="nil"/>
              <w:left w:val="nil"/>
              <w:bottom w:val="nil"/>
              <w:right w:val="nil"/>
            </w:tcBorders>
            <w:shd w:val="clear" w:color="auto" w:fill="auto"/>
            <w:noWrap/>
            <w:vAlign w:val="center"/>
            <w:hideMark/>
          </w:tcPr>
          <w:p w14:paraId="7E0D6D36" w14:textId="2EC8D8DC" w:rsidR="00AD39BE" w:rsidRDefault="00AD39BE">
            <w:pPr>
              <w:jc w:val="right"/>
              <w:rPr>
                <w:rFonts w:ascii="Calibri" w:hAnsi="Calibri" w:cs="Calibri"/>
                <w:color w:val="000000"/>
                <w:sz w:val="16"/>
                <w:szCs w:val="16"/>
              </w:rPr>
            </w:pPr>
            <w:r>
              <w:rPr>
                <w:rFonts w:ascii="Calibri" w:hAnsi="Calibri" w:cs="Calibri"/>
                <w:color w:val="000000"/>
                <w:sz w:val="16"/>
                <w:szCs w:val="16"/>
              </w:rPr>
              <w:t>(16.277.330)</w:t>
            </w:r>
          </w:p>
        </w:tc>
        <w:tc>
          <w:tcPr>
            <w:tcW w:w="756" w:type="pct"/>
            <w:tcBorders>
              <w:top w:val="nil"/>
              <w:left w:val="nil"/>
              <w:bottom w:val="nil"/>
              <w:right w:val="nil"/>
            </w:tcBorders>
            <w:shd w:val="clear" w:color="auto" w:fill="auto"/>
            <w:vAlign w:val="center"/>
            <w:hideMark/>
          </w:tcPr>
          <w:p w14:paraId="6423B670" w14:textId="0C57578C" w:rsidR="00AD39BE" w:rsidRDefault="00AD39BE">
            <w:pPr>
              <w:jc w:val="right"/>
              <w:rPr>
                <w:rFonts w:ascii="Calibri" w:hAnsi="Calibri" w:cs="Calibri"/>
                <w:color w:val="000000"/>
                <w:sz w:val="16"/>
                <w:szCs w:val="16"/>
              </w:rPr>
            </w:pPr>
            <w:r>
              <w:rPr>
                <w:rFonts w:ascii="Calibri" w:hAnsi="Calibri" w:cs="Calibri"/>
                <w:color w:val="000000"/>
                <w:sz w:val="16"/>
                <w:szCs w:val="16"/>
              </w:rPr>
              <w:t>(14.869.339)</w:t>
            </w:r>
          </w:p>
        </w:tc>
      </w:tr>
      <w:tr w:rsidR="00AD39BE" w14:paraId="47F4BE26" w14:textId="77777777" w:rsidTr="00AD39BE">
        <w:trPr>
          <w:trHeight w:hRule="exact" w:val="227"/>
        </w:trPr>
        <w:tc>
          <w:tcPr>
            <w:tcW w:w="3454" w:type="pct"/>
            <w:tcBorders>
              <w:top w:val="nil"/>
              <w:left w:val="nil"/>
              <w:bottom w:val="single" w:sz="8" w:space="0" w:color="auto"/>
              <w:right w:val="nil"/>
            </w:tcBorders>
            <w:shd w:val="clear" w:color="auto" w:fill="auto"/>
            <w:noWrap/>
            <w:vAlign w:val="center"/>
            <w:hideMark/>
          </w:tcPr>
          <w:p w14:paraId="24BA314D" w14:textId="77777777" w:rsidR="00AD39BE" w:rsidRDefault="00AD39BE">
            <w:pPr>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05" w:type="pct"/>
            <w:tcBorders>
              <w:top w:val="single" w:sz="8" w:space="0" w:color="auto"/>
              <w:left w:val="nil"/>
              <w:bottom w:val="single" w:sz="8" w:space="0" w:color="auto"/>
              <w:right w:val="nil"/>
            </w:tcBorders>
            <w:shd w:val="clear" w:color="auto" w:fill="auto"/>
            <w:noWrap/>
            <w:vAlign w:val="center"/>
            <w:hideMark/>
          </w:tcPr>
          <w:p w14:paraId="160212B2" w14:textId="77777777" w:rsidR="00AD39BE" w:rsidRDefault="00AD39BE">
            <w:pPr>
              <w:jc w:val="right"/>
              <w:rPr>
                <w:rFonts w:ascii="Calibri" w:hAnsi="Calibri" w:cs="Calibri"/>
                <w:b/>
                <w:bCs/>
                <w:color w:val="000000"/>
                <w:sz w:val="16"/>
                <w:szCs w:val="16"/>
              </w:rPr>
            </w:pPr>
            <w:r>
              <w:rPr>
                <w:rFonts w:ascii="Calibri" w:hAnsi="Calibri" w:cs="Calibri"/>
                <w:b/>
                <w:bCs/>
                <w:color w:val="000000"/>
                <w:sz w:val="16"/>
                <w:szCs w:val="16"/>
              </w:rPr>
              <w:t> </w:t>
            </w:r>
          </w:p>
        </w:tc>
        <w:tc>
          <w:tcPr>
            <w:tcW w:w="686" w:type="pct"/>
            <w:tcBorders>
              <w:top w:val="single" w:sz="8" w:space="0" w:color="auto"/>
              <w:left w:val="nil"/>
              <w:bottom w:val="single" w:sz="8" w:space="0" w:color="auto"/>
              <w:right w:val="nil"/>
            </w:tcBorders>
            <w:shd w:val="clear" w:color="auto" w:fill="auto"/>
            <w:noWrap/>
            <w:vAlign w:val="center"/>
            <w:hideMark/>
          </w:tcPr>
          <w:p w14:paraId="6893E139" w14:textId="2D7600B0" w:rsidR="00AD39BE" w:rsidRDefault="00AD39BE">
            <w:pPr>
              <w:jc w:val="right"/>
              <w:rPr>
                <w:rFonts w:ascii="Calibri" w:hAnsi="Calibri" w:cs="Calibri"/>
                <w:b/>
                <w:bCs/>
                <w:color w:val="000000"/>
                <w:sz w:val="16"/>
                <w:szCs w:val="16"/>
              </w:rPr>
            </w:pPr>
            <w:r>
              <w:rPr>
                <w:rFonts w:ascii="Calibri" w:hAnsi="Calibri" w:cs="Calibri"/>
                <w:b/>
                <w:bCs/>
                <w:color w:val="000000"/>
                <w:sz w:val="16"/>
                <w:szCs w:val="16"/>
              </w:rPr>
              <w:t>(58.833.493)</w:t>
            </w:r>
          </w:p>
        </w:tc>
        <w:tc>
          <w:tcPr>
            <w:tcW w:w="756" w:type="pct"/>
            <w:tcBorders>
              <w:top w:val="single" w:sz="8" w:space="0" w:color="auto"/>
              <w:left w:val="nil"/>
              <w:bottom w:val="single" w:sz="8" w:space="0" w:color="auto"/>
              <w:right w:val="nil"/>
            </w:tcBorders>
            <w:shd w:val="clear" w:color="auto" w:fill="auto"/>
            <w:vAlign w:val="center"/>
            <w:hideMark/>
          </w:tcPr>
          <w:p w14:paraId="0C342825" w14:textId="77777777" w:rsidR="00AD39BE" w:rsidRDefault="00AD39BE">
            <w:pPr>
              <w:jc w:val="right"/>
              <w:rPr>
                <w:rFonts w:ascii="Calibri" w:hAnsi="Calibri" w:cs="Calibri"/>
                <w:b/>
                <w:bCs/>
                <w:color w:val="000000"/>
                <w:sz w:val="16"/>
                <w:szCs w:val="16"/>
              </w:rPr>
            </w:pPr>
            <w:r>
              <w:rPr>
                <w:rFonts w:ascii="Calibri" w:hAnsi="Calibri" w:cs="Calibri"/>
                <w:b/>
                <w:bCs/>
                <w:color w:val="000000"/>
                <w:sz w:val="16"/>
                <w:szCs w:val="16"/>
              </w:rPr>
              <w:t>20.969.085</w:t>
            </w:r>
          </w:p>
        </w:tc>
      </w:tr>
    </w:tbl>
    <w:p w14:paraId="10625DBA" w14:textId="54F4FC13" w:rsidR="000C065B" w:rsidRPr="002E2B5B" w:rsidRDefault="005B302C" w:rsidP="002E2B5B">
      <w:pPr>
        <w:spacing w:before="120" w:after="120"/>
        <w:ind w:right="57"/>
        <w:jc w:val="both"/>
        <w:rPr>
          <w:rFonts w:ascii="Calibri" w:hAnsi="Calibri" w:cs="Calibri"/>
          <w:sz w:val="22"/>
          <w:szCs w:val="22"/>
        </w:rPr>
      </w:pPr>
      <w:r w:rsidRPr="002E2B5B">
        <w:rPr>
          <w:rFonts w:ascii="Calibri" w:hAnsi="Calibri" w:cs="Calibri"/>
          <w:sz w:val="22"/>
          <w:szCs w:val="22"/>
        </w:rPr>
        <w:t xml:space="preserve">Conforme Nota </w:t>
      </w:r>
      <w:r w:rsidR="00216A83">
        <w:rPr>
          <w:rFonts w:ascii="Calibri" w:hAnsi="Calibri" w:cs="Calibri"/>
          <w:sz w:val="22"/>
          <w:szCs w:val="22"/>
        </w:rPr>
        <w:t>7</w:t>
      </w:r>
      <w:r w:rsidRPr="002E2B5B">
        <w:rPr>
          <w:rFonts w:ascii="Calibri" w:hAnsi="Calibri" w:cs="Calibri"/>
          <w:sz w:val="22"/>
          <w:szCs w:val="22"/>
        </w:rPr>
        <w:t xml:space="preserve">b, o resultado com equivalência patrimonial negativo refere-se à participação acionária significativa na companhia Transnordestina Logística S/A, o qual totalizou R$ </w:t>
      </w:r>
      <w:r w:rsidR="00AD39BE">
        <w:rPr>
          <w:rFonts w:ascii="Calibri" w:hAnsi="Calibri" w:cs="Calibri"/>
          <w:sz w:val="22"/>
          <w:szCs w:val="22"/>
        </w:rPr>
        <w:t>16,2</w:t>
      </w:r>
      <w:r w:rsidR="00216A83">
        <w:rPr>
          <w:rFonts w:ascii="Calibri" w:hAnsi="Calibri" w:cs="Calibri"/>
          <w:sz w:val="22"/>
          <w:szCs w:val="22"/>
        </w:rPr>
        <w:t xml:space="preserve"> milhões</w:t>
      </w:r>
      <w:r w:rsidRPr="002E2B5B">
        <w:rPr>
          <w:rFonts w:ascii="Calibri" w:hAnsi="Calibri" w:cs="Calibri"/>
          <w:sz w:val="22"/>
          <w:szCs w:val="22"/>
        </w:rPr>
        <w:t>, no</w:t>
      </w:r>
      <w:r w:rsidR="006B6CF3">
        <w:rPr>
          <w:rFonts w:ascii="Calibri" w:hAnsi="Calibri" w:cs="Calibri"/>
          <w:sz w:val="22"/>
          <w:szCs w:val="22"/>
        </w:rPr>
        <w:t xml:space="preserve"> </w:t>
      </w:r>
      <w:r w:rsidR="00AD39BE">
        <w:rPr>
          <w:rFonts w:ascii="Calibri" w:hAnsi="Calibri" w:cs="Calibri"/>
          <w:sz w:val="22"/>
          <w:szCs w:val="22"/>
        </w:rPr>
        <w:t>2</w:t>
      </w:r>
      <w:r w:rsidR="006B6CF3">
        <w:rPr>
          <w:rFonts w:ascii="Calibri" w:hAnsi="Calibri" w:cs="Calibri"/>
          <w:sz w:val="22"/>
          <w:szCs w:val="22"/>
        </w:rPr>
        <w:t>º trimestre de 2021</w:t>
      </w:r>
      <w:r w:rsidRPr="002E2B5B">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7760"/>
        <w:gridCol w:w="2707"/>
      </w:tblGrid>
      <w:tr w:rsidR="005B302C" w:rsidRPr="002E2B5B" w14:paraId="76F5DB11" w14:textId="77777777" w:rsidTr="002C1F78">
        <w:trPr>
          <w:trHeight w:val="111"/>
        </w:trPr>
        <w:tc>
          <w:tcPr>
            <w:tcW w:w="3707" w:type="pct"/>
            <w:tcBorders>
              <w:bottom w:val="single" w:sz="4" w:space="0" w:color="auto"/>
            </w:tcBorders>
            <w:shd w:val="clear" w:color="auto" w:fill="auto"/>
            <w:noWrap/>
            <w:vAlign w:val="center"/>
            <w:hideMark/>
          </w:tcPr>
          <w:p w14:paraId="6FDABF23" w14:textId="77777777" w:rsidR="005B302C" w:rsidRPr="002E2B5B" w:rsidRDefault="005B302C" w:rsidP="002E2B5B">
            <w:pPr>
              <w:rPr>
                <w:rFonts w:ascii="Calibri" w:hAnsi="Calibri" w:cs="Calibri"/>
                <w:b/>
                <w:bCs/>
                <w:sz w:val="16"/>
                <w:szCs w:val="16"/>
              </w:rPr>
            </w:pPr>
            <w:r w:rsidRPr="002E2B5B">
              <w:rPr>
                <w:rFonts w:ascii="Calibri" w:hAnsi="Calibri" w:cs="Calibri"/>
                <w:b/>
                <w:bCs/>
                <w:sz w:val="16"/>
                <w:szCs w:val="16"/>
              </w:rPr>
              <w:t>RESULTADO DA EQUIVALÊNCIA PATRIMONIAL</w:t>
            </w:r>
          </w:p>
        </w:tc>
        <w:tc>
          <w:tcPr>
            <w:tcW w:w="1293" w:type="pct"/>
            <w:tcBorders>
              <w:bottom w:val="single" w:sz="4" w:space="0" w:color="auto"/>
            </w:tcBorders>
            <w:shd w:val="clear" w:color="auto" w:fill="auto"/>
            <w:noWrap/>
            <w:vAlign w:val="center"/>
            <w:hideMark/>
          </w:tcPr>
          <w:p w14:paraId="35E395C8" w14:textId="52180313" w:rsidR="005B302C" w:rsidRPr="002E2B5B" w:rsidRDefault="005B302C" w:rsidP="002E2B5B">
            <w:pPr>
              <w:jc w:val="right"/>
              <w:rPr>
                <w:rFonts w:ascii="Calibri" w:hAnsi="Calibri" w:cs="Calibri"/>
                <w:b/>
                <w:bCs/>
                <w:sz w:val="16"/>
                <w:szCs w:val="16"/>
              </w:rPr>
            </w:pPr>
            <w:r w:rsidRPr="002E2B5B">
              <w:rPr>
                <w:rFonts w:ascii="Calibri" w:hAnsi="Calibri" w:cs="Calibri"/>
                <w:b/>
                <w:bCs/>
                <w:sz w:val="16"/>
                <w:szCs w:val="16"/>
              </w:rPr>
              <w:t> </w:t>
            </w:r>
            <w:r w:rsidR="00AF6801">
              <w:rPr>
                <w:rFonts w:ascii="Calibri" w:hAnsi="Calibri" w:cs="Calibri"/>
                <w:b/>
                <w:bCs/>
                <w:sz w:val="16"/>
                <w:szCs w:val="16"/>
              </w:rPr>
              <w:t>30/06/2021</w:t>
            </w:r>
          </w:p>
        </w:tc>
      </w:tr>
      <w:tr w:rsidR="005B302C" w:rsidRPr="002E2B5B" w14:paraId="41B512FB" w14:textId="77777777" w:rsidTr="00067272">
        <w:trPr>
          <w:trHeight w:val="227"/>
        </w:trPr>
        <w:tc>
          <w:tcPr>
            <w:tcW w:w="3707" w:type="pct"/>
            <w:tcBorders>
              <w:top w:val="single" w:sz="4" w:space="0" w:color="auto"/>
            </w:tcBorders>
            <w:shd w:val="clear" w:color="auto" w:fill="auto"/>
            <w:noWrap/>
            <w:vAlign w:val="center"/>
            <w:hideMark/>
          </w:tcPr>
          <w:p w14:paraId="50E20AF8" w14:textId="7DAA53C0" w:rsidR="005B302C" w:rsidRPr="002E2B5B" w:rsidRDefault="005B302C" w:rsidP="002E2B5B">
            <w:pPr>
              <w:rPr>
                <w:rFonts w:ascii="Calibri" w:hAnsi="Calibri" w:cs="Calibri"/>
                <w:sz w:val="16"/>
                <w:szCs w:val="16"/>
              </w:rPr>
            </w:pPr>
            <w:r w:rsidRPr="002E2B5B">
              <w:rPr>
                <w:rFonts w:ascii="Calibri" w:hAnsi="Calibri" w:cs="Calibri"/>
                <w:sz w:val="16"/>
                <w:szCs w:val="16"/>
              </w:rPr>
              <w:t>Resultado de Equivalência Patrimonial Negativo – 1º tri/202</w:t>
            </w:r>
            <w:r w:rsidR="00216A83">
              <w:rPr>
                <w:rFonts w:ascii="Calibri" w:hAnsi="Calibri" w:cs="Calibri"/>
                <w:sz w:val="16"/>
                <w:szCs w:val="16"/>
              </w:rPr>
              <w:t>1</w:t>
            </w:r>
          </w:p>
        </w:tc>
        <w:tc>
          <w:tcPr>
            <w:tcW w:w="1293" w:type="pct"/>
            <w:tcBorders>
              <w:top w:val="single" w:sz="4" w:space="0" w:color="auto"/>
            </w:tcBorders>
            <w:shd w:val="clear" w:color="auto" w:fill="auto"/>
            <w:noWrap/>
            <w:vAlign w:val="center"/>
            <w:hideMark/>
          </w:tcPr>
          <w:p w14:paraId="0ACBA63C" w14:textId="441AF114" w:rsidR="005B302C" w:rsidRPr="002E2B5B" w:rsidRDefault="005B302C" w:rsidP="002E2B5B">
            <w:pPr>
              <w:jc w:val="right"/>
              <w:rPr>
                <w:rFonts w:ascii="Calibri" w:hAnsi="Calibri" w:cs="Calibri"/>
                <w:sz w:val="16"/>
                <w:szCs w:val="16"/>
              </w:rPr>
            </w:pPr>
            <w:r w:rsidRPr="002E2B5B">
              <w:rPr>
                <w:rFonts w:ascii="Calibri" w:hAnsi="Calibri" w:cs="Calibri"/>
                <w:sz w:val="16"/>
                <w:szCs w:val="16"/>
              </w:rPr>
              <w:t>(</w:t>
            </w:r>
            <w:r w:rsidR="003E2089">
              <w:rPr>
                <w:rFonts w:ascii="Calibri" w:hAnsi="Calibri" w:cs="Calibri"/>
                <w:sz w:val="16"/>
                <w:szCs w:val="16"/>
              </w:rPr>
              <w:t>3.773.932</w:t>
            </w:r>
            <w:r w:rsidRPr="002E2B5B">
              <w:rPr>
                <w:rFonts w:ascii="Calibri" w:hAnsi="Calibri" w:cs="Calibri"/>
                <w:sz w:val="16"/>
                <w:szCs w:val="16"/>
              </w:rPr>
              <w:t>)</w:t>
            </w:r>
          </w:p>
        </w:tc>
      </w:tr>
      <w:tr w:rsidR="00AD39BE" w:rsidRPr="002E2B5B" w14:paraId="35962DB1" w14:textId="77777777" w:rsidTr="00067272">
        <w:trPr>
          <w:trHeight w:val="227"/>
        </w:trPr>
        <w:tc>
          <w:tcPr>
            <w:tcW w:w="3707" w:type="pct"/>
            <w:tcBorders>
              <w:top w:val="single" w:sz="4" w:space="0" w:color="auto"/>
            </w:tcBorders>
            <w:shd w:val="clear" w:color="auto" w:fill="auto"/>
            <w:noWrap/>
            <w:vAlign w:val="center"/>
          </w:tcPr>
          <w:p w14:paraId="222A050E" w14:textId="49523062" w:rsidR="00AD39BE" w:rsidRPr="002E2B5B" w:rsidRDefault="00AD39BE" w:rsidP="002E2B5B">
            <w:pPr>
              <w:rPr>
                <w:rFonts w:ascii="Calibri" w:hAnsi="Calibri" w:cs="Calibri"/>
                <w:sz w:val="16"/>
                <w:szCs w:val="16"/>
              </w:rPr>
            </w:pPr>
            <w:r w:rsidRPr="002E2B5B">
              <w:rPr>
                <w:rFonts w:ascii="Calibri" w:hAnsi="Calibri" w:cs="Calibri"/>
                <w:sz w:val="16"/>
                <w:szCs w:val="16"/>
              </w:rPr>
              <w:t xml:space="preserve">Resultado de Equivalência Patrimonial Negativo – </w:t>
            </w:r>
            <w:r>
              <w:rPr>
                <w:rFonts w:ascii="Calibri" w:hAnsi="Calibri" w:cs="Calibri"/>
                <w:sz w:val="16"/>
                <w:szCs w:val="16"/>
              </w:rPr>
              <w:t>2</w:t>
            </w:r>
            <w:r w:rsidRPr="002E2B5B">
              <w:rPr>
                <w:rFonts w:ascii="Calibri" w:hAnsi="Calibri" w:cs="Calibri"/>
                <w:sz w:val="16"/>
                <w:szCs w:val="16"/>
              </w:rPr>
              <w:t>º tri/202</w:t>
            </w:r>
            <w:r>
              <w:rPr>
                <w:rFonts w:ascii="Calibri" w:hAnsi="Calibri" w:cs="Calibri"/>
                <w:sz w:val="16"/>
                <w:szCs w:val="16"/>
              </w:rPr>
              <w:t>1</w:t>
            </w:r>
          </w:p>
        </w:tc>
        <w:tc>
          <w:tcPr>
            <w:tcW w:w="1293" w:type="pct"/>
            <w:tcBorders>
              <w:top w:val="single" w:sz="4" w:space="0" w:color="auto"/>
            </w:tcBorders>
            <w:shd w:val="clear" w:color="auto" w:fill="auto"/>
            <w:noWrap/>
            <w:vAlign w:val="center"/>
          </w:tcPr>
          <w:p w14:paraId="41109E50" w14:textId="3189B07F" w:rsidR="00AD39BE" w:rsidRPr="002E2B5B" w:rsidRDefault="00AD39BE" w:rsidP="002E2B5B">
            <w:pPr>
              <w:jc w:val="right"/>
              <w:rPr>
                <w:rFonts w:ascii="Calibri" w:hAnsi="Calibri" w:cs="Calibri"/>
                <w:sz w:val="16"/>
                <w:szCs w:val="16"/>
              </w:rPr>
            </w:pPr>
            <w:r>
              <w:rPr>
                <w:rFonts w:ascii="Calibri" w:hAnsi="Calibri" w:cs="Calibri"/>
                <w:sz w:val="16"/>
                <w:szCs w:val="16"/>
              </w:rPr>
              <w:t>(12.</w:t>
            </w:r>
            <w:r w:rsidR="00AF6801">
              <w:rPr>
                <w:rFonts w:ascii="Calibri" w:hAnsi="Calibri" w:cs="Calibri"/>
                <w:sz w:val="16"/>
                <w:szCs w:val="16"/>
              </w:rPr>
              <w:t>5</w:t>
            </w:r>
            <w:r>
              <w:rPr>
                <w:rFonts w:ascii="Calibri" w:hAnsi="Calibri" w:cs="Calibri"/>
                <w:sz w:val="16"/>
                <w:szCs w:val="16"/>
              </w:rPr>
              <w:t>03.</w:t>
            </w:r>
            <w:r w:rsidR="00AF6801">
              <w:rPr>
                <w:rFonts w:ascii="Calibri" w:hAnsi="Calibri" w:cs="Calibri"/>
                <w:sz w:val="16"/>
                <w:szCs w:val="16"/>
              </w:rPr>
              <w:t>3</w:t>
            </w:r>
            <w:r>
              <w:rPr>
                <w:rFonts w:ascii="Calibri" w:hAnsi="Calibri" w:cs="Calibri"/>
                <w:sz w:val="16"/>
                <w:szCs w:val="16"/>
              </w:rPr>
              <w:t>98)</w:t>
            </w:r>
          </w:p>
        </w:tc>
      </w:tr>
      <w:tr w:rsidR="005B302C" w:rsidRPr="002E2B5B" w14:paraId="09F1AC89" w14:textId="77777777" w:rsidTr="00067272">
        <w:trPr>
          <w:trHeight w:val="227"/>
        </w:trPr>
        <w:tc>
          <w:tcPr>
            <w:tcW w:w="3707" w:type="pct"/>
            <w:tcBorders>
              <w:top w:val="single" w:sz="4" w:space="0" w:color="auto"/>
              <w:bottom w:val="single" w:sz="4" w:space="0" w:color="auto"/>
            </w:tcBorders>
            <w:shd w:val="clear" w:color="auto" w:fill="auto"/>
            <w:noWrap/>
            <w:vAlign w:val="center"/>
            <w:hideMark/>
          </w:tcPr>
          <w:p w14:paraId="5090E331" w14:textId="77777777" w:rsidR="005B302C" w:rsidRPr="002E2B5B" w:rsidRDefault="005B302C" w:rsidP="002E2B5B">
            <w:pPr>
              <w:rPr>
                <w:rFonts w:ascii="Calibri" w:hAnsi="Calibri" w:cs="Calibri"/>
                <w:b/>
                <w:bCs/>
                <w:sz w:val="16"/>
                <w:szCs w:val="16"/>
              </w:rPr>
            </w:pPr>
            <w:r w:rsidRPr="002E2B5B">
              <w:rPr>
                <w:rFonts w:ascii="Calibri" w:hAnsi="Calibri" w:cs="Calibri"/>
                <w:b/>
                <w:bCs/>
                <w:sz w:val="16"/>
                <w:szCs w:val="16"/>
              </w:rPr>
              <w:t xml:space="preserve">TOTAL </w:t>
            </w:r>
          </w:p>
        </w:tc>
        <w:tc>
          <w:tcPr>
            <w:tcW w:w="1293" w:type="pct"/>
            <w:tcBorders>
              <w:top w:val="single" w:sz="4" w:space="0" w:color="auto"/>
              <w:bottom w:val="single" w:sz="4" w:space="0" w:color="auto"/>
            </w:tcBorders>
            <w:shd w:val="clear" w:color="auto" w:fill="auto"/>
            <w:noWrap/>
            <w:vAlign w:val="center"/>
            <w:hideMark/>
          </w:tcPr>
          <w:p w14:paraId="6168BB98" w14:textId="66F53FBF" w:rsidR="005B302C" w:rsidRPr="002E2B5B" w:rsidRDefault="005B302C" w:rsidP="002E2B5B">
            <w:pPr>
              <w:jc w:val="right"/>
              <w:rPr>
                <w:rFonts w:ascii="Calibri" w:hAnsi="Calibri" w:cs="Calibri"/>
                <w:b/>
                <w:bCs/>
                <w:sz w:val="16"/>
                <w:szCs w:val="16"/>
              </w:rPr>
            </w:pPr>
            <w:r w:rsidRPr="002E2B5B">
              <w:rPr>
                <w:rFonts w:ascii="Calibri" w:hAnsi="Calibri" w:cs="Calibri"/>
                <w:b/>
                <w:bCs/>
                <w:sz w:val="16"/>
                <w:szCs w:val="16"/>
              </w:rPr>
              <w:t>(</w:t>
            </w:r>
            <w:r w:rsidR="00AD39BE">
              <w:rPr>
                <w:rFonts w:ascii="Calibri" w:hAnsi="Calibri" w:cs="Calibri"/>
                <w:b/>
                <w:bCs/>
                <w:sz w:val="16"/>
                <w:szCs w:val="16"/>
              </w:rPr>
              <w:t>16.277.330</w:t>
            </w:r>
            <w:r w:rsidRPr="002E2B5B">
              <w:rPr>
                <w:rFonts w:ascii="Calibri" w:hAnsi="Calibri" w:cs="Calibri"/>
                <w:b/>
                <w:bCs/>
                <w:sz w:val="16"/>
                <w:szCs w:val="16"/>
              </w:rPr>
              <w:t>)</w:t>
            </w:r>
          </w:p>
        </w:tc>
      </w:tr>
    </w:tbl>
    <w:p w14:paraId="530030BB" w14:textId="77777777" w:rsidR="00564DCF" w:rsidRPr="002E2B5B" w:rsidRDefault="00564DCF" w:rsidP="002E2B5B">
      <w:pPr>
        <w:ind w:right="57"/>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6414"/>
        <w:gridCol w:w="1059"/>
        <w:gridCol w:w="1497"/>
        <w:gridCol w:w="1497"/>
      </w:tblGrid>
      <w:tr w:rsidR="00AE735D" w:rsidRPr="002E2B5B" w14:paraId="109F2109" w14:textId="77777777" w:rsidTr="00AE735D">
        <w:trPr>
          <w:trHeight w:val="300"/>
        </w:trPr>
        <w:tc>
          <w:tcPr>
            <w:tcW w:w="3064" w:type="pct"/>
            <w:vMerge w:val="restart"/>
            <w:tcBorders>
              <w:top w:val="nil"/>
              <w:left w:val="nil"/>
              <w:bottom w:val="single" w:sz="8" w:space="0" w:color="000000"/>
              <w:right w:val="nil"/>
            </w:tcBorders>
            <w:shd w:val="clear" w:color="auto" w:fill="auto"/>
            <w:noWrap/>
            <w:vAlign w:val="bottom"/>
            <w:hideMark/>
          </w:tcPr>
          <w:p w14:paraId="728FEA1A" w14:textId="037AEE44" w:rsidR="00AE735D" w:rsidRPr="002E2B5B" w:rsidRDefault="00D22F5E" w:rsidP="002E2B5B">
            <w:pPr>
              <w:rPr>
                <w:rFonts w:ascii="Calibri" w:hAnsi="Calibri" w:cs="Calibri"/>
                <w:b/>
                <w:sz w:val="22"/>
                <w:szCs w:val="22"/>
              </w:rPr>
            </w:pPr>
            <w:r w:rsidRPr="002E2B5B">
              <w:rPr>
                <w:rFonts w:ascii="Calibri" w:hAnsi="Calibri" w:cs="Calibri"/>
                <w:b/>
                <w:sz w:val="22"/>
                <w:szCs w:val="22"/>
              </w:rPr>
              <w:t>NOTA 1</w:t>
            </w:r>
            <w:r w:rsidR="002535EA">
              <w:rPr>
                <w:rFonts w:ascii="Calibri" w:hAnsi="Calibri" w:cs="Calibri"/>
                <w:b/>
                <w:sz w:val="22"/>
                <w:szCs w:val="22"/>
              </w:rPr>
              <w:t>8</w:t>
            </w:r>
            <w:r w:rsidR="001E6E1B" w:rsidRPr="002E2B5B">
              <w:rPr>
                <w:rFonts w:ascii="Calibri" w:hAnsi="Calibri" w:cs="Calibri"/>
                <w:b/>
                <w:sz w:val="22"/>
                <w:szCs w:val="22"/>
              </w:rPr>
              <w:t xml:space="preserve"> – RECEITAS FINANCEIRAS </w:t>
            </w:r>
          </w:p>
          <w:p w14:paraId="1614D0F2" w14:textId="77777777" w:rsidR="00AE735D" w:rsidRPr="002E2B5B" w:rsidRDefault="00AE735D" w:rsidP="002E2B5B">
            <w:pPr>
              <w:rPr>
                <w:rFonts w:ascii="Calibri" w:hAnsi="Calibri" w:cs="Calibri"/>
                <w:b/>
                <w:sz w:val="16"/>
                <w:szCs w:val="16"/>
              </w:rPr>
            </w:pPr>
          </w:p>
          <w:p w14:paraId="37A0A42A" w14:textId="77777777" w:rsidR="00AE735D" w:rsidRPr="002E2B5B" w:rsidRDefault="00AE735D" w:rsidP="002E2B5B">
            <w:pPr>
              <w:rPr>
                <w:rFonts w:ascii="Calibri" w:hAnsi="Calibri" w:cs="Calibri"/>
                <w:b/>
                <w:bCs/>
                <w:color w:val="000000"/>
                <w:sz w:val="16"/>
                <w:szCs w:val="16"/>
              </w:rPr>
            </w:pPr>
            <w:r w:rsidRPr="002E2B5B">
              <w:rPr>
                <w:rFonts w:ascii="Calibri" w:hAnsi="Calibri" w:cs="Calibri"/>
                <w:b/>
                <w:bCs/>
                <w:color w:val="000000"/>
                <w:sz w:val="16"/>
                <w:szCs w:val="16"/>
              </w:rPr>
              <w:t>RECEITAS FINANCEIRAS</w:t>
            </w:r>
          </w:p>
        </w:tc>
        <w:tc>
          <w:tcPr>
            <w:tcW w:w="506" w:type="pct"/>
            <w:vMerge w:val="restart"/>
            <w:tcBorders>
              <w:top w:val="nil"/>
              <w:left w:val="nil"/>
              <w:bottom w:val="single" w:sz="8" w:space="0" w:color="000000"/>
              <w:right w:val="nil"/>
            </w:tcBorders>
            <w:shd w:val="clear" w:color="auto" w:fill="auto"/>
            <w:vAlign w:val="bottom"/>
          </w:tcPr>
          <w:p w14:paraId="28C6A757" w14:textId="77777777" w:rsidR="00AE735D" w:rsidRPr="002E2B5B" w:rsidRDefault="00AE735D" w:rsidP="002E2B5B">
            <w:pPr>
              <w:jc w:val="right"/>
              <w:rPr>
                <w:rFonts w:ascii="Calibri" w:hAnsi="Calibri" w:cs="Calibri"/>
                <w:b/>
                <w:bCs/>
                <w:color w:val="000000"/>
                <w:sz w:val="16"/>
                <w:szCs w:val="16"/>
              </w:rPr>
            </w:pPr>
          </w:p>
        </w:tc>
        <w:tc>
          <w:tcPr>
            <w:tcW w:w="715" w:type="pct"/>
            <w:vMerge w:val="restart"/>
            <w:tcBorders>
              <w:top w:val="nil"/>
              <w:left w:val="nil"/>
              <w:bottom w:val="single" w:sz="8" w:space="0" w:color="000000"/>
              <w:right w:val="nil"/>
            </w:tcBorders>
            <w:shd w:val="clear" w:color="auto" w:fill="auto"/>
            <w:vAlign w:val="bottom"/>
          </w:tcPr>
          <w:p w14:paraId="680E8467" w14:textId="0CADE74D" w:rsidR="00AE735D" w:rsidRPr="002E2B5B" w:rsidRDefault="00C24B9C" w:rsidP="002E2B5B">
            <w:pPr>
              <w:jc w:val="right"/>
              <w:rPr>
                <w:rFonts w:ascii="Calibri" w:hAnsi="Calibri" w:cs="Calibri"/>
                <w:b/>
                <w:bCs/>
                <w:color w:val="000000"/>
                <w:sz w:val="16"/>
                <w:szCs w:val="16"/>
              </w:rPr>
            </w:pPr>
            <w:r>
              <w:rPr>
                <w:rFonts w:ascii="Calibri" w:hAnsi="Calibri" w:cs="Calibri"/>
                <w:b/>
                <w:bCs/>
                <w:color w:val="000000"/>
                <w:sz w:val="16"/>
                <w:szCs w:val="16"/>
              </w:rPr>
              <w:t>30/06/2021</w:t>
            </w:r>
          </w:p>
        </w:tc>
        <w:tc>
          <w:tcPr>
            <w:tcW w:w="715" w:type="pct"/>
            <w:tcBorders>
              <w:top w:val="nil"/>
              <w:left w:val="nil"/>
              <w:right w:val="nil"/>
            </w:tcBorders>
            <w:vAlign w:val="bottom"/>
          </w:tcPr>
          <w:p w14:paraId="0FFA4E6B" w14:textId="77777777" w:rsidR="00AE735D" w:rsidRPr="002E2B5B" w:rsidRDefault="00AE735D" w:rsidP="002E2B5B">
            <w:pPr>
              <w:jc w:val="right"/>
              <w:rPr>
                <w:rFonts w:ascii="Calibri" w:hAnsi="Calibri" w:cs="Calibri"/>
                <w:b/>
                <w:bCs/>
                <w:color w:val="000000"/>
                <w:sz w:val="16"/>
                <w:szCs w:val="16"/>
              </w:rPr>
            </w:pPr>
          </w:p>
        </w:tc>
      </w:tr>
      <w:tr w:rsidR="00AE735D" w:rsidRPr="002E2B5B" w14:paraId="11E28711" w14:textId="77777777" w:rsidTr="00AE735D">
        <w:trPr>
          <w:trHeight w:val="315"/>
        </w:trPr>
        <w:tc>
          <w:tcPr>
            <w:tcW w:w="3064" w:type="pct"/>
            <w:vMerge/>
            <w:tcBorders>
              <w:top w:val="nil"/>
              <w:left w:val="nil"/>
              <w:bottom w:val="single" w:sz="8" w:space="0" w:color="000000"/>
              <w:right w:val="nil"/>
            </w:tcBorders>
            <w:vAlign w:val="bottom"/>
            <w:hideMark/>
          </w:tcPr>
          <w:p w14:paraId="43C318A8" w14:textId="77777777" w:rsidR="00AE735D" w:rsidRPr="002E2B5B" w:rsidRDefault="00AE735D" w:rsidP="002E2B5B">
            <w:pPr>
              <w:rPr>
                <w:rFonts w:ascii="Calibri" w:hAnsi="Calibri" w:cs="Calibri"/>
                <w:b/>
                <w:bCs/>
                <w:color w:val="000000"/>
                <w:sz w:val="16"/>
                <w:szCs w:val="16"/>
              </w:rPr>
            </w:pPr>
          </w:p>
        </w:tc>
        <w:tc>
          <w:tcPr>
            <w:tcW w:w="506" w:type="pct"/>
            <w:vMerge/>
            <w:tcBorders>
              <w:top w:val="nil"/>
              <w:left w:val="nil"/>
              <w:bottom w:val="single" w:sz="8" w:space="0" w:color="000000"/>
              <w:right w:val="nil"/>
            </w:tcBorders>
            <w:vAlign w:val="bottom"/>
          </w:tcPr>
          <w:p w14:paraId="2E95BC53" w14:textId="77777777" w:rsidR="00AE735D" w:rsidRPr="002E2B5B" w:rsidRDefault="00AE735D" w:rsidP="002E2B5B">
            <w:pPr>
              <w:rPr>
                <w:rFonts w:ascii="Calibri" w:hAnsi="Calibri" w:cs="Calibri"/>
                <w:b/>
                <w:bCs/>
                <w:color w:val="000000"/>
                <w:sz w:val="16"/>
                <w:szCs w:val="16"/>
              </w:rPr>
            </w:pPr>
          </w:p>
        </w:tc>
        <w:tc>
          <w:tcPr>
            <w:tcW w:w="715" w:type="pct"/>
            <w:vMerge/>
            <w:tcBorders>
              <w:top w:val="nil"/>
              <w:left w:val="nil"/>
              <w:bottom w:val="single" w:sz="8" w:space="0" w:color="000000"/>
              <w:right w:val="nil"/>
            </w:tcBorders>
            <w:shd w:val="clear" w:color="auto" w:fill="auto"/>
            <w:vAlign w:val="bottom"/>
            <w:hideMark/>
          </w:tcPr>
          <w:p w14:paraId="41668715" w14:textId="77777777" w:rsidR="00AE735D" w:rsidRPr="002E2B5B" w:rsidRDefault="00AE735D" w:rsidP="002E2B5B">
            <w:pPr>
              <w:rPr>
                <w:rFonts w:ascii="Calibri" w:hAnsi="Calibri" w:cs="Calibri"/>
                <w:b/>
                <w:bCs/>
                <w:color w:val="000000"/>
                <w:sz w:val="16"/>
                <w:szCs w:val="16"/>
              </w:rPr>
            </w:pPr>
          </w:p>
        </w:tc>
        <w:tc>
          <w:tcPr>
            <w:tcW w:w="715" w:type="pct"/>
            <w:tcBorders>
              <w:left w:val="nil"/>
              <w:bottom w:val="single" w:sz="4" w:space="0" w:color="auto"/>
              <w:right w:val="nil"/>
            </w:tcBorders>
            <w:vAlign w:val="bottom"/>
          </w:tcPr>
          <w:p w14:paraId="1558FCAF" w14:textId="7FE39DAF" w:rsidR="00AE735D" w:rsidRPr="002E2B5B" w:rsidRDefault="00C24B9C" w:rsidP="002E2B5B">
            <w:pPr>
              <w:jc w:val="right"/>
              <w:rPr>
                <w:rFonts w:ascii="Calibri" w:hAnsi="Calibri" w:cs="Calibri"/>
                <w:b/>
                <w:bCs/>
                <w:color w:val="000000"/>
                <w:sz w:val="16"/>
                <w:szCs w:val="16"/>
              </w:rPr>
            </w:pPr>
            <w:r>
              <w:rPr>
                <w:rFonts w:ascii="Calibri" w:hAnsi="Calibri" w:cs="Calibri"/>
                <w:b/>
                <w:bCs/>
                <w:color w:val="000000"/>
                <w:sz w:val="16"/>
                <w:szCs w:val="16"/>
              </w:rPr>
              <w:t>30/06/2020</w:t>
            </w:r>
          </w:p>
        </w:tc>
      </w:tr>
      <w:tr w:rsidR="00AE735D" w:rsidRPr="002E2B5B" w14:paraId="303A5BB0" w14:textId="77777777" w:rsidTr="007E4677">
        <w:trPr>
          <w:trHeight w:val="315"/>
        </w:trPr>
        <w:tc>
          <w:tcPr>
            <w:tcW w:w="3064" w:type="pct"/>
            <w:tcBorders>
              <w:top w:val="nil"/>
              <w:left w:val="nil"/>
              <w:bottom w:val="nil"/>
              <w:right w:val="nil"/>
            </w:tcBorders>
            <w:shd w:val="clear" w:color="auto" w:fill="auto"/>
            <w:noWrap/>
            <w:vAlign w:val="bottom"/>
            <w:hideMark/>
          </w:tcPr>
          <w:p w14:paraId="035EFBAD" w14:textId="560FF726" w:rsidR="00AE735D" w:rsidRPr="002E2B5B" w:rsidRDefault="00AE735D" w:rsidP="002E2B5B">
            <w:pPr>
              <w:rPr>
                <w:rFonts w:ascii="Calibri" w:hAnsi="Calibri" w:cs="Calibri"/>
                <w:color w:val="000000"/>
                <w:sz w:val="16"/>
                <w:szCs w:val="16"/>
              </w:rPr>
            </w:pPr>
            <w:r w:rsidRPr="002E2B5B">
              <w:rPr>
                <w:rFonts w:ascii="Calibri" w:hAnsi="Calibri" w:cs="Calibri"/>
                <w:color w:val="000000"/>
                <w:sz w:val="16"/>
                <w:szCs w:val="16"/>
              </w:rPr>
              <w:t xml:space="preserve">Atualização Monetária dos Contratos de Permissão de Uso de Pátios (Nota </w:t>
            </w:r>
            <w:r w:rsidR="003C3F27">
              <w:rPr>
                <w:rFonts w:ascii="Calibri" w:hAnsi="Calibri" w:cs="Calibri"/>
                <w:color w:val="000000"/>
                <w:sz w:val="16"/>
                <w:szCs w:val="16"/>
              </w:rPr>
              <w:t>6</w:t>
            </w:r>
            <w:r w:rsidRPr="002E2B5B">
              <w:rPr>
                <w:rFonts w:ascii="Calibri" w:hAnsi="Calibri" w:cs="Calibri"/>
                <w:color w:val="000000"/>
                <w:sz w:val="16"/>
                <w:szCs w:val="16"/>
              </w:rPr>
              <w:t>)</w:t>
            </w:r>
          </w:p>
        </w:tc>
        <w:tc>
          <w:tcPr>
            <w:tcW w:w="506" w:type="pct"/>
            <w:tcBorders>
              <w:top w:val="nil"/>
              <w:left w:val="nil"/>
              <w:bottom w:val="nil"/>
              <w:right w:val="nil"/>
            </w:tcBorders>
            <w:shd w:val="clear" w:color="auto" w:fill="auto"/>
            <w:noWrap/>
            <w:vAlign w:val="bottom"/>
          </w:tcPr>
          <w:p w14:paraId="6DE9DF6E" w14:textId="77777777" w:rsidR="00AE735D" w:rsidRPr="002E2B5B" w:rsidRDefault="00AE735D" w:rsidP="002E2B5B">
            <w:pPr>
              <w:jc w:val="right"/>
              <w:rPr>
                <w:rFonts w:ascii="Calibri" w:hAnsi="Calibri" w:cs="Calibri"/>
                <w:color w:val="000000"/>
                <w:sz w:val="16"/>
                <w:szCs w:val="16"/>
              </w:rPr>
            </w:pPr>
          </w:p>
        </w:tc>
        <w:tc>
          <w:tcPr>
            <w:tcW w:w="715" w:type="pct"/>
            <w:tcBorders>
              <w:top w:val="nil"/>
              <w:left w:val="nil"/>
              <w:bottom w:val="nil"/>
              <w:right w:val="nil"/>
            </w:tcBorders>
            <w:shd w:val="clear" w:color="auto" w:fill="auto"/>
            <w:noWrap/>
            <w:vAlign w:val="center"/>
            <w:hideMark/>
          </w:tcPr>
          <w:p w14:paraId="413118CF" w14:textId="77777777" w:rsidR="00C24B9C" w:rsidRDefault="00C24B9C" w:rsidP="002E2B5B">
            <w:pPr>
              <w:jc w:val="right"/>
              <w:rPr>
                <w:rFonts w:ascii="Calibri" w:hAnsi="Calibri" w:cs="Calibri"/>
                <w:color w:val="000000"/>
                <w:sz w:val="16"/>
                <w:szCs w:val="16"/>
              </w:rPr>
            </w:pPr>
          </w:p>
          <w:p w14:paraId="402D7905" w14:textId="26DB2BEE" w:rsidR="00AE735D" w:rsidRPr="002E2B5B" w:rsidRDefault="00C24B9C" w:rsidP="002E2B5B">
            <w:pPr>
              <w:jc w:val="right"/>
              <w:rPr>
                <w:rFonts w:ascii="Calibri" w:hAnsi="Calibri" w:cs="Calibri"/>
                <w:color w:val="000000"/>
                <w:sz w:val="16"/>
                <w:szCs w:val="16"/>
              </w:rPr>
            </w:pPr>
            <w:r>
              <w:rPr>
                <w:rFonts w:ascii="Calibri" w:hAnsi="Calibri" w:cs="Calibri"/>
                <w:color w:val="000000"/>
                <w:sz w:val="16"/>
                <w:szCs w:val="16"/>
              </w:rPr>
              <w:t>3.461.839</w:t>
            </w:r>
          </w:p>
        </w:tc>
        <w:tc>
          <w:tcPr>
            <w:tcW w:w="715" w:type="pct"/>
            <w:tcBorders>
              <w:top w:val="nil"/>
              <w:left w:val="nil"/>
              <w:bottom w:val="nil"/>
              <w:right w:val="nil"/>
            </w:tcBorders>
            <w:vAlign w:val="bottom"/>
          </w:tcPr>
          <w:p w14:paraId="2B888A9C" w14:textId="29B24428" w:rsidR="00AE735D" w:rsidRPr="002E2B5B" w:rsidRDefault="00C24B9C" w:rsidP="002E2B5B">
            <w:pPr>
              <w:jc w:val="right"/>
              <w:rPr>
                <w:rFonts w:ascii="Calibri" w:hAnsi="Calibri" w:cs="Calibri"/>
                <w:color w:val="000000"/>
                <w:sz w:val="16"/>
                <w:szCs w:val="16"/>
              </w:rPr>
            </w:pPr>
            <w:r>
              <w:rPr>
                <w:rFonts w:ascii="Calibri" w:hAnsi="Calibri" w:cs="Calibri"/>
                <w:color w:val="000000"/>
                <w:sz w:val="16"/>
                <w:szCs w:val="16"/>
              </w:rPr>
              <w:t>995.217</w:t>
            </w:r>
          </w:p>
        </w:tc>
      </w:tr>
      <w:tr w:rsidR="00AE735D" w:rsidRPr="002E2B5B" w14:paraId="66F8EE4F" w14:textId="77777777" w:rsidTr="009301E4">
        <w:trPr>
          <w:trHeight w:val="315"/>
        </w:trPr>
        <w:tc>
          <w:tcPr>
            <w:tcW w:w="3064" w:type="pct"/>
            <w:tcBorders>
              <w:top w:val="single" w:sz="8" w:space="0" w:color="auto"/>
              <w:left w:val="nil"/>
              <w:bottom w:val="single" w:sz="8" w:space="0" w:color="auto"/>
              <w:right w:val="nil"/>
            </w:tcBorders>
            <w:shd w:val="clear" w:color="auto" w:fill="auto"/>
            <w:noWrap/>
            <w:vAlign w:val="bottom"/>
            <w:hideMark/>
          </w:tcPr>
          <w:p w14:paraId="49DC40AF" w14:textId="77777777" w:rsidR="00AE735D" w:rsidRPr="002E2B5B" w:rsidRDefault="00AE735D" w:rsidP="002E2B5B">
            <w:pPr>
              <w:rPr>
                <w:rFonts w:ascii="Calibri" w:hAnsi="Calibri" w:cs="Calibri"/>
                <w:b/>
                <w:bCs/>
                <w:color w:val="000000"/>
                <w:sz w:val="16"/>
                <w:szCs w:val="16"/>
              </w:rPr>
            </w:pPr>
            <w:r w:rsidRPr="002E2B5B">
              <w:rPr>
                <w:rFonts w:ascii="Calibri" w:hAnsi="Calibri" w:cs="Calibri"/>
                <w:b/>
                <w:bCs/>
                <w:color w:val="000000"/>
                <w:sz w:val="16"/>
                <w:szCs w:val="16"/>
              </w:rPr>
              <w:t>TOTAL</w:t>
            </w:r>
          </w:p>
        </w:tc>
        <w:tc>
          <w:tcPr>
            <w:tcW w:w="506" w:type="pct"/>
            <w:tcBorders>
              <w:top w:val="single" w:sz="8" w:space="0" w:color="auto"/>
              <w:left w:val="nil"/>
              <w:bottom w:val="single" w:sz="8" w:space="0" w:color="auto"/>
              <w:right w:val="nil"/>
            </w:tcBorders>
            <w:shd w:val="clear" w:color="auto" w:fill="auto"/>
            <w:noWrap/>
            <w:vAlign w:val="bottom"/>
          </w:tcPr>
          <w:p w14:paraId="21AA59EF" w14:textId="77777777" w:rsidR="00AE735D" w:rsidRPr="002E2B5B" w:rsidRDefault="00AE735D" w:rsidP="002E2B5B">
            <w:pPr>
              <w:jc w:val="right"/>
              <w:rPr>
                <w:rFonts w:ascii="Calibri" w:hAnsi="Calibri" w:cs="Calibri"/>
                <w:b/>
                <w:bCs/>
                <w:color w:val="000000"/>
                <w:sz w:val="16"/>
                <w:szCs w:val="16"/>
              </w:rPr>
            </w:pPr>
          </w:p>
        </w:tc>
        <w:tc>
          <w:tcPr>
            <w:tcW w:w="715" w:type="pct"/>
            <w:tcBorders>
              <w:top w:val="single" w:sz="8" w:space="0" w:color="auto"/>
              <w:left w:val="nil"/>
              <w:bottom w:val="single" w:sz="8" w:space="0" w:color="auto"/>
              <w:right w:val="nil"/>
            </w:tcBorders>
            <w:shd w:val="clear" w:color="auto" w:fill="auto"/>
            <w:noWrap/>
            <w:vAlign w:val="center"/>
            <w:hideMark/>
          </w:tcPr>
          <w:p w14:paraId="1F48EFEE" w14:textId="323B5FBA" w:rsidR="00AE735D" w:rsidRPr="002E2B5B" w:rsidRDefault="00C24B9C" w:rsidP="002E2B5B">
            <w:pPr>
              <w:jc w:val="right"/>
              <w:rPr>
                <w:rFonts w:ascii="Calibri" w:hAnsi="Calibri" w:cs="Calibri"/>
                <w:b/>
                <w:bCs/>
                <w:color w:val="000000"/>
                <w:sz w:val="16"/>
                <w:szCs w:val="16"/>
              </w:rPr>
            </w:pPr>
            <w:r>
              <w:rPr>
                <w:rFonts w:ascii="Calibri" w:hAnsi="Calibri" w:cs="Calibri"/>
                <w:b/>
                <w:bCs/>
                <w:color w:val="000000"/>
                <w:sz w:val="16"/>
                <w:szCs w:val="16"/>
              </w:rPr>
              <w:t>3.461.839</w:t>
            </w:r>
          </w:p>
        </w:tc>
        <w:tc>
          <w:tcPr>
            <w:tcW w:w="715" w:type="pct"/>
            <w:tcBorders>
              <w:top w:val="single" w:sz="8" w:space="0" w:color="auto"/>
              <w:left w:val="nil"/>
              <w:bottom w:val="single" w:sz="8" w:space="0" w:color="auto"/>
              <w:right w:val="nil"/>
            </w:tcBorders>
            <w:vAlign w:val="center"/>
          </w:tcPr>
          <w:p w14:paraId="4C294996" w14:textId="7D3432B5" w:rsidR="00AE735D" w:rsidRPr="002E2B5B" w:rsidRDefault="00C24B9C" w:rsidP="002E2B5B">
            <w:pPr>
              <w:jc w:val="right"/>
              <w:rPr>
                <w:rFonts w:ascii="Calibri" w:hAnsi="Calibri" w:cs="Calibri"/>
                <w:b/>
                <w:bCs/>
                <w:color w:val="000000"/>
                <w:sz w:val="16"/>
                <w:szCs w:val="16"/>
              </w:rPr>
            </w:pPr>
            <w:r>
              <w:rPr>
                <w:rFonts w:ascii="Calibri" w:hAnsi="Calibri" w:cs="Calibri"/>
                <w:b/>
                <w:bCs/>
                <w:color w:val="000000"/>
                <w:sz w:val="16"/>
                <w:szCs w:val="16"/>
              </w:rPr>
              <w:t>995.217</w:t>
            </w:r>
          </w:p>
        </w:tc>
      </w:tr>
    </w:tbl>
    <w:p w14:paraId="76DB3F56" w14:textId="1B08AE54" w:rsidR="00D974C8" w:rsidRPr="002E2B5B" w:rsidRDefault="001E6E1B" w:rsidP="002E2B5B">
      <w:pPr>
        <w:ind w:right="57"/>
        <w:jc w:val="both"/>
        <w:rPr>
          <w:rFonts w:ascii="Calibri" w:hAnsi="Calibri" w:cs="Calibri"/>
          <w:sz w:val="22"/>
          <w:szCs w:val="22"/>
        </w:rPr>
      </w:pPr>
      <w:r w:rsidRPr="002E2B5B">
        <w:rPr>
          <w:rFonts w:ascii="Calibri" w:hAnsi="Calibri" w:cs="Calibri"/>
          <w:sz w:val="22"/>
          <w:szCs w:val="22"/>
        </w:rPr>
        <w:t xml:space="preserve">As receitas financeiras da VALEC </w:t>
      </w:r>
      <w:r w:rsidR="003C3F27">
        <w:rPr>
          <w:rFonts w:ascii="Calibri" w:hAnsi="Calibri" w:cs="Calibri"/>
          <w:sz w:val="22"/>
          <w:szCs w:val="22"/>
        </w:rPr>
        <w:t xml:space="preserve">reconhecidas </w:t>
      </w:r>
      <w:r w:rsidRPr="002E2B5B">
        <w:rPr>
          <w:rFonts w:ascii="Calibri" w:hAnsi="Calibri" w:cs="Calibri"/>
          <w:sz w:val="22"/>
          <w:szCs w:val="22"/>
        </w:rPr>
        <w:t>são provindas das atualizações monetárias</w:t>
      </w:r>
      <w:r w:rsidR="00454BA0" w:rsidRPr="002E2B5B">
        <w:rPr>
          <w:rFonts w:ascii="Calibri" w:hAnsi="Calibri" w:cs="Calibri"/>
          <w:sz w:val="22"/>
          <w:szCs w:val="22"/>
        </w:rPr>
        <w:t xml:space="preserve"> </w:t>
      </w:r>
      <w:r w:rsidR="00E470A7" w:rsidRPr="002E2B5B">
        <w:rPr>
          <w:rFonts w:ascii="Calibri" w:hAnsi="Calibri" w:cs="Calibri"/>
          <w:sz w:val="22"/>
          <w:szCs w:val="22"/>
        </w:rPr>
        <w:t xml:space="preserve">sobre </w:t>
      </w:r>
      <w:r w:rsidRPr="002E2B5B">
        <w:rPr>
          <w:rFonts w:ascii="Calibri" w:hAnsi="Calibri" w:cs="Calibri"/>
          <w:sz w:val="22"/>
          <w:szCs w:val="22"/>
        </w:rPr>
        <w:t xml:space="preserve">os direitos a receber </w:t>
      </w:r>
      <w:r w:rsidR="003C3F27">
        <w:rPr>
          <w:rFonts w:ascii="Calibri" w:hAnsi="Calibri" w:cs="Calibri"/>
          <w:sz w:val="22"/>
          <w:szCs w:val="22"/>
        </w:rPr>
        <w:t>do</w:t>
      </w:r>
      <w:r w:rsidRPr="002E2B5B">
        <w:rPr>
          <w:rFonts w:ascii="Calibri" w:hAnsi="Calibri" w:cs="Calibri"/>
          <w:sz w:val="22"/>
          <w:szCs w:val="22"/>
        </w:rPr>
        <w:t xml:space="preserve">s Contratos </w:t>
      </w:r>
      <w:r w:rsidR="005A5C49" w:rsidRPr="002E2B5B">
        <w:rPr>
          <w:rFonts w:ascii="Calibri" w:hAnsi="Calibri" w:cs="Calibri"/>
          <w:sz w:val="22"/>
          <w:szCs w:val="22"/>
        </w:rPr>
        <w:t>de Permissões de Uso de Pátios</w:t>
      </w:r>
      <w:r w:rsidR="001C75AC" w:rsidRPr="002E2B5B">
        <w:rPr>
          <w:rFonts w:ascii="Calibri" w:hAnsi="Calibri" w:cs="Calibri"/>
          <w:sz w:val="22"/>
          <w:szCs w:val="22"/>
        </w:rPr>
        <w:t>.</w:t>
      </w:r>
    </w:p>
    <w:p w14:paraId="32244842" w14:textId="77777777" w:rsidR="00A916D5" w:rsidRPr="002E2B5B" w:rsidRDefault="00A916D5" w:rsidP="002E2B5B">
      <w:pPr>
        <w:ind w:right="57"/>
        <w:jc w:val="both"/>
        <w:rPr>
          <w:rFonts w:ascii="Calibri" w:hAnsi="Calibri" w:cs="Calibri"/>
          <w:sz w:val="22"/>
          <w:szCs w:val="22"/>
        </w:rPr>
      </w:pPr>
    </w:p>
    <w:p w14:paraId="018D786B" w14:textId="524C2111" w:rsidR="000C106E" w:rsidRPr="002E2B5B" w:rsidRDefault="00366626" w:rsidP="002E2B5B">
      <w:pPr>
        <w:ind w:right="-142"/>
        <w:jc w:val="both"/>
        <w:rPr>
          <w:rFonts w:ascii="Calibri" w:hAnsi="Calibri" w:cs="Calibri"/>
          <w:b/>
          <w:sz w:val="22"/>
          <w:szCs w:val="22"/>
        </w:rPr>
      </w:pPr>
      <w:r w:rsidRPr="002E2B5B">
        <w:rPr>
          <w:rFonts w:ascii="Calibri" w:hAnsi="Calibri" w:cs="Calibri"/>
          <w:b/>
          <w:sz w:val="22"/>
          <w:szCs w:val="22"/>
        </w:rPr>
        <w:t xml:space="preserve">NOTA </w:t>
      </w:r>
      <w:r w:rsidR="003C3F27">
        <w:rPr>
          <w:rFonts w:ascii="Calibri" w:hAnsi="Calibri" w:cs="Calibri"/>
          <w:b/>
          <w:sz w:val="22"/>
          <w:szCs w:val="22"/>
        </w:rPr>
        <w:t>19</w:t>
      </w:r>
      <w:r w:rsidR="000C106E" w:rsidRPr="002E2B5B">
        <w:rPr>
          <w:rFonts w:ascii="Calibri" w:hAnsi="Calibri" w:cs="Calibri"/>
          <w:b/>
          <w:sz w:val="22"/>
          <w:szCs w:val="22"/>
        </w:rPr>
        <w:t xml:space="preserve"> – SUBVENÇÃO DO TESOURO NACIONAL – REPASSE PARA CUSTEIO E PESSOAL</w:t>
      </w:r>
    </w:p>
    <w:p w14:paraId="7635CD42" w14:textId="77777777" w:rsidR="000C065B" w:rsidRPr="002E2B5B" w:rsidRDefault="000C065B" w:rsidP="002E2B5B">
      <w:pPr>
        <w:ind w:right="-142"/>
        <w:jc w:val="both"/>
        <w:rPr>
          <w:rFonts w:ascii="Calibri" w:hAnsi="Calibri" w:cs="Calibri"/>
          <w:b/>
          <w:sz w:val="22"/>
          <w:szCs w:val="22"/>
        </w:rPr>
      </w:pPr>
    </w:p>
    <w:p w14:paraId="2B51424A" w14:textId="5EA26CF5" w:rsidR="000C106E" w:rsidRDefault="005711AA" w:rsidP="002E2B5B">
      <w:pPr>
        <w:ind w:right="57"/>
        <w:jc w:val="both"/>
        <w:rPr>
          <w:rFonts w:ascii="Calibri" w:hAnsi="Calibri" w:cs="Calibri"/>
          <w:sz w:val="22"/>
          <w:szCs w:val="22"/>
        </w:rPr>
      </w:pPr>
      <w:r w:rsidRPr="002E2B5B">
        <w:rPr>
          <w:rFonts w:ascii="Calibri" w:hAnsi="Calibri" w:cs="Calibri"/>
          <w:sz w:val="22"/>
          <w:szCs w:val="22"/>
        </w:rPr>
        <w:t>A</w:t>
      </w:r>
      <w:r w:rsidR="000C106E" w:rsidRPr="002E2B5B">
        <w:rPr>
          <w:rFonts w:ascii="Calibri" w:hAnsi="Calibri" w:cs="Calibri"/>
          <w:sz w:val="22"/>
          <w:szCs w:val="22"/>
        </w:rPr>
        <w:t xml:space="preserve"> subvenção para custeio e pessoal repassada à VALEC pela Secretaria do Tesouro Nacional totalizou</w:t>
      </w:r>
      <w:r w:rsidR="006F322E">
        <w:rPr>
          <w:rFonts w:ascii="Calibri" w:hAnsi="Calibri" w:cs="Calibri"/>
          <w:sz w:val="22"/>
          <w:szCs w:val="22"/>
        </w:rPr>
        <w:t xml:space="preserve"> em 2021, até o segundo trimestre,</w:t>
      </w:r>
      <w:r w:rsidR="000C106E" w:rsidRPr="002E2B5B">
        <w:rPr>
          <w:rFonts w:ascii="Calibri" w:hAnsi="Calibri" w:cs="Calibri"/>
          <w:sz w:val="22"/>
          <w:szCs w:val="22"/>
        </w:rPr>
        <w:t xml:space="preserve"> R$</w:t>
      </w:r>
      <w:r w:rsidR="00A67FC1" w:rsidRPr="002E2B5B">
        <w:rPr>
          <w:rFonts w:ascii="Calibri" w:hAnsi="Calibri" w:cs="Calibri"/>
          <w:sz w:val="22"/>
          <w:szCs w:val="22"/>
        </w:rPr>
        <w:t xml:space="preserve"> </w:t>
      </w:r>
      <w:r w:rsidR="006F322E">
        <w:rPr>
          <w:rFonts w:ascii="Calibri" w:hAnsi="Calibri" w:cs="Calibri"/>
          <w:sz w:val="22"/>
          <w:szCs w:val="22"/>
        </w:rPr>
        <w:t>64,4</w:t>
      </w:r>
      <w:r w:rsidR="003C3F27">
        <w:rPr>
          <w:rFonts w:ascii="Calibri" w:hAnsi="Calibri" w:cs="Calibri"/>
          <w:sz w:val="22"/>
          <w:szCs w:val="22"/>
        </w:rPr>
        <w:t xml:space="preserve"> milhões</w:t>
      </w:r>
      <w:r w:rsidR="00751553" w:rsidRPr="002E2B5B">
        <w:rPr>
          <w:rFonts w:ascii="Calibri" w:hAnsi="Calibri" w:cs="Calibri"/>
          <w:sz w:val="22"/>
          <w:szCs w:val="22"/>
        </w:rPr>
        <w:t>.</w:t>
      </w:r>
    </w:p>
    <w:p w14:paraId="05DBAA72" w14:textId="24D1B162" w:rsidR="001159E0" w:rsidRDefault="001159E0" w:rsidP="002E2B5B">
      <w:pPr>
        <w:ind w:right="-142"/>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1605"/>
        <w:gridCol w:w="1605"/>
        <w:gridCol w:w="1606"/>
        <w:gridCol w:w="1606"/>
        <w:gridCol w:w="2058"/>
        <w:gridCol w:w="1987"/>
      </w:tblGrid>
      <w:tr w:rsidR="006F322E" w14:paraId="3B54AE08" w14:textId="77777777" w:rsidTr="006F322E">
        <w:trPr>
          <w:trHeight w:hRule="exact" w:val="227"/>
        </w:trPr>
        <w:tc>
          <w:tcPr>
            <w:tcW w:w="767" w:type="pct"/>
            <w:tcBorders>
              <w:top w:val="nil"/>
              <w:left w:val="nil"/>
              <w:bottom w:val="single" w:sz="8" w:space="0" w:color="auto"/>
              <w:right w:val="nil"/>
            </w:tcBorders>
            <w:shd w:val="clear" w:color="auto" w:fill="auto"/>
            <w:vAlign w:val="center"/>
            <w:hideMark/>
          </w:tcPr>
          <w:p w14:paraId="0CCBACAB" w14:textId="77777777" w:rsidR="006F322E" w:rsidRDefault="006F322E">
            <w:pPr>
              <w:jc w:val="both"/>
              <w:rPr>
                <w:rFonts w:ascii="Calibri" w:hAnsi="Calibri" w:cs="Calibri"/>
                <w:b/>
                <w:bCs/>
                <w:color w:val="000000"/>
                <w:sz w:val="16"/>
                <w:szCs w:val="16"/>
              </w:rPr>
            </w:pPr>
            <w:r>
              <w:rPr>
                <w:rFonts w:ascii="Calibri" w:hAnsi="Calibri" w:cs="Calibri"/>
                <w:b/>
                <w:bCs/>
                <w:color w:val="000000"/>
                <w:sz w:val="16"/>
                <w:szCs w:val="16"/>
              </w:rPr>
              <w:t>EMPRESA</w:t>
            </w:r>
          </w:p>
        </w:tc>
        <w:tc>
          <w:tcPr>
            <w:tcW w:w="767" w:type="pct"/>
            <w:tcBorders>
              <w:top w:val="nil"/>
              <w:left w:val="nil"/>
              <w:bottom w:val="single" w:sz="8" w:space="0" w:color="auto"/>
              <w:right w:val="nil"/>
            </w:tcBorders>
            <w:shd w:val="clear" w:color="auto" w:fill="auto"/>
            <w:vAlign w:val="center"/>
            <w:hideMark/>
          </w:tcPr>
          <w:p w14:paraId="7CABC601" w14:textId="77777777" w:rsidR="006F322E" w:rsidRDefault="006F322E">
            <w:pPr>
              <w:jc w:val="right"/>
              <w:rPr>
                <w:rFonts w:ascii="Calibri" w:hAnsi="Calibri" w:cs="Calibri"/>
                <w:b/>
                <w:bCs/>
                <w:color w:val="000000"/>
                <w:sz w:val="16"/>
                <w:szCs w:val="16"/>
              </w:rPr>
            </w:pPr>
            <w:r>
              <w:rPr>
                <w:rFonts w:ascii="Calibri" w:hAnsi="Calibri" w:cs="Calibri"/>
                <w:b/>
                <w:bCs/>
                <w:color w:val="000000"/>
                <w:sz w:val="16"/>
                <w:szCs w:val="16"/>
              </w:rPr>
              <w:t> </w:t>
            </w:r>
          </w:p>
        </w:tc>
        <w:tc>
          <w:tcPr>
            <w:tcW w:w="767" w:type="pct"/>
            <w:tcBorders>
              <w:top w:val="nil"/>
              <w:left w:val="nil"/>
              <w:bottom w:val="single" w:sz="8" w:space="0" w:color="auto"/>
              <w:right w:val="nil"/>
            </w:tcBorders>
            <w:shd w:val="clear" w:color="auto" w:fill="auto"/>
            <w:vAlign w:val="center"/>
            <w:hideMark/>
          </w:tcPr>
          <w:p w14:paraId="64D802CE" w14:textId="77777777" w:rsidR="006F322E" w:rsidRDefault="006F322E">
            <w:pPr>
              <w:jc w:val="right"/>
              <w:rPr>
                <w:rFonts w:ascii="Calibri" w:hAnsi="Calibri" w:cs="Calibri"/>
                <w:b/>
                <w:bCs/>
                <w:color w:val="000000"/>
                <w:sz w:val="16"/>
                <w:szCs w:val="16"/>
              </w:rPr>
            </w:pPr>
            <w:r>
              <w:rPr>
                <w:rFonts w:ascii="Calibri" w:hAnsi="Calibri" w:cs="Calibri"/>
                <w:b/>
                <w:bCs/>
                <w:color w:val="000000"/>
                <w:sz w:val="16"/>
                <w:szCs w:val="16"/>
              </w:rPr>
              <w:t>PESSOAL</w:t>
            </w:r>
          </w:p>
        </w:tc>
        <w:tc>
          <w:tcPr>
            <w:tcW w:w="767" w:type="pct"/>
            <w:tcBorders>
              <w:top w:val="nil"/>
              <w:left w:val="nil"/>
              <w:bottom w:val="single" w:sz="8" w:space="0" w:color="auto"/>
              <w:right w:val="nil"/>
            </w:tcBorders>
            <w:shd w:val="clear" w:color="auto" w:fill="auto"/>
            <w:vAlign w:val="center"/>
            <w:hideMark/>
          </w:tcPr>
          <w:p w14:paraId="4DF08F26" w14:textId="77777777" w:rsidR="006F322E" w:rsidRDefault="006F322E">
            <w:pPr>
              <w:jc w:val="right"/>
              <w:rPr>
                <w:rFonts w:ascii="Calibri" w:hAnsi="Calibri" w:cs="Calibri"/>
                <w:b/>
                <w:bCs/>
                <w:color w:val="000000"/>
                <w:sz w:val="16"/>
                <w:szCs w:val="16"/>
              </w:rPr>
            </w:pPr>
            <w:r>
              <w:rPr>
                <w:rFonts w:ascii="Calibri" w:hAnsi="Calibri" w:cs="Calibri"/>
                <w:b/>
                <w:bCs/>
                <w:color w:val="000000"/>
                <w:sz w:val="16"/>
                <w:szCs w:val="16"/>
              </w:rPr>
              <w:t>CUSTEIO</w:t>
            </w:r>
          </w:p>
        </w:tc>
        <w:tc>
          <w:tcPr>
            <w:tcW w:w="983" w:type="pct"/>
            <w:tcBorders>
              <w:top w:val="nil"/>
              <w:left w:val="nil"/>
              <w:bottom w:val="single" w:sz="8" w:space="0" w:color="auto"/>
              <w:right w:val="nil"/>
            </w:tcBorders>
            <w:shd w:val="clear" w:color="auto" w:fill="auto"/>
            <w:vAlign w:val="center"/>
            <w:hideMark/>
          </w:tcPr>
          <w:p w14:paraId="20B07761" w14:textId="77777777" w:rsidR="006F322E" w:rsidRDefault="006F322E">
            <w:pPr>
              <w:jc w:val="right"/>
              <w:rPr>
                <w:rFonts w:ascii="Calibri" w:hAnsi="Calibri" w:cs="Calibri"/>
                <w:b/>
                <w:bCs/>
                <w:color w:val="000000"/>
                <w:sz w:val="16"/>
                <w:szCs w:val="16"/>
              </w:rPr>
            </w:pPr>
            <w:r>
              <w:rPr>
                <w:rFonts w:ascii="Calibri" w:hAnsi="Calibri" w:cs="Calibri"/>
                <w:b/>
                <w:bCs/>
                <w:color w:val="000000"/>
                <w:sz w:val="16"/>
                <w:szCs w:val="16"/>
              </w:rPr>
              <w:t>30/06/2021</w:t>
            </w:r>
          </w:p>
        </w:tc>
        <w:tc>
          <w:tcPr>
            <w:tcW w:w="950" w:type="pct"/>
            <w:tcBorders>
              <w:top w:val="nil"/>
              <w:left w:val="nil"/>
              <w:bottom w:val="single" w:sz="8" w:space="0" w:color="auto"/>
              <w:right w:val="nil"/>
            </w:tcBorders>
            <w:shd w:val="clear" w:color="auto" w:fill="auto"/>
            <w:vAlign w:val="center"/>
            <w:hideMark/>
          </w:tcPr>
          <w:p w14:paraId="2CE07E29" w14:textId="77777777" w:rsidR="006F322E" w:rsidRDefault="006F322E">
            <w:pPr>
              <w:jc w:val="right"/>
              <w:rPr>
                <w:rFonts w:ascii="Calibri" w:hAnsi="Calibri" w:cs="Calibri"/>
                <w:b/>
                <w:bCs/>
                <w:color w:val="000000"/>
                <w:sz w:val="16"/>
                <w:szCs w:val="16"/>
              </w:rPr>
            </w:pPr>
            <w:r>
              <w:rPr>
                <w:rFonts w:ascii="Calibri" w:hAnsi="Calibri" w:cs="Calibri"/>
                <w:b/>
                <w:bCs/>
                <w:color w:val="000000"/>
                <w:sz w:val="16"/>
                <w:szCs w:val="16"/>
              </w:rPr>
              <w:t>30/06/2020</w:t>
            </w:r>
          </w:p>
        </w:tc>
      </w:tr>
      <w:tr w:rsidR="006F322E" w14:paraId="0658F956" w14:textId="77777777" w:rsidTr="006F322E">
        <w:trPr>
          <w:trHeight w:hRule="exact" w:val="227"/>
        </w:trPr>
        <w:tc>
          <w:tcPr>
            <w:tcW w:w="767" w:type="pct"/>
            <w:tcBorders>
              <w:top w:val="nil"/>
              <w:left w:val="nil"/>
              <w:bottom w:val="nil"/>
              <w:right w:val="nil"/>
            </w:tcBorders>
            <w:shd w:val="clear" w:color="auto" w:fill="auto"/>
            <w:vAlign w:val="center"/>
            <w:hideMark/>
          </w:tcPr>
          <w:p w14:paraId="3AA53928" w14:textId="77777777" w:rsidR="006F322E" w:rsidRDefault="006F322E">
            <w:pPr>
              <w:jc w:val="both"/>
              <w:rPr>
                <w:rFonts w:ascii="Calibri" w:hAnsi="Calibri" w:cs="Calibri"/>
                <w:color w:val="000000"/>
                <w:sz w:val="16"/>
                <w:szCs w:val="16"/>
              </w:rPr>
            </w:pPr>
            <w:r>
              <w:rPr>
                <w:rFonts w:ascii="Calibri" w:hAnsi="Calibri" w:cs="Calibri"/>
                <w:color w:val="000000"/>
                <w:sz w:val="16"/>
                <w:szCs w:val="16"/>
              </w:rPr>
              <w:t>VALEC</w:t>
            </w:r>
          </w:p>
        </w:tc>
        <w:tc>
          <w:tcPr>
            <w:tcW w:w="767" w:type="pct"/>
            <w:tcBorders>
              <w:top w:val="nil"/>
              <w:left w:val="nil"/>
              <w:bottom w:val="nil"/>
              <w:right w:val="nil"/>
            </w:tcBorders>
            <w:shd w:val="clear" w:color="auto" w:fill="auto"/>
            <w:vAlign w:val="center"/>
            <w:hideMark/>
          </w:tcPr>
          <w:p w14:paraId="6F8E7B9C" w14:textId="77777777" w:rsidR="006F322E" w:rsidRDefault="006F322E">
            <w:pPr>
              <w:jc w:val="both"/>
              <w:rPr>
                <w:rFonts w:ascii="Calibri" w:hAnsi="Calibri" w:cs="Calibri"/>
                <w:color w:val="000000"/>
                <w:sz w:val="16"/>
                <w:szCs w:val="16"/>
              </w:rPr>
            </w:pPr>
          </w:p>
        </w:tc>
        <w:tc>
          <w:tcPr>
            <w:tcW w:w="767" w:type="pct"/>
            <w:tcBorders>
              <w:top w:val="nil"/>
              <w:left w:val="nil"/>
              <w:bottom w:val="nil"/>
              <w:right w:val="nil"/>
            </w:tcBorders>
            <w:shd w:val="clear" w:color="auto" w:fill="auto"/>
            <w:vAlign w:val="center"/>
            <w:hideMark/>
          </w:tcPr>
          <w:p w14:paraId="482905D5" w14:textId="77777777" w:rsidR="006F322E" w:rsidRDefault="006F322E">
            <w:pPr>
              <w:jc w:val="right"/>
              <w:rPr>
                <w:rFonts w:ascii="Calibri" w:hAnsi="Calibri" w:cs="Calibri"/>
                <w:color w:val="000000"/>
                <w:sz w:val="16"/>
                <w:szCs w:val="16"/>
              </w:rPr>
            </w:pPr>
            <w:r>
              <w:rPr>
                <w:rFonts w:ascii="Calibri" w:hAnsi="Calibri" w:cs="Calibri"/>
                <w:color w:val="000000"/>
                <w:sz w:val="16"/>
                <w:szCs w:val="16"/>
              </w:rPr>
              <w:t>42.132.427</w:t>
            </w:r>
          </w:p>
        </w:tc>
        <w:tc>
          <w:tcPr>
            <w:tcW w:w="767" w:type="pct"/>
            <w:tcBorders>
              <w:top w:val="nil"/>
              <w:left w:val="nil"/>
              <w:bottom w:val="nil"/>
              <w:right w:val="nil"/>
            </w:tcBorders>
            <w:shd w:val="clear" w:color="auto" w:fill="auto"/>
            <w:vAlign w:val="center"/>
            <w:hideMark/>
          </w:tcPr>
          <w:p w14:paraId="68D1A773" w14:textId="77777777" w:rsidR="006F322E" w:rsidRDefault="006F322E">
            <w:pPr>
              <w:jc w:val="right"/>
              <w:rPr>
                <w:rFonts w:ascii="Calibri" w:hAnsi="Calibri" w:cs="Calibri"/>
                <w:color w:val="000000"/>
                <w:sz w:val="16"/>
                <w:szCs w:val="16"/>
              </w:rPr>
            </w:pPr>
            <w:r>
              <w:rPr>
                <w:rFonts w:ascii="Calibri" w:hAnsi="Calibri" w:cs="Calibri"/>
                <w:color w:val="000000"/>
                <w:sz w:val="16"/>
                <w:szCs w:val="16"/>
              </w:rPr>
              <w:t>18.552.694</w:t>
            </w:r>
          </w:p>
        </w:tc>
        <w:tc>
          <w:tcPr>
            <w:tcW w:w="983" w:type="pct"/>
            <w:tcBorders>
              <w:top w:val="nil"/>
              <w:left w:val="nil"/>
              <w:bottom w:val="nil"/>
              <w:right w:val="nil"/>
            </w:tcBorders>
            <w:shd w:val="clear" w:color="auto" w:fill="auto"/>
            <w:vAlign w:val="center"/>
            <w:hideMark/>
          </w:tcPr>
          <w:p w14:paraId="4E11D645" w14:textId="77777777" w:rsidR="006F322E" w:rsidRDefault="006F322E">
            <w:pPr>
              <w:jc w:val="right"/>
              <w:rPr>
                <w:rFonts w:ascii="Calibri" w:hAnsi="Calibri" w:cs="Calibri"/>
                <w:color w:val="000000"/>
                <w:sz w:val="16"/>
                <w:szCs w:val="16"/>
              </w:rPr>
            </w:pPr>
            <w:r>
              <w:rPr>
                <w:rFonts w:ascii="Calibri" w:hAnsi="Calibri" w:cs="Calibri"/>
                <w:color w:val="000000"/>
                <w:sz w:val="16"/>
                <w:szCs w:val="16"/>
              </w:rPr>
              <w:t>60.685.121</w:t>
            </w:r>
          </w:p>
        </w:tc>
        <w:tc>
          <w:tcPr>
            <w:tcW w:w="950" w:type="pct"/>
            <w:tcBorders>
              <w:top w:val="nil"/>
              <w:left w:val="nil"/>
              <w:bottom w:val="nil"/>
              <w:right w:val="nil"/>
            </w:tcBorders>
            <w:shd w:val="clear" w:color="auto" w:fill="auto"/>
            <w:vAlign w:val="center"/>
            <w:hideMark/>
          </w:tcPr>
          <w:p w14:paraId="1D55F9B3" w14:textId="77777777" w:rsidR="006F322E" w:rsidRDefault="006F322E">
            <w:pPr>
              <w:jc w:val="right"/>
              <w:rPr>
                <w:rFonts w:ascii="Calibri" w:hAnsi="Calibri" w:cs="Calibri"/>
                <w:color w:val="000000"/>
                <w:sz w:val="16"/>
                <w:szCs w:val="16"/>
              </w:rPr>
            </w:pPr>
            <w:r>
              <w:rPr>
                <w:rFonts w:ascii="Calibri" w:hAnsi="Calibri" w:cs="Calibri"/>
                <w:color w:val="000000"/>
                <w:sz w:val="16"/>
                <w:szCs w:val="16"/>
              </w:rPr>
              <w:t>49.645.832</w:t>
            </w:r>
          </w:p>
        </w:tc>
      </w:tr>
      <w:tr w:rsidR="006F322E" w14:paraId="1A1FDB00" w14:textId="77777777" w:rsidTr="006F322E">
        <w:trPr>
          <w:trHeight w:hRule="exact" w:val="227"/>
        </w:trPr>
        <w:tc>
          <w:tcPr>
            <w:tcW w:w="767" w:type="pct"/>
            <w:tcBorders>
              <w:top w:val="nil"/>
              <w:left w:val="nil"/>
              <w:bottom w:val="nil"/>
              <w:right w:val="nil"/>
            </w:tcBorders>
            <w:shd w:val="clear" w:color="auto" w:fill="auto"/>
            <w:vAlign w:val="center"/>
            <w:hideMark/>
          </w:tcPr>
          <w:p w14:paraId="1E61F94A" w14:textId="77777777" w:rsidR="006F322E" w:rsidRDefault="006F322E">
            <w:pPr>
              <w:jc w:val="both"/>
              <w:rPr>
                <w:rFonts w:ascii="Calibri" w:hAnsi="Calibri" w:cs="Calibri"/>
                <w:color w:val="000000"/>
                <w:sz w:val="16"/>
                <w:szCs w:val="16"/>
              </w:rPr>
            </w:pPr>
            <w:r>
              <w:rPr>
                <w:rFonts w:ascii="Calibri" w:hAnsi="Calibri" w:cs="Calibri"/>
                <w:color w:val="000000"/>
                <w:sz w:val="16"/>
                <w:szCs w:val="16"/>
              </w:rPr>
              <w:t>Extinta RFFSA</w:t>
            </w:r>
          </w:p>
        </w:tc>
        <w:tc>
          <w:tcPr>
            <w:tcW w:w="767" w:type="pct"/>
            <w:tcBorders>
              <w:top w:val="nil"/>
              <w:left w:val="nil"/>
              <w:bottom w:val="nil"/>
              <w:right w:val="nil"/>
            </w:tcBorders>
            <w:shd w:val="clear" w:color="auto" w:fill="auto"/>
            <w:vAlign w:val="center"/>
            <w:hideMark/>
          </w:tcPr>
          <w:p w14:paraId="2FA54355" w14:textId="77777777" w:rsidR="006F322E" w:rsidRDefault="006F322E">
            <w:pPr>
              <w:jc w:val="both"/>
              <w:rPr>
                <w:rFonts w:ascii="Calibri" w:hAnsi="Calibri" w:cs="Calibri"/>
                <w:color w:val="000000"/>
                <w:sz w:val="16"/>
                <w:szCs w:val="16"/>
              </w:rPr>
            </w:pPr>
          </w:p>
        </w:tc>
        <w:tc>
          <w:tcPr>
            <w:tcW w:w="767" w:type="pct"/>
            <w:tcBorders>
              <w:top w:val="nil"/>
              <w:left w:val="nil"/>
              <w:bottom w:val="nil"/>
              <w:right w:val="nil"/>
            </w:tcBorders>
            <w:shd w:val="clear" w:color="auto" w:fill="auto"/>
            <w:vAlign w:val="center"/>
            <w:hideMark/>
          </w:tcPr>
          <w:p w14:paraId="7214D73D" w14:textId="77777777" w:rsidR="006F322E" w:rsidRDefault="006F322E">
            <w:pPr>
              <w:jc w:val="right"/>
              <w:rPr>
                <w:rFonts w:ascii="Calibri" w:hAnsi="Calibri" w:cs="Calibri"/>
                <w:color w:val="000000"/>
                <w:sz w:val="16"/>
                <w:szCs w:val="16"/>
              </w:rPr>
            </w:pPr>
            <w:r>
              <w:rPr>
                <w:rFonts w:ascii="Calibri" w:hAnsi="Calibri" w:cs="Calibri"/>
                <w:color w:val="000000"/>
                <w:sz w:val="16"/>
                <w:szCs w:val="16"/>
              </w:rPr>
              <w:t>11.383.060</w:t>
            </w:r>
          </w:p>
        </w:tc>
        <w:tc>
          <w:tcPr>
            <w:tcW w:w="767" w:type="pct"/>
            <w:tcBorders>
              <w:top w:val="nil"/>
              <w:left w:val="nil"/>
              <w:bottom w:val="nil"/>
              <w:right w:val="nil"/>
            </w:tcBorders>
            <w:shd w:val="clear" w:color="auto" w:fill="auto"/>
            <w:vAlign w:val="center"/>
            <w:hideMark/>
          </w:tcPr>
          <w:p w14:paraId="24922451" w14:textId="77777777" w:rsidR="006F322E" w:rsidRDefault="006F322E">
            <w:pPr>
              <w:jc w:val="right"/>
              <w:rPr>
                <w:rFonts w:ascii="Calibri" w:hAnsi="Calibri" w:cs="Calibri"/>
                <w:color w:val="000000"/>
                <w:sz w:val="16"/>
                <w:szCs w:val="16"/>
              </w:rPr>
            </w:pPr>
            <w:r>
              <w:rPr>
                <w:rFonts w:ascii="Calibri" w:hAnsi="Calibri" w:cs="Calibri"/>
                <w:color w:val="000000"/>
                <w:sz w:val="16"/>
                <w:szCs w:val="16"/>
              </w:rPr>
              <w:t>880.834</w:t>
            </w:r>
          </w:p>
        </w:tc>
        <w:tc>
          <w:tcPr>
            <w:tcW w:w="983" w:type="pct"/>
            <w:tcBorders>
              <w:top w:val="nil"/>
              <w:left w:val="nil"/>
              <w:bottom w:val="nil"/>
              <w:right w:val="nil"/>
            </w:tcBorders>
            <w:shd w:val="clear" w:color="auto" w:fill="auto"/>
            <w:vAlign w:val="center"/>
            <w:hideMark/>
          </w:tcPr>
          <w:p w14:paraId="1587F34C" w14:textId="77777777" w:rsidR="006F322E" w:rsidRDefault="006F322E">
            <w:pPr>
              <w:jc w:val="right"/>
              <w:rPr>
                <w:rFonts w:ascii="Calibri" w:hAnsi="Calibri" w:cs="Calibri"/>
                <w:color w:val="000000"/>
                <w:sz w:val="16"/>
                <w:szCs w:val="16"/>
              </w:rPr>
            </w:pPr>
            <w:r>
              <w:rPr>
                <w:rFonts w:ascii="Calibri" w:hAnsi="Calibri" w:cs="Calibri"/>
                <w:color w:val="000000"/>
                <w:sz w:val="16"/>
                <w:szCs w:val="16"/>
              </w:rPr>
              <w:t>12.263.894</w:t>
            </w:r>
          </w:p>
        </w:tc>
        <w:tc>
          <w:tcPr>
            <w:tcW w:w="950" w:type="pct"/>
            <w:tcBorders>
              <w:top w:val="nil"/>
              <w:left w:val="nil"/>
              <w:bottom w:val="nil"/>
              <w:right w:val="nil"/>
            </w:tcBorders>
            <w:shd w:val="clear" w:color="auto" w:fill="auto"/>
            <w:vAlign w:val="center"/>
            <w:hideMark/>
          </w:tcPr>
          <w:p w14:paraId="1B8D631C" w14:textId="77777777" w:rsidR="006F322E" w:rsidRDefault="006F322E">
            <w:pPr>
              <w:jc w:val="right"/>
              <w:rPr>
                <w:rFonts w:ascii="Calibri" w:hAnsi="Calibri" w:cs="Calibri"/>
                <w:color w:val="000000"/>
                <w:sz w:val="16"/>
                <w:szCs w:val="16"/>
              </w:rPr>
            </w:pPr>
            <w:r>
              <w:rPr>
                <w:rFonts w:ascii="Calibri" w:hAnsi="Calibri" w:cs="Calibri"/>
                <w:color w:val="000000"/>
                <w:sz w:val="16"/>
                <w:szCs w:val="16"/>
              </w:rPr>
              <w:t>11.851.888</w:t>
            </w:r>
          </w:p>
        </w:tc>
      </w:tr>
      <w:tr w:rsidR="006F322E" w14:paraId="494BA4B7" w14:textId="77777777" w:rsidTr="006F322E">
        <w:trPr>
          <w:trHeight w:hRule="exact" w:val="227"/>
        </w:trPr>
        <w:tc>
          <w:tcPr>
            <w:tcW w:w="767" w:type="pct"/>
            <w:tcBorders>
              <w:top w:val="nil"/>
              <w:left w:val="nil"/>
              <w:bottom w:val="single" w:sz="8" w:space="0" w:color="auto"/>
              <w:right w:val="nil"/>
            </w:tcBorders>
            <w:shd w:val="clear" w:color="auto" w:fill="auto"/>
            <w:vAlign w:val="center"/>
            <w:hideMark/>
          </w:tcPr>
          <w:p w14:paraId="532160D2" w14:textId="77777777" w:rsidR="006F322E" w:rsidRDefault="006F322E">
            <w:pPr>
              <w:jc w:val="both"/>
              <w:rPr>
                <w:rFonts w:ascii="Calibri" w:hAnsi="Calibri" w:cs="Calibri"/>
                <w:color w:val="000000"/>
                <w:sz w:val="16"/>
                <w:szCs w:val="16"/>
              </w:rPr>
            </w:pPr>
            <w:r>
              <w:rPr>
                <w:rFonts w:ascii="Calibri" w:hAnsi="Calibri" w:cs="Calibri"/>
                <w:color w:val="000000"/>
                <w:sz w:val="16"/>
                <w:szCs w:val="16"/>
              </w:rPr>
              <w:t>Extinto GEIPOT</w:t>
            </w:r>
          </w:p>
        </w:tc>
        <w:tc>
          <w:tcPr>
            <w:tcW w:w="767" w:type="pct"/>
            <w:tcBorders>
              <w:top w:val="nil"/>
              <w:left w:val="nil"/>
              <w:bottom w:val="single" w:sz="8" w:space="0" w:color="auto"/>
              <w:right w:val="nil"/>
            </w:tcBorders>
            <w:shd w:val="clear" w:color="auto" w:fill="auto"/>
            <w:vAlign w:val="center"/>
            <w:hideMark/>
          </w:tcPr>
          <w:p w14:paraId="428C3F9E" w14:textId="77777777" w:rsidR="006F322E" w:rsidRDefault="006F322E">
            <w:pPr>
              <w:jc w:val="right"/>
              <w:rPr>
                <w:rFonts w:ascii="Calibri" w:hAnsi="Calibri" w:cs="Calibri"/>
                <w:color w:val="000000"/>
                <w:sz w:val="16"/>
                <w:szCs w:val="16"/>
              </w:rPr>
            </w:pPr>
            <w:r>
              <w:rPr>
                <w:rFonts w:ascii="Calibri" w:hAnsi="Calibri" w:cs="Calibri"/>
                <w:color w:val="000000"/>
                <w:sz w:val="16"/>
                <w:szCs w:val="16"/>
              </w:rPr>
              <w:t> </w:t>
            </w:r>
          </w:p>
        </w:tc>
        <w:tc>
          <w:tcPr>
            <w:tcW w:w="767" w:type="pct"/>
            <w:tcBorders>
              <w:top w:val="nil"/>
              <w:left w:val="nil"/>
              <w:bottom w:val="single" w:sz="8" w:space="0" w:color="auto"/>
              <w:right w:val="nil"/>
            </w:tcBorders>
            <w:shd w:val="clear" w:color="auto" w:fill="auto"/>
            <w:vAlign w:val="center"/>
            <w:hideMark/>
          </w:tcPr>
          <w:p w14:paraId="19715662" w14:textId="77777777" w:rsidR="006F322E" w:rsidRDefault="006F322E">
            <w:pPr>
              <w:jc w:val="right"/>
              <w:rPr>
                <w:rFonts w:ascii="Calibri" w:hAnsi="Calibri" w:cs="Calibri"/>
                <w:color w:val="000000"/>
                <w:sz w:val="16"/>
                <w:szCs w:val="16"/>
              </w:rPr>
            </w:pPr>
            <w:r>
              <w:rPr>
                <w:rFonts w:ascii="Calibri" w:hAnsi="Calibri" w:cs="Calibri"/>
                <w:color w:val="000000"/>
                <w:sz w:val="16"/>
                <w:szCs w:val="16"/>
              </w:rPr>
              <w:t>2.667.063</w:t>
            </w:r>
          </w:p>
        </w:tc>
        <w:tc>
          <w:tcPr>
            <w:tcW w:w="767" w:type="pct"/>
            <w:tcBorders>
              <w:top w:val="nil"/>
              <w:left w:val="nil"/>
              <w:bottom w:val="single" w:sz="8" w:space="0" w:color="auto"/>
              <w:right w:val="nil"/>
            </w:tcBorders>
            <w:shd w:val="clear" w:color="auto" w:fill="auto"/>
            <w:vAlign w:val="center"/>
            <w:hideMark/>
          </w:tcPr>
          <w:p w14:paraId="2C0BBA1B" w14:textId="77777777" w:rsidR="006F322E" w:rsidRDefault="006F322E">
            <w:pPr>
              <w:jc w:val="right"/>
              <w:rPr>
                <w:rFonts w:ascii="Calibri" w:hAnsi="Calibri" w:cs="Calibri"/>
                <w:color w:val="000000"/>
                <w:sz w:val="16"/>
                <w:szCs w:val="16"/>
              </w:rPr>
            </w:pPr>
            <w:r>
              <w:rPr>
                <w:rFonts w:ascii="Calibri" w:hAnsi="Calibri" w:cs="Calibri"/>
                <w:color w:val="000000"/>
                <w:sz w:val="16"/>
                <w:szCs w:val="16"/>
              </w:rPr>
              <w:t>225.111</w:t>
            </w:r>
          </w:p>
        </w:tc>
        <w:tc>
          <w:tcPr>
            <w:tcW w:w="983" w:type="pct"/>
            <w:tcBorders>
              <w:top w:val="nil"/>
              <w:left w:val="nil"/>
              <w:bottom w:val="single" w:sz="8" w:space="0" w:color="auto"/>
              <w:right w:val="nil"/>
            </w:tcBorders>
            <w:shd w:val="clear" w:color="auto" w:fill="auto"/>
            <w:vAlign w:val="center"/>
            <w:hideMark/>
          </w:tcPr>
          <w:p w14:paraId="58EF62BE" w14:textId="77777777" w:rsidR="006F322E" w:rsidRDefault="006F322E">
            <w:pPr>
              <w:jc w:val="right"/>
              <w:rPr>
                <w:rFonts w:ascii="Calibri" w:hAnsi="Calibri" w:cs="Calibri"/>
                <w:color w:val="000000"/>
                <w:sz w:val="16"/>
                <w:szCs w:val="16"/>
              </w:rPr>
            </w:pPr>
            <w:r>
              <w:rPr>
                <w:rFonts w:ascii="Calibri" w:hAnsi="Calibri" w:cs="Calibri"/>
                <w:color w:val="000000"/>
                <w:sz w:val="16"/>
                <w:szCs w:val="16"/>
              </w:rPr>
              <w:t>2.892.174</w:t>
            </w:r>
          </w:p>
        </w:tc>
        <w:tc>
          <w:tcPr>
            <w:tcW w:w="950" w:type="pct"/>
            <w:tcBorders>
              <w:top w:val="nil"/>
              <w:left w:val="nil"/>
              <w:bottom w:val="single" w:sz="8" w:space="0" w:color="auto"/>
              <w:right w:val="nil"/>
            </w:tcBorders>
            <w:shd w:val="clear" w:color="auto" w:fill="auto"/>
            <w:vAlign w:val="center"/>
            <w:hideMark/>
          </w:tcPr>
          <w:p w14:paraId="72ABF10E" w14:textId="77777777" w:rsidR="006F322E" w:rsidRDefault="006F322E">
            <w:pPr>
              <w:jc w:val="right"/>
              <w:rPr>
                <w:rFonts w:ascii="Calibri" w:hAnsi="Calibri" w:cs="Calibri"/>
                <w:color w:val="000000"/>
                <w:sz w:val="16"/>
                <w:szCs w:val="16"/>
              </w:rPr>
            </w:pPr>
            <w:r>
              <w:rPr>
                <w:rFonts w:ascii="Calibri" w:hAnsi="Calibri" w:cs="Calibri"/>
                <w:color w:val="000000"/>
                <w:sz w:val="16"/>
                <w:szCs w:val="16"/>
              </w:rPr>
              <w:t>2.995.675</w:t>
            </w:r>
          </w:p>
        </w:tc>
      </w:tr>
      <w:tr w:rsidR="006F322E" w14:paraId="6C247AEB" w14:textId="77777777" w:rsidTr="006F322E">
        <w:trPr>
          <w:trHeight w:hRule="exact" w:val="227"/>
        </w:trPr>
        <w:tc>
          <w:tcPr>
            <w:tcW w:w="767" w:type="pct"/>
            <w:tcBorders>
              <w:top w:val="nil"/>
              <w:left w:val="nil"/>
              <w:bottom w:val="single" w:sz="8" w:space="0" w:color="auto"/>
              <w:right w:val="nil"/>
            </w:tcBorders>
            <w:shd w:val="clear" w:color="auto" w:fill="auto"/>
            <w:vAlign w:val="center"/>
            <w:hideMark/>
          </w:tcPr>
          <w:p w14:paraId="75FAD96B" w14:textId="77777777" w:rsidR="006F322E" w:rsidRDefault="006F322E">
            <w:pPr>
              <w:jc w:val="both"/>
              <w:rPr>
                <w:rFonts w:ascii="Calibri" w:hAnsi="Calibri" w:cs="Calibri"/>
                <w:b/>
                <w:bCs/>
                <w:color w:val="000000"/>
                <w:sz w:val="16"/>
                <w:szCs w:val="16"/>
              </w:rPr>
            </w:pPr>
            <w:r>
              <w:rPr>
                <w:rFonts w:ascii="Calibri" w:hAnsi="Calibri" w:cs="Calibri"/>
                <w:b/>
                <w:bCs/>
                <w:color w:val="000000"/>
                <w:sz w:val="16"/>
                <w:szCs w:val="16"/>
              </w:rPr>
              <w:t>Total Geral</w:t>
            </w:r>
          </w:p>
        </w:tc>
        <w:tc>
          <w:tcPr>
            <w:tcW w:w="767" w:type="pct"/>
            <w:tcBorders>
              <w:top w:val="nil"/>
              <w:left w:val="nil"/>
              <w:bottom w:val="single" w:sz="8" w:space="0" w:color="auto"/>
              <w:right w:val="nil"/>
            </w:tcBorders>
            <w:shd w:val="clear" w:color="auto" w:fill="auto"/>
            <w:vAlign w:val="center"/>
            <w:hideMark/>
          </w:tcPr>
          <w:p w14:paraId="3373CF04" w14:textId="77777777" w:rsidR="006F322E" w:rsidRDefault="006F322E">
            <w:pPr>
              <w:jc w:val="right"/>
              <w:rPr>
                <w:rFonts w:ascii="Calibri" w:hAnsi="Calibri" w:cs="Calibri"/>
                <w:b/>
                <w:bCs/>
                <w:color w:val="000000"/>
                <w:sz w:val="16"/>
                <w:szCs w:val="16"/>
              </w:rPr>
            </w:pPr>
            <w:r>
              <w:rPr>
                <w:rFonts w:ascii="Calibri" w:hAnsi="Calibri" w:cs="Calibri"/>
                <w:b/>
                <w:bCs/>
                <w:color w:val="000000"/>
                <w:sz w:val="16"/>
                <w:szCs w:val="16"/>
              </w:rPr>
              <w:t> </w:t>
            </w:r>
          </w:p>
        </w:tc>
        <w:tc>
          <w:tcPr>
            <w:tcW w:w="767" w:type="pct"/>
            <w:tcBorders>
              <w:top w:val="nil"/>
              <w:left w:val="nil"/>
              <w:bottom w:val="single" w:sz="8" w:space="0" w:color="auto"/>
              <w:right w:val="nil"/>
            </w:tcBorders>
            <w:shd w:val="clear" w:color="auto" w:fill="auto"/>
            <w:vAlign w:val="center"/>
            <w:hideMark/>
          </w:tcPr>
          <w:p w14:paraId="7CD98AB7" w14:textId="77777777" w:rsidR="006F322E" w:rsidRDefault="006F322E">
            <w:pPr>
              <w:jc w:val="right"/>
              <w:rPr>
                <w:rFonts w:ascii="Calibri" w:hAnsi="Calibri" w:cs="Calibri"/>
                <w:b/>
                <w:bCs/>
                <w:color w:val="000000"/>
                <w:sz w:val="16"/>
                <w:szCs w:val="16"/>
              </w:rPr>
            </w:pPr>
            <w:r>
              <w:rPr>
                <w:rFonts w:ascii="Calibri" w:hAnsi="Calibri" w:cs="Calibri"/>
                <w:b/>
                <w:bCs/>
                <w:color w:val="000000"/>
                <w:sz w:val="16"/>
                <w:szCs w:val="16"/>
              </w:rPr>
              <w:t>56.182.550</w:t>
            </w:r>
          </w:p>
        </w:tc>
        <w:tc>
          <w:tcPr>
            <w:tcW w:w="767" w:type="pct"/>
            <w:tcBorders>
              <w:top w:val="nil"/>
              <w:left w:val="nil"/>
              <w:bottom w:val="single" w:sz="8" w:space="0" w:color="auto"/>
              <w:right w:val="nil"/>
            </w:tcBorders>
            <w:shd w:val="clear" w:color="auto" w:fill="auto"/>
            <w:vAlign w:val="center"/>
            <w:hideMark/>
          </w:tcPr>
          <w:p w14:paraId="40AB8C83" w14:textId="77777777" w:rsidR="006F322E" w:rsidRDefault="006F322E">
            <w:pPr>
              <w:jc w:val="right"/>
              <w:rPr>
                <w:rFonts w:ascii="Calibri" w:hAnsi="Calibri" w:cs="Calibri"/>
                <w:b/>
                <w:bCs/>
                <w:color w:val="000000"/>
                <w:sz w:val="16"/>
                <w:szCs w:val="16"/>
              </w:rPr>
            </w:pPr>
            <w:r>
              <w:rPr>
                <w:rFonts w:ascii="Calibri" w:hAnsi="Calibri" w:cs="Calibri"/>
                <w:b/>
                <w:bCs/>
                <w:color w:val="000000"/>
                <w:sz w:val="16"/>
                <w:szCs w:val="16"/>
              </w:rPr>
              <w:t>19.658.639</w:t>
            </w:r>
          </w:p>
        </w:tc>
        <w:tc>
          <w:tcPr>
            <w:tcW w:w="983" w:type="pct"/>
            <w:tcBorders>
              <w:top w:val="nil"/>
              <w:left w:val="nil"/>
              <w:bottom w:val="single" w:sz="8" w:space="0" w:color="auto"/>
              <w:right w:val="nil"/>
            </w:tcBorders>
            <w:shd w:val="clear" w:color="auto" w:fill="auto"/>
            <w:vAlign w:val="center"/>
            <w:hideMark/>
          </w:tcPr>
          <w:p w14:paraId="103A4526" w14:textId="77777777" w:rsidR="006F322E" w:rsidRDefault="006F322E">
            <w:pPr>
              <w:jc w:val="right"/>
              <w:rPr>
                <w:rFonts w:ascii="Calibri" w:hAnsi="Calibri" w:cs="Calibri"/>
                <w:b/>
                <w:bCs/>
                <w:color w:val="000000"/>
                <w:sz w:val="16"/>
                <w:szCs w:val="16"/>
              </w:rPr>
            </w:pPr>
            <w:r>
              <w:rPr>
                <w:rFonts w:ascii="Calibri" w:hAnsi="Calibri" w:cs="Calibri"/>
                <w:b/>
                <w:bCs/>
                <w:color w:val="000000"/>
                <w:sz w:val="16"/>
                <w:szCs w:val="16"/>
              </w:rPr>
              <w:t>75.841.189</w:t>
            </w:r>
          </w:p>
        </w:tc>
        <w:tc>
          <w:tcPr>
            <w:tcW w:w="950" w:type="pct"/>
            <w:tcBorders>
              <w:top w:val="nil"/>
              <w:left w:val="nil"/>
              <w:bottom w:val="single" w:sz="8" w:space="0" w:color="auto"/>
              <w:right w:val="nil"/>
            </w:tcBorders>
            <w:shd w:val="clear" w:color="auto" w:fill="auto"/>
            <w:vAlign w:val="center"/>
            <w:hideMark/>
          </w:tcPr>
          <w:p w14:paraId="267B8831" w14:textId="77777777" w:rsidR="006F322E" w:rsidRDefault="006F322E">
            <w:pPr>
              <w:jc w:val="right"/>
              <w:rPr>
                <w:rFonts w:ascii="Calibri" w:hAnsi="Calibri" w:cs="Calibri"/>
                <w:b/>
                <w:bCs/>
                <w:color w:val="000000"/>
                <w:sz w:val="16"/>
                <w:szCs w:val="16"/>
              </w:rPr>
            </w:pPr>
            <w:r>
              <w:rPr>
                <w:rFonts w:ascii="Calibri" w:hAnsi="Calibri" w:cs="Calibri"/>
                <w:b/>
                <w:bCs/>
                <w:color w:val="000000"/>
                <w:sz w:val="16"/>
                <w:szCs w:val="16"/>
              </w:rPr>
              <w:t>64.493.395</w:t>
            </w:r>
          </w:p>
        </w:tc>
      </w:tr>
    </w:tbl>
    <w:p w14:paraId="028FBECA" w14:textId="1A26E994" w:rsidR="006F322E" w:rsidRDefault="006F322E" w:rsidP="002E2B5B">
      <w:pPr>
        <w:ind w:right="-142"/>
        <w:jc w:val="both"/>
        <w:rPr>
          <w:rFonts w:ascii="Calibri" w:hAnsi="Calibri" w:cs="Calibri"/>
          <w:sz w:val="22"/>
          <w:szCs w:val="22"/>
        </w:rPr>
      </w:pPr>
    </w:p>
    <w:p w14:paraId="61DB8C89" w14:textId="3EAB3F55" w:rsidR="00810F1C" w:rsidRDefault="00810F1C" w:rsidP="002E2B5B">
      <w:pPr>
        <w:ind w:right="-142"/>
        <w:jc w:val="both"/>
        <w:rPr>
          <w:rFonts w:ascii="Calibri" w:hAnsi="Calibri" w:cs="Calibri"/>
          <w:sz w:val="22"/>
          <w:szCs w:val="22"/>
        </w:rPr>
      </w:pPr>
    </w:p>
    <w:p w14:paraId="4AA9785E" w14:textId="77777777" w:rsidR="00810F1C" w:rsidRPr="002E2B5B" w:rsidRDefault="00810F1C" w:rsidP="002E2B5B">
      <w:pPr>
        <w:ind w:right="-142"/>
        <w:jc w:val="both"/>
        <w:rPr>
          <w:rFonts w:ascii="Calibri" w:hAnsi="Calibri" w:cs="Calibri"/>
          <w:sz w:val="22"/>
          <w:szCs w:val="22"/>
        </w:rPr>
      </w:pPr>
    </w:p>
    <w:p w14:paraId="17B6BF7D" w14:textId="6CAAE58F" w:rsidR="0006483C" w:rsidRPr="002E2B5B" w:rsidRDefault="0006483C" w:rsidP="002E2B5B">
      <w:pPr>
        <w:ind w:right="-142"/>
        <w:jc w:val="both"/>
        <w:rPr>
          <w:rFonts w:ascii="Calibri" w:hAnsi="Calibri" w:cs="Calibri"/>
          <w:b/>
          <w:sz w:val="22"/>
          <w:szCs w:val="22"/>
        </w:rPr>
      </w:pPr>
      <w:r w:rsidRPr="002E2B5B">
        <w:rPr>
          <w:rFonts w:ascii="Calibri" w:hAnsi="Calibri" w:cs="Calibri"/>
          <w:b/>
          <w:sz w:val="22"/>
          <w:szCs w:val="22"/>
        </w:rPr>
        <w:lastRenderedPageBreak/>
        <w:t>NOTA 2</w:t>
      </w:r>
      <w:r w:rsidR="003C3F27">
        <w:rPr>
          <w:rFonts w:ascii="Calibri" w:hAnsi="Calibri" w:cs="Calibri"/>
          <w:b/>
          <w:sz w:val="22"/>
          <w:szCs w:val="22"/>
        </w:rPr>
        <w:t>0</w:t>
      </w:r>
      <w:r w:rsidRPr="002E2B5B">
        <w:rPr>
          <w:rFonts w:ascii="Calibri" w:hAnsi="Calibri" w:cs="Calibri"/>
          <w:b/>
          <w:sz w:val="22"/>
          <w:szCs w:val="22"/>
        </w:rPr>
        <w:t xml:space="preserve"> – RESULTADO DO EXERCÍCIO</w:t>
      </w:r>
    </w:p>
    <w:p w14:paraId="118B09E7" w14:textId="77777777" w:rsidR="000C065B" w:rsidRPr="002E2B5B" w:rsidRDefault="000C065B" w:rsidP="002E2B5B">
      <w:pPr>
        <w:ind w:right="-142"/>
        <w:jc w:val="both"/>
        <w:rPr>
          <w:rFonts w:ascii="Calibri" w:hAnsi="Calibri" w:cs="Calibri"/>
          <w:b/>
          <w:sz w:val="22"/>
          <w:szCs w:val="22"/>
        </w:rPr>
      </w:pPr>
    </w:p>
    <w:p w14:paraId="58DCD422" w14:textId="22DD0100" w:rsidR="006F2822" w:rsidRDefault="000C05F8" w:rsidP="002E2B5B">
      <w:pPr>
        <w:ind w:right="-142"/>
        <w:jc w:val="both"/>
        <w:rPr>
          <w:rFonts w:ascii="Calibri" w:hAnsi="Calibri" w:cs="Calibri"/>
          <w:bCs/>
          <w:sz w:val="22"/>
          <w:szCs w:val="22"/>
        </w:rPr>
      </w:pPr>
      <w:r w:rsidRPr="003C3F27">
        <w:rPr>
          <w:rFonts w:ascii="Calibri" w:hAnsi="Calibri" w:cs="Calibri"/>
          <w:bCs/>
          <w:sz w:val="22"/>
          <w:szCs w:val="22"/>
        </w:rPr>
        <w:t xml:space="preserve">No </w:t>
      </w:r>
      <w:r w:rsidR="00B915D2">
        <w:rPr>
          <w:rFonts w:ascii="Calibri" w:hAnsi="Calibri" w:cs="Calibri"/>
          <w:bCs/>
          <w:sz w:val="22"/>
          <w:szCs w:val="22"/>
        </w:rPr>
        <w:t>ano</w:t>
      </w:r>
      <w:r w:rsidR="00F63ADB" w:rsidRPr="003C3F27">
        <w:rPr>
          <w:rFonts w:ascii="Calibri" w:hAnsi="Calibri" w:cs="Calibri"/>
          <w:bCs/>
          <w:sz w:val="22"/>
          <w:szCs w:val="22"/>
        </w:rPr>
        <w:t xml:space="preserve"> de 2021</w:t>
      </w:r>
      <w:r w:rsidRPr="003C3F27">
        <w:rPr>
          <w:rFonts w:ascii="Calibri" w:hAnsi="Calibri" w:cs="Calibri"/>
          <w:bCs/>
          <w:sz w:val="22"/>
          <w:szCs w:val="22"/>
        </w:rPr>
        <w:t xml:space="preserve">, </w:t>
      </w:r>
      <w:r w:rsidR="00B915D2">
        <w:rPr>
          <w:rFonts w:ascii="Calibri" w:hAnsi="Calibri" w:cs="Calibri"/>
          <w:bCs/>
          <w:sz w:val="22"/>
          <w:szCs w:val="22"/>
        </w:rPr>
        <w:t xml:space="preserve">até o segundo trimestre, </w:t>
      </w:r>
      <w:r w:rsidRPr="003C3F27">
        <w:rPr>
          <w:rFonts w:ascii="Calibri" w:hAnsi="Calibri" w:cs="Calibri"/>
          <w:bCs/>
          <w:sz w:val="22"/>
          <w:szCs w:val="22"/>
        </w:rPr>
        <w:t xml:space="preserve">a VALEC apresentou um resultado </w:t>
      </w:r>
      <w:r w:rsidR="00432864" w:rsidRPr="003C3F27">
        <w:rPr>
          <w:rFonts w:ascii="Calibri" w:hAnsi="Calibri" w:cs="Calibri"/>
          <w:bCs/>
          <w:sz w:val="22"/>
          <w:szCs w:val="22"/>
        </w:rPr>
        <w:t>negat</w:t>
      </w:r>
      <w:r w:rsidR="00E62ECD" w:rsidRPr="003C3F27">
        <w:rPr>
          <w:rFonts w:ascii="Calibri" w:hAnsi="Calibri" w:cs="Calibri"/>
          <w:bCs/>
          <w:sz w:val="22"/>
          <w:szCs w:val="22"/>
        </w:rPr>
        <w:t xml:space="preserve">ivo de </w:t>
      </w:r>
      <w:r w:rsidR="00DE66B0">
        <w:rPr>
          <w:rFonts w:ascii="Calibri" w:hAnsi="Calibri" w:cs="Calibri"/>
          <w:bCs/>
          <w:sz w:val="22"/>
          <w:szCs w:val="22"/>
        </w:rPr>
        <w:t>59</w:t>
      </w:r>
      <w:r w:rsidR="00E62ECD" w:rsidRPr="003C3F27">
        <w:rPr>
          <w:rFonts w:ascii="Calibri" w:hAnsi="Calibri" w:cs="Calibri"/>
          <w:bCs/>
          <w:sz w:val="22"/>
          <w:szCs w:val="22"/>
        </w:rPr>
        <w:t xml:space="preserve"> milhões</w:t>
      </w:r>
      <w:r w:rsidR="006F2822" w:rsidRPr="003C3F27">
        <w:rPr>
          <w:rFonts w:ascii="Calibri" w:hAnsi="Calibri" w:cs="Calibri"/>
          <w:bCs/>
          <w:sz w:val="22"/>
          <w:szCs w:val="22"/>
        </w:rPr>
        <w:t xml:space="preserve">, influenciado principalmente </w:t>
      </w:r>
      <w:r w:rsidR="00E62ECD" w:rsidRPr="003C3F27">
        <w:rPr>
          <w:rFonts w:ascii="Calibri" w:hAnsi="Calibri" w:cs="Calibri"/>
          <w:bCs/>
          <w:sz w:val="22"/>
          <w:szCs w:val="22"/>
        </w:rPr>
        <w:t>pela</w:t>
      </w:r>
      <w:r w:rsidR="00432864" w:rsidRPr="003C3F27">
        <w:rPr>
          <w:rFonts w:ascii="Calibri" w:hAnsi="Calibri" w:cs="Calibri"/>
          <w:bCs/>
          <w:sz w:val="22"/>
          <w:szCs w:val="22"/>
        </w:rPr>
        <w:t xml:space="preserve"> atualização monetária das </w:t>
      </w:r>
      <w:r w:rsidR="00E62ECD" w:rsidRPr="003C3F27">
        <w:rPr>
          <w:rFonts w:ascii="Calibri" w:hAnsi="Calibri" w:cs="Calibri"/>
          <w:bCs/>
          <w:sz w:val="22"/>
          <w:szCs w:val="22"/>
        </w:rPr>
        <w:t>provisões para contingências judiciais</w:t>
      </w:r>
      <w:r w:rsidR="00432864" w:rsidRPr="003C3F27">
        <w:rPr>
          <w:rFonts w:ascii="Calibri" w:hAnsi="Calibri" w:cs="Calibri"/>
          <w:bCs/>
          <w:sz w:val="22"/>
          <w:szCs w:val="22"/>
        </w:rPr>
        <w:t xml:space="preserve"> e pelo</w:t>
      </w:r>
      <w:r w:rsidR="00346FAD" w:rsidRPr="003C3F27">
        <w:rPr>
          <w:rFonts w:ascii="Calibri" w:hAnsi="Calibri" w:cs="Calibri"/>
          <w:bCs/>
          <w:sz w:val="22"/>
          <w:szCs w:val="22"/>
        </w:rPr>
        <w:t xml:space="preserve"> resultado negativo de equivalência patrimonial.</w:t>
      </w:r>
      <w:r w:rsidR="00346FAD" w:rsidRPr="002E2B5B">
        <w:rPr>
          <w:rFonts w:ascii="Calibri" w:hAnsi="Calibri" w:cs="Calibri"/>
          <w:bCs/>
          <w:sz w:val="22"/>
          <w:szCs w:val="22"/>
        </w:rPr>
        <w:t xml:space="preserve"> </w:t>
      </w:r>
      <w:r w:rsidRPr="002E2B5B">
        <w:rPr>
          <w:rFonts w:ascii="Calibri" w:hAnsi="Calibri" w:cs="Calibri"/>
          <w:bCs/>
          <w:sz w:val="22"/>
          <w:szCs w:val="22"/>
        </w:rPr>
        <w:t xml:space="preserve"> </w:t>
      </w:r>
    </w:p>
    <w:p w14:paraId="3B168450" w14:textId="77777777" w:rsidR="00810F1C" w:rsidRDefault="00810F1C" w:rsidP="002E2B5B">
      <w:pPr>
        <w:ind w:right="-142"/>
        <w:jc w:val="both"/>
        <w:rPr>
          <w:rFonts w:ascii="Calibri" w:hAnsi="Calibri" w:cs="Calibri"/>
          <w:b/>
          <w:sz w:val="22"/>
          <w:szCs w:val="22"/>
        </w:rPr>
      </w:pPr>
    </w:p>
    <w:p w14:paraId="2AC2FF42" w14:textId="627B9BD7" w:rsidR="00826D29" w:rsidRPr="002E2B5B" w:rsidRDefault="00434FB3" w:rsidP="002E2B5B">
      <w:pPr>
        <w:ind w:right="-142"/>
        <w:jc w:val="both"/>
        <w:rPr>
          <w:rFonts w:ascii="Calibri" w:hAnsi="Calibri" w:cs="Calibri"/>
          <w:b/>
          <w:sz w:val="22"/>
          <w:szCs w:val="22"/>
        </w:rPr>
      </w:pPr>
      <w:r w:rsidRPr="002E2B5B">
        <w:rPr>
          <w:rFonts w:ascii="Calibri" w:hAnsi="Calibri" w:cs="Calibri"/>
          <w:b/>
          <w:sz w:val="22"/>
          <w:szCs w:val="22"/>
        </w:rPr>
        <w:t>NOTA 2</w:t>
      </w:r>
      <w:r w:rsidR="003C3F27">
        <w:rPr>
          <w:rFonts w:ascii="Calibri" w:hAnsi="Calibri" w:cs="Calibri"/>
          <w:b/>
          <w:sz w:val="22"/>
          <w:szCs w:val="22"/>
        </w:rPr>
        <w:t>1</w:t>
      </w:r>
      <w:r w:rsidR="004E146F" w:rsidRPr="002E2B5B">
        <w:rPr>
          <w:rFonts w:ascii="Calibri" w:hAnsi="Calibri" w:cs="Calibri"/>
          <w:b/>
          <w:sz w:val="22"/>
          <w:szCs w:val="22"/>
        </w:rPr>
        <w:t xml:space="preserve"> – DEMONSTRAÇÃO DO VALOR ADICIONADO – DVA</w:t>
      </w:r>
    </w:p>
    <w:p w14:paraId="6F42E978" w14:textId="77777777" w:rsidR="000C065B" w:rsidRPr="002E2B5B" w:rsidRDefault="000C065B" w:rsidP="002E2B5B">
      <w:pPr>
        <w:ind w:right="-142"/>
        <w:jc w:val="both"/>
        <w:rPr>
          <w:rFonts w:ascii="Calibri" w:hAnsi="Calibri" w:cs="Calibri"/>
          <w:b/>
          <w:sz w:val="22"/>
          <w:szCs w:val="22"/>
        </w:rPr>
      </w:pPr>
    </w:p>
    <w:p w14:paraId="15C757D4" w14:textId="27ED7519" w:rsidR="004A7431" w:rsidRPr="002E2B5B" w:rsidRDefault="004E146F" w:rsidP="002E2B5B">
      <w:pPr>
        <w:ind w:right="57"/>
        <w:jc w:val="both"/>
        <w:rPr>
          <w:rFonts w:ascii="Calibri" w:hAnsi="Calibri" w:cs="Calibri"/>
          <w:sz w:val="22"/>
          <w:szCs w:val="22"/>
        </w:rPr>
      </w:pPr>
      <w:r w:rsidRPr="002E2B5B">
        <w:rPr>
          <w:rFonts w:ascii="Calibri" w:hAnsi="Calibri" w:cs="Calibri"/>
          <w:sz w:val="22"/>
          <w:szCs w:val="22"/>
        </w:rPr>
        <w:t>A Demonstração do Valor Adicionado - DVA que tem por finalidade evidenciar a riqueza criada pela companhia e sua distribuição durante determinado período é apresentada pela VALEC Engenharia, Construções e Ferrovias S/A, conforme requerido pela legislação societária brasileira, como parte de suas demonstrações financeiras. A DVA foi preparada com base em informações obtidas dos registros contábeis que servem de base de preparação das demonstrações contábeis e seguindo as disposições contidas no NBC TG 09 – Demonstração do Valor Adicionado. A DVA, em sua primeira parte, apresenta os insumos recebidos de terceiros (aquisições de materiais, energia elétrica, serviços de terceiros e outros); a depreciação e a amortização; e o valor adicionado recebido em transferência (receitas de aluguéis, receitas financeiras e subvenções governamentais para custeio). A segunda parte da</w:t>
      </w:r>
      <w:r w:rsidR="00D66EC5" w:rsidRPr="002E2B5B">
        <w:rPr>
          <w:rFonts w:ascii="Calibri" w:hAnsi="Calibri" w:cs="Calibri"/>
          <w:sz w:val="22"/>
          <w:szCs w:val="22"/>
        </w:rPr>
        <w:t xml:space="preserve"> </w:t>
      </w:r>
      <w:r w:rsidRPr="002E2B5B">
        <w:rPr>
          <w:rFonts w:ascii="Calibri" w:hAnsi="Calibri" w:cs="Calibri"/>
          <w:sz w:val="22"/>
          <w:szCs w:val="22"/>
        </w:rPr>
        <w:t>DVA apresenta a distribuição da riqueza entre pessoal, despesas financeiras, impostos, taxas e contribuições, remuneração de capitais de terceiros e remuneração de capitais próprios.</w:t>
      </w:r>
      <w:r w:rsidR="00F95362" w:rsidRPr="002E2B5B">
        <w:rPr>
          <w:rFonts w:ascii="Calibri" w:hAnsi="Calibri" w:cs="Calibri"/>
          <w:sz w:val="22"/>
          <w:szCs w:val="22"/>
        </w:rPr>
        <w:t xml:space="preserve"> </w:t>
      </w:r>
    </w:p>
    <w:p w14:paraId="5BB1FBF3" w14:textId="561B7823" w:rsidR="00374FB9" w:rsidRPr="002E2B5B" w:rsidRDefault="00374FB9" w:rsidP="002E2B5B">
      <w:pPr>
        <w:ind w:right="57"/>
        <w:jc w:val="both"/>
        <w:rPr>
          <w:rFonts w:ascii="Calibri" w:hAnsi="Calibri" w:cs="Calibri"/>
          <w:sz w:val="22"/>
          <w:szCs w:val="22"/>
        </w:rPr>
      </w:pPr>
    </w:p>
    <w:p w14:paraId="41C73B18" w14:textId="241B4CF6" w:rsidR="005B70D8" w:rsidRPr="002E2B5B" w:rsidRDefault="00434FB3" w:rsidP="002E2B5B">
      <w:pPr>
        <w:ind w:right="-142"/>
        <w:rPr>
          <w:rFonts w:ascii="Calibri" w:hAnsi="Calibri" w:cs="Calibri"/>
          <w:b/>
          <w:sz w:val="22"/>
          <w:szCs w:val="22"/>
        </w:rPr>
      </w:pPr>
      <w:r w:rsidRPr="002E2B5B">
        <w:rPr>
          <w:rFonts w:ascii="Calibri" w:hAnsi="Calibri" w:cs="Calibri"/>
          <w:b/>
          <w:sz w:val="22"/>
          <w:szCs w:val="22"/>
        </w:rPr>
        <w:t>NOTA 2</w:t>
      </w:r>
      <w:r w:rsidR="003C3F27">
        <w:rPr>
          <w:rFonts w:ascii="Calibri" w:hAnsi="Calibri" w:cs="Calibri"/>
          <w:b/>
          <w:sz w:val="22"/>
          <w:szCs w:val="22"/>
        </w:rPr>
        <w:t>2</w:t>
      </w:r>
      <w:r w:rsidR="004E146F" w:rsidRPr="002E2B5B">
        <w:rPr>
          <w:rFonts w:ascii="Calibri" w:hAnsi="Calibri" w:cs="Calibri"/>
          <w:b/>
          <w:sz w:val="22"/>
          <w:szCs w:val="22"/>
        </w:rPr>
        <w:t xml:space="preserve"> – INFORMAÇÕES COMPLEMENTARES ÀS DEMONSTRAÇÕES CONTÁBEIS </w:t>
      </w:r>
    </w:p>
    <w:p w14:paraId="259E967B" w14:textId="77777777" w:rsidR="000C065B" w:rsidRPr="002E2B5B" w:rsidRDefault="000C065B" w:rsidP="002E2B5B">
      <w:pPr>
        <w:ind w:right="-142"/>
        <w:rPr>
          <w:rFonts w:ascii="Calibri" w:hAnsi="Calibri" w:cs="Calibri"/>
          <w:b/>
          <w:sz w:val="22"/>
          <w:szCs w:val="22"/>
        </w:rPr>
      </w:pPr>
    </w:p>
    <w:p w14:paraId="1332CF5A" w14:textId="77777777" w:rsidR="00332A42" w:rsidRPr="002E2B5B" w:rsidRDefault="004E146F" w:rsidP="002E2B5B">
      <w:pPr>
        <w:ind w:right="57"/>
        <w:jc w:val="both"/>
        <w:rPr>
          <w:rFonts w:ascii="Calibri" w:hAnsi="Calibri" w:cs="Calibri"/>
          <w:sz w:val="22"/>
          <w:szCs w:val="22"/>
        </w:rPr>
      </w:pPr>
      <w:r w:rsidRPr="002E2B5B">
        <w:rPr>
          <w:rFonts w:ascii="Calibri" w:hAnsi="Calibri" w:cs="Calibri"/>
          <w:sz w:val="22"/>
          <w:szCs w:val="22"/>
        </w:rPr>
        <w:t>As informações complementares são informações que não são apresentadas nas demonstrações contábeis, mas que são consideradas relevantes para divulgação.</w:t>
      </w:r>
    </w:p>
    <w:p w14:paraId="1F497C0D" w14:textId="77777777" w:rsidR="009203C8" w:rsidRPr="002E2B5B" w:rsidRDefault="009203C8" w:rsidP="002E2B5B">
      <w:pPr>
        <w:ind w:right="57"/>
        <w:jc w:val="both"/>
        <w:rPr>
          <w:rFonts w:ascii="Calibri" w:hAnsi="Calibri" w:cs="Calibri"/>
          <w:sz w:val="22"/>
          <w:szCs w:val="22"/>
        </w:rPr>
      </w:pPr>
    </w:p>
    <w:p w14:paraId="6128B5B8" w14:textId="0B9DCE1C" w:rsidR="00CF6A42" w:rsidRPr="002E2B5B" w:rsidRDefault="00117714" w:rsidP="002E2B5B">
      <w:pPr>
        <w:ind w:right="-142"/>
        <w:rPr>
          <w:rFonts w:ascii="Calibri" w:hAnsi="Calibri" w:cs="Calibri"/>
          <w:b/>
          <w:sz w:val="22"/>
          <w:szCs w:val="22"/>
        </w:rPr>
      </w:pPr>
      <w:r w:rsidRPr="002E2B5B">
        <w:rPr>
          <w:rFonts w:ascii="Calibri" w:hAnsi="Calibri" w:cs="Calibri"/>
          <w:b/>
          <w:sz w:val="22"/>
          <w:szCs w:val="22"/>
        </w:rPr>
        <w:t xml:space="preserve">I - </w:t>
      </w:r>
      <w:r w:rsidR="00CF6A42" w:rsidRPr="002E2B5B">
        <w:rPr>
          <w:rFonts w:ascii="Calibri" w:hAnsi="Calibri" w:cs="Calibri"/>
          <w:b/>
          <w:sz w:val="22"/>
          <w:szCs w:val="22"/>
        </w:rPr>
        <w:t>Transações com partes relacionadas</w:t>
      </w:r>
    </w:p>
    <w:p w14:paraId="3FF8C730" w14:textId="77777777" w:rsidR="00693972" w:rsidRPr="002E2B5B" w:rsidRDefault="00693972" w:rsidP="002E2B5B">
      <w:pPr>
        <w:ind w:right="-142"/>
        <w:rPr>
          <w:rFonts w:ascii="Calibri" w:hAnsi="Calibri" w:cs="Calibri"/>
          <w:b/>
          <w:sz w:val="22"/>
          <w:szCs w:val="22"/>
        </w:rPr>
      </w:pPr>
    </w:p>
    <w:p w14:paraId="71D03A1E" w14:textId="77777777" w:rsidR="004E146F" w:rsidRPr="002E2B5B" w:rsidRDefault="00117714" w:rsidP="002E2B5B">
      <w:pPr>
        <w:ind w:right="-142"/>
        <w:rPr>
          <w:rFonts w:ascii="Calibri" w:hAnsi="Calibri" w:cs="Calibri"/>
          <w:b/>
          <w:sz w:val="22"/>
          <w:szCs w:val="22"/>
        </w:rPr>
      </w:pPr>
      <w:r w:rsidRPr="002E2B5B">
        <w:rPr>
          <w:rFonts w:ascii="Calibri" w:hAnsi="Calibri" w:cs="Calibri"/>
          <w:b/>
          <w:sz w:val="22"/>
          <w:szCs w:val="22"/>
        </w:rPr>
        <w:t xml:space="preserve">a) </w:t>
      </w:r>
      <w:r w:rsidR="001D6DEE" w:rsidRPr="002E2B5B">
        <w:rPr>
          <w:rFonts w:ascii="Calibri" w:hAnsi="Calibri" w:cs="Calibri"/>
          <w:b/>
          <w:sz w:val="22"/>
          <w:szCs w:val="22"/>
        </w:rPr>
        <w:t>Remuneração de Diretores, Empregados e Comissionados</w:t>
      </w:r>
    </w:p>
    <w:p w14:paraId="5C528EC7" w14:textId="374022C2" w:rsidR="004E146F" w:rsidRPr="002E2B5B" w:rsidRDefault="004A67ED" w:rsidP="002E2B5B">
      <w:pPr>
        <w:ind w:right="-142"/>
        <w:jc w:val="both"/>
        <w:rPr>
          <w:rFonts w:ascii="Calibri" w:hAnsi="Calibri" w:cs="Calibri"/>
          <w:sz w:val="22"/>
          <w:szCs w:val="22"/>
        </w:rPr>
      </w:pPr>
      <w:r w:rsidRPr="002E2B5B">
        <w:rPr>
          <w:rFonts w:ascii="Calibri" w:hAnsi="Calibri" w:cs="Calibri"/>
          <w:sz w:val="22"/>
          <w:szCs w:val="22"/>
        </w:rPr>
        <w:t xml:space="preserve">As remunerações </w:t>
      </w:r>
      <w:r w:rsidR="007F4918" w:rsidRPr="002E2B5B">
        <w:rPr>
          <w:rFonts w:ascii="Calibri" w:hAnsi="Calibri" w:cs="Calibri"/>
          <w:sz w:val="22"/>
          <w:szCs w:val="22"/>
        </w:rPr>
        <w:t xml:space="preserve">médias </w:t>
      </w:r>
      <w:r w:rsidRPr="002E2B5B">
        <w:rPr>
          <w:rFonts w:ascii="Calibri" w:hAnsi="Calibri" w:cs="Calibri"/>
          <w:sz w:val="22"/>
          <w:szCs w:val="22"/>
        </w:rPr>
        <w:t>pagas aos d</w:t>
      </w:r>
      <w:r w:rsidR="004E146F" w:rsidRPr="002E2B5B">
        <w:rPr>
          <w:rFonts w:ascii="Calibri" w:hAnsi="Calibri" w:cs="Calibri"/>
          <w:sz w:val="22"/>
          <w:szCs w:val="22"/>
        </w:rPr>
        <w:t>iretores,</w:t>
      </w:r>
      <w:r w:rsidRPr="002E2B5B">
        <w:rPr>
          <w:rFonts w:ascii="Calibri" w:hAnsi="Calibri" w:cs="Calibri"/>
          <w:sz w:val="22"/>
          <w:szCs w:val="22"/>
        </w:rPr>
        <w:t xml:space="preserve"> aos empregados e aos comissionados</w:t>
      </w:r>
      <w:r w:rsidR="007F4918" w:rsidRPr="002E2B5B">
        <w:rPr>
          <w:rFonts w:ascii="Calibri" w:hAnsi="Calibri" w:cs="Calibri"/>
          <w:sz w:val="22"/>
          <w:szCs w:val="22"/>
        </w:rPr>
        <w:t>,</w:t>
      </w:r>
      <w:r w:rsidR="004E146F" w:rsidRPr="002E2B5B">
        <w:rPr>
          <w:rFonts w:ascii="Calibri" w:hAnsi="Calibri" w:cs="Calibri"/>
          <w:sz w:val="22"/>
          <w:szCs w:val="22"/>
        </w:rPr>
        <w:t xml:space="preserve"> </w:t>
      </w:r>
      <w:r w:rsidR="001D6DEE" w:rsidRPr="002E2B5B">
        <w:rPr>
          <w:rFonts w:ascii="Calibri" w:hAnsi="Calibri" w:cs="Calibri"/>
          <w:sz w:val="22"/>
          <w:szCs w:val="22"/>
        </w:rPr>
        <w:t xml:space="preserve">em </w:t>
      </w:r>
      <w:r w:rsidR="00DE66B0">
        <w:rPr>
          <w:rFonts w:ascii="Calibri" w:hAnsi="Calibri" w:cs="Calibri"/>
          <w:sz w:val="22"/>
          <w:szCs w:val="22"/>
        </w:rPr>
        <w:t>junho</w:t>
      </w:r>
      <w:r w:rsidR="00C16F07" w:rsidRPr="002E2B5B">
        <w:rPr>
          <w:rFonts w:ascii="Calibri" w:hAnsi="Calibri" w:cs="Calibri"/>
          <w:sz w:val="22"/>
          <w:szCs w:val="22"/>
        </w:rPr>
        <w:t xml:space="preserve"> </w:t>
      </w:r>
      <w:r w:rsidR="001D6DEE" w:rsidRPr="002E2B5B">
        <w:rPr>
          <w:rFonts w:ascii="Calibri" w:hAnsi="Calibri" w:cs="Calibri"/>
          <w:sz w:val="22"/>
          <w:szCs w:val="22"/>
        </w:rPr>
        <w:t>de</w:t>
      </w:r>
      <w:r w:rsidR="00C16F07" w:rsidRPr="002E2B5B">
        <w:rPr>
          <w:rFonts w:ascii="Calibri" w:hAnsi="Calibri" w:cs="Calibri"/>
          <w:sz w:val="22"/>
          <w:szCs w:val="22"/>
        </w:rPr>
        <w:t xml:space="preserve"> 20</w:t>
      </w:r>
      <w:r w:rsidR="00F8592A" w:rsidRPr="002E2B5B">
        <w:rPr>
          <w:rFonts w:ascii="Calibri" w:hAnsi="Calibri" w:cs="Calibri"/>
          <w:sz w:val="22"/>
          <w:szCs w:val="22"/>
        </w:rPr>
        <w:t>2</w:t>
      </w:r>
      <w:r w:rsidR="00432864">
        <w:rPr>
          <w:rFonts w:ascii="Calibri" w:hAnsi="Calibri" w:cs="Calibri"/>
          <w:sz w:val="22"/>
          <w:szCs w:val="22"/>
        </w:rPr>
        <w:t>1</w:t>
      </w:r>
      <w:r w:rsidR="004E146F" w:rsidRPr="002E2B5B">
        <w:rPr>
          <w:rFonts w:ascii="Calibri" w:hAnsi="Calibri" w:cs="Calibri"/>
          <w:sz w:val="22"/>
          <w:szCs w:val="22"/>
        </w:rPr>
        <w:t>, foram de:</w:t>
      </w:r>
    </w:p>
    <w:p w14:paraId="663C4820" w14:textId="77777777" w:rsidR="007E0744" w:rsidRPr="002E2B5B" w:rsidRDefault="007E0744" w:rsidP="002E2B5B">
      <w:pPr>
        <w:ind w:right="-142"/>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4798"/>
        <w:gridCol w:w="1972"/>
        <w:gridCol w:w="2156"/>
        <w:gridCol w:w="1541"/>
      </w:tblGrid>
      <w:tr w:rsidR="00AA3934" w:rsidRPr="002E2B5B" w14:paraId="78C70EFE" w14:textId="77777777" w:rsidTr="00AA3934">
        <w:trPr>
          <w:trHeight w:val="227"/>
        </w:trPr>
        <w:tc>
          <w:tcPr>
            <w:tcW w:w="2292" w:type="pct"/>
            <w:tcBorders>
              <w:bottom w:val="single" w:sz="4" w:space="0" w:color="auto"/>
            </w:tcBorders>
            <w:shd w:val="clear" w:color="auto" w:fill="auto"/>
            <w:noWrap/>
            <w:vAlign w:val="bottom"/>
            <w:hideMark/>
          </w:tcPr>
          <w:p w14:paraId="31A7D9AE" w14:textId="77777777" w:rsidR="00AA3934" w:rsidRPr="002E2B5B" w:rsidRDefault="00AA3934" w:rsidP="002E2B5B">
            <w:pPr>
              <w:rPr>
                <w:rFonts w:ascii="Calibri" w:hAnsi="Calibri" w:cs="Calibri"/>
                <w:b/>
                <w:sz w:val="16"/>
                <w:szCs w:val="16"/>
              </w:rPr>
            </w:pPr>
            <w:r w:rsidRPr="002E2B5B">
              <w:rPr>
                <w:rFonts w:ascii="Calibri" w:hAnsi="Calibri" w:cs="Calibri"/>
                <w:b/>
                <w:sz w:val="16"/>
                <w:szCs w:val="16"/>
              </w:rPr>
              <w:t>REMUNERAÇÃO</w:t>
            </w:r>
          </w:p>
        </w:tc>
        <w:tc>
          <w:tcPr>
            <w:tcW w:w="942" w:type="pct"/>
            <w:tcBorders>
              <w:bottom w:val="single" w:sz="4" w:space="0" w:color="auto"/>
            </w:tcBorders>
            <w:shd w:val="clear" w:color="auto" w:fill="auto"/>
            <w:noWrap/>
            <w:vAlign w:val="bottom"/>
            <w:hideMark/>
          </w:tcPr>
          <w:p w14:paraId="0F56AAD3" w14:textId="77777777" w:rsidR="00AA3934" w:rsidRPr="002E2B5B" w:rsidRDefault="00AA3934" w:rsidP="002E2B5B">
            <w:pPr>
              <w:jc w:val="right"/>
              <w:rPr>
                <w:rFonts w:ascii="Calibri" w:hAnsi="Calibri" w:cs="Calibri"/>
                <w:b/>
                <w:sz w:val="16"/>
                <w:szCs w:val="16"/>
              </w:rPr>
            </w:pPr>
            <w:r w:rsidRPr="002E2B5B">
              <w:rPr>
                <w:rFonts w:ascii="Calibri" w:hAnsi="Calibri" w:cs="Calibri"/>
                <w:b/>
                <w:sz w:val="16"/>
                <w:szCs w:val="16"/>
              </w:rPr>
              <w:t>MAIOR</w:t>
            </w:r>
          </w:p>
        </w:tc>
        <w:tc>
          <w:tcPr>
            <w:tcW w:w="1030" w:type="pct"/>
            <w:tcBorders>
              <w:bottom w:val="single" w:sz="4" w:space="0" w:color="auto"/>
            </w:tcBorders>
            <w:shd w:val="clear" w:color="auto" w:fill="auto"/>
            <w:noWrap/>
            <w:vAlign w:val="bottom"/>
            <w:hideMark/>
          </w:tcPr>
          <w:p w14:paraId="0AE4267D" w14:textId="77777777" w:rsidR="00AA3934" w:rsidRPr="002E2B5B" w:rsidRDefault="00AA3934" w:rsidP="002E2B5B">
            <w:pPr>
              <w:jc w:val="right"/>
              <w:rPr>
                <w:rFonts w:ascii="Calibri" w:hAnsi="Calibri" w:cs="Calibri"/>
                <w:b/>
                <w:sz w:val="16"/>
                <w:szCs w:val="16"/>
              </w:rPr>
            </w:pPr>
            <w:r w:rsidRPr="002E2B5B">
              <w:rPr>
                <w:rFonts w:ascii="Calibri" w:hAnsi="Calibri" w:cs="Calibri"/>
                <w:b/>
                <w:sz w:val="16"/>
                <w:szCs w:val="16"/>
              </w:rPr>
              <w:t>MENOR</w:t>
            </w:r>
          </w:p>
        </w:tc>
        <w:tc>
          <w:tcPr>
            <w:tcW w:w="736" w:type="pct"/>
            <w:tcBorders>
              <w:bottom w:val="single" w:sz="4" w:space="0" w:color="auto"/>
            </w:tcBorders>
            <w:shd w:val="clear" w:color="auto" w:fill="auto"/>
            <w:noWrap/>
            <w:vAlign w:val="bottom"/>
            <w:hideMark/>
          </w:tcPr>
          <w:p w14:paraId="6DA547F9" w14:textId="77777777" w:rsidR="00AA3934" w:rsidRPr="002E2B5B" w:rsidRDefault="00AA3934" w:rsidP="002E2B5B">
            <w:pPr>
              <w:jc w:val="right"/>
              <w:rPr>
                <w:rFonts w:ascii="Calibri" w:hAnsi="Calibri" w:cs="Calibri"/>
                <w:b/>
                <w:sz w:val="16"/>
                <w:szCs w:val="16"/>
              </w:rPr>
            </w:pPr>
            <w:r w:rsidRPr="002E2B5B">
              <w:rPr>
                <w:rFonts w:ascii="Calibri" w:hAnsi="Calibri" w:cs="Calibri"/>
                <w:b/>
                <w:sz w:val="16"/>
                <w:szCs w:val="16"/>
              </w:rPr>
              <w:t>MÉDIA</w:t>
            </w:r>
          </w:p>
        </w:tc>
      </w:tr>
      <w:tr w:rsidR="00AA3934" w:rsidRPr="002E2B5B" w14:paraId="60EA8036" w14:textId="77777777" w:rsidTr="00AA3934">
        <w:trPr>
          <w:trHeight w:val="227"/>
        </w:trPr>
        <w:tc>
          <w:tcPr>
            <w:tcW w:w="2292" w:type="pct"/>
            <w:tcBorders>
              <w:top w:val="single" w:sz="4" w:space="0" w:color="auto"/>
            </w:tcBorders>
            <w:shd w:val="clear" w:color="auto" w:fill="auto"/>
            <w:noWrap/>
            <w:vAlign w:val="bottom"/>
            <w:hideMark/>
          </w:tcPr>
          <w:p w14:paraId="07972A13" w14:textId="77777777" w:rsidR="00AA3934" w:rsidRPr="002E2B5B" w:rsidRDefault="00AA3934" w:rsidP="002E2B5B">
            <w:pPr>
              <w:rPr>
                <w:rFonts w:ascii="Calibri" w:hAnsi="Calibri" w:cs="Calibri"/>
                <w:sz w:val="16"/>
                <w:szCs w:val="16"/>
              </w:rPr>
            </w:pPr>
            <w:r w:rsidRPr="002E2B5B">
              <w:rPr>
                <w:rFonts w:ascii="Calibri" w:hAnsi="Calibri" w:cs="Calibri"/>
                <w:sz w:val="16"/>
                <w:szCs w:val="16"/>
              </w:rPr>
              <w:t xml:space="preserve"> Diretores</w:t>
            </w:r>
          </w:p>
        </w:tc>
        <w:tc>
          <w:tcPr>
            <w:tcW w:w="942" w:type="pct"/>
            <w:tcBorders>
              <w:top w:val="single" w:sz="4" w:space="0" w:color="auto"/>
            </w:tcBorders>
            <w:shd w:val="clear" w:color="auto" w:fill="auto"/>
            <w:noWrap/>
            <w:vAlign w:val="bottom"/>
          </w:tcPr>
          <w:p w14:paraId="4D35E1DC" w14:textId="77777777" w:rsidR="00AA3934" w:rsidRPr="002E2B5B" w:rsidRDefault="00AA3934" w:rsidP="002E2B5B">
            <w:pPr>
              <w:jc w:val="right"/>
              <w:rPr>
                <w:rFonts w:ascii="Calibri" w:hAnsi="Calibri" w:cs="Calibri"/>
                <w:sz w:val="16"/>
                <w:szCs w:val="16"/>
              </w:rPr>
            </w:pPr>
            <w:r w:rsidRPr="002E2B5B">
              <w:rPr>
                <w:rFonts w:ascii="Calibri" w:hAnsi="Calibri" w:cs="Calibri"/>
                <w:sz w:val="16"/>
                <w:szCs w:val="16"/>
              </w:rPr>
              <w:t>2</w:t>
            </w:r>
            <w:r w:rsidR="00F8592A" w:rsidRPr="002E2B5B">
              <w:rPr>
                <w:rFonts w:ascii="Calibri" w:hAnsi="Calibri" w:cs="Calibri"/>
                <w:sz w:val="16"/>
                <w:szCs w:val="16"/>
              </w:rPr>
              <w:t>6.243</w:t>
            </w:r>
          </w:p>
        </w:tc>
        <w:tc>
          <w:tcPr>
            <w:tcW w:w="1030" w:type="pct"/>
            <w:tcBorders>
              <w:top w:val="single" w:sz="4" w:space="0" w:color="auto"/>
            </w:tcBorders>
            <w:shd w:val="clear" w:color="auto" w:fill="auto"/>
            <w:noWrap/>
            <w:vAlign w:val="bottom"/>
          </w:tcPr>
          <w:p w14:paraId="27268F4A" w14:textId="77777777" w:rsidR="00AA3934" w:rsidRPr="002E2B5B" w:rsidRDefault="00F8592A" w:rsidP="002E2B5B">
            <w:pPr>
              <w:jc w:val="right"/>
              <w:rPr>
                <w:rFonts w:ascii="Calibri" w:hAnsi="Calibri" w:cs="Calibri"/>
                <w:sz w:val="16"/>
                <w:szCs w:val="16"/>
              </w:rPr>
            </w:pPr>
            <w:r w:rsidRPr="002E2B5B">
              <w:rPr>
                <w:rFonts w:ascii="Calibri" w:hAnsi="Calibri" w:cs="Calibri"/>
                <w:sz w:val="16"/>
                <w:szCs w:val="16"/>
              </w:rPr>
              <w:t>26.008</w:t>
            </w:r>
          </w:p>
        </w:tc>
        <w:tc>
          <w:tcPr>
            <w:tcW w:w="736" w:type="pct"/>
            <w:tcBorders>
              <w:top w:val="single" w:sz="4" w:space="0" w:color="auto"/>
            </w:tcBorders>
            <w:shd w:val="clear" w:color="auto" w:fill="auto"/>
            <w:noWrap/>
            <w:vAlign w:val="bottom"/>
          </w:tcPr>
          <w:p w14:paraId="0D53BF9C" w14:textId="77777777" w:rsidR="00AA3934" w:rsidRPr="002E2B5B" w:rsidRDefault="00F8592A" w:rsidP="002E2B5B">
            <w:pPr>
              <w:jc w:val="right"/>
              <w:rPr>
                <w:rFonts w:ascii="Calibri" w:hAnsi="Calibri" w:cs="Calibri"/>
                <w:sz w:val="16"/>
                <w:szCs w:val="16"/>
              </w:rPr>
            </w:pPr>
            <w:r w:rsidRPr="002E2B5B">
              <w:rPr>
                <w:rFonts w:ascii="Calibri" w:hAnsi="Calibri" w:cs="Calibri"/>
                <w:sz w:val="16"/>
                <w:szCs w:val="16"/>
              </w:rPr>
              <w:t>26.067</w:t>
            </w:r>
          </w:p>
        </w:tc>
      </w:tr>
      <w:tr w:rsidR="00AA3934" w:rsidRPr="002E2B5B" w14:paraId="2015CADE" w14:textId="77777777" w:rsidTr="00AA3934">
        <w:trPr>
          <w:trHeight w:val="227"/>
        </w:trPr>
        <w:tc>
          <w:tcPr>
            <w:tcW w:w="2292" w:type="pct"/>
            <w:shd w:val="clear" w:color="auto" w:fill="auto"/>
            <w:noWrap/>
            <w:vAlign w:val="bottom"/>
            <w:hideMark/>
          </w:tcPr>
          <w:p w14:paraId="1F458ED5" w14:textId="77777777" w:rsidR="00AA3934" w:rsidRPr="002E2B5B" w:rsidRDefault="00AA3934" w:rsidP="002E2B5B">
            <w:pPr>
              <w:rPr>
                <w:rFonts w:ascii="Calibri" w:hAnsi="Calibri" w:cs="Calibri"/>
                <w:sz w:val="16"/>
                <w:szCs w:val="16"/>
              </w:rPr>
            </w:pPr>
            <w:r w:rsidRPr="002E2B5B">
              <w:rPr>
                <w:rFonts w:ascii="Calibri" w:hAnsi="Calibri" w:cs="Calibri"/>
                <w:sz w:val="16"/>
                <w:szCs w:val="16"/>
              </w:rPr>
              <w:t xml:space="preserve"> Empregados</w:t>
            </w:r>
          </w:p>
        </w:tc>
        <w:tc>
          <w:tcPr>
            <w:tcW w:w="942" w:type="pct"/>
            <w:shd w:val="clear" w:color="auto" w:fill="auto"/>
            <w:noWrap/>
            <w:vAlign w:val="bottom"/>
          </w:tcPr>
          <w:p w14:paraId="4A85347B" w14:textId="77777777" w:rsidR="00AA3934" w:rsidRPr="002E2B5B" w:rsidRDefault="00E0238D" w:rsidP="002E2B5B">
            <w:pPr>
              <w:jc w:val="right"/>
              <w:rPr>
                <w:rFonts w:ascii="Calibri" w:hAnsi="Calibri" w:cs="Calibri"/>
                <w:sz w:val="16"/>
                <w:szCs w:val="16"/>
              </w:rPr>
            </w:pPr>
            <w:r w:rsidRPr="002E2B5B">
              <w:rPr>
                <w:rFonts w:ascii="Calibri" w:hAnsi="Calibri" w:cs="Calibri"/>
                <w:sz w:val="16"/>
                <w:szCs w:val="16"/>
              </w:rPr>
              <w:t>26.037</w:t>
            </w:r>
          </w:p>
        </w:tc>
        <w:tc>
          <w:tcPr>
            <w:tcW w:w="1030" w:type="pct"/>
            <w:shd w:val="clear" w:color="auto" w:fill="auto"/>
            <w:noWrap/>
            <w:vAlign w:val="bottom"/>
          </w:tcPr>
          <w:p w14:paraId="733B27E0" w14:textId="77777777" w:rsidR="00AA3934" w:rsidRPr="002E2B5B" w:rsidRDefault="00E0238D" w:rsidP="002E2B5B">
            <w:pPr>
              <w:jc w:val="right"/>
              <w:rPr>
                <w:rFonts w:ascii="Calibri" w:hAnsi="Calibri" w:cs="Calibri"/>
                <w:sz w:val="16"/>
                <w:szCs w:val="16"/>
              </w:rPr>
            </w:pPr>
            <w:r w:rsidRPr="002E2B5B">
              <w:rPr>
                <w:rFonts w:ascii="Calibri" w:hAnsi="Calibri" w:cs="Calibri"/>
                <w:sz w:val="16"/>
                <w:szCs w:val="16"/>
              </w:rPr>
              <w:t>3.054</w:t>
            </w:r>
          </w:p>
        </w:tc>
        <w:tc>
          <w:tcPr>
            <w:tcW w:w="736" w:type="pct"/>
            <w:shd w:val="clear" w:color="auto" w:fill="auto"/>
            <w:noWrap/>
            <w:vAlign w:val="bottom"/>
          </w:tcPr>
          <w:p w14:paraId="3F75AA5F" w14:textId="35AE71B5" w:rsidR="00AA3934" w:rsidRPr="002E2B5B" w:rsidRDefault="00F8592A" w:rsidP="002E2B5B">
            <w:pPr>
              <w:jc w:val="right"/>
              <w:rPr>
                <w:rFonts w:ascii="Calibri" w:hAnsi="Calibri" w:cs="Calibri"/>
                <w:sz w:val="16"/>
                <w:szCs w:val="16"/>
              </w:rPr>
            </w:pPr>
            <w:r w:rsidRPr="002E2B5B">
              <w:rPr>
                <w:rFonts w:ascii="Calibri" w:hAnsi="Calibri" w:cs="Calibri"/>
                <w:sz w:val="16"/>
                <w:szCs w:val="16"/>
              </w:rPr>
              <w:t>9.</w:t>
            </w:r>
            <w:r w:rsidR="00DE66B0">
              <w:rPr>
                <w:rFonts w:ascii="Calibri" w:hAnsi="Calibri" w:cs="Calibri"/>
                <w:sz w:val="16"/>
                <w:szCs w:val="16"/>
              </w:rPr>
              <w:t>619</w:t>
            </w:r>
          </w:p>
        </w:tc>
      </w:tr>
      <w:tr w:rsidR="00AA3934" w:rsidRPr="002E2B5B" w14:paraId="0A02B70F" w14:textId="77777777" w:rsidTr="00AA3934">
        <w:trPr>
          <w:trHeight w:val="227"/>
        </w:trPr>
        <w:tc>
          <w:tcPr>
            <w:tcW w:w="2292" w:type="pct"/>
            <w:shd w:val="clear" w:color="auto" w:fill="auto"/>
            <w:noWrap/>
            <w:vAlign w:val="bottom"/>
            <w:hideMark/>
          </w:tcPr>
          <w:p w14:paraId="7F145DA4" w14:textId="77777777" w:rsidR="00AA3934" w:rsidRPr="002E2B5B" w:rsidRDefault="00AA3934" w:rsidP="002E2B5B">
            <w:pPr>
              <w:rPr>
                <w:rFonts w:ascii="Calibri" w:hAnsi="Calibri" w:cs="Calibri"/>
                <w:sz w:val="16"/>
                <w:szCs w:val="16"/>
              </w:rPr>
            </w:pPr>
            <w:r w:rsidRPr="002E2B5B">
              <w:rPr>
                <w:rFonts w:ascii="Calibri" w:hAnsi="Calibri" w:cs="Calibri"/>
                <w:sz w:val="16"/>
                <w:szCs w:val="16"/>
              </w:rPr>
              <w:t xml:space="preserve"> Comissionados</w:t>
            </w:r>
          </w:p>
        </w:tc>
        <w:tc>
          <w:tcPr>
            <w:tcW w:w="942" w:type="pct"/>
            <w:shd w:val="clear" w:color="auto" w:fill="auto"/>
            <w:noWrap/>
            <w:vAlign w:val="bottom"/>
          </w:tcPr>
          <w:p w14:paraId="4B596938" w14:textId="77777777" w:rsidR="00AA3934" w:rsidRPr="002E2B5B" w:rsidRDefault="00E0238D" w:rsidP="002E2B5B">
            <w:pPr>
              <w:jc w:val="right"/>
              <w:rPr>
                <w:rFonts w:ascii="Calibri" w:hAnsi="Calibri" w:cs="Calibri"/>
                <w:sz w:val="16"/>
                <w:szCs w:val="16"/>
              </w:rPr>
            </w:pPr>
            <w:r w:rsidRPr="002E2B5B">
              <w:rPr>
                <w:rFonts w:ascii="Calibri" w:hAnsi="Calibri" w:cs="Calibri"/>
                <w:sz w:val="16"/>
                <w:szCs w:val="16"/>
              </w:rPr>
              <w:t>23.450</w:t>
            </w:r>
          </w:p>
        </w:tc>
        <w:tc>
          <w:tcPr>
            <w:tcW w:w="1030" w:type="pct"/>
            <w:shd w:val="clear" w:color="auto" w:fill="auto"/>
            <w:noWrap/>
            <w:vAlign w:val="bottom"/>
          </w:tcPr>
          <w:p w14:paraId="402660EF" w14:textId="77777777" w:rsidR="00AA3934" w:rsidRPr="002E2B5B" w:rsidRDefault="00E0238D" w:rsidP="002E2B5B">
            <w:pPr>
              <w:jc w:val="right"/>
              <w:rPr>
                <w:rFonts w:ascii="Calibri" w:hAnsi="Calibri" w:cs="Calibri"/>
                <w:sz w:val="16"/>
                <w:szCs w:val="16"/>
              </w:rPr>
            </w:pPr>
            <w:r w:rsidRPr="002E2B5B">
              <w:rPr>
                <w:rFonts w:ascii="Calibri" w:hAnsi="Calibri" w:cs="Calibri"/>
                <w:sz w:val="16"/>
                <w:szCs w:val="16"/>
              </w:rPr>
              <w:t>4.324</w:t>
            </w:r>
          </w:p>
        </w:tc>
        <w:tc>
          <w:tcPr>
            <w:tcW w:w="736" w:type="pct"/>
            <w:shd w:val="clear" w:color="auto" w:fill="auto"/>
            <w:noWrap/>
            <w:vAlign w:val="bottom"/>
          </w:tcPr>
          <w:p w14:paraId="1B6197A1" w14:textId="48E22E33" w:rsidR="00AA3934" w:rsidRPr="002E2B5B" w:rsidRDefault="00F8592A" w:rsidP="002E2B5B">
            <w:pPr>
              <w:jc w:val="right"/>
              <w:rPr>
                <w:rFonts w:ascii="Calibri" w:hAnsi="Calibri" w:cs="Calibri"/>
                <w:sz w:val="16"/>
                <w:szCs w:val="16"/>
              </w:rPr>
            </w:pPr>
            <w:r w:rsidRPr="002E2B5B">
              <w:rPr>
                <w:rFonts w:ascii="Calibri" w:hAnsi="Calibri" w:cs="Calibri"/>
                <w:sz w:val="16"/>
                <w:szCs w:val="16"/>
              </w:rPr>
              <w:t>1</w:t>
            </w:r>
            <w:r w:rsidR="00432864">
              <w:rPr>
                <w:rFonts w:ascii="Calibri" w:hAnsi="Calibri" w:cs="Calibri"/>
                <w:sz w:val="16"/>
                <w:szCs w:val="16"/>
              </w:rPr>
              <w:t>4</w:t>
            </w:r>
            <w:r w:rsidRPr="002E2B5B">
              <w:rPr>
                <w:rFonts w:ascii="Calibri" w:hAnsi="Calibri" w:cs="Calibri"/>
                <w:sz w:val="16"/>
                <w:szCs w:val="16"/>
              </w:rPr>
              <w:t>.</w:t>
            </w:r>
            <w:r w:rsidR="00DE66B0">
              <w:rPr>
                <w:rFonts w:ascii="Calibri" w:hAnsi="Calibri" w:cs="Calibri"/>
                <w:sz w:val="16"/>
                <w:szCs w:val="16"/>
              </w:rPr>
              <w:t>083</w:t>
            </w:r>
          </w:p>
        </w:tc>
      </w:tr>
    </w:tbl>
    <w:p w14:paraId="25357D70" w14:textId="77777777" w:rsidR="00136BED" w:rsidRPr="002E2B5B" w:rsidRDefault="00136BED" w:rsidP="002E2B5B">
      <w:pPr>
        <w:ind w:right="-142"/>
        <w:rPr>
          <w:rFonts w:ascii="Calibri" w:hAnsi="Calibri" w:cs="Calibri"/>
          <w:b/>
          <w:sz w:val="22"/>
          <w:szCs w:val="22"/>
        </w:rPr>
      </w:pPr>
    </w:p>
    <w:p w14:paraId="1019F401" w14:textId="72E6F57D" w:rsidR="006A24D4" w:rsidRPr="002E2B5B" w:rsidRDefault="006A24D4" w:rsidP="002E2B5B">
      <w:pPr>
        <w:ind w:right="57"/>
        <w:jc w:val="both"/>
        <w:rPr>
          <w:rFonts w:ascii="Calibri" w:hAnsi="Calibri" w:cs="Calibri"/>
          <w:sz w:val="22"/>
          <w:szCs w:val="22"/>
        </w:rPr>
      </w:pPr>
      <w:r w:rsidRPr="002E2B5B">
        <w:rPr>
          <w:rFonts w:ascii="Calibri" w:hAnsi="Calibri" w:cs="Calibri"/>
          <w:sz w:val="22"/>
          <w:szCs w:val="22"/>
        </w:rPr>
        <w:t>O total da remuneração dos administradores na Demonstração do Resultado do Exercício</w:t>
      </w:r>
      <w:r w:rsidR="004019E4" w:rsidRPr="002E2B5B">
        <w:rPr>
          <w:rFonts w:ascii="Calibri" w:hAnsi="Calibri" w:cs="Calibri"/>
          <w:sz w:val="22"/>
          <w:szCs w:val="22"/>
        </w:rPr>
        <w:t xml:space="preserve">, no valor de R$ </w:t>
      </w:r>
      <w:r w:rsidR="00DE66B0">
        <w:rPr>
          <w:rFonts w:ascii="Calibri" w:hAnsi="Calibri" w:cs="Calibri"/>
          <w:sz w:val="22"/>
          <w:szCs w:val="22"/>
        </w:rPr>
        <w:t>811</w:t>
      </w:r>
      <w:r w:rsidR="004019E4" w:rsidRPr="002E2B5B">
        <w:rPr>
          <w:rFonts w:ascii="Calibri" w:hAnsi="Calibri" w:cs="Calibri"/>
          <w:sz w:val="22"/>
          <w:szCs w:val="22"/>
        </w:rPr>
        <w:t xml:space="preserve"> mil,</w:t>
      </w:r>
      <w:r w:rsidRPr="002E2B5B">
        <w:rPr>
          <w:rFonts w:ascii="Calibri" w:hAnsi="Calibri" w:cs="Calibri"/>
          <w:sz w:val="22"/>
          <w:szCs w:val="22"/>
        </w:rPr>
        <w:t xml:space="preserve"> contempla a remuneração paga aos diretores e conselheiros. </w:t>
      </w:r>
    </w:p>
    <w:p w14:paraId="30E00AAD" w14:textId="77777777" w:rsidR="009C2095" w:rsidRPr="002E2B5B" w:rsidRDefault="009C2095" w:rsidP="002E2B5B">
      <w:pPr>
        <w:ind w:right="57"/>
        <w:jc w:val="both"/>
        <w:rPr>
          <w:rFonts w:ascii="Calibri" w:hAnsi="Calibri" w:cs="Calibri"/>
          <w:sz w:val="22"/>
          <w:szCs w:val="22"/>
        </w:rPr>
      </w:pPr>
    </w:p>
    <w:p w14:paraId="2F256334" w14:textId="77777777" w:rsidR="004E146F" w:rsidRPr="002E2B5B" w:rsidRDefault="00117714" w:rsidP="002E2B5B">
      <w:pPr>
        <w:ind w:right="-142"/>
        <w:rPr>
          <w:rFonts w:ascii="Calibri" w:hAnsi="Calibri" w:cs="Calibri"/>
          <w:b/>
          <w:sz w:val="22"/>
          <w:szCs w:val="22"/>
        </w:rPr>
      </w:pPr>
      <w:r w:rsidRPr="002E2B5B">
        <w:rPr>
          <w:rFonts w:ascii="Calibri" w:hAnsi="Calibri" w:cs="Calibri"/>
          <w:b/>
          <w:sz w:val="22"/>
          <w:szCs w:val="22"/>
        </w:rPr>
        <w:t xml:space="preserve">b) </w:t>
      </w:r>
      <w:r w:rsidR="00561E8E" w:rsidRPr="002E2B5B">
        <w:rPr>
          <w:rFonts w:ascii="Calibri" w:hAnsi="Calibri" w:cs="Calibri"/>
          <w:b/>
          <w:sz w:val="22"/>
          <w:szCs w:val="22"/>
        </w:rPr>
        <w:t>Recursos Recebidos para Pagamento de Investimento, Pessoal e Custeio</w:t>
      </w:r>
      <w:r w:rsidR="00954343" w:rsidRPr="002E2B5B">
        <w:rPr>
          <w:rFonts w:ascii="Calibri" w:hAnsi="Calibri" w:cs="Calibri"/>
          <w:b/>
          <w:sz w:val="22"/>
          <w:szCs w:val="22"/>
        </w:rPr>
        <w:t xml:space="preserve"> </w:t>
      </w:r>
    </w:p>
    <w:p w14:paraId="7B52DF0B" w14:textId="7AF093A8" w:rsidR="006C2FC4" w:rsidRDefault="004E146F" w:rsidP="002E2B5B">
      <w:pPr>
        <w:spacing w:after="120"/>
        <w:ind w:right="57"/>
        <w:jc w:val="both"/>
        <w:rPr>
          <w:rFonts w:ascii="Calibri" w:hAnsi="Calibri" w:cs="Calibri"/>
          <w:sz w:val="22"/>
          <w:szCs w:val="22"/>
        </w:rPr>
      </w:pPr>
      <w:r w:rsidRPr="002E2B5B">
        <w:rPr>
          <w:rFonts w:ascii="Calibri" w:hAnsi="Calibri" w:cs="Calibri"/>
          <w:sz w:val="22"/>
          <w:szCs w:val="22"/>
        </w:rPr>
        <w:t xml:space="preserve">Os recursos recebidos da União (Cotas Financeiras Recebidas e Cotas Financeiras de Restos a Pagar Recebidas), </w:t>
      </w:r>
      <w:r w:rsidR="00432864">
        <w:rPr>
          <w:rFonts w:ascii="Calibri" w:hAnsi="Calibri" w:cs="Calibri"/>
          <w:sz w:val="22"/>
          <w:szCs w:val="22"/>
        </w:rPr>
        <w:t>no</w:t>
      </w:r>
      <w:r w:rsidR="00DE4DFB">
        <w:rPr>
          <w:rFonts w:ascii="Calibri" w:hAnsi="Calibri" w:cs="Calibri"/>
          <w:sz w:val="22"/>
          <w:szCs w:val="22"/>
        </w:rPr>
        <w:t xml:space="preserve"> ano de 2021, até o segundo trimestre</w:t>
      </w:r>
      <w:r w:rsidR="00CA0F41" w:rsidRPr="002E2B5B">
        <w:rPr>
          <w:rFonts w:ascii="Calibri" w:hAnsi="Calibri" w:cs="Calibri"/>
          <w:sz w:val="22"/>
          <w:szCs w:val="22"/>
        </w:rPr>
        <w:t>,</w:t>
      </w:r>
      <w:r w:rsidRPr="002E2B5B">
        <w:rPr>
          <w:rFonts w:ascii="Calibri" w:hAnsi="Calibri" w:cs="Calibri"/>
          <w:sz w:val="22"/>
          <w:szCs w:val="22"/>
        </w:rPr>
        <w:t xml:space="preserve"> para pagamentos de investimentos, despesas com pessoal e custeio estão descritos abaixo:</w:t>
      </w:r>
    </w:p>
    <w:tbl>
      <w:tblPr>
        <w:tblW w:w="5000" w:type="pct"/>
        <w:tblCellMar>
          <w:left w:w="70" w:type="dxa"/>
          <w:right w:w="70" w:type="dxa"/>
        </w:tblCellMar>
        <w:tblLook w:val="04A0" w:firstRow="1" w:lastRow="0" w:firstColumn="1" w:lastColumn="0" w:noHBand="0" w:noVBand="1"/>
      </w:tblPr>
      <w:tblGrid>
        <w:gridCol w:w="6726"/>
        <w:gridCol w:w="469"/>
        <w:gridCol w:w="1608"/>
        <w:gridCol w:w="1664"/>
      </w:tblGrid>
      <w:tr w:rsidR="00DE4DFB" w14:paraId="18F6889A" w14:textId="77777777" w:rsidTr="00DE4DFB">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0DE28258" w14:textId="77777777" w:rsidR="00DE4DFB" w:rsidRDefault="00DE4DFB">
            <w:pPr>
              <w:rPr>
                <w:rFonts w:ascii="Calibri" w:hAnsi="Calibri" w:cs="Calibri"/>
                <w:b/>
                <w:bCs/>
                <w:color w:val="000000"/>
                <w:sz w:val="16"/>
                <w:szCs w:val="16"/>
              </w:rPr>
            </w:pPr>
            <w:r>
              <w:rPr>
                <w:rFonts w:ascii="Calibri" w:hAnsi="Calibri" w:cs="Calibri"/>
                <w:b/>
                <w:bCs/>
                <w:color w:val="000000"/>
                <w:sz w:val="16"/>
                <w:szCs w:val="16"/>
              </w:rPr>
              <w:t xml:space="preserve">Recursos recebidos para pagamento de investimento, pessoal e custeio </w:t>
            </w:r>
          </w:p>
        </w:tc>
        <w:tc>
          <w:tcPr>
            <w:tcW w:w="768" w:type="pct"/>
            <w:tcBorders>
              <w:top w:val="nil"/>
              <w:left w:val="nil"/>
              <w:bottom w:val="single" w:sz="8" w:space="0" w:color="auto"/>
              <w:right w:val="nil"/>
            </w:tcBorders>
            <w:shd w:val="clear" w:color="auto" w:fill="auto"/>
            <w:noWrap/>
            <w:vAlign w:val="center"/>
            <w:hideMark/>
          </w:tcPr>
          <w:p w14:paraId="45AF1880" w14:textId="77777777" w:rsidR="00DE4DFB" w:rsidRDefault="00DE4DFB">
            <w:pPr>
              <w:jc w:val="right"/>
              <w:rPr>
                <w:rFonts w:ascii="Calibri" w:hAnsi="Calibri" w:cs="Calibri"/>
                <w:b/>
                <w:bCs/>
                <w:color w:val="000000"/>
                <w:sz w:val="16"/>
                <w:szCs w:val="16"/>
              </w:rPr>
            </w:pPr>
            <w:r>
              <w:rPr>
                <w:rFonts w:ascii="Calibri" w:hAnsi="Calibri" w:cs="Calibri"/>
                <w:b/>
                <w:bCs/>
                <w:color w:val="000000"/>
                <w:sz w:val="16"/>
                <w:szCs w:val="16"/>
              </w:rPr>
              <w:t>30/06/2021</w:t>
            </w:r>
          </w:p>
        </w:tc>
        <w:tc>
          <w:tcPr>
            <w:tcW w:w="795" w:type="pct"/>
            <w:tcBorders>
              <w:top w:val="nil"/>
              <w:left w:val="nil"/>
              <w:bottom w:val="single" w:sz="8" w:space="0" w:color="auto"/>
              <w:right w:val="nil"/>
            </w:tcBorders>
            <w:shd w:val="clear" w:color="auto" w:fill="auto"/>
            <w:vAlign w:val="center"/>
            <w:hideMark/>
          </w:tcPr>
          <w:p w14:paraId="694BB89F" w14:textId="77777777" w:rsidR="00DE4DFB" w:rsidRDefault="00DE4DFB">
            <w:pPr>
              <w:jc w:val="right"/>
              <w:rPr>
                <w:rFonts w:ascii="Calibri" w:hAnsi="Calibri" w:cs="Calibri"/>
                <w:b/>
                <w:bCs/>
                <w:color w:val="000000"/>
                <w:sz w:val="16"/>
                <w:szCs w:val="16"/>
              </w:rPr>
            </w:pPr>
            <w:r>
              <w:rPr>
                <w:rFonts w:ascii="Calibri" w:hAnsi="Calibri" w:cs="Calibri"/>
                <w:b/>
                <w:bCs/>
                <w:color w:val="000000"/>
                <w:sz w:val="16"/>
                <w:szCs w:val="16"/>
              </w:rPr>
              <w:t>30/06/2020</w:t>
            </w:r>
          </w:p>
        </w:tc>
      </w:tr>
      <w:tr w:rsidR="00DE4DFB" w14:paraId="3C5930D5" w14:textId="77777777" w:rsidTr="00DE4DFB">
        <w:trPr>
          <w:trHeight w:hRule="exact" w:val="227"/>
        </w:trPr>
        <w:tc>
          <w:tcPr>
            <w:tcW w:w="3213" w:type="pct"/>
            <w:tcBorders>
              <w:top w:val="nil"/>
              <w:left w:val="nil"/>
              <w:bottom w:val="nil"/>
              <w:right w:val="nil"/>
            </w:tcBorders>
            <w:shd w:val="clear" w:color="auto" w:fill="auto"/>
            <w:noWrap/>
            <w:vAlign w:val="center"/>
            <w:hideMark/>
          </w:tcPr>
          <w:p w14:paraId="44E33172" w14:textId="77777777" w:rsidR="00DE4DFB" w:rsidRDefault="00DE4DFB">
            <w:pPr>
              <w:rPr>
                <w:rFonts w:ascii="Calibri" w:hAnsi="Calibri" w:cs="Calibri"/>
                <w:color w:val="000000"/>
                <w:sz w:val="16"/>
                <w:szCs w:val="16"/>
              </w:rPr>
            </w:pPr>
            <w:r>
              <w:rPr>
                <w:rFonts w:ascii="Calibri" w:hAnsi="Calibri" w:cs="Calibri"/>
                <w:color w:val="000000"/>
                <w:sz w:val="16"/>
                <w:szCs w:val="16"/>
              </w:rPr>
              <w:t>Custeio</w:t>
            </w:r>
          </w:p>
        </w:tc>
        <w:tc>
          <w:tcPr>
            <w:tcW w:w="224" w:type="pct"/>
            <w:tcBorders>
              <w:top w:val="nil"/>
              <w:left w:val="nil"/>
              <w:bottom w:val="nil"/>
              <w:right w:val="nil"/>
            </w:tcBorders>
            <w:shd w:val="clear" w:color="auto" w:fill="auto"/>
            <w:noWrap/>
            <w:vAlign w:val="center"/>
            <w:hideMark/>
          </w:tcPr>
          <w:p w14:paraId="5AECB06A" w14:textId="77777777" w:rsidR="00DE4DFB" w:rsidRDefault="00DE4DFB">
            <w:pPr>
              <w:rPr>
                <w:rFonts w:ascii="Calibri" w:hAnsi="Calibri" w:cs="Calibri"/>
                <w:color w:val="000000"/>
                <w:sz w:val="16"/>
                <w:szCs w:val="16"/>
              </w:rPr>
            </w:pPr>
          </w:p>
        </w:tc>
        <w:tc>
          <w:tcPr>
            <w:tcW w:w="768" w:type="pct"/>
            <w:tcBorders>
              <w:top w:val="nil"/>
              <w:left w:val="nil"/>
              <w:bottom w:val="nil"/>
              <w:right w:val="nil"/>
            </w:tcBorders>
            <w:shd w:val="clear" w:color="auto" w:fill="auto"/>
            <w:vAlign w:val="center"/>
            <w:hideMark/>
          </w:tcPr>
          <w:p w14:paraId="4538AFB8" w14:textId="77777777" w:rsidR="00DE4DFB" w:rsidRDefault="00DE4DFB">
            <w:pPr>
              <w:jc w:val="right"/>
              <w:rPr>
                <w:rFonts w:ascii="Calibri" w:hAnsi="Calibri" w:cs="Calibri"/>
                <w:color w:val="000000"/>
                <w:sz w:val="16"/>
                <w:szCs w:val="16"/>
              </w:rPr>
            </w:pPr>
            <w:r>
              <w:rPr>
                <w:rFonts w:ascii="Calibri" w:hAnsi="Calibri" w:cs="Calibri"/>
                <w:color w:val="000000"/>
                <w:sz w:val="16"/>
                <w:szCs w:val="16"/>
              </w:rPr>
              <w:t>19.658.639</w:t>
            </w:r>
          </w:p>
        </w:tc>
        <w:tc>
          <w:tcPr>
            <w:tcW w:w="795" w:type="pct"/>
            <w:tcBorders>
              <w:top w:val="nil"/>
              <w:left w:val="nil"/>
              <w:bottom w:val="nil"/>
              <w:right w:val="nil"/>
            </w:tcBorders>
            <w:shd w:val="clear" w:color="auto" w:fill="auto"/>
            <w:vAlign w:val="center"/>
            <w:hideMark/>
          </w:tcPr>
          <w:p w14:paraId="2AB9FE30" w14:textId="77777777" w:rsidR="00DE4DFB" w:rsidRDefault="00DE4DFB">
            <w:pPr>
              <w:jc w:val="right"/>
              <w:rPr>
                <w:rFonts w:ascii="Calibri" w:hAnsi="Calibri" w:cs="Calibri"/>
                <w:color w:val="000000"/>
                <w:sz w:val="16"/>
                <w:szCs w:val="16"/>
              </w:rPr>
            </w:pPr>
            <w:r>
              <w:rPr>
                <w:rFonts w:ascii="Calibri" w:hAnsi="Calibri" w:cs="Calibri"/>
                <w:color w:val="000000"/>
                <w:sz w:val="16"/>
                <w:szCs w:val="16"/>
              </w:rPr>
              <w:t>14.561.625</w:t>
            </w:r>
          </w:p>
        </w:tc>
      </w:tr>
      <w:tr w:rsidR="00DE4DFB" w14:paraId="24072D40" w14:textId="77777777" w:rsidTr="00DE4DFB">
        <w:trPr>
          <w:trHeight w:hRule="exact" w:val="227"/>
        </w:trPr>
        <w:tc>
          <w:tcPr>
            <w:tcW w:w="3213" w:type="pct"/>
            <w:tcBorders>
              <w:top w:val="nil"/>
              <w:left w:val="nil"/>
              <w:bottom w:val="nil"/>
              <w:right w:val="nil"/>
            </w:tcBorders>
            <w:shd w:val="clear" w:color="auto" w:fill="auto"/>
            <w:noWrap/>
            <w:vAlign w:val="center"/>
            <w:hideMark/>
          </w:tcPr>
          <w:p w14:paraId="44B33A77" w14:textId="77777777" w:rsidR="00DE4DFB" w:rsidRDefault="00DE4DFB">
            <w:pPr>
              <w:rPr>
                <w:rFonts w:ascii="Calibri" w:hAnsi="Calibri" w:cs="Calibri"/>
                <w:color w:val="000000"/>
                <w:sz w:val="16"/>
                <w:szCs w:val="16"/>
              </w:rPr>
            </w:pPr>
            <w:r>
              <w:rPr>
                <w:rFonts w:ascii="Calibri" w:hAnsi="Calibri" w:cs="Calibri"/>
                <w:color w:val="000000"/>
                <w:sz w:val="16"/>
                <w:szCs w:val="16"/>
              </w:rPr>
              <w:t>Pessoal</w:t>
            </w:r>
          </w:p>
        </w:tc>
        <w:tc>
          <w:tcPr>
            <w:tcW w:w="224" w:type="pct"/>
            <w:tcBorders>
              <w:top w:val="nil"/>
              <w:left w:val="nil"/>
              <w:bottom w:val="nil"/>
              <w:right w:val="nil"/>
            </w:tcBorders>
            <w:shd w:val="clear" w:color="auto" w:fill="auto"/>
            <w:noWrap/>
            <w:vAlign w:val="center"/>
            <w:hideMark/>
          </w:tcPr>
          <w:p w14:paraId="2AD6ADF7" w14:textId="77777777" w:rsidR="00DE4DFB" w:rsidRDefault="00DE4DFB">
            <w:pPr>
              <w:rPr>
                <w:rFonts w:ascii="Calibri" w:hAnsi="Calibri" w:cs="Calibri"/>
                <w:color w:val="000000"/>
                <w:sz w:val="16"/>
                <w:szCs w:val="16"/>
              </w:rPr>
            </w:pPr>
          </w:p>
        </w:tc>
        <w:tc>
          <w:tcPr>
            <w:tcW w:w="768" w:type="pct"/>
            <w:tcBorders>
              <w:top w:val="nil"/>
              <w:left w:val="nil"/>
              <w:bottom w:val="nil"/>
              <w:right w:val="nil"/>
            </w:tcBorders>
            <w:shd w:val="clear" w:color="auto" w:fill="auto"/>
            <w:vAlign w:val="center"/>
            <w:hideMark/>
          </w:tcPr>
          <w:p w14:paraId="08DCA231" w14:textId="77777777" w:rsidR="00DE4DFB" w:rsidRDefault="00DE4DFB">
            <w:pPr>
              <w:jc w:val="right"/>
              <w:rPr>
                <w:rFonts w:ascii="Calibri" w:hAnsi="Calibri" w:cs="Calibri"/>
                <w:color w:val="000000"/>
                <w:sz w:val="16"/>
                <w:szCs w:val="16"/>
              </w:rPr>
            </w:pPr>
            <w:r>
              <w:rPr>
                <w:rFonts w:ascii="Calibri" w:hAnsi="Calibri" w:cs="Calibri"/>
                <w:color w:val="000000"/>
                <w:sz w:val="16"/>
                <w:szCs w:val="16"/>
              </w:rPr>
              <w:t>56.182.550</w:t>
            </w:r>
          </w:p>
        </w:tc>
        <w:tc>
          <w:tcPr>
            <w:tcW w:w="795" w:type="pct"/>
            <w:tcBorders>
              <w:top w:val="nil"/>
              <w:left w:val="nil"/>
              <w:bottom w:val="nil"/>
              <w:right w:val="nil"/>
            </w:tcBorders>
            <w:shd w:val="clear" w:color="auto" w:fill="auto"/>
            <w:vAlign w:val="center"/>
            <w:hideMark/>
          </w:tcPr>
          <w:p w14:paraId="1346F3E4" w14:textId="77777777" w:rsidR="00DE4DFB" w:rsidRDefault="00DE4DFB">
            <w:pPr>
              <w:jc w:val="right"/>
              <w:rPr>
                <w:rFonts w:ascii="Calibri" w:hAnsi="Calibri" w:cs="Calibri"/>
                <w:color w:val="000000"/>
                <w:sz w:val="16"/>
                <w:szCs w:val="16"/>
              </w:rPr>
            </w:pPr>
            <w:r>
              <w:rPr>
                <w:rFonts w:ascii="Calibri" w:hAnsi="Calibri" w:cs="Calibri"/>
                <w:color w:val="000000"/>
                <w:sz w:val="16"/>
                <w:szCs w:val="16"/>
              </w:rPr>
              <w:t>49.931.770</w:t>
            </w:r>
          </w:p>
        </w:tc>
      </w:tr>
      <w:tr w:rsidR="00DE4DFB" w14:paraId="4985527E" w14:textId="77777777" w:rsidTr="00DE4DFB">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425FA54D" w14:textId="77777777" w:rsidR="00DE4DFB" w:rsidRDefault="00DE4DFB">
            <w:pPr>
              <w:rPr>
                <w:rFonts w:ascii="Calibri" w:hAnsi="Calibri" w:cs="Calibri"/>
                <w:color w:val="000000"/>
                <w:sz w:val="16"/>
                <w:szCs w:val="16"/>
              </w:rPr>
            </w:pPr>
            <w:r>
              <w:rPr>
                <w:rFonts w:ascii="Calibri" w:hAnsi="Calibri" w:cs="Calibri"/>
                <w:color w:val="000000"/>
                <w:sz w:val="16"/>
                <w:szCs w:val="16"/>
              </w:rPr>
              <w:t>Investimento</w:t>
            </w:r>
          </w:p>
        </w:tc>
        <w:tc>
          <w:tcPr>
            <w:tcW w:w="768" w:type="pct"/>
            <w:tcBorders>
              <w:top w:val="nil"/>
              <w:left w:val="nil"/>
              <w:bottom w:val="single" w:sz="8" w:space="0" w:color="auto"/>
              <w:right w:val="nil"/>
            </w:tcBorders>
            <w:shd w:val="clear" w:color="auto" w:fill="auto"/>
            <w:noWrap/>
            <w:vAlign w:val="bottom"/>
            <w:hideMark/>
          </w:tcPr>
          <w:p w14:paraId="6A554586" w14:textId="77777777" w:rsidR="00DE4DFB" w:rsidRDefault="00DE4DFB">
            <w:pPr>
              <w:jc w:val="right"/>
              <w:rPr>
                <w:rFonts w:ascii="Calibri" w:hAnsi="Calibri" w:cs="Calibri"/>
                <w:color w:val="000000"/>
                <w:sz w:val="16"/>
                <w:szCs w:val="16"/>
              </w:rPr>
            </w:pPr>
            <w:r>
              <w:rPr>
                <w:rFonts w:ascii="Calibri" w:hAnsi="Calibri" w:cs="Calibri"/>
                <w:color w:val="000000"/>
                <w:sz w:val="16"/>
                <w:szCs w:val="16"/>
              </w:rPr>
              <w:t>167.934.090</w:t>
            </w:r>
          </w:p>
        </w:tc>
        <w:tc>
          <w:tcPr>
            <w:tcW w:w="795" w:type="pct"/>
            <w:tcBorders>
              <w:top w:val="nil"/>
              <w:left w:val="nil"/>
              <w:bottom w:val="single" w:sz="8" w:space="0" w:color="auto"/>
              <w:right w:val="nil"/>
            </w:tcBorders>
            <w:shd w:val="clear" w:color="auto" w:fill="auto"/>
            <w:vAlign w:val="center"/>
            <w:hideMark/>
          </w:tcPr>
          <w:p w14:paraId="64591B9D" w14:textId="77777777" w:rsidR="00DE4DFB" w:rsidRDefault="00DE4DFB">
            <w:pPr>
              <w:jc w:val="right"/>
              <w:rPr>
                <w:rFonts w:ascii="Calibri" w:hAnsi="Calibri" w:cs="Calibri"/>
                <w:color w:val="000000"/>
                <w:sz w:val="16"/>
                <w:szCs w:val="16"/>
              </w:rPr>
            </w:pPr>
            <w:r>
              <w:rPr>
                <w:rFonts w:ascii="Calibri" w:hAnsi="Calibri" w:cs="Calibri"/>
                <w:color w:val="000000"/>
                <w:sz w:val="16"/>
                <w:szCs w:val="16"/>
              </w:rPr>
              <w:t>103.497.195</w:t>
            </w:r>
          </w:p>
        </w:tc>
      </w:tr>
      <w:tr w:rsidR="00DE4DFB" w14:paraId="1E983133" w14:textId="77777777" w:rsidTr="00DE4DFB">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1ABA7A4D" w14:textId="77777777" w:rsidR="00DE4DFB" w:rsidRDefault="00DE4DFB">
            <w:pPr>
              <w:rPr>
                <w:rFonts w:ascii="Calibri" w:hAnsi="Calibri" w:cs="Calibri"/>
                <w:b/>
                <w:bCs/>
                <w:color w:val="000000"/>
                <w:sz w:val="16"/>
                <w:szCs w:val="16"/>
              </w:rPr>
            </w:pPr>
            <w:r>
              <w:rPr>
                <w:rFonts w:ascii="Calibri" w:hAnsi="Calibri" w:cs="Calibri"/>
                <w:b/>
                <w:bCs/>
                <w:color w:val="000000"/>
                <w:sz w:val="16"/>
                <w:szCs w:val="16"/>
              </w:rPr>
              <w:t>TOTAL GERAL</w:t>
            </w:r>
          </w:p>
        </w:tc>
        <w:tc>
          <w:tcPr>
            <w:tcW w:w="768" w:type="pct"/>
            <w:tcBorders>
              <w:top w:val="nil"/>
              <w:left w:val="nil"/>
              <w:bottom w:val="single" w:sz="8" w:space="0" w:color="auto"/>
              <w:right w:val="nil"/>
            </w:tcBorders>
            <w:shd w:val="clear" w:color="auto" w:fill="auto"/>
            <w:noWrap/>
            <w:vAlign w:val="center"/>
            <w:hideMark/>
          </w:tcPr>
          <w:p w14:paraId="7EF29D3B" w14:textId="77777777" w:rsidR="00DE4DFB" w:rsidRDefault="00DE4DFB">
            <w:pPr>
              <w:jc w:val="right"/>
              <w:rPr>
                <w:rFonts w:ascii="Calibri" w:hAnsi="Calibri" w:cs="Calibri"/>
                <w:b/>
                <w:bCs/>
                <w:color w:val="000000"/>
                <w:sz w:val="16"/>
                <w:szCs w:val="16"/>
              </w:rPr>
            </w:pPr>
            <w:r>
              <w:rPr>
                <w:rFonts w:ascii="Calibri" w:hAnsi="Calibri" w:cs="Calibri"/>
                <w:b/>
                <w:bCs/>
                <w:color w:val="000000"/>
                <w:sz w:val="16"/>
                <w:szCs w:val="16"/>
              </w:rPr>
              <w:t>243.775.279</w:t>
            </w:r>
          </w:p>
        </w:tc>
        <w:tc>
          <w:tcPr>
            <w:tcW w:w="795" w:type="pct"/>
            <w:tcBorders>
              <w:top w:val="nil"/>
              <w:left w:val="nil"/>
              <w:bottom w:val="single" w:sz="8" w:space="0" w:color="auto"/>
              <w:right w:val="nil"/>
            </w:tcBorders>
            <w:shd w:val="clear" w:color="auto" w:fill="auto"/>
            <w:noWrap/>
            <w:vAlign w:val="center"/>
            <w:hideMark/>
          </w:tcPr>
          <w:p w14:paraId="3C86E8A7" w14:textId="77777777" w:rsidR="00DE4DFB" w:rsidRDefault="00DE4DFB">
            <w:pPr>
              <w:jc w:val="right"/>
              <w:rPr>
                <w:rFonts w:ascii="Calibri" w:hAnsi="Calibri" w:cs="Calibri"/>
                <w:b/>
                <w:bCs/>
                <w:color w:val="000000"/>
                <w:sz w:val="16"/>
                <w:szCs w:val="16"/>
              </w:rPr>
            </w:pPr>
            <w:r>
              <w:rPr>
                <w:rFonts w:ascii="Calibri" w:hAnsi="Calibri" w:cs="Calibri"/>
                <w:b/>
                <w:bCs/>
                <w:color w:val="000000"/>
                <w:sz w:val="16"/>
                <w:szCs w:val="16"/>
              </w:rPr>
              <w:t>167.990.590</w:t>
            </w:r>
          </w:p>
        </w:tc>
      </w:tr>
    </w:tbl>
    <w:p w14:paraId="7CB8E9F9" w14:textId="77777777" w:rsidR="00DE4DFB" w:rsidRPr="002E2B5B" w:rsidRDefault="00DE4DFB" w:rsidP="002E2B5B">
      <w:pPr>
        <w:ind w:right="-142"/>
        <w:rPr>
          <w:rFonts w:ascii="Calibri" w:hAnsi="Calibri" w:cs="Calibri"/>
          <w:b/>
          <w:sz w:val="22"/>
          <w:szCs w:val="22"/>
        </w:rPr>
      </w:pPr>
    </w:p>
    <w:p w14:paraId="72FBF3BC" w14:textId="399D875B" w:rsidR="00B57AAF" w:rsidRPr="002E2B5B" w:rsidRDefault="00117714" w:rsidP="002E2B5B">
      <w:pPr>
        <w:ind w:right="-142"/>
        <w:rPr>
          <w:rFonts w:ascii="Calibri" w:hAnsi="Calibri" w:cs="Calibri"/>
          <w:sz w:val="22"/>
          <w:szCs w:val="22"/>
        </w:rPr>
      </w:pPr>
      <w:r w:rsidRPr="002E2B5B">
        <w:rPr>
          <w:rFonts w:ascii="Calibri" w:hAnsi="Calibri" w:cs="Calibri"/>
          <w:b/>
          <w:sz w:val="22"/>
          <w:szCs w:val="22"/>
        </w:rPr>
        <w:t xml:space="preserve">c) </w:t>
      </w:r>
      <w:r w:rsidR="00B57AAF" w:rsidRPr="002E2B5B">
        <w:rPr>
          <w:rFonts w:ascii="Calibri" w:hAnsi="Calibri" w:cs="Calibri"/>
          <w:b/>
          <w:sz w:val="22"/>
          <w:szCs w:val="22"/>
        </w:rPr>
        <w:t xml:space="preserve">Aplicação dos Recursos </w:t>
      </w:r>
    </w:p>
    <w:p w14:paraId="7400E879" w14:textId="77777777" w:rsidR="00DE4DFB" w:rsidRDefault="00DE4DFB" w:rsidP="002E2B5B">
      <w:pPr>
        <w:ind w:right="57"/>
        <w:jc w:val="both"/>
        <w:rPr>
          <w:rFonts w:ascii="Calibri" w:hAnsi="Calibri" w:cs="Calibri"/>
          <w:sz w:val="22"/>
          <w:szCs w:val="22"/>
        </w:rPr>
      </w:pPr>
    </w:p>
    <w:p w14:paraId="741E2CCA" w14:textId="4C8E55A1" w:rsidR="00DE4DFB" w:rsidRDefault="002159E4" w:rsidP="002E2B5B">
      <w:pPr>
        <w:ind w:right="57"/>
        <w:jc w:val="both"/>
        <w:rPr>
          <w:rFonts w:ascii="Calibri" w:hAnsi="Calibri" w:cs="Calibri"/>
          <w:sz w:val="22"/>
          <w:szCs w:val="22"/>
        </w:rPr>
      </w:pPr>
      <w:r w:rsidRPr="002E2B5B">
        <w:rPr>
          <w:rFonts w:ascii="Calibri" w:hAnsi="Calibri" w:cs="Calibri"/>
          <w:sz w:val="22"/>
          <w:szCs w:val="22"/>
        </w:rPr>
        <w:t>P</w:t>
      </w:r>
      <w:r w:rsidR="00B57AAF" w:rsidRPr="002E2B5B">
        <w:rPr>
          <w:rFonts w:ascii="Calibri" w:hAnsi="Calibri" w:cs="Calibri"/>
          <w:sz w:val="22"/>
          <w:szCs w:val="22"/>
        </w:rPr>
        <w:t>or meio da Dotação Orçamentária d</w:t>
      </w:r>
      <w:r w:rsidR="00352C7D">
        <w:rPr>
          <w:rFonts w:ascii="Calibri" w:hAnsi="Calibri" w:cs="Calibri"/>
          <w:sz w:val="22"/>
          <w:szCs w:val="22"/>
        </w:rPr>
        <w:t xml:space="preserve">e </w:t>
      </w:r>
      <w:r w:rsidR="00B57AAF" w:rsidRPr="002E2B5B">
        <w:rPr>
          <w:rFonts w:ascii="Calibri" w:hAnsi="Calibri" w:cs="Calibri"/>
          <w:sz w:val="22"/>
          <w:szCs w:val="22"/>
        </w:rPr>
        <w:t>20</w:t>
      </w:r>
      <w:r w:rsidR="003022B9" w:rsidRPr="002E2B5B">
        <w:rPr>
          <w:rFonts w:ascii="Calibri" w:hAnsi="Calibri" w:cs="Calibri"/>
          <w:sz w:val="22"/>
          <w:szCs w:val="22"/>
        </w:rPr>
        <w:t>2</w:t>
      </w:r>
      <w:r w:rsidR="00352C7D">
        <w:rPr>
          <w:rFonts w:ascii="Calibri" w:hAnsi="Calibri" w:cs="Calibri"/>
          <w:sz w:val="22"/>
          <w:szCs w:val="22"/>
        </w:rPr>
        <w:t>1</w:t>
      </w:r>
      <w:r w:rsidR="00B57AAF" w:rsidRPr="002E2B5B">
        <w:rPr>
          <w:rFonts w:ascii="Calibri" w:hAnsi="Calibri" w:cs="Calibri"/>
          <w:sz w:val="22"/>
          <w:szCs w:val="22"/>
        </w:rPr>
        <w:t xml:space="preserve">, </w:t>
      </w:r>
      <w:r w:rsidR="008B40D3" w:rsidRPr="002E2B5B">
        <w:rPr>
          <w:rFonts w:ascii="Calibri" w:hAnsi="Calibri" w:cs="Calibri"/>
          <w:sz w:val="22"/>
          <w:szCs w:val="22"/>
        </w:rPr>
        <w:t>com base no Sistema Integrado de Planejamento e Orçamento</w:t>
      </w:r>
      <w:r w:rsidR="008F6432" w:rsidRPr="002E2B5B">
        <w:rPr>
          <w:rFonts w:ascii="Calibri" w:hAnsi="Calibri" w:cs="Calibri"/>
          <w:sz w:val="22"/>
          <w:szCs w:val="22"/>
        </w:rPr>
        <w:t xml:space="preserve"> (</w:t>
      </w:r>
      <w:r w:rsidR="00BF55E8" w:rsidRPr="002E2B5B">
        <w:rPr>
          <w:rFonts w:ascii="Calibri" w:hAnsi="Calibri" w:cs="Calibri"/>
          <w:sz w:val="22"/>
          <w:szCs w:val="22"/>
        </w:rPr>
        <w:t>SIOP</w:t>
      </w:r>
      <w:r w:rsidR="008F6432" w:rsidRPr="002E2B5B">
        <w:rPr>
          <w:rFonts w:ascii="Calibri" w:hAnsi="Calibri" w:cs="Calibri"/>
          <w:sz w:val="22"/>
          <w:szCs w:val="22"/>
        </w:rPr>
        <w:t>)</w:t>
      </w:r>
      <w:r w:rsidR="008B40D3" w:rsidRPr="002E2B5B">
        <w:rPr>
          <w:rFonts w:ascii="Calibri" w:hAnsi="Calibri" w:cs="Calibri"/>
          <w:sz w:val="22"/>
          <w:szCs w:val="22"/>
        </w:rPr>
        <w:t xml:space="preserve">, </w:t>
      </w:r>
      <w:r w:rsidR="00B57AAF" w:rsidRPr="002E2B5B">
        <w:rPr>
          <w:rFonts w:ascii="Calibri" w:hAnsi="Calibri" w:cs="Calibri"/>
          <w:sz w:val="22"/>
          <w:szCs w:val="22"/>
        </w:rPr>
        <w:t>foram aplicados os seguintes recursos</w:t>
      </w:r>
      <w:r w:rsidR="00352C7D">
        <w:rPr>
          <w:rFonts w:ascii="Calibri" w:hAnsi="Calibri" w:cs="Calibri"/>
          <w:sz w:val="22"/>
          <w:szCs w:val="22"/>
        </w:rPr>
        <w:t xml:space="preserve"> </w:t>
      </w:r>
      <w:r w:rsidR="00DE4DFB">
        <w:rPr>
          <w:rFonts w:ascii="Calibri" w:hAnsi="Calibri" w:cs="Calibri"/>
          <w:sz w:val="22"/>
          <w:szCs w:val="22"/>
        </w:rPr>
        <w:t>até o segundo trimestre</w:t>
      </w:r>
      <w:r w:rsidR="00860ECA" w:rsidRPr="002E2B5B">
        <w:rPr>
          <w:rFonts w:ascii="Calibri" w:hAnsi="Calibri" w:cs="Calibri"/>
          <w:sz w:val="22"/>
          <w:szCs w:val="22"/>
        </w:rPr>
        <w:t xml:space="preserve">: </w:t>
      </w:r>
    </w:p>
    <w:p w14:paraId="7E6817D4" w14:textId="77777777" w:rsidR="00473D2F" w:rsidRPr="002E2B5B" w:rsidRDefault="00473D2F" w:rsidP="002E2B5B">
      <w:pPr>
        <w:ind w:right="57"/>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2241"/>
        <w:gridCol w:w="2212"/>
        <w:gridCol w:w="1871"/>
        <w:gridCol w:w="1811"/>
        <w:gridCol w:w="2332"/>
      </w:tblGrid>
      <w:tr w:rsidR="00473D2F" w14:paraId="4B6253C4" w14:textId="77777777" w:rsidTr="00473D2F">
        <w:trPr>
          <w:trHeight w:hRule="exact" w:val="227"/>
        </w:trPr>
        <w:tc>
          <w:tcPr>
            <w:tcW w:w="1070" w:type="pct"/>
            <w:tcBorders>
              <w:top w:val="nil"/>
              <w:left w:val="nil"/>
              <w:bottom w:val="single" w:sz="8" w:space="0" w:color="auto"/>
              <w:right w:val="nil"/>
            </w:tcBorders>
            <w:shd w:val="clear" w:color="auto" w:fill="auto"/>
            <w:noWrap/>
            <w:vAlign w:val="center"/>
            <w:hideMark/>
          </w:tcPr>
          <w:p w14:paraId="08935A6C" w14:textId="77777777" w:rsidR="00473D2F" w:rsidRDefault="00473D2F">
            <w:pPr>
              <w:rPr>
                <w:rFonts w:ascii="Calibri" w:hAnsi="Calibri" w:cs="Calibri"/>
                <w:b/>
                <w:bCs/>
                <w:color w:val="000000"/>
                <w:sz w:val="16"/>
                <w:szCs w:val="16"/>
              </w:rPr>
            </w:pPr>
            <w:r>
              <w:rPr>
                <w:rFonts w:ascii="Calibri" w:hAnsi="Calibri" w:cs="Calibri"/>
                <w:b/>
                <w:bCs/>
                <w:color w:val="000000"/>
                <w:sz w:val="16"/>
                <w:szCs w:val="16"/>
              </w:rPr>
              <w:t>LOA</w:t>
            </w:r>
          </w:p>
        </w:tc>
        <w:tc>
          <w:tcPr>
            <w:tcW w:w="1056" w:type="pct"/>
            <w:tcBorders>
              <w:top w:val="nil"/>
              <w:left w:val="nil"/>
              <w:bottom w:val="single" w:sz="8" w:space="0" w:color="auto"/>
              <w:right w:val="nil"/>
            </w:tcBorders>
            <w:shd w:val="clear" w:color="auto" w:fill="auto"/>
            <w:noWrap/>
            <w:vAlign w:val="center"/>
            <w:hideMark/>
          </w:tcPr>
          <w:p w14:paraId="18009FCD" w14:textId="77777777" w:rsidR="00473D2F" w:rsidRDefault="00473D2F">
            <w:pPr>
              <w:jc w:val="right"/>
              <w:rPr>
                <w:rFonts w:ascii="Calibri" w:hAnsi="Calibri" w:cs="Calibri"/>
                <w:b/>
                <w:bCs/>
                <w:color w:val="000000"/>
                <w:sz w:val="16"/>
                <w:szCs w:val="16"/>
              </w:rPr>
            </w:pPr>
            <w:r>
              <w:rPr>
                <w:rFonts w:ascii="Calibri" w:hAnsi="Calibri" w:cs="Calibri"/>
                <w:b/>
                <w:bCs/>
                <w:color w:val="000000"/>
                <w:sz w:val="16"/>
                <w:szCs w:val="16"/>
              </w:rPr>
              <w:t>DOTAÇÃO 2021</w:t>
            </w:r>
          </w:p>
        </w:tc>
        <w:tc>
          <w:tcPr>
            <w:tcW w:w="894" w:type="pct"/>
            <w:tcBorders>
              <w:top w:val="nil"/>
              <w:left w:val="nil"/>
              <w:bottom w:val="single" w:sz="8" w:space="0" w:color="auto"/>
              <w:right w:val="nil"/>
            </w:tcBorders>
            <w:shd w:val="clear" w:color="auto" w:fill="auto"/>
            <w:vAlign w:val="center"/>
            <w:hideMark/>
          </w:tcPr>
          <w:p w14:paraId="6AFF48A6" w14:textId="77777777" w:rsidR="00473D2F" w:rsidRDefault="00473D2F">
            <w:pPr>
              <w:jc w:val="right"/>
              <w:rPr>
                <w:rFonts w:ascii="Calibri" w:hAnsi="Calibri" w:cs="Calibri"/>
                <w:b/>
                <w:bCs/>
                <w:color w:val="000000"/>
                <w:sz w:val="16"/>
                <w:szCs w:val="16"/>
              </w:rPr>
            </w:pPr>
            <w:r>
              <w:rPr>
                <w:rFonts w:ascii="Calibri" w:hAnsi="Calibri" w:cs="Calibri"/>
                <w:b/>
                <w:bCs/>
                <w:color w:val="000000"/>
                <w:sz w:val="16"/>
                <w:szCs w:val="16"/>
              </w:rPr>
              <w:t>EMPENHADO</w:t>
            </w:r>
          </w:p>
        </w:tc>
        <w:tc>
          <w:tcPr>
            <w:tcW w:w="865" w:type="pct"/>
            <w:tcBorders>
              <w:top w:val="nil"/>
              <w:left w:val="nil"/>
              <w:bottom w:val="single" w:sz="8" w:space="0" w:color="auto"/>
              <w:right w:val="nil"/>
            </w:tcBorders>
            <w:shd w:val="clear" w:color="auto" w:fill="auto"/>
            <w:noWrap/>
            <w:vAlign w:val="center"/>
            <w:hideMark/>
          </w:tcPr>
          <w:p w14:paraId="5E92E597" w14:textId="77777777" w:rsidR="00473D2F" w:rsidRDefault="00473D2F">
            <w:pPr>
              <w:jc w:val="right"/>
              <w:rPr>
                <w:rFonts w:ascii="Calibri" w:hAnsi="Calibri" w:cs="Calibri"/>
                <w:b/>
                <w:bCs/>
                <w:color w:val="000000"/>
                <w:sz w:val="16"/>
                <w:szCs w:val="16"/>
              </w:rPr>
            </w:pPr>
            <w:r>
              <w:rPr>
                <w:rFonts w:ascii="Calibri" w:hAnsi="Calibri" w:cs="Calibri"/>
                <w:b/>
                <w:bCs/>
                <w:color w:val="000000"/>
                <w:sz w:val="16"/>
                <w:szCs w:val="16"/>
              </w:rPr>
              <w:t>LIQUIDADO</w:t>
            </w:r>
          </w:p>
        </w:tc>
        <w:tc>
          <w:tcPr>
            <w:tcW w:w="1114" w:type="pct"/>
            <w:tcBorders>
              <w:top w:val="nil"/>
              <w:left w:val="nil"/>
              <w:bottom w:val="single" w:sz="8" w:space="0" w:color="auto"/>
              <w:right w:val="nil"/>
            </w:tcBorders>
            <w:shd w:val="clear" w:color="auto" w:fill="auto"/>
            <w:noWrap/>
            <w:vAlign w:val="center"/>
            <w:hideMark/>
          </w:tcPr>
          <w:p w14:paraId="447EB13D" w14:textId="77777777" w:rsidR="00473D2F" w:rsidRDefault="00473D2F">
            <w:pPr>
              <w:jc w:val="right"/>
              <w:rPr>
                <w:rFonts w:ascii="Calibri" w:hAnsi="Calibri" w:cs="Calibri"/>
                <w:b/>
                <w:bCs/>
                <w:color w:val="000000"/>
                <w:sz w:val="16"/>
                <w:szCs w:val="16"/>
              </w:rPr>
            </w:pPr>
            <w:r>
              <w:rPr>
                <w:rFonts w:ascii="Calibri" w:hAnsi="Calibri" w:cs="Calibri"/>
                <w:b/>
                <w:bCs/>
                <w:color w:val="000000"/>
                <w:sz w:val="16"/>
                <w:szCs w:val="16"/>
              </w:rPr>
              <w:t>PAGO</w:t>
            </w:r>
          </w:p>
        </w:tc>
      </w:tr>
      <w:tr w:rsidR="00473D2F" w14:paraId="0B217715" w14:textId="77777777" w:rsidTr="00473D2F">
        <w:trPr>
          <w:trHeight w:hRule="exact" w:val="227"/>
        </w:trPr>
        <w:tc>
          <w:tcPr>
            <w:tcW w:w="1070" w:type="pct"/>
            <w:tcBorders>
              <w:top w:val="nil"/>
              <w:left w:val="nil"/>
              <w:bottom w:val="nil"/>
              <w:right w:val="nil"/>
            </w:tcBorders>
            <w:shd w:val="clear" w:color="auto" w:fill="auto"/>
            <w:noWrap/>
            <w:vAlign w:val="center"/>
            <w:hideMark/>
          </w:tcPr>
          <w:p w14:paraId="1634618B" w14:textId="77777777" w:rsidR="00473D2F" w:rsidRDefault="00473D2F">
            <w:pPr>
              <w:rPr>
                <w:rFonts w:ascii="Calibri" w:hAnsi="Calibri" w:cs="Calibri"/>
                <w:color w:val="000000"/>
                <w:sz w:val="16"/>
                <w:szCs w:val="16"/>
              </w:rPr>
            </w:pPr>
            <w:r>
              <w:rPr>
                <w:rFonts w:ascii="Calibri" w:hAnsi="Calibri" w:cs="Calibri"/>
                <w:color w:val="000000"/>
                <w:sz w:val="16"/>
                <w:szCs w:val="16"/>
              </w:rPr>
              <w:t>Custeio</w:t>
            </w:r>
          </w:p>
        </w:tc>
        <w:tc>
          <w:tcPr>
            <w:tcW w:w="1056" w:type="pct"/>
            <w:tcBorders>
              <w:top w:val="nil"/>
              <w:left w:val="nil"/>
              <w:bottom w:val="nil"/>
              <w:right w:val="nil"/>
            </w:tcBorders>
            <w:shd w:val="clear" w:color="auto" w:fill="auto"/>
            <w:noWrap/>
            <w:vAlign w:val="center"/>
            <w:hideMark/>
          </w:tcPr>
          <w:p w14:paraId="728ED514" w14:textId="77777777" w:rsidR="00473D2F" w:rsidRDefault="00473D2F">
            <w:pPr>
              <w:jc w:val="right"/>
              <w:rPr>
                <w:rFonts w:ascii="Calibri" w:hAnsi="Calibri" w:cs="Calibri"/>
                <w:color w:val="000000"/>
                <w:sz w:val="16"/>
                <w:szCs w:val="16"/>
              </w:rPr>
            </w:pPr>
            <w:r>
              <w:rPr>
                <w:rFonts w:ascii="Calibri" w:hAnsi="Calibri" w:cs="Calibri"/>
                <w:color w:val="000000"/>
                <w:sz w:val="16"/>
                <w:szCs w:val="16"/>
              </w:rPr>
              <w:t>62.506.631</w:t>
            </w:r>
          </w:p>
        </w:tc>
        <w:tc>
          <w:tcPr>
            <w:tcW w:w="894" w:type="pct"/>
            <w:tcBorders>
              <w:top w:val="nil"/>
              <w:left w:val="nil"/>
              <w:bottom w:val="nil"/>
              <w:right w:val="nil"/>
            </w:tcBorders>
            <w:shd w:val="clear" w:color="auto" w:fill="auto"/>
            <w:noWrap/>
            <w:vAlign w:val="center"/>
            <w:hideMark/>
          </w:tcPr>
          <w:p w14:paraId="6C915A52" w14:textId="77777777" w:rsidR="00473D2F" w:rsidRDefault="00473D2F">
            <w:pPr>
              <w:jc w:val="right"/>
              <w:rPr>
                <w:rFonts w:ascii="Calibri" w:hAnsi="Calibri" w:cs="Calibri"/>
                <w:color w:val="000000"/>
                <w:sz w:val="16"/>
                <w:szCs w:val="16"/>
              </w:rPr>
            </w:pPr>
            <w:r>
              <w:rPr>
                <w:rFonts w:ascii="Calibri" w:hAnsi="Calibri" w:cs="Calibri"/>
                <w:color w:val="000000"/>
                <w:sz w:val="16"/>
                <w:szCs w:val="16"/>
              </w:rPr>
              <w:t>35.910.233</w:t>
            </w:r>
          </w:p>
        </w:tc>
        <w:tc>
          <w:tcPr>
            <w:tcW w:w="865" w:type="pct"/>
            <w:tcBorders>
              <w:top w:val="nil"/>
              <w:left w:val="nil"/>
              <w:bottom w:val="nil"/>
              <w:right w:val="nil"/>
            </w:tcBorders>
            <w:shd w:val="clear" w:color="auto" w:fill="auto"/>
            <w:noWrap/>
            <w:vAlign w:val="center"/>
            <w:hideMark/>
          </w:tcPr>
          <w:p w14:paraId="1F42F7F3" w14:textId="77777777" w:rsidR="00473D2F" w:rsidRDefault="00473D2F">
            <w:pPr>
              <w:jc w:val="right"/>
              <w:rPr>
                <w:rFonts w:ascii="Calibri" w:hAnsi="Calibri" w:cs="Calibri"/>
                <w:color w:val="000000"/>
                <w:sz w:val="16"/>
                <w:szCs w:val="16"/>
              </w:rPr>
            </w:pPr>
            <w:r>
              <w:rPr>
                <w:rFonts w:ascii="Calibri" w:hAnsi="Calibri" w:cs="Calibri"/>
                <w:color w:val="000000"/>
                <w:sz w:val="16"/>
                <w:szCs w:val="16"/>
              </w:rPr>
              <w:t>12.625.894</w:t>
            </w:r>
          </w:p>
        </w:tc>
        <w:tc>
          <w:tcPr>
            <w:tcW w:w="1114" w:type="pct"/>
            <w:tcBorders>
              <w:top w:val="nil"/>
              <w:left w:val="nil"/>
              <w:bottom w:val="nil"/>
              <w:right w:val="nil"/>
            </w:tcBorders>
            <w:shd w:val="clear" w:color="auto" w:fill="auto"/>
            <w:noWrap/>
            <w:vAlign w:val="center"/>
            <w:hideMark/>
          </w:tcPr>
          <w:p w14:paraId="672ED800" w14:textId="77777777" w:rsidR="00473D2F" w:rsidRDefault="00473D2F">
            <w:pPr>
              <w:jc w:val="right"/>
              <w:rPr>
                <w:rFonts w:ascii="Calibri" w:hAnsi="Calibri" w:cs="Calibri"/>
                <w:color w:val="000000"/>
                <w:sz w:val="16"/>
                <w:szCs w:val="16"/>
              </w:rPr>
            </w:pPr>
            <w:r>
              <w:rPr>
                <w:rFonts w:ascii="Calibri" w:hAnsi="Calibri" w:cs="Calibri"/>
                <w:color w:val="000000"/>
                <w:sz w:val="16"/>
                <w:szCs w:val="16"/>
              </w:rPr>
              <w:t>12.324.611</w:t>
            </w:r>
          </w:p>
        </w:tc>
      </w:tr>
      <w:tr w:rsidR="00473D2F" w14:paraId="208EC302" w14:textId="77777777" w:rsidTr="00473D2F">
        <w:trPr>
          <w:trHeight w:hRule="exact" w:val="227"/>
        </w:trPr>
        <w:tc>
          <w:tcPr>
            <w:tcW w:w="1070" w:type="pct"/>
            <w:tcBorders>
              <w:top w:val="nil"/>
              <w:left w:val="nil"/>
              <w:bottom w:val="nil"/>
              <w:right w:val="nil"/>
            </w:tcBorders>
            <w:shd w:val="clear" w:color="auto" w:fill="auto"/>
            <w:noWrap/>
            <w:vAlign w:val="center"/>
            <w:hideMark/>
          </w:tcPr>
          <w:p w14:paraId="1DE21681" w14:textId="77777777" w:rsidR="00473D2F" w:rsidRDefault="00473D2F">
            <w:pPr>
              <w:rPr>
                <w:rFonts w:ascii="Calibri" w:hAnsi="Calibri" w:cs="Calibri"/>
                <w:color w:val="000000"/>
                <w:sz w:val="16"/>
                <w:szCs w:val="16"/>
              </w:rPr>
            </w:pPr>
            <w:r>
              <w:rPr>
                <w:rFonts w:ascii="Calibri" w:hAnsi="Calibri" w:cs="Calibri"/>
                <w:color w:val="000000"/>
                <w:sz w:val="16"/>
                <w:szCs w:val="16"/>
              </w:rPr>
              <w:t>Pessoal e encargos</w:t>
            </w:r>
          </w:p>
        </w:tc>
        <w:tc>
          <w:tcPr>
            <w:tcW w:w="1056" w:type="pct"/>
            <w:tcBorders>
              <w:top w:val="nil"/>
              <w:left w:val="nil"/>
              <w:bottom w:val="nil"/>
              <w:right w:val="nil"/>
            </w:tcBorders>
            <w:shd w:val="clear" w:color="auto" w:fill="auto"/>
            <w:noWrap/>
            <w:vAlign w:val="center"/>
            <w:hideMark/>
          </w:tcPr>
          <w:p w14:paraId="05861D59" w14:textId="77777777" w:rsidR="00473D2F" w:rsidRDefault="00473D2F">
            <w:pPr>
              <w:jc w:val="right"/>
              <w:rPr>
                <w:rFonts w:ascii="Calibri" w:hAnsi="Calibri" w:cs="Calibri"/>
                <w:color w:val="000000"/>
                <w:sz w:val="16"/>
                <w:szCs w:val="16"/>
              </w:rPr>
            </w:pPr>
            <w:r>
              <w:rPr>
                <w:rFonts w:ascii="Calibri" w:hAnsi="Calibri" w:cs="Calibri"/>
                <w:color w:val="000000"/>
                <w:sz w:val="16"/>
                <w:szCs w:val="16"/>
              </w:rPr>
              <w:t>115.371.594</w:t>
            </w:r>
          </w:p>
        </w:tc>
        <w:tc>
          <w:tcPr>
            <w:tcW w:w="894" w:type="pct"/>
            <w:tcBorders>
              <w:top w:val="nil"/>
              <w:left w:val="nil"/>
              <w:bottom w:val="nil"/>
              <w:right w:val="nil"/>
            </w:tcBorders>
            <w:shd w:val="clear" w:color="auto" w:fill="auto"/>
            <w:noWrap/>
            <w:vAlign w:val="center"/>
            <w:hideMark/>
          </w:tcPr>
          <w:p w14:paraId="05208194" w14:textId="77777777" w:rsidR="00473D2F" w:rsidRDefault="00473D2F">
            <w:pPr>
              <w:jc w:val="right"/>
              <w:rPr>
                <w:rFonts w:ascii="Calibri" w:hAnsi="Calibri" w:cs="Calibri"/>
                <w:color w:val="000000"/>
                <w:sz w:val="16"/>
                <w:szCs w:val="16"/>
              </w:rPr>
            </w:pPr>
            <w:r>
              <w:rPr>
                <w:rFonts w:ascii="Calibri" w:hAnsi="Calibri" w:cs="Calibri"/>
                <w:color w:val="000000"/>
                <w:sz w:val="16"/>
                <w:szCs w:val="16"/>
              </w:rPr>
              <w:t>59.738.697</w:t>
            </w:r>
          </w:p>
        </w:tc>
        <w:tc>
          <w:tcPr>
            <w:tcW w:w="865" w:type="pct"/>
            <w:tcBorders>
              <w:top w:val="nil"/>
              <w:left w:val="nil"/>
              <w:bottom w:val="nil"/>
              <w:right w:val="nil"/>
            </w:tcBorders>
            <w:shd w:val="clear" w:color="auto" w:fill="auto"/>
            <w:noWrap/>
            <w:vAlign w:val="center"/>
            <w:hideMark/>
          </w:tcPr>
          <w:p w14:paraId="4B17BE9E" w14:textId="77777777" w:rsidR="00473D2F" w:rsidRDefault="00473D2F">
            <w:pPr>
              <w:jc w:val="right"/>
              <w:rPr>
                <w:rFonts w:ascii="Calibri" w:hAnsi="Calibri" w:cs="Calibri"/>
                <w:color w:val="000000"/>
                <w:sz w:val="16"/>
                <w:szCs w:val="16"/>
              </w:rPr>
            </w:pPr>
            <w:r>
              <w:rPr>
                <w:rFonts w:ascii="Calibri" w:hAnsi="Calibri" w:cs="Calibri"/>
                <w:color w:val="000000"/>
                <w:sz w:val="16"/>
                <w:szCs w:val="16"/>
              </w:rPr>
              <w:t>54.853.029</w:t>
            </w:r>
          </w:p>
        </w:tc>
        <w:tc>
          <w:tcPr>
            <w:tcW w:w="1114" w:type="pct"/>
            <w:tcBorders>
              <w:top w:val="nil"/>
              <w:left w:val="nil"/>
              <w:bottom w:val="nil"/>
              <w:right w:val="nil"/>
            </w:tcBorders>
            <w:shd w:val="clear" w:color="auto" w:fill="auto"/>
            <w:noWrap/>
            <w:vAlign w:val="center"/>
            <w:hideMark/>
          </w:tcPr>
          <w:p w14:paraId="68F8818C" w14:textId="77777777" w:rsidR="00473D2F" w:rsidRDefault="00473D2F">
            <w:pPr>
              <w:jc w:val="right"/>
              <w:rPr>
                <w:rFonts w:ascii="Calibri" w:hAnsi="Calibri" w:cs="Calibri"/>
                <w:color w:val="000000"/>
                <w:sz w:val="16"/>
                <w:szCs w:val="16"/>
              </w:rPr>
            </w:pPr>
            <w:r>
              <w:rPr>
                <w:rFonts w:ascii="Calibri" w:hAnsi="Calibri" w:cs="Calibri"/>
                <w:color w:val="000000"/>
                <w:sz w:val="16"/>
                <w:szCs w:val="16"/>
              </w:rPr>
              <w:t>47.800.663</w:t>
            </w:r>
          </w:p>
        </w:tc>
      </w:tr>
      <w:tr w:rsidR="00473D2F" w14:paraId="4FDC367B" w14:textId="77777777" w:rsidTr="00473D2F">
        <w:trPr>
          <w:trHeight w:hRule="exact" w:val="227"/>
        </w:trPr>
        <w:tc>
          <w:tcPr>
            <w:tcW w:w="1070" w:type="pct"/>
            <w:tcBorders>
              <w:top w:val="nil"/>
              <w:left w:val="nil"/>
              <w:bottom w:val="single" w:sz="8" w:space="0" w:color="auto"/>
              <w:right w:val="nil"/>
            </w:tcBorders>
            <w:shd w:val="clear" w:color="auto" w:fill="auto"/>
            <w:noWrap/>
            <w:vAlign w:val="center"/>
            <w:hideMark/>
          </w:tcPr>
          <w:p w14:paraId="1FDBF3D4" w14:textId="77777777" w:rsidR="00473D2F" w:rsidRDefault="00473D2F">
            <w:pPr>
              <w:rPr>
                <w:rFonts w:ascii="Calibri" w:hAnsi="Calibri" w:cs="Calibri"/>
                <w:color w:val="000000"/>
                <w:sz w:val="16"/>
                <w:szCs w:val="16"/>
              </w:rPr>
            </w:pPr>
            <w:r>
              <w:rPr>
                <w:rFonts w:ascii="Calibri" w:hAnsi="Calibri" w:cs="Calibri"/>
                <w:color w:val="000000"/>
                <w:sz w:val="16"/>
                <w:szCs w:val="16"/>
              </w:rPr>
              <w:t>Investimento</w:t>
            </w:r>
          </w:p>
        </w:tc>
        <w:tc>
          <w:tcPr>
            <w:tcW w:w="1056" w:type="pct"/>
            <w:tcBorders>
              <w:top w:val="nil"/>
              <w:left w:val="nil"/>
              <w:bottom w:val="single" w:sz="8" w:space="0" w:color="auto"/>
              <w:right w:val="nil"/>
            </w:tcBorders>
            <w:shd w:val="clear" w:color="auto" w:fill="auto"/>
            <w:noWrap/>
            <w:vAlign w:val="center"/>
            <w:hideMark/>
          </w:tcPr>
          <w:p w14:paraId="5425C629" w14:textId="77777777" w:rsidR="00473D2F" w:rsidRDefault="00473D2F">
            <w:pPr>
              <w:jc w:val="right"/>
              <w:rPr>
                <w:rFonts w:ascii="Calibri" w:hAnsi="Calibri" w:cs="Calibri"/>
                <w:color w:val="000000"/>
                <w:sz w:val="16"/>
                <w:szCs w:val="16"/>
              </w:rPr>
            </w:pPr>
            <w:r>
              <w:rPr>
                <w:rFonts w:ascii="Calibri" w:hAnsi="Calibri" w:cs="Calibri"/>
                <w:color w:val="000000"/>
                <w:sz w:val="16"/>
                <w:szCs w:val="16"/>
              </w:rPr>
              <w:t>434.756.383</w:t>
            </w:r>
          </w:p>
        </w:tc>
        <w:tc>
          <w:tcPr>
            <w:tcW w:w="894" w:type="pct"/>
            <w:tcBorders>
              <w:top w:val="nil"/>
              <w:left w:val="nil"/>
              <w:bottom w:val="single" w:sz="8" w:space="0" w:color="auto"/>
              <w:right w:val="nil"/>
            </w:tcBorders>
            <w:shd w:val="clear" w:color="auto" w:fill="auto"/>
            <w:noWrap/>
            <w:vAlign w:val="center"/>
            <w:hideMark/>
          </w:tcPr>
          <w:p w14:paraId="482FEAEF" w14:textId="77777777" w:rsidR="00473D2F" w:rsidRDefault="00473D2F">
            <w:pPr>
              <w:jc w:val="right"/>
              <w:rPr>
                <w:rFonts w:ascii="Calibri" w:hAnsi="Calibri" w:cs="Calibri"/>
                <w:color w:val="000000"/>
                <w:sz w:val="16"/>
                <w:szCs w:val="16"/>
              </w:rPr>
            </w:pPr>
            <w:r>
              <w:rPr>
                <w:rFonts w:ascii="Calibri" w:hAnsi="Calibri" w:cs="Calibri"/>
                <w:color w:val="000000"/>
                <w:sz w:val="16"/>
                <w:szCs w:val="16"/>
              </w:rPr>
              <w:t>408.565.441</w:t>
            </w:r>
          </w:p>
        </w:tc>
        <w:tc>
          <w:tcPr>
            <w:tcW w:w="865" w:type="pct"/>
            <w:tcBorders>
              <w:top w:val="nil"/>
              <w:left w:val="nil"/>
              <w:bottom w:val="single" w:sz="8" w:space="0" w:color="auto"/>
              <w:right w:val="nil"/>
            </w:tcBorders>
            <w:shd w:val="clear" w:color="auto" w:fill="auto"/>
            <w:noWrap/>
            <w:vAlign w:val="center"/>
            <w:hideMark/>
          </w:tcPr>
          <w:p w14:paraId="7154BD12" w14:textId="77777777" w:rsidR="00473D2F" w:rsidRDefault="00473D2F">
            <w:pPr>
              <w:jc w:val="right"/>
              <w:rPr>
                <w:rFonts w:ascii="Calibri" w:hAnsi="Calibri" w:cs="Calibri"/>
                <w:color w:val="000000"/>
                <w:sz w:val="16"/>
                <w:szCs w:val="16"/>
              </w:rPr>
            </w:pPr>
            <w:r>
              <w:rPr>
                <w:rFonts w:ascii="Calibri" w:hAnsi="Calibri" w:cs="Calibri"/>
                <w:color w:val="000000"/>
                <w:sz w:val="16"/>
                <w:szCs w:val="16"/>
              </w:rPr>
              <w:t>1.295.998</w:t>
            </w:r>
          </w:p>
        </w:tc>
        <w:tc>
          <w:tcPr>
            <w:tcW w:w="1114" w:type="pct"/>
            <w:tcBorders>
              <w:top w:val="nil"/>
              <w:left w:val="nil"/>
              <w:bottom w:val="single" w:sz="8" w:space="0" w:color="auto"/>
              <w:right w:val="nil"/>
            </w:tcBorders>
            <w:shd w:val="clear" w:color="auto" w:fill="auto"/>
            <w:noWrap/>
            <w:vAlign w:val="center"/>
            <w:hideMark/>
          </w:tcPr>
          <w:p w14:paraId="5AE64B1B" w14:textId="7F4CB68F" w:rsidR="00473D2F" w:rsidRDefault="00473D2F">
            <w:pPr>
              <w:jc w:val="right"/>
              <w:rPr>
                <w:rFonts w:ascii="Calibri" w:hAnsi="Calibri" w:cs="Calibri"/>
                <w:color w:val="000000"/>
                <w:sz w:val="16"/>
                <w:szCs w:val="16"/>
              </w:rPr>
            </w:pPr>
            <w:r>
              <w:rPr>
                <w:rFonts w:ascii="Calibri" w:hAnsi="Calibri" w:cs="Calibri"/>
                <w:color w:val="000000"/>
                <w:sz w:val="16"/>
                <w:szCs w:val="16"/>
              </w:rPr>
              <w:t>710.851</w:t>
            </w:r>
          </w:p>
        </w:tc>
      </w:tr>
      <w:tr w:rsidR="00473D2F" w14:paraId="15A50117" w14:textId="77777777" w:rsidTr="00473D2F">
        <w:trPr>
          <w:trHeight w:hRule="exact" w:val="227"/>
        </w:trPr>
        <w:tc>
          <w:tcPr>
            <w:tcW w:w="1070" w:type="pct"/>
            <w:tcBorders>
              <w:top w:val="nil"/>
              <w:left w:val="nil"/>
              <w:bottom w:val="single" w:sz="8" w:space="0" w:color="auto"/>
              <w:right w:val="nil"/>
            </w:tcBorders>
            <w:shd w:val="clear" w:color="auto" w:fill="auto"/>
            <w:noWrap/>
            <w:vAlign w:val="center"/>
            <w:hideMark/>
          </w:tcPr>
          <w:p w14:paraId="4E22E732" w14:textId="77777777" w:rsidR="00473D2F" w:rsidRDefault="00473D2F">
            <w:pPr>
              <w:rPr>
                <w:rFonts w:ascii="Calibri" w:hAnsi="Calibri" w:cs="Calibri"/>
                <w:b/>
                <w:bCs/>
                <w:color w:val="000000"/>
                <w:sz w:val="16"/>
                <w:szCs w:val="16"/>
              </w:rPr>
            </w:pPr>
            <w:r>
              <w:rPr>
                <w:rFonts w:ascii="Calibri" w:hAnsi="Calibri" w:cs="Calibri"/>
                <w:b/>
                <w:bCs/>
                <w:color w:val="000000"/>
                <w:sz w:val="16"/>
                <w:szCs w:val="16"/>
              </w:rPr>
              <w:t>TOTAL GERAL</w:t>
            </w:r>
          </w:p>
        </w:tc>
        <w:tc>
          <w:tcPr>
            <w:tcW w:w="1056" w:type="pct"/>
            <w:tcBorders>
              <w:top w:val="nil"/>
              <w:left w:val="nil"/>
              <w:bottom w:val="single" w:sz="8" w:space="0" w:color="auto"/>
              <w:right w:val="nil"/>
            </w:tcBorders>
            <w:shd w:val="clear" w:color="auto" w:fill="auto"/>
            <w:noWrap/>
            <w:vAlign w:val="center"/>
            <w:hideMark/>
          </w:tcPr>
          <w:p w14:paraId="2C0C5330" w14:textId="77777777" w:rsidR="00473D2F" w:rsidRDefault="00473D2F">
            <w:pPr>
              <w:jc w:val="right"/>
              <w:rPr>
                <w:rFonts w:ascii="Calibri" w:hAnsi="Calibri" w:cs="Calibri"/>
                <w:b/>
                <w:bCs/>
                <w:color w:val="000000"/>
                <w:sz w:val="16"/>
                <w:szCs w:val="16"/>
              </w:rPr>
            </w:pPr>
            <w:r>
              <w:rPr>
                <w:rFonts w:ascii="Calibri" w:hAnsi="Calibri" w:cs="Calibri"/>
                <w:b/>
                <w:bCs/>
                <w:color w:val="000000"/>
                <w:sz w:val="16"/>
                <w:szCs w:val="16"/>
              </w:rPr>
              <w:t>612.634.608</w:t>
            </w:r>
          </w:p>
        </w:tc>
        <w:tc>
          <w:tcPr>
            <w:tcW w:w="894" w:type="pct"/>
            <w:tcBorders>
              <w:top w:val="nil"/>
              <w:left w:val="nil"/>
              <w:bottom w:val="single" w:sz="8" w:space="0" w:color="auto"/>
              <w:right w:val="nil"/>
            </w:tcBorders>
            <w:shd w:val="clear" w:color="auto" w:fill="auto"/>
            <w:noWrap/>
            <w:vAlign w:val="center"/>
            <w:hideMark/>
          </w:tcPr>
          <w:p w14:paraId="6FE03319" w14:textId="77777777" w:rsidR="00473D2F" w:rsidRDefault="00473D2F">
            <w:pPr>
              <w:jc w:val="right"/>
              <w:rPr>
                <w:rFonts w:ascii="Calibri" w:hAnsi="Calibri" w:cs="Calibri"/>
                <w:b/>
                <w:bCs/>
                <w:color w:val="000000"/>
                <w:sz w:val="16"/>
                <w:szCs w:val="16"/>
              </w:rPr>
            </w:pPr>
            <w:r>
              <w:rPr>
                <w:rFonts w:ascii="Calibri" w:hAnsi="Calibri" w:cs="Calibri"/>
                <w:b/>
                <w:bCs/>
                <w:color w:val="000000"/>
                <w:sz w:val="16"/>
                <w:szCs w:val="16"/>
              </w:rPr>
              <w:t>504.214.371</w:t>
            </w:r>
          </w:p>
        </w:tc>
        <w:tc>
          <w:tcPr>
            <w:tcW w:w="865" w:type="pct"/>
            <w:tcBorders>
              <w:top w:val="nil"/>
              <w:left w:val="nil"/>
              <w:bottom w:val="single" w:sz="8" w:space="0" w:color="auto"/>
              <w:right w:val="nil"/>
            </w:tcBorders>
            <w:shd w:val="clear" w:color="auto" w:fill="auto"/>
            <w:noWrap/>
            <w:vAlign w:val="center"/>
            <w:hideMark/>
          </w:tcPr>
          <w:p w14:paraId="07153E0C" w14:textId="77777777" w:rsidR="00473D2F" w:rsidRDefault="00473D2F">
            <w:pPr>
              <w:jc w:val="right"/>
              <w:rPr>
                <w:rFonts w:ascii="Calibri" w:hAnsi="Calibri" w:cs="Calibri"/>
                <w:b/>
                <w:bCs/>
                <w:color w:val="000000"/>
                <w:sz w:val="16"/>
                <w:szCs w:val="16"/>
              </w:rPr>
            </w:pPr>
            <w:r>
              <w:rPr>
                <w:rFonts w:ascii="Calibri" w:hAnsi="Calibri" w:cs="Calibri"/>
                <w:b/>
                <w:bCs/>
                <w:color w:val="000000"/>
                <w:sz w:val="16"/>
                <w:szCs w:val="16"/>
              </w:rPr>
              <w:t>68.774.921</w:t>
            </w:r>
          </w:p>
        </w:tc>
        <w:tc>
          <w:tcPr>
            <w:tcW w:w="1114" w:type="pct"/>
            <w:tcBorders>
              <w:top w:val="nil"/>
              <w:left w:val="nil"/>
              <w:bottom w:val="single" w:sz="8" w:space="0" w:color="auto"/>
              <w:right w:val="nil"/>
            </w:tcBorders>
            <w:shd w:val="clear" w:color="auto" w:fill="auto"/>
            <w:noWrap/>
            <w:vAlign w:val="center"/>
            <w:hideMark/>
          </w:tcPr>
          <w:p w14:paraId="54F9FE7E" w14:textId="77777777" w:rsidR="00473D2F" w:rsidRDefault="00473D2F">
            <w:pPr>
              <w:jc w:val="right"/>
              <w:rPr>
                <w:rFonts w:ascii="Calibri" w:hAnsi="Calibri" w:cs="Calibri"/>
                <w:b/>
                <w:bCs/>
                <w:color w:val="000000"/>
                <w:sz w:val="16"/>
                <w:szCs w:val="16"/>
              </w:rPr>
            </w:pPr>
            <w:r>
              <w:rPr>
                <w:rFonts w:ascii="Calibri" w:hAnsi="Calibri" w:cs="Calibri"/>
                <w:b/>
                <w:bCs/>
                <w:color w:val="000000"/>
                <w:sz w:val="16"/>
                <w:szCs w:val="16"/>
              </w:rPr>
              <w:t>60.836.125</w:t>
            </w:r>
          </w:p>
        </w:tc>
      </w:tr>
    </w:tbl>
    <w:p w14:paraId="2083DC88" w14:textId="77777777" w:rsidR="00473D2F" w:rsidRDefault="00473D2F" w:rsidP="002E2B5B">
      <w:pPr>
        <w:ind w:right="-142"/>
        <w:jc w:val="both"/>
        <w:rPr>
          <w:rFonts w:ascii="Calibri" w:hAnsi="Calibri" w:cs="Calibri"/>
          <w:sz w:val="22"/>
          <w:szCs w:val="22"/>
        </w:rPr>
      </w:pPr>
    </w:p>
    <w:p w14:paraId="0A9EC8F3" w14:textId="03944E73" w:rsidR="00B74DE7" w:rsidRDefault="00473D2F" w:rsidP="002E2B5B">
      <w:pPr>
        <w:ind w:right="-142"/>
        <w:jc w:val="both"/>
        <w:rPr>
          <w:rFonts w:ascii="Calibri" w:hAnsi="Calibri" w:cs="Calibri"/>
          <w:sz w:val="22"/>
          <w:szCs w:val="22"/>
        </w:rPr>
      </w:pPr>
      <w:r>
        <w:rPr>
          <w:rFonts w:ascii="Calibri" w:hAnsi="Calibri" w:cs="Calibri"/>
          <w:sz w:val="22"/>
          <w:szCs w:val="22"/>
        </w:rPr>
        <w:t>Até o segundo</w:t>
      </w:r>
      <w:r w:rsidR="00352C7D">
        <w:rPr>
          <w:rFonts w:ascii="Calibri" w:hAnsi="Calibri" w:cs="Calibri"/>
          <w:sz w:val="22"/>
          <w:szCs w:val="22"/>
        </w:rPr>
        <w:t xml:space="preserve"> trimestre de 2021</w:t>
      </w:r>
      <w:r w:rsidR="00807253" w:rsidRPr="002E2B5B">
        <w:rPr>
          <w:rFonts w:ascii="Calibri" w:hAnsi="Calibri" w:cs="Calibri"/>
          <w:sz w:val="22"/>
          <w:szCs w:val="22"/>
        </w:rPr>
        <w:t xml:space="preserve">, </w:t>
      </w:r>
      <w:r w:rsidR="00B57AAF" w:rsidRPr="002E2B5B">
        <w:rPr>
          <w:rFonts w:ascii="Calibri" w:hAnsi="Calibri" w:cs="Calibri"/>
          <w:sz w:val="22"/>
          <w:szCs w:val="22"/>
        </w:rPr>
        <w:t xml:space="preserve">os recursos aplicados, </w:t>
      </w:r>
      <w:r w:rsidR="001A6BF8" w:rsidRPr="002E2B5B">
        <w:rPr>
          <w:rFonts w:ascii="Calibri" w:hAnsi="Calibri" w:cs="Calibri"/>
          <w:sz w:val="22"/>
          <w:szCs w:val="22"/>
        </w:rPr>
        <w:t xml:space="preserve">segundo o SIOP, </w:t>
      </w:r>
      <w:r w:rsidR="00B57AAF" w:rsidRPr="002E2B5B">
        <w:rPr>
          <w:rFonts w:ascii="Calibri" w:hAnsi="Calibri" w:cs="Calibri"/>
          <w:sz w:val="22"/>
          <w:szCs w:val="22"/>
        </w:rPr>
        <w:t>provindos de Restos a Pagar (RP), foram:</w:t>
      </w:r>
    </w:p>
    <w:tbl>
      <w:tblPr>
        <w:tblW w:w="5000" w:type="pct"/>
        <w:tblCellMar>
          <w:left w:w="70" w:type="dxa"/>
          <w:right w:w="70" w:type="dxa"/>
        </w:tblCellMar>
        <w:tblLook w:val="04A0" w:firstRow="1" w:lastRow="0" w:firstColumn="1" w:lastColumn="0" w:noHBand="0" w:noVBand="1"/>
      </w:tblPr>
      <w:tblGrid>
        <w:gridCol w:w="1785"/>
        <w:gridCol w:w="1761"/>
        <w:gridCol w:w="1761"/>
        <w:gridCol w:w="1442"/>
        <w:gridCol w:w="1859"/>
        <w:gridCol w:w="1859"/>
      </w:tblGrid>
      <w:tr w:rsidR="00B74DE7" w14:paraId="668663E7" w14:textId="77777777" w:rsidTr="00B74DE7">
        <w:trPr>
          <w:trHeight w:val="227"/>
        </w:trPr>
        <w:tc>
          <w:tcPr>
            <w:tcW w:w="853" w:type="pct"/>
            <w:vMerge w:val="restart"/>
            <w:tcBorders>
              <w:top w:val="nil"/>
              <w:left w:val="nil"/>
              <w:bottom w:val="single" w:sz="8" w:space="0" w:color="000000"/>
              <w:right w:val="nil"/>
            </w:tcBorders>
            <w:shd w:val="clear" w:color="auto" w:fill="auto"/>
            <w:noWrap/>
            <w:vAlign w:val="center"/>
            <w:hideMark/>
          </w:tcPr>
          <w:p w14:paraId="6706B3EA" w14:textId="77777777" w:rsidR="00B74DE7" w:rsidRDefault="00B74DE7">
            <w:pPr>
              <w:rPr>
                <w:rFonts w:ascii="Calibri" w:hAnsi="Calibri" w:cs="Calibri"/>
                <w:b/>
                <w:bCs/>
                <w:color w:val="000000"/>
                <w:sz w:val="16"/>
                <w:szCs w:val="16"/>
              </w:rPr>
            </w:pPr>
            <w:r>
              <w:rPr>
                <w:rFonts w:ascii="Calibri" w:hAnsi="Calibri" w:cs="Calibri"/>
                <w:b/>
                <w:bCs/>
                <w:color w:val="000000"/>
                <w:sz w:val="16"/>
                <w:szCs w:val="16"/>
              </w:rPr>
              <w:t>RESTOS A PAGAR</w:t>
            </w:r>
          </w:p>
        </w:tc>
        <w:tc>
          <w:tcPr>
            <w:tcW w:w="841" w:type="pct"/>
            <w:vMerge w:val="restart"/>
            <w:tcBorders>
              <w:top w:val="nil"/>
              <w:left w:val="nil"/>
              <w:bottom w:val="single" w:sz="8" w:space="0" w:color="000000"/>
              <w:right w:val="nil"/>
            </w:tcBorders>
            <w:shd w:val="clear" w:color="auto" w:fill="auto"/>
            <w:vAlign w:val="center"/>
            <w:hideMark/>
          </w:tcPr>
          <w:p w14:paraId="07310CE6"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 xml:space="preserve">   RESTOS A PAGAR</w:t>
            </w:r>
          </w:p>
        </w:tc>
        <w:tc>
          <w:tcPr>
            <w:tcW w:w="841" w:type="pct"/>
            <w:vMerge w:val="restart"/>
            <w:tcBorders>
              <w:top w:val="nil"/>
              <w:left w:val="nil"/>
              <w:bottom w:val="single" w:sz="8" w:space="0" w:color="000000"/>
              <w:right w:val="nil"/>
            </w:tcBorders>
            <w:shd w:val="clear" w:color="auto" w:fill="auto"/>
            <w:vAlign w:val="center"/>
            <w:hideMark/>
          </w:tcPr>
          <w:p w14:paraId="7FC894D0"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LIQUIDADO EM EXERCÍCIOS ANTERIORES</w:t>
            </w:r>
          </w:p>
        </w:tc>
        <w:tc>
          <w:tcPr>
            <w:tcW w:w="689" w:type="pct"/>
            <w:vMerge w:val="restart"/>
            <w:tcBorders>
              <w:top w:val="nil"/>
              <w:left w:val="nil"/>
              <w:bottom w:val="single" w:sz="8" w:space="0" w:color="000000"/>
              <w:right w:val="nil"/>
            </w:tcBorders>
            <w:shd w:val="clear" w:color="auto" w:fill="auto"/>
            <w:vAlign w:val="center"/>
            <w:hideMark/>
          </w:tcPr>
          <w:p w14:paraId="4D01F7C8"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LIQUIDADO NO EXERCÍCIO</w:t>
            </w:r>
          </w:p>
        </w:tc>
        <w:tc>
          <w:tcPr>
            <w:tcW w:w="888" w:type="pct"/>
            <w:tcBorders>
              <w:top w:val="nil"/>
              <w:left w:val="nil"/>
              <w:bottom w:val="nil"/>
              <w:right w:val="nil"/>
            </w:tcBorders>
            <w:shd w:val="clear" w:color="auto" w:fill="auto"/>
            <w:vAlign w:val="center"/>
            <w:hideMark/>
          </w:tcPr>
          <w:p w14:paraId="5F8B962F"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 </w:t>
            </w:r>
          </w:p>
        </w:tc>
        <w:tc>
          <w:tcPr>
            <w:tcW w:w="888" w:type="pct"/>
            <w:vMerge w:val="restart"/>
            <w:tcBorders>
              <w:top w:val="nil"/>
              <w:left w:val="nil"/>
              <w:bottom w:val="single" w:sz="8" w:space="0" w:color="000000"/>
              <w:right w:val="nil"/>
            </w:tcBorders>
            <w:shd w:val="clear" w:color="auto" w:fill="auto"/>
            <w:noWrap/>
            <w:vAlign w:val="center"/>
            <w:hideMark/>
          </w:tcPr>
          <w:p w14:paraId="090D83CF"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PAGOS</w:t>
            </w:r>
          </w:p>
        </w:tc>
      </w:tr>
      <w:tr w:rsidR="00B74DE7" w14:paraId="6B937AD5" w14:textId="77777777" w:rsidTr="00B74DE7">
        <w:trPr>
          <w:trHeight w:val="227"/>
        </w:trPr>
        <w:tc>
          <w:tcPr>
            <w:tcW w:w="853" w:type="pct"/>
            <w:vMerge/>
            <w:tcBorders>
              <w:top w:val="nil"/>
              <w:left w:val="nil"/>
              <w:bottom w:val="single" w:sz="8" w:space="0" w:color="000000"/>
              <w:right w:val="nil"/>
            </w:tcBorders>
            <w:vAlign w:val="center"/>
            <w:hideMark/>
          </w:tcPr>
          <w:p w14:paraId="4CB38E9A" w14:textId="77777777" w:rsidR="00B74DE7" w:rsidRDefault="00B74DE7">
            <w:pPr>
              <w:rPr>
                <w:rFonts w:ascii="Calibri" w:hAnsi="Calibri" w:cs="Calibri"/>
                <w:b/>
                <w:bCs/>
                <w:color w:val="000000"/>
                <w:sz w:val="16"/>
                <w:szCs w:val="16"/>
              </w:rPr>
            </w:pPr>
          </w:p>
        </w:tc>
        <w:tc>
          <w:tcPr>
            <w:tcW w:w="841" w:type="pct"/>
            <w:vMerge/>
            <w:tcBorders>
              <w:top w:val="nil"/>
              <w:left w:val="nil"/>
              <w:bottom w:val="single" w:sz="8" w:space="0" w:color="000000"/>
              <w:right w:val="nil"/>
            </w:tcBorders>
            <w:vAlign w:val="center"/>
            <w:hideMark/>
          </w:tcPr>
          <w:p w14:paraId="1F728330" w14:textId="77777777" w:rsidR="00B74DE7" w:rsidRDefault="00B74DE7">
            <w:pPr>
              <w:rPr>
                <w:rFonts w:ascii="Calibri" w:hAnsi="Calibri" w:cs="Calibri"/>
                <w:b/>
                <w:bCs/>
                <w:color w:val="000000"/>
                <w:sz w:val="16"/>
                <w:szCs w:val="16"/>
              </w:rPr>
            </w:pPr>
          </w:p>
        </w:tc>
        <w:tc>
          <w:tcPr>
            <w:tcW w:w="841" w:type="pct"/>
            <w:vMerge/>
            <w:tcBorders>
              <w:top w:val="nil"/>
              <w:left w:val="nil"/>
              <w:bottom w:val="single" w:sz="8" w:space="0" w:color="000000"/>
              <w:right w:val="nil"/>
            </w:tcBorders>
            <w:vAlign w:val="center"/>
            <w:hideMark/>
          </w:tcPr>
          <w:p w14:paraId="071F88BB" w14:textId="77777777" w:rsidR="00B74DE7" w:rsidRDefault="00B74DE7">
            <w:pPr>
              <w:rPr>
                <w:rFonts w:ascii="Calibri" w:hAnsi="Calibri" w:cs="Calibri"/>
                <w:b/>
                <w:bCs/>
                <w:color w:val="000000"/>
                <w:sz w:val="16"/>
                <w:szCs w:val="16"/>
              </w:rPr>
            </w:pPr>
          </w:p>
        </w:tc>
        <w:tc>
          <w:tcPr>
            <w:tcW w:w="689" w:type="pct"/>
            <w:vMerge/>
            <w:tcBorders>
              <w:top w:val="nil"/>
              <w:left w:val="nil"/>
              <w:bottom w:val="single" w:sz="8" w:space="0" w:color="000000"/>
              <w:right w:val="nil"/>
            </w:tcBorders>
            <w:vAlign w:val="center"/>
            <w:hideMark/>
          </w:tcPr>
          <w:p w14:paraId="5FCD1B90" w14:textId="77777777" w:rsidR="00B74DE7" w:rsidRDefault="00B74DE7">
            <w:pPr>
              <w:rPr>
                <w:rFonts w:ascii="Calibri" w:hAnsi="Calibri" w:cs="Calibri"/>
                <w:b/>
                <w:bCs/>
                <w:color w:val="000000"/>
                <w:sz w:val="16"/>
                <w:szCs w:val="16"/>
              </w:rPr>
            </w:pPr>
          </w:p>
        </w:tc>
        <w:tc>
          <w:tcPr>
            <w:tcW w:w="888" w:type="pct"/>
            <w:tcBorders>
              <w:top w:val="nil"/>
              <w:left w:val="nil"/>
              <w:bottom w:val="single" w:sz="8" w:space="0" w:color="auto"/>
              <w:right w:val="nil"/>
            </w:tcBorders>
            <w:shd w:val="clear" w:color="auto" w:fill="auto"/>
            <w:vAlign w:val="center"/>
            <w:hideMark/>
          </w:tcPr>
          <w:p w14:paraId="5AA754E7"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CANCELADOS</w:t>
            </w:r>
          </w:p>
        </w:tc>
        <w:tc>
          <w:tcPr>
            <w:tcW w:w="888" w:type="pct"/>
            <w:vMerge/>
            <w:tcBorders>
              <w:top w:val="nil"/>
              <w:left w:val="nil"/>
              <w:bottom w:val="single" w:sz="8" w:space="0" w:color="000000"/>
              <w:right w:val="nil"/>
            </w:tcBorders>
            <w:vAlign w:val="center"/>
            <w:hideMark/>
          </w:tcPr>
          <w:p w14:paraId="607109D8" w14:textId="77777777" w:rsidR="00B74DE7" w:rsidRDefault="00B74DE7">
            <w:pPr>
              <w:rPr>
                <w:rFonts w:ascii="Calibri" w:hAnsi="Calibri" w:cs="Calibri"/>
                <w:b/>
                <w:bCs/>
                <w:color w:val="000000"/>
                <w:sz w:val="16"/>
                <w:szCs w:val="16"/>
              </w:rPr>
            </w:pPr>
          </w:p>
        </w:tc>
      </w:tr>
      <w:tr w:rsidR="00B74DE7" w14:paraId="5906CAC3" w14:textId="77777777" w:rsidTr="00B74DE7">
        <w:trPr>
          <w:trHeight w:val="227"/>
        </w:trPr>
        <w:tc>
          <w:tcPr>
            <w:tcW w:w="853" w:type="pct"/>
            <w:tcBorders>
              <w:top w:val="nil"/>
              <w:left w:val="nil"/>
              <w:bottom w:val="nil"/>
              <w:right w:val="nil"/>
            </w:tcBorders>
            <w:shd w:val="clear" w:color="auto" w:fill="auto"/>
            <w:noWrap/>
            <w:vAlign w:val="center"/>
            <w:hideMark/>
          </w:tcPr>
          <w:p w14:paraId="13DC35A4" w14:textId="77777777" w:rsidR="00B74DE7" w:rsidRDefault="00B74DE7">
            <w:pPr>
              <w:rPr>
                <w:rFonts w:ascii="Calibri" w:hAnsi="Calibri" w:cs="Calibri"/>
                <w:color w:val="000000"/>
                <w:sz w:val="16"/>
                <w:szCs w:val="16"/>
              </w:rPr>
            </w:pPr>
            <w:r>
              <w:rPr>
                <w:rFonts w:ascii="Calibri" w:hAnsi="Calibri" w:cs="Calibri"/>
                <w:color w:val="000000"/>
                <w:sz w:val="16"/>
                <w:szCs w:val="16"/>
              </w:rPr>
              <w:t>Custeio</w:t>
            </w:r>
          </w:p>
        </w:tc>
        <w:tc>
          <w:tcPr>
            <w:tcW w:w="841" w:type="pct"/>
            <w:tcBorders>
              <w:top w:val="nil"/>
              <w:left w:val="nil"/>
              <w:bottom w:val="nil"/>
              <w:right w:val="nil"/>
            </w:tcBorders>
            <w:shd w:val="clear" w:color="auto" w:fill="auto"/>
            <w:noWrap/>
            <w:vAlign w:val="center"/>
            <w:hideMark/>
          </w:tcPr>
          <w:p w14:paraId="02029C97"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26.101.252</w:t>
            </w:r>
          </w:p>
        </w:tc>
        <w:tc>
          <w:tcPr>
            <w:tcW w:w="841" w:type="pct"/>
            <w:tcBorders>
              <w:top w:val="nil"/>
              <w:left w:val="nil"/>
              <w:bottom w:val="nil"/>
              <w:right w:val="nil"/>
            </w:tcBorders>
            <w:shd w:val="clear" w:color="auto" w:fill="auto"/>
            <w:noWrap/>
            <w:vAlign w:val="center"/>
            <w:hideMark/>
          </w:tcPr>
          <w:p w14:paraId="393DEF53"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332.475</w:t>
            </w:r>
          </w:p>
        </w:tc>
        <w:tc>
          <w:tcPr>
            <w:tcW w:w="689" w:type="pct"/>
            <w:tcBorders>
              <w:top w:val="nil"/>
              <w:left w:val="nil"/>
              <w:bottom w:val="nil"/>
              <w:right w:val="nil"/>
            </w:tcBorders>
            <w:shd w:val="clear" w:color="auto" w:fill="auto"/>
            <w:noWrap/>
            <w:vAlign w:val="center"/>
            <w:hideMark/>
          </w:tcPr>
          <w:p w14:paraId="18130BEA"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7.752.652</w:t>
            </w:r>
          </w:p>
        </w:tc>
        <w:tc>
          <w:tcPr>
            <w:tcW w:w="888" w:type="pct"/>
            <w:tcBorders>
              <w:top w:val="nil"/>
              <w:left w:val="nil"/>
              <w:bottom w:val="nil"/>
              <w:right w:val="nil"/>
            </w:tcBorders>
            <w:shd w:val="clear" w:color="auto" w:fill="auto"/>
            <w:vAlign w:val="center"/>
            <w:hideMark/>
          </w:tcPr>
          <w:p w14:paraId="2DBCC270"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5.818.265</w:t>
            </w:r>
          </w:p>
        </w:tc>
        <w:tc>
          <w:tcPr>
            <w:tcW w:w="888" w:type="pct"/>
            <w:tcBorders>
              <w:top w:val="nil"/>
              <w:left w:val="nil"/>
              <w:bottom w:val="nil"/>
              <w:right w:val="nil"/>
            </w:tcBorders>
            <w:shd w:val="clear" w:color="auto" w:fill="auto"/>
            <w:noWrap/>
            <w:vAlign w:val="center"/>
            <w:hideMark/>
          </w:tcPr>
          <w:p w14:paraId="3D7BFF88"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8.082.795</w:t>
            </w:r>
          </w:p>
        </w:tc>
      </w:tr>
      <w:tr w:rsidR="00B74DE7" w14:paraId="474B10F0" w14:textId="77777777" w:rsidTr="00B74DE7">
        <w:trPr>
          <w:trHeight w:val="227"/>
        </w:trPr>
        <w:tc>
          <w:tcPr>
            <w:tcW w:w="853" w:type="pct"/>
            <w:tcBorders>
              <w:top w:val="nil"/>
              <w:left w:val="nil"/>
              <w:bottom w:val="nil"/>
              <w:right w:val="nil"/>
            </w:tcBorders>
            <w:shd w:val="clear" w:color="auto" w:fill="auto"/>
            <w:noWrap/>
            <w:vAlign w:val="center"/>
            <w:hideMark/>
          </w:tcPr>
          <w:p w14:paraId="749D8A2E" w14:textId="77777777" w:rsidR="00B74DE7" w:rsidRDefault="00B74DE7">
            <w:pPr>
              <w:rPr>
                <w:rFonts w:ascii="Calibri" w:hAnsi="Calibri" w:cs="Calibri"/>
                <w:color w:val="000000"/>
                <w:sz w:val="16"/>
                <w:szCs w:val="16"/>
              </w:rPr>
            </w:pPr>
            <w:r>
              <w:rPr>
                <w:rFonts w:ascii="Calibri" w:hAnsi="Calibri" w:cs="Calibri"/>
                <w:color w:val="000000"/>
                <w:sz w:val="16"/>
                <w:szCs w:val="16"/>
              </w:rPr>
              <w:t>Pessoal e encargos</w:t>
            </w:r>
          </w:p>
        </w:tc>
        <w:tc>
          <w:tcPr>
            <w:tcW w:w="841" w:type="pct"/>
            <w:tcBorders>
              <w:top w:val="nil"/>
              <w:left w:val="nil"/>
              <w:bottom w:val="nil"/>
              <w:right w:val="nil"/>
            </w:tcBorders>
            <w:shd w:val="clear" w:color="auto" w:fill="auto"/>
            <w:noWrap/>
            <w:vAlign w:val="center"/>
            <w:hideMark/>
          </w:tcPr>
          <w:p w14:paraId="5ACB03C4"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6.024.283</w:t>
            </w:r>
          </w:p>
        </w:tc>
        <w:tc>
          <w:tcPr>
            <w:tcW w:w="841" w:type="pct"/>
            <w:tcBorders>
              <w:top w:val="nil"/>
              <w:left w:val="nil"/>
              <w:bottom w:val="nil"/>
              <w:right w:val="nil"/>
            </w:tcBorders>
            <w:shd w:val="clear" w:color="auto" w:fill="auto"/>
            <w:noWrap/>
            <w:vAlign w:val="center"/>
            <w:hideMark/>
          </w:tcPr>
          <w:p w14:paraId="395C5630"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6.023.453</w:t>
            </w:r>
          </w:p>
        </w:tc>
        <w:tc>
          <w:tcPr>
            <w:tcW w:w="689" w:type="pct"/>
            <w:tcBorders>
              <w:top w:val="nil"/>
              <w:left w:val="nil"/>
              <w:bottom w:val="nil"/>
              <w:right w:val="nil"/>
            </w:tcBorders>
            <w:shd w:val="clear" w:color="auto" w:fill="auto"/>
            <w:noWrap/>
            <w:vAlign w:val="center"/>
            <w:hideMark/>
          </w:tcPr>
          <w:p w14:paraId="26633D11"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0</w:t>
            </w:r>
          </w:p>
        </w:tc>
        <w:tc>
          <w:tcPr>
            <w:tcW w:w="888" w:type="pct"/>
            <w:tcBorders>
              <w:top w:val="nil"/>
              <w:left w:val="nil"/>
              <w:bottom w:val="nil"/>
              <w:right w:val="nil"/>
            </w:tcBorders>
            <w:shd w:val="clear" w:color="auto" w:fill="auto"/>
            <w:vAlign w:val="center"/>
            <w:hideMark/>
          </w:tcPr>
          <w:p w14:paraId="482A6F8B"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829</w:t>
            </w:r>
          </w:p>
        </w:tc>
        <w:tc>
          <w:tcPr>
            <w:tcW w:w="888" w:type="pct"/>
            <w:tcBorders>
              <w:top w:val="nil"/>
              <w:left w:val="nil"/>
              <w:bottom w:val="nil"/>
              <w:right w:val="nil"/>
            </w:tcBorders>
            <w:shd w:val="clear" w:color="auto" w:fill="auto"/>
            <w:noWrap/>
            <w:vAlign w:val="center"/>
            <w:hideMark/>
          </w:tcPr>
          <w:p w14:paraId="1F061472"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6.023.453</w:t>
            </w:r>
          </w:p>
        </w:tc>
      </w:tr>
      <w:tr w:rsidR="00B74DE7" w14:paraId="276111F5" w14:textId="77777777" w:rsidTr="00B74DE7">
        <w:trPr>
          <w:trHeight w:val="227"/>
        </w:trPr>
        <w:tc>
          <w:tcPr>
            <w:tcW w:w="853" w:type="pct"/>
            <w:tcBorders>
              <w:top w:val="nil"/>
              <w:left w:val="nil"/>
              <w:bottom w:val="single" w:sz="8" w:space="0" w:color="auto"/>
              <w:right w:val="nil"/>
            </w:tcBorders>
            <w:shd w:val="clear" w:color="auto" w:fill="auto"/>
            <w:noWrap/>
            <w:vAlign w:val="center"/>
            <w:hideMark/>
          </w:tcPr>
          <w:p w14:paraId="25D59185" w14:textId="77777777" w:rsidR="00B74DE7" w:rsidRDefault="00B74DE7">
            <w:pPr>
              <w:rPr>
                <w:rFonts w:ascii="Calibri" w:hAnsi="Calibri" w:cs="Calibri"/>
                <w:color w:val="000000"/>
                <w:sz w:val="16"/>
                <w:szCs w:val="16"/>
              </w:rPr>
            </w:pPr>
            <w:r>
              <w:rPr>
                <w:rFonts w:ascii="Calibri" w:hAnsi="Calibri" w:cs="Calibri"/>
                <w:color w:val="000000"/>
                <w:sz w:val="16"/>
                <w:szCs w:val="16"/>
              </w:rPr>
              <w:t>Investimento</w:t>
            </w:r>
          </w:p>
        </w:tc>
        <w:tc>
          <w:tcPr>
            <w:tcW w:w="841" w:type="pct"/>
            <w:tcBorders>
              <w:top w:val="nil"/>
              <w:left w:val="nil"/>
              <w:bottom w:val="single" w:sz="8" w:space="0" w:color="auto"/>
              <w:right w:val="nil"/>
            </w:tcBorders>
            <w:shd w:val="clear" w:color="auto" w:fill="auto"/>
            <w:noWrap/>
            <w:vAlign w:val="center"/>
            <w:hideMark/>
          </w:tcPr>
          <w:p w14:paraId="0D3C55FD"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282.738.699</w:t>
            </w:r>
          </w:p>
        </w:tc>
        <w:tc>
          <w:tcPr>
            <w:tcW w:w="841" w:type="pct"/>
            <w:tcBorders>
              <w:top w:val="nil"/>
              <w:left w:val="nil"/>
              <w:bottom w:val="single" w:sz="8" w:space="0" w:color="auto"/>
              <w:right w:val="nil"/>
            </w:tcBorders>
            <w:shd w:val="clear" w:color="auto" w:fill="auto"/>
            <w:noWrap/>
            <w:vAlign w:val="center"/>
            <w:hideMark/>
          </w:tcPr>
          <w:p w14:paraId="5EBB8700"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41.912.394</w:t>
            </w:r>
          </w:p>
        </w:tc>
        <w:tc>
          <w:tcPr>
            <w:tcW w:w="689" w:type="pct"/>
            <w:tcBorders>
              <w:top w:val="nil"/>
              <w:left w:val="nil"/>
              <w:bottom w:val="single" w:sz="8" w:space="0" w:color="auto"/>
              <w:right w:val="nil"/>
            </w:tcBorders>
            <w:shd w:val="clear" w:color="auto" w:fill="auto"/>
            <w:noWrap/>
            <w:vAlign w:val="center"/>
            <w:hideMark/>
          </w:tcPr>
          <w:p w14:paraId="5B36FEC3"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153.343.097</w:t>
            </w:r>
          </w:p>
        </w:tc>
        <w:tc>
          <w:tcPr>
            <w:tcW w:w="888" w:type="pct"/>
            <w:tcBorders>
              <w:top w:val="nil"/>
              <w:left w:val="nil"/>
              <w:bottom w:val="single" w:sz="8" w:space="0" w:color="auto"/>
              <w:right w:val="nil"/>
            </w:tcBorders>
            <w:shd w:val="clear" w:color="auto" w:fill="auto"/>
            <w:vAlign w:val="center"/>
            <w:hideMark/>
          </w:tcPr>
          <w:p w14:paraId="67D87107"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5.666.913</w:t>
            </w:r>
          </w:p>
        </w:tc>
        <w:tc>
          <w:tcPr>
            <w:tcW w:w="888" w:type="pct"/>
            <w:tcBorders>
              <w:top w:val="nil"/>
              <w:left w:val="nil"/>
              <w:bottom w:val="single" w:sz="8" w:space="0" w:color="auto"/>
              <w:right w:val="nil"/>
            </w:tcBorders>
            <w:shd w:val="clear" w:color="auto" w:fill="auto"/>
            <w:noWrap/>
            <w:vAlign w:val="center"/>
            <w:hideMark/>
          </w:tcPr>
          <w:p w14:paraId="757512D9"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147.765.629</w:t>
            </w:r>
          </w:p>
        </w:tc>
      </w:tr>
      <w:tr w:rsidR="00B74DE7" w14:paraId="63970874" w14:textId="77777777" w:rsidTr="00B74DE7">
        <w:trPr>
          <w:trHeight w:val="227"/>
        </w:trPr>
        <w:tc>
          <w:tcPr>
            <w:tcW w:w="853" w:type="pct"/>
            <w:tcBorders>
              <w:top w:val="nil"/>
              <w:left w:val="nil"/>
              <w:bottom w:val="single" w:sz="8" w:space="0" w:color="auto"/>
              <w:right w:val="nil"/>
            </w:tcBorders>
            <w:shd w:val="clear" w:color="auto" w:fill="auto"/>
            <w:noWrap/>
            <w:vAlign w:val="center"/>
            <w:hideMark/>
          </w:tcPr>
          <w:p w14:paraId="51FAB90C" w14:textId="77777777" w:rsidR="00B74DE7" w:rsidRDefault="00B74DE7">
            <w:pPr>
              <w:rPr>
                <w:rFonts w:ascii="Calibri" w:hAnsi="Calibri" w:cs="Calibri"/>
                <w:b/>
                <w:bCs/>
                <w:color w:val="000000"/>
                <w:sz w:val="16"/>
                <w:szCs w:val="16"/>
              </w:rPr>
            </w:pPr>
            <w:r>
              <w:rPr>
                <w:rFonts w:ascii="Calibri" w:hAnsi="Calibri" w:cs="Calibri"/>
                <w:b/>
                <w:bCs/>
                <w:color w:val="000000"/>
                <w:sz w:val="16"/>
                <w:szCs w:val="16"/>
              </w:rPr>
              <w:t>TOTAL GERAL</w:t>
            </w:r>
          </w:p>
        </w:tc>
        <w:tc>
          <w:tcPr>
            <w:tcW w:w="841" w:type="pct"/>
            <w:tcBorders>
              <w:top w:val="nil"/>
              <w:left w:val="nil"/>
              <w:bottom w:val="single" w:sz="8" w:space="0" w:color="auto"/>
              <w:right w:val="nil"/>
            </w:tcBorders>
            <w:shd w:val="clear" w:color="auto" w:fill="auto"/>
            <w:noWrap/>
            <w:vAlign w:val="center"/>
            <w:hideMark/>
          </w:tcPr>
          <w:p w14:paraId="1A99E16C"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314.864.234</w:t>
            </w:r>
          </w:p>
        </w:tc>
        <w:tc>
          <w:tcPr>
            <w:tcW w:w="841" w:type="pct"/>
            <w:tcBorders>
              <w:top w:val="nil"/>
              <w:left w:val="nil"/>
              <w:bottom w:val="single" w:sz="8" w:space="0" w:color="auto"/>
              <w:right w:val="nil"/>
            </w:tcBorders>
            <w:shd w:val="clear" w:color="auto" w:fill="auto"/>
            <w:noWrap/>
            <w:vAlign w:val="center"/>
            <w:hideMark/>
          </w:tcPr>
          <w:p w14:paraId="1C699A78"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48.268.322</w:t>
            </w:r>
          </w:p>
        </w:tc>
        <w:tc>
          <w:tcPr>
            <w:tcW w:w="689" w:type="pct"/>
            <w:tcBorders>
              <w:top w:val="nil"/>
              <w:left w:val="nil"/>
              <w:bottom w:val="single" w:sz="8" w:space="0" w:color="auto"/>
              <w:right w:val="nil"/>
            </w:tcBorders>
            <w:shd w:val="clear" w:color="auto" w:fill="auto"/>
            <w:noWrap/>
            <w:vAlign w:val="center"/>
            <w:hideMark/>
          </w:tcPr>
          <w:p w14:paraId="1A57A3D8"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161.095.749</w:t>
            </w:r>
          </w:p>
        </w:tc>
        <w:tc>
          <w:tcPr>
            <w:tcW w:w="888" w:type="pct"/>
            <w:tcBorders>
              <w:top w:val="nil"/>
              <w:left w:val="nil"/>
              <w:bottom w:val="single" w:sz="8" w:space="0" w:color="auto"/>
              <w:right w:val="nil"/>
            </w:tcBorders>
            <w:shd w:val="clear" w:color="auto" w:fill="auto"/>
            <w:noWrap/>
            <w:vAlign w:val="center"/>
            <w:hideMark/>
          </w:tcPr>
          <w:p w14:paraId="2F355C6D"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11.486.007</w:t>
            </w:r>
          </w:p>
        </w:tc>
        <w:tc>
          <w:tcPr>
            <w:tcW w:w="888" w:type="pct"/>
            <w:tcBorders>
              <w:top w:val="nil"/>
              <w:left w:val="nil"/>
              <w:bottom w:val="single" w:sz="8" w:space="0" w:color="auto"/>
              <w:right w:val="nil"/>
            </w:tcBorders>
            <w:shd w:val="clear" w:color="auto" w:fill="auto"/>
            <w:noWrap/>
            <w:vAlign w:val="center"/>
            <w:hideMark/>
          </w:tcPr>
          <w:p w14:paraId="2D279BF6"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161.871.877</w:t>
            </w:r>
          </w:p>
        </w:tc>
      </w:tr>
    </w:tbl>
    <w:p w14:paraId="257C8CED" w14:textId="77777777" w:rsidR="00B74DE7" w:rsidRPr="002E2B5B" w:rsidRDefault="00B74DE7" w:rsidP="002E2B5B">
      <w:pPr>
        <w:autoSpaceDE w:val="0"/>
        <w:autoSpaceDN w:val="0"/>
        <w:jc w:val="both"/>
        <w:rPr>
          <w:rFonts w:ascii="Calibri" w:hAnsi="Calibri" w:cs="Calibri"/>
          <w:sz w:val="22"/>
          <w:szCs w:val="22"/>
        </w:rPr>
      </w:pPr>
    </w:p>
    <w:p w14:paraId="0AE59FD0" w14:textId="0C58694D" w:rsidR="005557CC" w:rsidRPr="00654405" w:rsidRDefault="007158EB" w:rsidP="002E2B5B">
      <w:pPr>
        <w:ind w:right="-142"/>
        <w:rPr>
          <w:rFonts w:ascii="Calibri" w:hAnsi="Calibri" w:cs="Calibri"/>
          <w:b/>
          <w:sz w:val="22"/>
          <w:szCs w:val="22"/>
        </w:rPr>
      </w:pPr>
      <w:r w:rsidRPr="00654405">
        <w:rPr>
          <w:rFonts w:ascii="Calibri" w:hAnsi="Calibri" w:cs="Calibri"/>
          <w:b/>
          <w:sz w:val="22"/>
          <w:szCs w:val="22"/>
        </w:rPr>
        <w:t>NOTA 2</w:t>
      </w:r>
      <w:r w:rsidR="003C3F27" w:rsidRPr="00654405">
        <w:rPr>
          <w:rFonts w:ascii="Calibri" w:hAnsi="Calibri" w:cs="Calibri"/>
          <w:b/>
          <w:sz w:val="22"/>
          <w:szCs w:val="22"/>
        </w:rPr>
        <w:t>3</w:t>
      </w:r>
      <w:r w:rsidRPr="00654405">
        <w:rPr>
          <w:rFonts w:ascii="Calibri" w:hAnsi="Calibri" w:cs="Calibri"/>
          <w:b/>
          <w:sz w:val="22"/>
          <w:szCs w:val="22"/>
        </w:rPr>
        <w:t xml:space="preserve"> </w:t>
      </w:r>
      <w:r w:rsidR="005557CC" w:rsidRPr="00654405">
        <w:rPr>
          <w:rFonts w:ascii="Calibri" w:hAnsi="Calibri" w:cs="Calibri"/>
          <w:b/>
          <w:sz w:val="22"/>
          <w:szCs w:val="22"/>
        </w:rPr>
        <w:t xml:space="preserve">– </w:t>
      </w:r>
      <w:r w:rsidR="00F150CE" w:rsidRPr="00654405">
        <w:rPr>
          <w:rFonts w:ascii="Calibri" w:hAnsi="Calibri" w:cs="Calibri"/>
          <w:b/>
          <w:sz w:val="22"/>
          <w:szCs w:val="22"/>
        </w:rPr>
        <w:t xml:space="preserve">CONCILIAÇÃO ENTRE A LEI Nº 6.404/76 E A LEI Nº 4.320/64 </w:t>
      </w:r>
      <w:r w:rsidR="006E295E" w:rsidRPr="00654405">
        <w:rPr>
          <w:rFonts w:ascii="Calibri" w:hAnsi="Calibri" w:cs="Calibri"/>
          <w:b/>
          <w:sz w:val="22"/>
          <w:szCs w:val="22"/>
        </w:rPr>
        <w:t>(NOTA NÃO AUDITADA)</w:t>
      </w:r>
    </w:p>
    <w:p w14:paraId="1DEA868D" w14:textId="77777777" w:rsidR="000C065B" w:rsidRPr="00654405" w:rsidRDefault="000C065B" w:rsidP="002E2B5B">
      <w:pPr>
        <w:ind w:right="-142"/>
        <w:rPr>
          <w:rFonts w:ascii="Calibri" w:hAnsi="Calibri" w:cs="Calibri"/>
          <w:b/>
          <w:sz w:val="22"/>
          <w:szCs w:val="22"/>
        </w:rPr>
      </w:pPr>
    </w:p>
    <w:p w14:paraId="2630A93C" w14:textId="593F980A" w:rsidR="00F150CE" w:rsidRPr="00654405" w:rsidRDefault="00863872" w:rsidP="002E2B5B">
      <w:pPr>
        <w:ind w:right="57"/>
        <w:jc w:val="both"/>
        <w:rPr>
          <w:rFonts w:ascii="Calibri" w:hAnsi="Calibri" w:cs="Calibri"/>
          <w:sz w:val="22"/>
          <w:szCs w:val="22"/>
        </w:rPr>
      </w:pPr>
      <w:r w:rsidRPr="00654405">
        <w:rPr>
          <w:rFonts w:ascii="Calibri" w:hAnsi="Calibri" w:cs="Calibri"/>
          <w:sz w:val="22"/>
          <w:szCs w:val="22"/>
        </w:rPr>
        <w:t>De acordo com do Acórdão</w:t>
      </w:r>
      <w:r w:rsidR="0023205E" w:rsidRPr="00654405">
        <w:rPr>
          <w:rFonts w:ascii="Calibri" w:hAnsi="Calibri" w:cs="Calibri"/>
          <w:sz w:val="22"/>
          <w:szCs w:val="22"/>
        </w:rPr>
        <w:t xml:space="preserve"> nº </w:t>
      </w:r>
      <w:r w:rsidRPr="00654405">
        <w:rPr>
          <w:rFonts w:ascii="Calibri" w:hAnsi="Calibri" w:cs="Calibri"/>
          <w:sz w:val="22"/>
          <w:szCs w:val="22"/>
        </w:rPr>
        <w:t>2016/2006 do Tribunal de Contas Da União, a</w:t>
      </w:r>
      <w:r w:rsidR="00F150CE" w:rsidRPr="00654405">
        <w:rPr>
          <w:rFonts w:ascii="Calibri" w:hAnsi="Calibri" w:cs="Calibri"/>
          <w:sz w:val="22"/>
          <w:szCs w:val="22"/>
        </w:rPr>
        <w:t xml:space="preserve">presenta-se o Balanço Patrimonial </w:t>
      </w:r>
      <w:r w:rsidR="009D5C7E" w:rsidRPr="00654405">
        <w:rPr>
          <w:rFonts w:ascii="Calibri" w:hAnsi="Calibri" w:cs="Calibri"/>
          <w:sz w:val="22"/>
          <w:szCs w:val="22"/>
        </w:rPr>
        <w:t xml:space="preserve">e a Demonstração de Resultados </w:t>
      </w:r>
      <w:r w:rsidR="00F150CE" w:rsidRPr="00654405">
        <w:rPr>
          <w:rFonts w:ascii="Calibri" w:hAnsi="Calibri" w:cs="Calibri"/>
          <w:sz w:val="22"/>
          <w:szCs w:val="22"/>
        </w:rPr>
        <w:t>comparativo</w:t>
      </w:r>
      <w:r w:rsidR="009D5C7E" w:rsidRPr="00654405">
        <w:rPr>
          <w:rFonts w:ascii="Calibri" w:hAnsi="Calibri" w:cs="Calibri"/>
          <w:sz w:val="22"/>
          <w:szCs w:val="22"/>
        </w:rPr>
        <w:t>s</w:t>
      </w:r>
      <w:r w:rsidR="00F150CE" w:rsidRPr="00654405">
        <w:rPr>
          <w:rFonts w:ascii="Calibri" w:hAnsi="Calibri" w:cs="Calibri"/>
          <w:sz w:val="22"/>
          <w:szCs w:val="22"/>
        </w:rPr>
        <w:t xml:space="preserve"> entre a contabilização conforme preceitos da Lei nº 6.404</w:t>
      </w:r>
      <w:r w:rsidR="00372962" w:rsidRPr="00654405">
        <w:rPr>
          <w:rFonts w:ascii="Calibri" w:hAnsi="Calibri" w:cs="Calibri"/>
          <w:sz w:val="22"/>
          <w:szCs w:val="22"/>
        </w:rPr>
        <w:t>, de 15 de dezembro de 19</w:t>
      </w:r>
      <w:r w:rsidR="00F150CE" w:rsidRPr="00654405">
        <w:rPr>
          <w:rFonts w:ascii="Calibri" w:hAnsi="Calibri" w:cs="Calibri"/>
          <w:sz w:val="22"/>
          <w:szCs w:val="22"/>
        </w:rPr>
        <w:t>76</w:t>
      </w:r>
      <w:r w:rsidR="00372962" w:rsidRPr="00654405">
        <w:rPr>
          <w:rFonts w:ascii="Calibri" w:hAnsi="Calibri" w:cs="Calibri"/>
          <w:sz w:val="22"/>
          <w:szCs w:val="22"/>
        </w:rPr>
        <w:t>,</w:t>
      </w:r>
      <w:r w:rsidR="00F150CE" w:rsidRPr="00654405">
        <w:rPr>
          <w:rFonts w:ascii="Calibri" w:hAnsi="Calibri" w:cs="Calibri"/>
          <w:sz w:val="22"/>
          <w:szCs w:val="22"/>
        </w:rPr>
        <w:t xml:space="preserve"> aplicadas às empresas sociedades anônimas e a Lei nº 4.320</w:t>
      </w:r>
      <w:r w:rsidR="00372962" w:rsidRPr="00654405">
        <w:rPr>
          <w:rFonts w:ascii="Calibri" w:hAnsi="Calibri" w:cs="Calibri"/>
          <w:sz w:val="22"/>
          <w:szCs w:val="22"/>
        </w:rPr>
        <w:t>, de 17 de março de 19</w:t>
      </w:r>
      <w:r w:rsidR="00F150CE" w:rsidRPr="00654405">
        <w:rPr>
          <w:rFonts w:ascii="Calibri" w:hAnsi="Calibri" w:cs="Calibri"/>
          <w:sz w:val="22"/>
          <w:szCs w:val="22"/>
        </w:rPr>
        <w:t>64</w:t>
      </w:r>
      <w:r w:rsidR="00372962" w:rsidRPr="00654405">
        <w:rPr>
          <w:rFonts w:ascii="Calibri" w:hAnsi="Calibri" w:cs="Calibri"/>
          <w:sz w:val="22"/>
          <w:szCs w:val="22"/>
        </w:rPr>
        <w:t xml:space="preserve">, </w:t>
      </w:r>
      <w:r w:rsidR="00F150CE" w:rsidRPr="00654405">
        <w:rPr>
          <w:rFonts w:ascii="Calibri" w:hAnsi="Calibri" w:cs="Calibri"/>
          <w:sz w:val="22"/>
          <w:szCs w:val="22"/>
        </w:rPr>
        <w:t xml:space="preserve">aplicada </w:t>
      </w:r>
      <w:r w:rsidRPr="00654405">
        <w:rPr>
          <w:rFonts w:ascii="Calibri" w:hAnsi="Calibri" w:cs="Calibri"/>
          <w:sz w:val="22"/>
          <w:szCs w:val="22"/>
        </w:rPr>
        <w:t>a</w:t>
      </w:r>
      <w:r w:rsidR="00F150CE" w:rsidRPr="00654405">
        <w:rPr>
          <w:rFonts w:ascii="Calibri" w:hAnsi="Calibri" w:cs="Calibri"/>
          <w:sz w:val="22"/>
          <w:szCs w:val="22"/>
        </w:rPr>
        <w:t xml:space="preserve">o setor público. </w:t>
      </w:r>
    </w:p>
    <w:p w14:paraId="2D47AB6D" w14:textId="2E81143B" w:rsidR="004E7131" w:rsidRPr="002E2B5B" w:rsidRDefault="00F150CE" w:rsidP="002E2B5B">
      <w:pPr>
        <w:ind w:right="57"/>
        <w:jc w:val="both"/>
        <w:rPr>
          <w:rFonts w:ascii="Calibri" w:hAnsi="Calibri" w:cs="Calibri"/>
          <w:sz w:val="22"/>
          <w:szCs w:val="22"/>
        </w:rPr>
      </w:pPr>
      <w:r w:rsidRPr="00654405">
        <w:rPr>
          <w:rFonts w:ascii="Calibri" w:hAnsi="Calibri" w:cs="Calibri"/>
          <w:sz w:val="22"/>
          <w:szCs w:val="22"/>
        </w:rPr>
        <w:t xml:space="preserve">Os dados para a elaboração </w:t>
      </w:r>
      <w:r w:rsidR="009D5C7E" w:rsidRPr="00654405">
        <w:rPr>
          <w:rFonts w:ascii="Calibri" w:hAnsi="Calibri" w:cs="Calibri"/>
          <w:sz w:val="22"/>
          <w:szCs w:val="22"/>
        </w:rPr>
        <w:t>das demonstrações</w:t>
      </w:r>
      <w:r w:rsidRPr="00654405">
        <w:rPr>
          <w:rFonts w:ascii="Calibri" w:hAnsi="Calibri" w:cs="Calibri"/>
          <w:sz w:val="22"/>
          <w:szCs w:val="22"/>
        </w:rPr>
        <w:t xml:space="preserve"> conforme a Lei 4.320/64 foram extraídos do Sistema Integrado de Administração Financeira do Governo Federal -SIAFI</w:t>
      </w:r>
      <w:r w:rsidR="00927F8A" w:rsidRPr="00654405">
        <w:rPr>
          <w:rFonts w:ascii="Calibri" w:hAnsi="Calibri" w:cs="Calibri"/>
          <w:sz w:val="22"/>
          <w:szCs w:val="22"/>
        </w:rPr>
        <w:t>.</w:t>
      </w:r>
    </w:p>
    <w:p w14:paraId="28F1EBFC" w14:textId="63F6E023" w:rsidR="00374FB9" w:rsidRPr="002E2B5B" w:rsidRDefault="00374FB9" w:rsidP="002E2B5B">
      <w:pPr>
        <w:ind w:right="57"/>
        <w:jc w:val="both"/>
        <w:rPr>
          <w:rFonts w:ascii="Calibri" w:hAnsi="Calibri" w:cs="Calibri"/>
          <w:sz w:val="22"/>
          <w:szCs w:val="22"/>
        </w:rPr>
      </w:pPr>
    </w:p>
    <w:p w14:paraId="11018465" w14:textId="0240DCD4" w:rsidR="00374FB9" w:rsidRPr="002E2B5B" w:rsidRDefault="00374FB9" w:rsidP="002E2B5B">
      <w:pPr>
        <w:ind w:right="57"/>
        <w:jc w:val="both"/>
        <w:rPr>
          <w:rFonts w:ascii="Calibri" w:hAnsi="Calibri" w:cs="Calibri"/>
          <w:sz w:val="22"/>
          <w:szCs w:val="22"/>
        </w:rPr>
      </w:pPr>
    </w:p>
    <w:p w14:paraId="0D646518" w14:textId="5F870669" w:rsidR="00374FB9" w:rsidRPr="002E2B5B" w:rsidRDefault="00374FB9" w:rsidP="002E2B5B">
      <w:pPr>
        <w:ind w:right="57"/>
        <w:jc w:val="both"/>
        <w:rPr>
          <w:rFonts w:ascii="Calibri" w:hAnsi="Calibri" w:cs="Calibri"/>
          <w:sz w:val="22"/>
          <w:szCs w:val="22"/>
        </w:rPr>
      </w:pPr>
    </w:p>
    <w:p w14:paraId="5A0DDFEE" w14:textId="203D37A0" w:rsidR="00374FB9" w:rsidRDefault="00374FB9" w:rsidP="002E2B5B">
      <w:pPr>
        <w:ind w:right="57"/>
        <w:jc w:val="both"/>
        <w:rPr>
          <w:rFonts w:ascii="Calibri" w:hAnsi="Calibri" w:cs="Calibri"/>
          <w:sz w:val="22"/>
          <w:szCs w:val="22"/>
        </w:rPr>
      </w:pPr>
    </w:p>
    <w:p w14:paraId="678BC1A0" w14:textId="137C254F" w:rsidR="00654405" w:rsidRDefault="00654405" w:rsidP="002E2B5B">
      <w:pPr>
        <w:ind w:right="57"/>
        <w:jc w:val="both"/>
        <w:rPr>
          <w:rFonts w:ascii="Calibri" w:hAnsi="Calibri" w:cs="Calibri"/>
          <w:sz w:val="22"/>
          <w:szCs w:val="22"/>
        </w:rPr>
      </w:pPr>
    </w:p>
    <w:p w14:paraId="1CB0060B" w14:textId="27E48C45" w:rsidR="00B915D2" w:rsidRDefault="00B915D2" w:rsidP="002E2B5B">
      <w:pPr>
        <w:ind w:right="57"/>
        <w:jc w:val="both"/>
        <w:rPr>
          <w:rFonts w:ascii="Calibri" w:hAnsi="Calibri" w:cs="Calibri"/>
          <w:sz w:val="22"/>
          <w:szCs w:val="22"/>
        </w:rPr>
      </w:pPr>
    </w:p>
    <w:p w14:paraId="05E5F65B" w14:textId="6228B8E1" w:rsidR="00B915D2" w:rsidRDefault="00B915D2" w:rsidP="002E2B5B">
      <w:pPr>
        <w:ind w:right="57"/>
        <w:jc w:val="both"/>
        <w:rPr>
          <w:rFonts w:ascii="Calibri" w:hAnsi="Calibri" w:cs="Calibri"/>
          <w:sz w:val="22"/>
          <w:szCs w:val="22"/>
        </w:rPr>
      </w:pPr>
    </w:p>
    <w:p w14:paraId="4F4975F1" w14:textId="503E6F19" w:rsidR="00B915D2" w:rsidRDefault="00B915D2" w:rsidP="002E2B5B">
      <w:pPr>
        <w:ind w:right="57"/>
        <w:jc w:val="both"/>
        <w:rPr>
          <w:rFonts w:ascii="Calibri" w:hAnsi="Calibri" w:cs="Calibri"/>
          <w:sz w:val="22"/>
          <w:szCs w:val="22"/>
        </w:rPr>
      </w:pPr>
    </w:p>
    <w:p w14:paraId="0638F60A" w14:textId="52439CF2" w:rsidR="00B915D2" w:rsidRDefault="00B915D2" w:rsidP="002E2B5B">
      <w:pPr>
        <w:ind w:right="57"/>
        <w:jc w:val="both"/>
        <w:rPr>
          <w:rFonts w:ascii="Calibri" w:hAnsi="Calibri" w:cs="Calibri"/>
          <w:sz w:val="22"/>
          <w:szCs w:val="22"/>
        </w:rPr>
      </w:pPr>
    </w:p>
    <w:p w14:paraId="06E8DC6A" w14:textId="2E5C8296" w:rsidR="00B915D2" w:rsidRDefault="00B915D2" w:rsidP="002E2B5B">
      <w:pPr>
        <w:ind w:right="57"/>
        <w:jc w:val="both"/>
        <w:rPr>
          <w:rFonts w:ascii="Calibri" w:hAnsi="Calibri" w:cs="Calibri"/>
          <w:sz w:val="22"/>
          <w:szCs w:val="22"/>
        </w:rPr>
      </w:pPr>
    </w:p>
    <w:p w14:paraId="2E0A712F" w14:textId="61A4F6DB" w:rsidR="00B915D2" w:rsidRDefault="00B915D2" w:rsidP="002E2B5B">
      <w:pPr>
        <w:ind w:right="57"/>
        <w:jc w:val="both"/>
        <w:rPr>
          <w:rFonts w:ascii="Calibri" w:hAnsi="Calibri" w:cs="Calibri"/>
          <w:sz w:val="22"/>
          <w:szCs w:val="22"/>
        </w:rPr>
      </w:pPr>
    </w:p>
    <w:p w14:paraId="109F2726" w14:textId="44AD8C62" w:rsidR="00B915D2" w:rsidRDefault="00B915D2" w:rsidP="002E2B5B">
      <w:pPr>
        <w:ind w:right="57"/>
        <w:jc w:val="both"/>
        <w:rPr>
          <w:rFonts w:ascii="Calibri" w:hAnsi="Calibri" w:cs="Calibri"/>
          <w:sz w:val="22"/>
          <w:szCs w:val="22"/>
        </w:rPr>
      </w:pPr>
    </w:p>
    <w:p w14:paraId="50EF728D" w14:textId="0D0A7B18" w:rsidR="00B915D2" w:rsidRDefault="00B915D2" w:rsidP="002E2B5B">
      <w:pPr>
        <w:ind w:right="57"/>
        <w:jc w:val="both"/>
        <w:rPr>
          <w:rFonts w:ascii="Calibri" w:hAnsi="Calibri" w:cs="Calibri"/>
          <w:sz w:val="22"/>
          <w:szCs w:val="22"/>
        </w:rPr>
      </w:pPr>
    </w:p>
    <w:p w14:paraId="66210276" w14:textId="1B68524B" w:rsidR="00B915D2" w:rsidRDefault="00B915D2" w:rsidP="002E2B5B">
      <w:pPr>
        <w:ind w:right="57"/>
        <w:jc w:val="both"/>
        <w:rPr>
          <w:rFonts w:ascii="Calibri" w:hAnsi="Calibri" w:cs="Calibri"/>
          <w:sz w:val="22"/>
          <w:szCs w:val="22"/>
        </w:rPr>
      </w:pPr>
    </w:p>
    <w:p w14:paraId="0C29D088" w14:textId="3B31973F" w:rsidR="00B915D2" w:rsidRDefault="00B915D2" w:rsidP="002E2B5B">
      <w:pPr>
        <w:ind w:right="57"/>
        <w:jc w:val="both"/>
        <w:rPr>
          <w:rFonts w:ascii="Calibri" w:hAnsi="Calibri" w:cs="Calibri"/>
          <w:sz w:val="22"/>
          <w:szCs w:val="22"/>
        </w:rPr>
      </w:pPr>
    </w:p>
    <w:p w14:paraId="78841B4F" w14:textId="7F189437" w:rsidR="00B915D2" w:rsidRDefault="00B915D2" w:rsidP="002E2B5B">
      <w:pPr>
        <w:ind w:right="57"/>
        <w:jc w:val="both"/>
        <w:rPr>
          <w:rFonts w:ascii="Calibri" w:hAnsi="Calibri" w:cs="Calibri"/>
          <w:sz w:val="22"/>
          <w:szCs w:val="22"/>
        </w:rPr>
      </w:pPr>
    </w:p>
    <w:p w14:paraId="6CFAFF2F" w14:textId="741C9BFE" w:rsidR="00B915D2" w:rsidRDefault="00B915D2" w:rsidP="002E2B5B">
      <w:pPr>
        <w:ind w:right="57"/>
        <w:jc w:val="both"/>
        <w:rPr>
          <w:rFonts w:ascii="Calibri" w:hAnsi="Calibri" w:cs="Calibri"/>
          <w:sz w:val="22"/>
          <w:szCs w:val="22"/>
        </w:rPr>
      </w:pPr>
    </w:p>
    <w:p w14:paraId="08994B19" w14:textId="7BE2C03E" w:rsidR="00B915D2" w:rsidRDefault="00B915D2" w:rsidP="002E2B5B">
      <w:pPr>
        <w:ind w:right="57"/>
        <w:jc w:val="both"/>
        <w:rPr>
          <w:rFonts w:ascii="Calibri" w:hAnsi="Calibri" w:cs="Calibri"/>
          <w:sz w:val="22"/>
          <w:szCs w:val="22"/>
        </w:rPr>
      </w:pPr>
    </w:p>
    <w:p w14:paraId="44F5F346" w14:textId="2A829BDF" w:rsidR="00B915D2" w:rsidRDefault="00B915D2" w:rsidP="002E2B5B">
      <w:pPr>
        <w:ind w:right="57"/>
        <w:jc w:val="both"/>
        <w:rPr>
          <w:rFonts w:ascii="Calibri" w:hAnsi="Calibri" w:cs="Calibri"/>
          <w:sz w:val="22"/>
          <w:szCs w:val="22"/>
        </w:rPr>
      </w:pPr>
    </w:p>
    <w:p w14:paraId="6FA292E0" w14:textId="4AE9858C" w:rsidR="00B915D2" w:rsidRDefault="00B915D2" w:rsidP="002E2B5B">
      <w:pPr>
        <w:ind w:right="57"/>
        <w:jc w:val="both"/>
        <w:rPr>
          <w:rFonts w:ascii="Calibri" w:hAnsi="Calibri" w:cs="Calibri"/>
          <w:sz w:val="22"/>
          <w:szCs w:val="22"/>
        </w:rPr>
      </w:pPr>
    </w:p>
    <w:p w14:paraId="7BB53488" w14:textId="71AD3C17" w:rsidR="00B915D2" w:rsidRDefault="00B915D2" w:rsidP="002E2B5B">
      <w:pPr>
        <w:ind w:right="57"/>
        <w:jc w:val="both"/>
        <w:rPr>
          <w:rFonts w:ascii="Calibri" w:hAnsi="Calibri" w:cs="Calibri"/>
          <w:sz w:val="22"/>
          <w:szCs w:val="22"/>
        </w:rPr>
      </w:pPr>
    </w:p>
    <w:p w14:paraId="1DE733C5" w14:textId="49B9D852" w:rsidR="00B915D2" w:rsidRDefault="00B915D2" w:rsidP="002E2B5B">
      <w:pPr>
        <w:ind w:right="57"/>
        <w:jc w:val="both"/>
        <w:rPr>
          <w:rFonts w:ascii="Calibri" w:hAnsi="Calibri" w:cs="Calibri"/>
          <w:sz w:val="22"/>
          <w:szCs w:val="22"/>
        </w:rPr>
      </w:pPr>
    </w:p>
    <w:p w14:paraId="79AC8DC3" w14:textId="6BC77915" w:rsidR="00B915D2" w:rsidRDefault="00B915D2" w:rsidP="002E2B5B">
      <w:pPr>
        <w:ind w:right="57"/>
        <w:jc w:val="both"/>
        <w:rPr>
          <w:rFonts w:ascii="Calibri" w:hAnsi="Calibri" w:cs="Calibri"/>
          <w:sz w:val="22"/>
          <w:szCs w:val="22"/>
        </w:rPr>
      </w:pPr>
    </w:p>
    <w:p w14:paraId="5E7D1596" w14:textId="7FB1F82D" w:rsidR="00B915D2" w:rsidRDefault="00B915D2" w:rsidP="002E2B5B">
      <w:pPr>
        <w:ind w:right="57"/>
        <w:jc w:val="both"/>
        <w:rPr>
          <w:rFonts w:ascii="Calibri" w:hAnsi="Calibri" w:cs="Calibri"/>
          <w:sz w:val="22"/>
          <w:szCs w:val="22"/>
        </w:rPr>
      </w:pPr>
    </w:p>
    <w:p w14:paraId="698ACAA2" w14:textId="0C8CA576" w:rsidR="00B915D2" w:rsidRDefault="00B915D2" w:rsidP="002E2B5B">
      <w:pPr>
        <w:ind w:right="57"/>
        <w:jc w:val="both"/>
        <w:rPr>
          <w:rFonts w:ascii="Calibri" w:hAnsi="Calibri" w:cs="Calibri"/>
          <w:sz w:val="22"/>
          <w:szCs w:val="22"/>
        </w:rPr>
      </w:pPr>
    </w:p>
    <w:p w14:paraId="0AB455F8" w14:textId="4352C41D" w:rsidR="00B915D2" w:rsidRDefault="00B915D2" w:rsidP="002E2B5B">
      <w:pPr>
        <w:ind w:right="57"/>
        <w:jc w:val="both"/>
        <w:rPr>
          <w:rFonts w:ascii="Calibri" w:hAnsi="Calibri" w:cs="Calibri"/>
          <w:sz w:val="22"/>
          <w:szCs w:val="22"/>
        </w:rPr>
      </w:pPr>
    </w:p>
    <w:p w14:paraId="593A6F24" w14:textId="31C6936B" w:rsidR="00B915D2" w:rsidRDefault="00B915D2" w:rsidP="002E2B5B">
      <w:pPr>
        <w:ind w:right="57"/>
        <w:jc w:val="both"/>
        <w:rPr>
          <w:rFonts w:ascii="Calibri" w:hAnsi="Calibri" w:cs="Calibri"/>
          <w:sz w:val="22"/>
          <w:szCs w:val="22"/>
        </w:rPr>
      </w:pPr>
    </w:p>
    <w:p w14:paraId="2A123375" w14:textId="174CE334" w:rsidR="00B915D2" w:rsidRDefault="00B915D2" w:rsidP="002E2B5B">
      <w:pPr>
        <w:ind w:right="57"/>
        <w:jc w:val="both"/>
        <w:rPr>
          <w:rFonts w:ascii="Calibri" w:hAnsi="Calibri" w:cs="Calibri"/>
          <w:sz w:val="22"/>
          <w:szCs w:val="22"/>
        </w:rPr>
      </w:pPr>
    </w:p>
    <w:p w14:paraId="7BB4F13E" w14:textId="6797CFEE" w:rsidR="00B915D2" w:rsidRDefault="00B915D2" w:rsidP="002E2B5B">
      <w:pPr>
        <w:ind w:right="57"/>
        <w:jc w:val="both"/>
        <w:rPr>
          <w:rFonts w:ascii="Calibri" w:hAnsi="Calibri" w:cs="Calibri"/>
          <w:sz w:val="22"/>
          <w:szCs w:val="22"/>
        </w:rPr>
      </w:pPr>
    </w:p>
    <w:p w14:paraId="4610D9C4" w14:textId="0F7F1B28" w:rsidR="00B915D2" w:rsidRDefault="00B915D2" w:rsidP="002E2B5B">
      <w:pPr>
        <w:ind w:right="57"/>
        <w:jc w:val="both"/>
        <w:rPr>
          <w:rFonts w:ascii="Calibri" w:hAnsi="Calibri" w:cs="Calibri"/>
          <w:sz w:val="22"/>
          <w:szCs w:val="22"/>
        </w:rPr>
      </w:pPr>
    </w:p>
    <w:p w14:paraId="032417FF" w14:textId="1AB949B0" w:rsidR="005E272E" w:rsidRPr="002E2B5B" w:rsidRDefault="00EC7A73" w:rsidP="002E2B5B">
      <w:pPr>
        <w:spacing w:after="240"/>
        <w:ind w:right="-142"/>
        <w:jc w:val="both"/>
        <w:rPr>
          <w:rFonts w:ascii="Calibri" w:hAnsi="Calibri" w:cs="Calibri"/>
          <w:b/>
          <w:sz w:val="22"/>
          <w:szCs w:val="22"/>
        </w:rPr>
      </w:pPr>
      <w:r w:rsidRPr="002E2B5B">
        <w:rPr>
          <w:rFonts w:ascii="Calibri" w:hAnsi="Calibri" w:cs="Calibri"/>
          <w:b/>
          <w:sz w:val="22"/>
          <w:szCs w:val="22"/>
        </w:rPr>
        <w:t>I – ATIVO</w:t>
      </w:r>
    </w:p>
    <w:p w14:paraId="0023F6AF" w14:textId="0F34C060" w:rsidR="00374FB9" w:rsidRDefault="00052E9C" w:rsidP="002E2B5B">
      <w:pPr>
        <w:spacing w:after="240"/>
        <w:ind w:right="-142"/>
        <w:jc w:val="both"/>
        <w:rPr>
          <w:rFonts w:ascii="Calibri" w:hAnsi="Calibri" w:cs="Calibri"/>
          <w:bCs/>
          <w:sz w:val="22"/>
          <w:szCs w:val="22"/>
        </w:rPr>
      </w:pPr>
      <w:r>
        <w:rPr>
          <w:rFonts w:ascii="Calibri" w:hAnsi="Calibri" w:cs="Calibri"/>
          <w:bCs/>
          <w:noProof/>
          <w:sz w:val="22"/>
          <w:szCs w:val="22"/>
        </w:rPr>
        <w:drawing>
          <wp:inline distT="0" distB="0" distL="0" distR="0" wp14:anchorId="34F6554E" wp14:editId="4483F085">
            <wp:extent cx="4896763" cy="7199290"/>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3911" cy="7224501"/>
                    </a:xfrm>
                    <a:prstGeom prst="rect">
                      <a:avLst/>
                    </a:prstGeom>
                    <a:noFill/>
                    <a:ln>
                      <a:noFill/>
                    </a:ln>
                  </pic:spPr>
                </pic:pic>
              </a:graphicData>
            </a:graphic>
          </wp:inline>
        </w:drawing>
      </w:r>
    </w:p>
    <w:p w14:paraId="5BA8C69C" w14:textId="14AEE773" w:rsidR="00654405" w:rsidRDefault="00654405" w:rsidP="002E2B5B">
      <w:pPr>
        <w:spacing w:after="240"/>
        <w:ind w:right="-142"/>
        <w:jc w:val="both"/>
        <w:rPr>
          <w:rFonts w:ascii="Calibri" w:hAnsi="Calibri" w:cs="Calibri"/>
          <w:bCs/>
          <w:sz w:val="22"/>
          <w:szCs w:val="22"/>
        </w:rPr>
      </w:pPr>
    </w:p>
    <w:p w14:paraId="14F1E50C" w14:textId="1EECAEAA" w:rsidR="00052E9C" w:rsidRDefault="00052E9C" w:rsidP="002E2B5B">
      <w:pPr>
        <w:spacing w:after="240"/>
        <w:ind w:right="-142"/>
        <w:jc w:val="both"/>
        <w:rPr>
          <w:rFonts w:ascii="Calibri" w:hAnsi="Calibri" w:cs="Calibri"/>
          <w:bCs/>
          <w:sz w:val="22"/>
          <w:szCs w:val="22"/>
        </w:rPr>
      </w:pPr>
    </w:p>
    <w:p w14:paraId="78F57729" w14:textId="7BE96411" w:rsidR="00052E9C" w:rsidRDefault="00052E9C" w:rsidP="002E2B5B">
      <w:pPr>
        <w:spacing w:after="240"/>
        <w:ind w:right="-142"/>
        <w:jc w:val="both"/>
        <w:rPr>
          <w:rFonts w:ascii="Calibri" w:hAnsi="Calibri" w:cs="Calibri"/>
          <w:bCs/>
          <w:sz w:val="22"/>
          <w:szCs w:val="22"/>
        </w:rPr>
      </w:pPr>
    </w:p>
    <w:p w14:paraId="39350A0D" w14:textId="3952D1D5" w:rsidR="00EC7A73" w:rsidRPr="002E2B5B" w:rsidRDefault="00E26B0F" w:rsidP="002E2B5B">
      <w:pPr>
        <w:spacing w:after="240"/>
        <w:ind w:right="-142"/>
        <w:jc w:val="both"/>
        <w:rPr>
          <w:rFonts w:ascii="Calibri" w:hAnsi="Calibri" w:cs="Calibri"/>
          <w:b/>
          <w:sz w:val="22"/>
          <w:szCs w:val="22"/>
        </w:rPr>
      </w:pPr>
      <w:r w:rsidRPr="002E2B5B">
        <w:rPr>
          <w:rFonts w:ascii="Calibri" w:hAnsi="Calibri" w:cs="Calibri"/>
          <w:b/>
          <w:sz w:val="22"/>
          <w:szCs w:val="22"/>
        </w:rPr>
        <w:t>II – PASSIVO</w:t>
      </w:r>
    </w:p>
    <w:p w14:paraId="42CF66D8" w14:textId="206E678D" w:rsidR="00E26B0F" w:rsidRPr="002E2B5B" w:rsidRDefault="00201C2C" w:rsidP="002E2B5B">
      <w:pPr>
        <w:spacing w:after="240"/>
        <w:ind w:right="-142"/>
        <w:jc w:val="both"/>
        <w:rPr>
          <w:rFonts w:ascii="Calibri" w:hAnsi="Calibri" w:cs="Calibri"/>
          <w:bCs/>
          <w:sz w:val="22"/>
          <w:szCs w:val="22"/>
        </w:rPr>
      </w:pPr>
      <w:r>
        <w:rPr>
          <w:rFonts w:ascii="Calibri" w:hAnsi="Calibri" w:cs="Calibri"/>
          <w:bCs/>
          <w:noProof/>
          <w:sz w:val="22"/>
          <w:szCs w:val="22"/>
        </w:rPr>
        <w:drawing>
          <wp:inline distT="0" distB="0" distL="0" distR="0" wp14:anchorId="5CFC7D44" wp14:editId="10E4AEED">
            <wp:extent cx="4841702" cy="428866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5059" cy="4309354"/>
                    </a:xfrm>
                    <a:prstGeom prst="rect">
                      <a:avLst/>
                    </a:prstGeom>
                    <a:noFill/>
                    <a:ln>
                      <a:noFill/>
                    </a:ln>
                  </pic:spPr>
                </pic:pic>
              </a:graphicData>
            </a:graphic>
          </wp:inline>
        </w:drawing>
      </w:r>
    </w:p>
    <w:p w14:paraId="29A9494E" w14:textId="77777777" w:rsidR="00F150CE" w:rsidRPr="002E2B5B" w:rsidRDefault="00F150CE" w:rsidP="002E2B5B">
      <w:pPr>
        <w:spacing w:after="240"/>
        <w:ind w:right="-142"/>
        <w:rPr>
          <w:rFonts w:ascii="Calibri" w:hAnsi="Calibri" w:cs="Calibri"/>
          <w:bCs/>
          <w:sz w:val="22"/>
          <w:szCs w:val="22"/>
        </w:rPr>
      </w:pPr>
    </w:p>
    <w:p w14:paraId="5E6E1132" w14:textId="77777777" w:rsidR="00781F33" w:rsidRPr="002E2B5B" w:rsidRDefault="00781F33" w:rsidP="002E2B5B">
      <w:pPr>
        <w:spacing w:after="240"/>
        <w:ind w:right="-142"/>
        <w:rPr>
          <w:rFonts w:ascii="Calibri" w:hAnsi="Calibri" w:cs="Calibri"/>
          <w:bCs/>
          <w:sz w:val="22"/>
          <w:szCs w:val="22"/>
        </w:rPr>
      </w:pPr>
    </w:p>
    <w:p w14:paraId="3F969F87" w14:textId="77777777" w:rsidR="00781F33" w:rsidRPr="002E2B5B" w:rsidRDefault="00781F33" w:rsidP="002E2B5B">
      <w:pPr>
        <w:spacing w:after="240"/>
        <w:ind w:right="-142"/>
        <w:rPr>
          <w:rFonts w:ascii="Calibri" w:hAnsi="Calibri" w:cs="Calibri"/>
          <w:bCs/>
          <w:sz w:val="22"/>
          <w:szCs w:val="22"/>
        </w:rPr>
      </w:pPr>
    </w:p>
    <w:p w14:paraId="1072DB42" w14:textId="77777777" w:rsidR="00781F33" w:rsidRPr="002E2B5B" w:rsidRDefault="00781F33" w:rsidP="002E2B5B">
      <w:pPr>
        <w:spacing w:after="240"/>
        <w:ind w:right="-142"/>
        <w:rPr>
          <w:rFonts w:ascii="Calibri" w:hAnsi="Calibri" w:cs="Calibri"/>
          <w:bCs/>
          <w:sz w:val="22"/>
          <w:szCs w:val="22"/>
        </w:rPr>
      </w:pPr>
    </w:p>
    <w:p w14:paraId="215224F5" w14:textId="77777777" w:rsidR="00781F33" w:rsidRPr="002E2B5B" w:rsidRDefault="00781F33" w:rsidP="002E2B5B">
      <w:pPr>
        <w:spacing w:after="240"/>
        <w:ind w:right="-142"/>
        <w:rPr>
          <w:rFonts w:ascii="Calibri" w:hAnsi="Calibri" w:cs="Calibri"/>
          <w:bCs/>
          <w:sz w:val="22"/>
          <w:szCs w:val="22"/>
        </w:rPr>
      </w:pPr>
    </w:p>
    <w:p w14:paraId="67608466" w14:textId="77777777" w:rsidR="00781F33" w:rsidRPr="002E2B5B" w:rsidRDefault="00781F33" w:rsidP="002E2B5B">
      <w:pPr>
        <w:spacing w:after="240"/>
        <w:ind w:right="-142"/>
        <w:rPr>
          <w:rFonts w:ascii="Calibri" w:hAnsi="Calibri" w:cs="Calibri"/>
          <w:bCs/>
          <w:sz w:val="22"/>
          <w:szCs w:val="22"/>
        </w:rPr>
      </w:pPr>
    </w:p>
    <w:p w14:paraId="7CC41C23" w14:textId="77777777" w:rsidR="00781F33" w:rsidRPr="002E2B5B" w:rsidRDefault="00781F33" w:rsidP="002E2B5B">
      <w:pPr>
        <w:spacing w:after="240"/>
        <w:ind w:right="-142"/>
        <w:rPr>
          <w:rFonts w:ascii="Calibri" w:hAnsi="Calibri" w:cs="Calibri"/>
          <w:bCs/>
          <w:sz w:val="22"/>
          <w:szCs w:val="22"/>
        </w:rPr>
      </w:pPr>
    </w:p>
    <w:p w14:paraId="0A7857D0" w14:textId="77777777" w:rsidR="00781F33" w:rsidRPr="002E2B5B" w:rsidRDefault="00781F33" w:rsidP="002E2B5B">
      <w:pPr>
        <w:spacing w:after="240"/>
        <w:ind w:right="-142"/>
        <w:rPr>
          <w:rFonts w:ascii="Calibri" w:hAnsi="Calibri" w:cs="Calibri"/>
          <w:bCs/>
          <w:sz w:val="22"/>
          <w:szCs w:val="22"/>
        </w:rPr>
      </w:pPr>
    </w:p>
    <w:p w14:paraId="45CD8C05" w14:textId="77777777" w:rsidR="00781F33" w:rsidRPr="002E2B5B" w:rsidRDefault="00781F33" w:rsidP="002E2B5B">
      <w:pPr>
        <w:spacing w:after="240"/>
        <w:ind w:right="-142"/>
        <w:rPr>
          <w:rFonts w:ascii="Calibri" w:hAnsi="Calibri" w:cs="Calibri"/>
          <w:bCs/>
          <w:sz w:val="22"/>
          <w:szCs w:val="22"/>
        </w:rPr>
      </w:pPr>
    </w:p>
    <w:p w14:paraId="363BBF5E" w14:textId="31883FD4" w:rsidR="00781F33" w:rsidRPr="002E2B5B" w:rsidRDefault="00781F33" w:rsidP="002E2B5B">
      <w:pPr>
        <w:spacing w:after="240"/>
        <w:ind w:right="-142"/>
        <w:rPr>
          <w:rFonts w:ascii="Calibri" w:hAnsi="Calibri" w:cs="Calibri"/>
          <w:bCs/>
          <w:sz w:val="22"/>
          <w:szCs w:val="22"/>
        </w:rPr>
      </w:pPr>
    </w:p>
    <w:p w14:paraId="08BEF6C6" w14:textId="7626F5AA" w:rsidR="009C2095" w:rsidRPr="002E2B5B" w:rsidRDefault="009C2095" w:rsidP="002E2B5B">
      <w:pPr>
        <w:spacing w:after="240"/>
        <w:ind w:right="-142"/>
        <w:rPr>
          <w:rFonts w:ascii="Calibri" w:hAnsi="Calibri" w:cs="Calibri"/>
          <w:bCs/>
          <w:sz w:val="22"/>
          <w:szCs w:val="22"/>
        </w:rPr>
      </w:pPr>
    </w:p>
    <w:p w14:paraId="2D294B92" w14:textId="32C496DC" w:rsidR="00E26B0F" w:rsidRPr="002E2B5B" w:rsidRDefault="00E26B0F" w:rsidP="002E2B5B">
      <w:pPr>
        <w:spacing w:after="240"/>
        <w:ind w:right="-142"/>
        <w:rPr>
          <w:rFonts w:ascii="Calibri" w:hAnsi="Calibri" w:cs="Calibri"/>
          <w:b/>
          <w:sz w:val="22"/>
          <w:szCs w:val="22"/>
        </w:rPr>
      </w:pPr>
      <w:r w:rsidRPr="002E2B5B">
        <w:rPr>
          <w:rFonts w:ascii="Calibri" w:hAnsi="Calibri" w:cs="Calibri"/>
          <w:b/>
          <w:sz w:val="22"/>
          <w:szCs w:val="22"/>
        </w:rPr>
        <w:lastRenderedPageBreak/>
        <w:t>III – DEM</w:t>
      </w:r>
      <w:r w:rsidR="009470F8" w:rsidRPr="002E2B5B">
        <w:rPr>
          <w:rFonts w:ascii="Calibri" w:hAnsi="Calibri" w:cs="Calibri"/>
          <w:b/>
          <w:sz w:val="22"/>
          <w:szCs w:val="22"/>
        </w:rPr>
        <w:t>O</w:t>
      </w:r>
      <w:r w:rsidRPr="002E2B5B">
        <w:rPr>
          <w:rFonts w:ascii="Calibri" w:hAnsi="Calibri" w:cs="Calibri"/>
          <w:b/>
          <w:sz w:val="22"/>
          <w:szCs w:val="22"/>
        </w:rPr>
        <w:t>NSTRAÇÃO DO RESULTADO DO EXERCÍCIO</w:t>
      </w:r>
    </w:p>
    <w:p w14:paraId="1CC95302" w14:textId="4D53A60D" w:rsidR="00A40611" w:rsidRPr="002E2B5B" w:rsidRDefault="00201C2C" w:rsidP="002E2B5B">
      <w:pPr>
        <w:spacing w:after="240"/>
        <w:ind w:right="-142"/>
        <w:rPr>
          <w:rFonts w:ascii="Calibri" w:hAnsi="Calibri" w:cs="Calibri"/>
          <w:bCs/>
          <w:noProof/>
          <w:sz w:val="22"/>
          <w:szCs w:val="22"/>
        </w:rPr>
      </w:pPr>
      <w:r>
        <w:rPr>
          <w:rFonts w:ascii="Calibri" w:hAnsi="Calibri" w:cs="Calibri"/>
          <w:bCs/>
          <w:noProof/>
          <w:sz w:val="22"/>
          <w:szCs w:val="22"/>
        </w:rPr>
        <w:drawing>
          <wp:inline distT="0" distB="0" distL="0" distR="0" wp14:anchorId="68D82ABD" wp14:editId="3EB70710">
            <wp:extent cx="4871093" cy="4861775"/>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7756" cy="4868425"/>
                    </a:xfrm>
                    <a:prstGeom prst="rect">
                      <a:avLst/>
                    </a:prstGeom>
                    <a:noFill/>
                    <a:ln>
                      <a:noFill/>
                    </a:ln>
                  </pic:spPr>
                </pic:pic>
              </a:graphicData>
            </a:graphic>
          </wp:inline>
        </w:drawing>
      </w:r>
    </w:p>
    <w:p w14:paraId="7CD57E77" w14:textId="77777777" w:rsidR="00781F33" w:rsidRPr="002E2B5B" w:rsidRDefault="00781F33"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As permissões de uso de pátios e terminais são registradas na contabilidade societária pelo regime de competência, portanto, os direitos a receber sobre os contratos de permissões são contabilizados no ativo circulante e não circulante conforme o vencimento e são corrigidas monetariamente de acordo com as cláusulas contratuais. No SIAFI essas receitas são registradas somente no momento que são recebidas;</w:t>
      </w:r>
    </w:p>
    <w:p w14:paraId="256190B8" w14:textId="2FE3BB28" w:rsidR="0068558C" w:rsidRPr="002E2B5B" w:rsidRDefault="0068558C"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Prescrição de crédito previdenciário reconhecida no SIAFI </w:t>
      </w:r>
      <w:r w:rsidR="00433984">
        <w:rPr>
          <w:rFonts w:ascii="Calibri" w:hAnsi="Calibri" w:cs="Calibri"/>
          <w:bCs/>
          <w:sz w:val="18"/>
          <w:szCs w:val="18"/>
        </w:rPr>
        <w:t>intempestivamente</w:t>
      </w:r>
      <w:r w:rsidRPr="002E2B5B">
        <w:rPr>
          <w:rFonts w:ascii="Calibri" w:hAnsi="Calibri" w:cs="Calibri"/>
          <w:bCs/>
          <w:sz w:val="18"/>
          <w:szCs w:val="18"/>
        </w:rPr>
        <w:t>;</w:t>
      </w:r>
    </w:p>
    <w:p w14:paraId="48B463A9" w14:textId="77777777" w:rsidR="00781F33" w:rsidRPr="002E2B5B" w:rsidRDefault="00781F33"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Os registros do resultado da equivalência patrimonial </w:t>
      </w:r>
      <w:r w:rsidR="00D9020C" w:rsidRPr="002E2B5B">
        <w:rPr>
          <w:rFonts w:ascii="Calibri" w:hAnsi="Calibri" w:cs="Calibri"/>
          <w:bCs/>
          <w:sz w:val="18"/>
          <w:szCs w:val="18"/>
        </w:rPr>
        <w:t>s</w:t>
      </w:r>
      <w:r w:rsidRPr="002E2B5B">
        <w:rPr>
          <w:rFonts w:ascii="Calibri" w:hAnsi="Calibri" w:cs="Calibri"/>
          <w:bCs/>
          <w:sz w:val="18"/>
          <w:szCs w:val="18"/>
        </w:rPr>
        <w:t xml:space="preserve">obre o investimento na Transnordestina Logística S/A são registrados no SIAFI intempestivamente, </w:t>
      </w:r>
      <w:r w:rsidR="009800E5" w:rsidRPr="002E2B5B">
        <w:rPr>
          <w:rFonts w:ascii="Calibri" w:hAnsi="Calibri" w:cs="Calibri"/>
          <w:bCs/>
          <w:sz w:val="18"/>
          <w:szCs w:val="18"/>
        </w:rPr>
        <w:t>visto que a coligada envia à VALEC suas demonstrações somente após serem auditadas;</w:t>
      </w:r>
    </w:p>
    <w:p w14:paraId="6CB13012" w14:textId="321EED76" w:rsidR="00313C6B" w:rsidRPr="002E2B5B" w:rsidRDefault="00313C6B"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Reclassificação efetuada no SIAFI </w:t>
      </w:r>
      <w:r w:rsidR="00433984">
        <w:rPr>
          <w:rFonts w:ascii="Calibri" w:hAnsi="Calibri" w:cs="Calibri"/>
          <w:bCs/>
          <w:sz w:val="18"/>
          <w:szCs w:val="18"/>
        </w:rPr>
        <w:t>intempestivamente</w:t>
      </w:r>
      <w:r w:rsidRPr="002E2B5B">
        <w:rPr>
          <w:rFonts w:ascii="Calibri" w:hAnsi="Calibri" w:cs="Calibri"/>
          <w:bCs/>
          <w:sz w:val="18"/>
          <w:szCs w:val="18"/>
        </w:rPr>
        <w:t>, o contrato pertence à FNS e não à FIOL;</w:t>
      </w:r>
    </w:p>
    <w:p w14:paraId="14B91000" w14:textId="5391D9C8" w:rsidR="00F0649F" w:rsidRPr="002E2B5B" w:rsidRDefault="00F0649F"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Reconhecimento da provisão para perda ao valor recuperável dos ativos da FNS foram registrados no SIAFI somente a partir da aprovação dessas demonstrações financeiras pela Assembleia Geral Ordinária</w:t>
      </w:r>
      <w:r w:rsidR="00433984">
        <w:rPr>
          <w:rFonts w:ascii="Calibri" w:hAnsi="Calibri" w:cs="Calibri"/>
          <w:bCs/>
          <w:sz w:val="18"/>
          <w:szCs w:val="18"/>
        </w:rPr>
        <w:t>, que ocorreu em agosto de 2021</w:t>
      </w:r>
      <w:r w:rsidRPr="002E2B5B">
        <w:rPr>
          <w:rFonts w:ascii="Calibri" w:hAnsi="Calibri" w:cs="Calibri"/>
          <w:bCs/>
          <w:sz w:val="18"/>
          <w:szCs w:val="18"/>
        </w:rPr>
        <w:t>;</w:t>
      </w:r>
    </w:p>
    <w:p w14:paraId="1AA79683" w14:textId="678FE19D" w:rsidR="0068558C" w:rsidRPr="002E2B5B" w:rsidRDefault="00F0649F"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Reconhecimento da provisão para perda ao valor recuperável dos ativos da FIOL serão registrados no SIAFI somente a partir da aprovação dessas demonstrações financeiras pela Assembleia Geral Ordinária</w:t>
      </w:r>
      <w:r w:rsidR="00E52EF5">
        <w:rPr>
          <w:rFonts w:ascii="Calibri" w:hAnsi="Calibri" w:cs="Calibri"/>
          <w:bCs/>
          <w:sz w:val="18"/>
          <w:szCs w:val="18"/>
        </w:rPr>
        <w:t>, que ocorreu em outubro de</w:t>
      </w:r>
      <w:r w:rsidRPr="002E2B5B">
        <w:rPr>
          <w:rFonts w:ascii="Calibri" w:hAnsi="Calibri" w:cs="Calibri"/>
          <w:bCs/>
          <w:sz w:val="18"/>
          <w:szCs w:val="18"/>
        </w:rPr>
        <w:t>2021;</w:t>
      </w:r>
    </w:p>
    <w:p w14:paraId="2A45D025" w14:textId="4615E7E9" w:rsidR="0068558C" w:rsidRPr="002E2B5B" w:rsidRDefault="006B77C0"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Conforme descrito na Nota </w:t>
      </w:r>
      <w:r w:rsidR="00980858" w:rsidRPr="002E2B5B">
        <w:rPr>
          <w:rFonts w:ascii="Calibri" w:hAnsi="Calibri" w:cs="Calibri"/>
          <w:bCs/>
          <w:sz w:val="18"/>
          <w:szCs w:val="18"/>
        </w:rPr>
        <w:t>1</w:t>
      </w:r>
      <w:r w:rsidR="00E52EF5">
        <w:rPr>
          <w:rFonts w:ascii="Calibri" w:hAnsi="Calibri" w:cs="Calibri"/>
          <w:bCs/>
          <w:sz w:val="18"/>
          <w:szCs w:val="18"/>
        </w:rPr>
        <w:t>3</w:t>
      </w:r>
      <w:r w:rsidRPr="002E2B5B">
        <w:rPr>
          <w:rFonts w:ascii="Calibri" w:hAnsi="Calibri" w:cs="Calibri"/>
          <w:bCs/>
          <w:sz w:val="18"/>
          <w:szCs w:val="18"/>
        </w:rPr>
        <w:t>, o CPC 06 (R2) estabelece que os contratos de aluguéis, que se enquadram nos requisitos estipulados naquele pronunciamento, deverão ser registrados como direitos de uso no ativo e passivos de arrendamentos no passivo, além de registrar a depreciação desses direitos. Na contabilidade aplicada ao setor público ainda não houve alterações na contabilização dos contratos de aluguéis, os quais continuam sendo registrados como despesas de locações</w:t>
      </w:r>
      <w:r w:rsidR="00CC6D4F" w:rsidRPr="002E2B5B">
        <w:rPr>
          <w:rFonts w:ascii="Calibri" w:hAnsi="Calibri" w:cs="Calibri"/>
          <w:bCs/>
          <w:sz w:val="18"/>
          <w:szCs w:val="18"/>
        </w:rPr>
        <w:t>;</w:t>
      </w:r>
    </w:p>
    <w:p w14:paraId="564AE329" w14:textId="22AF8B28" w:rsidR="00E52EF5" w:rsidRDefault="00E52EF5"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Reclassificação de risco na planilha do jurídico, corrigida no SIAFI </w:t>
      </w:r>
      <w:r>
        <w:rPr>
          <w:rFonts w:ascii="Calibri" w:hAnsi="Calibri" w:cs="Calibri"/>
          <w:bCs/>
          <w:sz w:val="18"/>
          <w:szCs w:val="18"/>
        </w:rPr>
        <w:t>intempestivamente</w:t>
      </w:r>
      <w:r w:rsidRPr="002E2B5B">
        <w:rPr>
          <w:rFonts w:ascii="Calibri" w:hAnsi="Calibri" w:cs="Calibri"/>
          <w:bCs/>
          <w:sz w:val="18"/>
          <w:szCs w:val="18"/>
        </w:rPr>
        <w:t>. Além da reclassificação de atualizações monetárias das contingências de despesas financeiras para provisões e reversões de provisões quando se trata de baixa de atualização</w:t>
      </w:r>
      <w:r>
        <w:rPr>
          <w:rFonts w:ascii="Calibri" w:hAnsi="Calibri" w:cs="Calibri"/>
          <w:bCs/>
          <w:sz w:val="18"/>
          <w:szCs w:val="18"/>
        </w:rPr>
        <w:t xml:space="preserve">; </w:t>
      </w:r>
    </w:p>
    <w:p w14:paraId="437A4803" w14:textId="1D7BB933" w:rsidR="00A02E15" w:rsidRDefault="00A02E15" w:rsidP="002E2B5B">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lastRenderedPageBreak/>
        <w:t>Lançamento errôneo no SIAFI, correção realizada intempestivamente;</w:t>
      </w:r>
    </w:p>
    <w:p w14:paraId="405F69BE" w14:textId="5626DC57" w:rsidR="0003646A" w:rsidRDefault="0003646A" w:rsidP="002E2B5B">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Reconhecimento de PIS e COFINS intempestivamente no SIAFI, devido ao saldo positivo de créditos tributários;</w:t>
      </w:r>
    </w:p>
    <w:p w14:paraId="4146536A" w14:textId="77777777" w:rsidR="00A02E15" w:rsidRDefault="00A02E15" w:rsidP="00A02E15">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Prejuízos Acumulados reconhecidos no SIAFI após a aprovação das demonstrações de 2019 e 2020, em agosto e outubro de 2021.</w:t>
      </w:r>
    </w:p>
    <w:p w14:paraId="68ED2712" w14:textId="274A1512" w:rsidR="008E44BC" w:rsidRDefault="008E44BC" w:rsidP="0052206D">
      <w:pPr>
        <w:spacing w:after="120"/>
        <w:ind w:right="57"/>
        <w:rPr>
          <w:rFonts w:ascii="Calibri" w:hAnsi="Calibri" w:cs="Calibri"/>
          <w:b/>
          <w:sz w:val="22"/>
          <w:szCs w:val="22"/>
        </w:rPr>
      </w:pPr>
    </w:p>
    <w:p w14:paraId="60172090" w14:textId="72492A06" w:rsidR="00ED6623" w:rsidRDefault="00ED6623" w:rsidP="0052206D">
      <w:pPr>
        <w:spacing w:after="120"/>
        <w:ind w:right="57"/>
        <w:rPr>
          <w:rFonts w:ascii="Calibri" w:hAnsi="Calibri" w:cs="Calibri"/>
          <w:b/>
          <w:sz w:val="22"/>
          <w:szCs w:val="22"/>
        </w:rPr>
      </w:pPr>
    </w:p>
    <w:p w14:paraId="7BDE0FBA" w14:textId="77777777" w:rsidR="00ED6623" w:rsidRPr="002E2B5B" w:rsidRDefault="00ED6623" w:rsidP="0052206D">
      <w:pPr>
        <w:spacing w:after="120"/>
        <w:ind w:right="57"/>
        <w:rPr>
          <w:rFonts w:ascii="Calibri" w:hAnsi="Calibri" w:cs="Calibri"/>
          <w:b/>
          <w:sz w:val="22"/>
          <w:szCs w:val="22"/>
        </w:rPr>
      </w:pPr>
    </w:p>
    <w:p w14:paraId="7424D9FF" w14:textId="77777777" w:rsidR="00ED6623" w:rsidRPr="002E2B5B" w:rsidRDefault="00ED6623" w:rsidP="00ED6623">
      <w:pPr>
        <w:ind w:left="714" w:right="57"/>
        <w:rPr>
          <w:rFonts w:ascii="Calibri" w:hAnsi="Calibri" w:cs="Calibri"/>
          <w:b/>
          <w:sz w:val="22"/>
          <w:szCs w:val="22"/>
        </w:rPr>
      </w:pPr>
      <w:r w:rsidRPr="002E2B5B">
        <w:rPr>
          <w:rFonts w:ascii="Calibri" w:hAnsi="Calibri" w:cs="Calibri"/>
          <w:b/>
          <w:sz w:val="22"/>
          <w:szCs w:val="22"/>
        </w:rPr>
        <w:t>André Kuhn</w:t>
      </w:r>
    </w:p>
    <w:p w14:paraId="44CC0EE9" w14:textId="77777777" w:rsidR="00ED6623" w:rsidRPr="002E2B5B" w:rsidRDefault="00ED6623" w:rsidP="00ED6623">
      <w:pPr>
        <w:ind w:left="714" w:right="57"/>
        <w:rPr>
          <w:rFonts w:ascii="Calibri" w:hAnsi="Calibri" w:cs="Calibri"/>
          <w:bCs/>
          <w:sz w:val="22"/>
          <w:szCs w:val="22"/>
        </w:rPr>
      </w:pPr>
      <w:r w:rsidRPr="002E2B5B">
        <w:rPr>
          <w:rFonts w:ascii="Calibri" w:hAnsi="Calibri" w:cs="Calibri"/>
          <w:bCs/>
          <w:sz w:val="22"/>
          <w:szCs w:val="22"/>
        </w:rPr>
        <w:t>Diretor Presidente</w:t>
      </w:r>
    </w:p>
    <w:p w14:paraId="6364E379" w14:textId="77777777" w:rsidR="00ED6623" w:rsidRPr="002E2B5B" w:rsidRDefault="00ED6623" w:rsidP="00ED6623">
      <w:pPr>
        <w:ind w:left="714" w:right="57"/>
        <w:rPr>
          <w:rFonts w:ascii="Calibri" w:hAnsi="Calibri" w:cs="Calibri"/>
          <w:bCs/>
          <w:sz w:val="22"/>
          <w:szCs w:val="22"/>
        </w:rPr>
      </w:pPr>
      <w:r w:rsidRPr="002E2B5B">
        <w:rPr>
          <w:rFonts w:ascii="Calibri" w:hAnsi="Calibri" w:cs="Calibri"/>
          <w:bCs/>
          <w:sz w:val="22"/>
          <w:szCs w:val="22"/>
        </w:rPr>
        <w:t>Diretor de Administração e Finanças</w:t>
      </w:r>
      <w:r>
        <w:rPr>
          <w:rFonts w:ascii="Calibri" w:hAnsi="Calibri" w:cs="Calibri"/>
          <w:bCs/>
          <w:sz w:val="22"/>
          <w:szCs w:val="22"/>
        </w:rPr>
        <w:t xml:space="preserve"> - Substituto</w:t>
      </w:r>
    </w:p>
    <w:p w14:paraId="30778933" w14:textId="77777777" w:rsidR="00ED6623" w:rsidRPr="002E2B5B" w:rsidRDefault="00ED6623" w:rsidP="00ED6623">
      <w:pPr>
        <w:ind w:right="57"/>
        <w:rPr>
          <w:rFonts w:ascii="Calibri" w:hAnsi="Calibri" w:cs="Calibri"/>
          <w:bCs/>
          <w:sz w:val="22"/>
          <w:szCs w:val="22"/>
        </w:rPr>
      </w:pPr>
    </w:p>
    <w:p w14:paraId="74D7471C" w14:textId="77777777" w:rsidR="00ED6623" w:rsidRPr="002E2B5B" w:rsidRDefault="00ED6623" w:rsidP="00ED6623">
      <w:pPr>
        <w:ind w:left="714" w:right="57"/>
        <w:rPr>
          <w:rFonts w:ascii="Calibri" w:hAnsi="Calibri" w:cs="Calibri"/>
          <w:bCs/>
          <w:sz w:val="22"/>
          <w:szCs w:val="22"/>
        </w:rPr>
      </w:pPr>
    </w:p>
    <w:p w14:paraId="01CFF85C" w14:textId="77777777" w:rsidR="00ED6623" w:rsidRDefault="00ED6623" w:rsidP="00ED6623">
      <w:pPr>
        <w:ind w:left="714" w:right="57"/>
        <w:rPr>
          <w:rFonts w:ascii="Calibri" w:hAnsi="Calibri" w:cs="Calibri"/>
          <w:bCs/>
          <w:sz w:val="22"/>
          <w:szCs w:val="22"/>
        </w:rPr>
      </w:pPr>
    </w:p>
    <w:p w14:paraId="22778637" w14:textId="77777777" w:rsidR="00ED6623" w:rsidRPr="002E2B5B" w:rsidRDefault="00ED6623" w:rsidP="00ED6623">
      <w:pPr>
        <w:ind w:right="57"/>
        <w:rPr>
          <w:rFonts w:ascii="Calibri" w:hAnsi="Calibri" w:cs="Calibri"/>
          <w:bCs/>
          <w:sz w:val="22"/>
          <w:szCs w:val="22"/>
        </w:rPr>
      </w:pPr>
    </w:p>
    <w:p w14:paraId="5E64A693" w14:textId="77777777" w:rsidR="00ED6623" w:rsidRPr="002E2B5B" w:rsidRDefault="00ED6623" w:rsidP="00ED6623">
      <w:pPr>
        <w:ind w:left="714" w:right="57"/>
        <w:rPr>
          <w:rFonts w:ascii="Calibri" w:hAnsi="Calibri" w:cs="Calibri"/>
          <w:b/>
          <w:sz w:val="22"/>
          <w:szCs w:val="22"/>
        </w:rPr>
      </w:pPr>
      <w:r>
        <w:rPr>
          <w:rFonts w:ascii="Calibri" w:hAnsi="Calibri" w:cs="Calibri"/>
          <w:b/>
          <w:sz w:val="22"/>
          <w:szCs w:val="22"/>
        </w:rPr>
        <w:t>Alex Augusto Sanches Trevizan</w:t>
      </w:r>
    </w:p>
    <w:p w14:paraId="565747E4" w14:textId="77777777" w:rsidR="00ED6623" w:rsidRPr="002E2B5B" w:rsidRDefault="00ED6623" w:rsidP="00ED6623">
      <w:pPr>
        <w:ind w:left="714" w:right="57"/>
        <w:rPr>
          <w:rFonts w:ascii="Calibri" w:hAnsi="Calibri" w:cs="Calibri"/>
          <w:bCs/>
          <w:sz w:val="22"/>
          <w:szCs w:val="22"/>
        </w:rPr>
      </w:pPr>
      <w:r w:rsidRPr="002E2B5B">
        <w:rPr>
          <w:rFonts w:ascii="Calibri" w:hAnsi="Calibri" w:cs="Calibri"/>
          <w:bCs/>
          <w:sz w:val="22"/>
          <w:szCs w:val="22"/>
        </w:rPr>
        <w:t xml:space="preserve">Diretor de </w:t>
      </w:r>
      <w:r>
        <w:rPr>
          <w:rFonts w:ascii="Calibri" w:hAnsi="Calibri" w:cs="Calibri"/>
          <w:bCs/>
          <w:sz w:val="22"/>
          <w:szCs w:val="22"/>
        </w:rPr>
        <w:t>Negócios</w:t>
      </w:r>
    </w:p>
    <w:p w14:paraId="6D6DE4A5" w14:textId="78040C06" w:rsidR="00ED6623" w:rsidRPr="002E2B5B" w:rsidRDefault="00ED6623" w:rsidP="00ED6623">
      <w:pPr>
        <w:ind w:left="714" w:right="57"/>
        <w:rPr>
          <w:rFonts w:ascii="Calibri" w:hAnsi="Calibri" w:cs="Calibri"/>
          <w:bCs/>
          <w:sz w:val="22"/>
          <w:szCs w:val="22"/>
        </w:rPr>
      </w:pPr>
      <w:r w:rsidRPr="002E2B5B">
        <w:rPr>
          <w:rFonts w:ascii="Calibri" w:hAnsi="Calibri" w:cs="Calibri"/>
          <w:bCs/>
          <w:sz w:val="22"/>
          <w:szCs w:val="22"/>
        </w:rPr>
        <w:t>Diretor de Empreendimentos</w:t>
      </w:r>
      <w:r>
        <w:rPr>
          <w:rFonts w:ascii="Calibri" w:hAnsi="Calibri" w:cs="Calibri"/>
          <w:bCs/>
          <w:sz w:val="22"/>
          <w:szCs w:val="22"/>
        </w:rPr>
        <w:t xml:space="preserve"> </w:t>
      </w:r>
      <w:r w:rsidR="00FE2778">
        <w:rPr>
          <w:rFonts w:ascii="Calibri" w:hAnsi="Calibri" w:cs="Calibri"/>
          <w:bCs/>
          <w:sz w:val="22"/>
          <w:szCs w:val="22"/>
        </w:rPr>
        <w:t>–</w:t>
      </w:r>
      <w:r>
        <w:rPr>
          <w:rFonts w:ascii="Calibri" w:hAnsi="Calibri" w:cs="Calibri"/>
          <w:bCs/>
          <w:sz w:val="22"/>
          <w:szCs w:val="22"/>
        </w:rPr>
        <w:t xml:space="preserve"> Substituto</w:t>
      </w:r>
      <w:r w:rsidR="00FE2778">
        <w:rPr>
          <w:rFonts w:ascii="Calibri" w:hAnsi="Calibri" w:cs="Calibri"/>
          <w:bCs/>
          <w:sz w:val="22"/>
          <w:szCs w:val="22"/>
        </w:rPr>
        <w:t xml:space="preserve"> </w:t>
      </w:r>
    </w:p>
    <w:p w14:paraId="2BE98095" w14:textId="77777777" w:rsidR="00ED6623" w:rsidRDefault="00ED6623" w:rsidP="00ED6623">
      <w:pPr>
        <w:ind w:left="714" w:right="57"/>
        <w:rPr>
          <w:rFonts w:ascii="Calibri" w:hAnsi="Calibri" w:cs="Calibri"/>
          <w:bCs/>
          <w:sz w:val="22"/>
          <w:szCs w:val="22"/>
        </w:rPr>
      </w:pPr>
    </w:p>
    <w:p w14:paraId="37F6AAAC" w14:textId="77777777" w:rsidR="00ED6623" w:rsidRDefault="00ED6623" w:rsidP="00ED6623">
      <w:pPr>
        <w:ind w:left="714" w:right="57"/>
        <w:rPr>
          <w:rFonts w:ascii="Calibri" w:hAnsi="Calibri" w:cs="Calibri"/>
          <w:bCs/>
          <w:sz w:val="22"/>
          <w:szCs w:val="22"/>
        </w:rPr>
      </w:pPr>
    </w:p>
    <w:p w14:paraId="0CFE5A76" w14:textId="77777777" w:rsidR="00ED6623" w:rsidRDefault="00ED6623" w:rsidP="00ED6623">
      <w:pPr>
        <w:ind w:left="714" w:right="57"/>
        <w:rPr>
          <w:rFonts w:ascii="Calibri" w:hAnsi="Calibri" w:cs="Calibri"/>
          <w:bCs/>
          <w:sz w:val="22"/>
          <w:szCs w:val="22"/>
        </w:rPr>
      </w:pPr>
    </w:p>
    <w:p w14:paraId="14E10968" w14:textId="77777777" w:rsidR="00ED6623" w:rsidRPr="002E2B5B" w:rsidRDefault="00ED6623" w:rsidP="00ED6623">
      <w:pPr>
        <w:ind w:left="714" w:right="57"/>
        <w:rPr>
          <w:rFonts w:ascii="Calibri" w:hAnsi="Calibri" w:cs="Calibri"/>
          <w:bCs/>
          <w:sz w:val="22"/>
          <w:szCs w:val="22"/>
        </w:rPr>
      </w:pPr>
    </w:p>
    <w:p w14:paraId="18329886" w14:textId="77777777" w:rsidR="00ED6623" w:rsidRPr="002E2B5B" w:rsidRDefault="00ED6623" w:rsidP="00ED6623">
      <w:pPr>
        <w:ind w:left="714" w:right="57"/>
        <w:rPr>
          <w:rFonts w:ascii="Calibri" w:hAnsi="Calibri" w:cs="Calibri"/>
          <w:b/>
          <w:sz w:val="22"/>
          <w:szCs w:val="22"/>
        </w:rPr>
      </w:pPr>
      <w:r w:rsidRPr="002E2B5B">
        <w:rPr>
          <w:rFonts w:ascii="Calibri" w:hAnsi="Calibri" w:cs="Calibri"/>
          <w:b/>
          <w:sz w:val="22"/>
          <w:szCs w:val="22"/>
        </w:rPr>
        <w:t>Meg Sarkis Simão Rosa</w:t>
      </w:r>
    </w:p>
    <w:p w14:paraId="681219EE" w14:textId="77777777" w:rsidR="00ED6623" w:rsidRPr="001159E0" w:rsidRDefault="00ED6623" w:rsidP="00ED6623">
      <w:pPr>
        <w:ind w:left="714" w:right="57"/>
        <w:rPr>
          <w:rFonts w:ascii="Calibri" w:hAnsi="Calibri" w:cs="Calibri"/>
          <w:bCs/>
          <w:sz w:val="22"/>
          <w:szCs w:val="22"/>
        </w:rPr>
      </w:pPr>
      <w:r w:rsidRPr="002E2B5B">
        <w:rPr>
          <w:rFonts w:ascii="Calibri" w:hAnsi="Calibri" w:cs="Calibri"/>
          <w:bCs/>
          <w:sz w:val="22"/>
          <w:szCs w:val="22"/>
        </w:rPr>
        <w:t>Contadora – CRC/DF – 012674/O-9</w:t>
      </w:r>
    </w:p>
    <w:p w14:paraId="6C2B5594" w14:textId="2B32DEFF" w:rsidR="001159E0" w:rsidRDefault="001159E0" w:rsidP="002E2B5B">
      <w:pPr>
        <w:spacing w:after="120"/>
        <w:ind w:right="57"/>
        <w:jc w:val="both"/>
        <w:rPr>
          <w:rFonts w:ascii="Calibri" w:hAnsi="Calibri" w:cs="Calibri"/>
          <w:bCs/>
          <w:sz w:val="18"/>
          <w:szCs w:val="18"/>
        </w:rPr>
      </w:pPr>
    </w:p>
    <w:sectPr w:rsidR="001159E0" w:rsidSect="00331A4D">
      <w:headerReference w:type="default" r:id="rId14"/>
      <w:footerReference w:type="default" r:id="rId15"/>
      <w:pgSz w:w="11907" w:h="16840" w:code="9"/>
      <w:pgMar w:top="720" w:right="720" w:bottom="720" w:left="720" w:header="709" w:footer="11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7D51" w14:textId="77777777" w:rsidR="00810F1C" w:rsidRDefault="00810F1C">
      <w:r>
        <w:separator/>
      </w:r>
    </w:p>
  </w:endnote>
  <w:endnote w:type="continuationSeparator" w:id="0">
    <w:p w14:paraId="3B3AA3A1" w14:textId="77777777" w:rsidR="00810F1C" w:rsidRDefault="0081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243443"/>
      <w:docPartObj>
        <w:docPartGallery w:val="Page Numbers (Bottom of Page)"/>
        <w:docPartUnique/>
      </w:docPartObj>
    </w:sdtPr>
    <w:sdtEndPr/>
    <w:sdtContent>
      <w:p w14:paraId="58B3AB4C" w14:textId="6C169044" w:rsidR="00810F1C" w:rsidRDefault="00810F1C">
        <w:pPr>
          <w:pStyle w:val="Rodap"/>
          <w:jc w:val="center"/>
        </w:pPr>
        <w:r>
          <w:fldChar w:fldCharType="begin"/>
        </w:r>
        <w:r>
          <w:instrText>PAGE   \* MERGEFORMAT</w:instrText>
        </w:r>
        <w:r>
          <w:fldChar w:fldCharType="separate"/>
        </w:r>
        <w:r>
          <w:rPr>
            <w:lang w:val="pt-BR"/>
          </w:rPr>
          <w:t>2</w:t>
        </w:r>
        <w:r>
          <w:fldChar w:fldCharType="end"/>
        </w:r>
      </w:p>
    </w:sdtContent>
  </w:sdt>
  <w:p w14:paraId="437BD4BE" w14:textId="77777777" w:rsidR="00810F1C" w:rsidRPr="00D1757A" w:rsidRDefault="00810F1C">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5C8C" w14:textId="77777777" w:rsidR="00810F1C" w:rsidRDefault="00810F1C">
      <w:r>
        <w:separator/>
      </w:r>
    </w:p>
  </w:footnote>
  <w:footnote w:type="continuationSeparator" w:id="0">
    <w:p w14:paraId="5E6EA9CD" w14:textId="77777777" w:rsidR="00810F1C" w:rsidRDefault="00810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DB0E" w14:textId="5BC0CDFB" w:rsidR="00810F1C" w:rsidRDefault="00810F1C">
    <w:pPr>
      <w:pStyle w:val="Cabealho"/>
    </w:pPr>
    <w:r>
      <w:rPr>
        <w:noProof/>
      </w:rPr>
      <w:drawing>
        <wp:inline distT="0" distB="0" distL="0" distR="0" wp14:anchorId="737FDF62" wp14:editId="5907D0C6">
          <wp:extent cx="2677160" cy="349885"/>
          <wp:effectExtent l="0" t="0" r="8890" b="0"/>
          <wp:docPr id="1" name="Imagem 1" descr="logo valec1"/>
          <wp:cNvGraphicFramePr/>
          <a:graphic xmlns:a="http://schemas.openxmlformats.org/drawingml/2006/main">
            <a:graphicData uri="http://schemas.openxmlformats.org/drawingml/2006/picture">
              <pic:pic xmlns:pic="http://schemas.openxmlformats.org/drawingml/2006/picture">
                <pic:nvPicPr>
                  <pic:cNvPr id="5" name="Imagem 5" descr="logo valec1"/>
                  <pic:cNvPicPr/>
                </pic:nvPicPr>
                <pic:blipFill>
                  <a:blip r:embed="rId1"/>
                  <a:srcRect/>
                  <a:stretch>
                    <a:fillRect/>
                  </a:stretch>
                </pic:blipFill>
                <pic:spPr bwMode="auto">
                  <a:xfrm>
                    <a:off x="0" y="0"/>
                    <a:ext cx="2677160" cy="349885"/>
                  </a:xfrm>
                  <a:prstGeom prst="rect">
                    <a:avLst/>
                  </a:prstGeom>
                  <a:noFill/>
                  <a:ln w="9525">
                    <a:noFill/>
                    <a:miter lim="800000"/>
                    <a:headEnd/>
                    <a:tailEnd/>
                  </a:ln>
                </pic:spPr>
              </pic:pic>
            </a:graphicData>
          </a:graphic>
        </wp:inline>
      </w:drawing>
    </w:r>
  </w:p>
  <w:p w14:paraId="185A0884" w14:textId="77777777" w:rsidR="00810F1C" w:rsidRDefault="00810F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9.15pt" o:bullet="t">
        <v:imagedata r:id="rId1" o:title="clip_image001"/>
      </v:shape>
    </w:pict>
  </w:numPicBullet>
  <w:abstractNum w:abstractNumId="0" w15:restartNumberingAfterBreak="0">
    <w:nsid w:val="04BB26BB"/>
    <w:multiLevelType w:val="hybridMultilevel"/>
    <w:tmpl w:val="CE5AF8BA"/>
    <w:lvl w:ilvl="0" w:tplc="88C21872">
      <w:start w:val="1"/>
      <w:numFmt w:val="lowerLetter"/>
      <w:lvlText w:val="%1)"/>
      <w:lvlJc w:val="left"/>
      <w:pPr>
        <w:ind w:left="644" w:hanging="360"/>
      </w:pPr>
      <w:rPr>
        <w:rFonts w:hint="default"/>
        <w:sz w:val="24"/>
        <w:szCs w:val="24"/>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1" w15:restartNumberingAfterBreak="0">
    <w:nsid w:val="09C610F1"/>
    <w:multiLevelType w:val="hybridMultilevel"/>
    <w:tmpl w:val="9D042E94"/>
    <w:lvl w:ilvl="0" w:tplc="04160017">
      <w:start w:val="1"/>
      <w:numFmt w:val="lowerLetter"/>
      <w:lvlText w:val="%1)"/>
      <w:lvlJc w:val="left"/>
      <w:pPr>
        <w:ind w:left="404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516FEE"/>
    <w:multiLevelType w:val="hybridMultilevel"/>
    <w:tmpl w:val="0D90D0B4"/>
    <w:lvl w:ilvl="0" w:tplc="0082F4BA">
      <w:start w:val="1"/>
      <w:numFmt w:val="lowerLetter"/>
      <w:lvlText w:val="%1)"/>
      <w:lvlJc w:val="left"/>
      <w:pPr>
        <w:ind w:left="720" w:hanging="360"/>
      </w:pPr>
      <w:rPr>
        <w:rFonts w:ascii="Calibri" w:eastAsia="Times New Roman" w:hAnsi="Calibri" w:cs="Calibri"/>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63683E"/>
    <w:multiLevelType w:val="hybridMultilevel"/>
    <w:tmpl w:val="21985030"/>
    <w:lvl w:ilvl="0" w:tplc="F0DE01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714E4C"/>
    <w:multiLevelType w:val="hybridMultilevel"/>
    <w:tmpl w:val="7A86D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936EAB"/>
    <w:multiLevelType w:val="hybridMultilevel"/>
    <w:tmpl w:val="CCDA5052"/>
    <w:lvl w:ilvl="0" w:tplc="8424FA3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DD6630"/>
    <w:multiLevelType w:val="hybridMultilevel"/>
    <w:tmpl w:val="ADE26C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2704CB"/>
    <w:multiLevelType w:val="hybridMultilevel"/>
    <w:tmpl w:val="0DAE396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13D6C52"/>
    <w:multiLevelType w:val="hybridMultilevel"/>
    <w:tmpl w:val="E0969A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542AF3"/>
    <w:multiLevelType w:val="hybridMultilevel"/>
    <w:tmpl w:val="2EB2EE1C"/>
    <w:lvl w:ilvl="0" w:tplc="3FE6CB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BD04E3"/>
    <w:multiLevelType w:val="hybridMultilevel"/>
    <w:tmpl w:val="8864EAF2"/>
    <w:lvl w:ilvl="0" w:tplc="E340B244">
      <w:start w:val="3"/>
      <w:numFmt w:val="low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956740"/>
    <w:multiLevelType w:val="hybridMultilevel"/>
    <w:tmpl w:val="2E0C0A66"/>
    <w:lvl w:ilvl="0" w:tplc="608899E6">
      <w:start w:val="1"/>
      <w:numFmt w:val="decimal"/>
      <w:lvlText w:val="(%1)"/>
      <w:lvlJc w:val="left"/>
      <w:pPr>
        <w:ind w:left="720" w:hanging="360"/>
      </w:pPr>
      <w:rPr>
        <w:rFonts w:ascii="Calibri" w:eastAsia="Times New Roman"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D20147"/>
    <w:multiLevelType w:val="hybridMultilevel"/>
    <w:tmpl w:val="544E9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BA7190"/>
    <w:multiLevelType w:val="hybridMultilevel"/>
    <w:tmpl w:val="6204BC5C"/>
    <w:lvl w:ilvl="0" w:tplc="A0F8FC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F127D2"/>
    <w:multiLevelType w:val="hybridMultilevel"/>
    <w:tmpl w:val="A1E2D0A6"/>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0A6201"/>
    <w:multiLevelType w:val="hybridMultilevel"/>
    <w:tmpl w:val="97D4183E"/>
    <w:lvl w:ilvl="0" w:tplc="225EE5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FB2ECE"/>
    <w:multiLevelType w:val="hybridMultilevel"/>
    <w:tmpl w:val="86A264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6A69AC"/>
    <w:multiLevelType w:val="hybridMultilevel"/>
    <w:tmpl w:val="9038255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DB60E16"/>
    <w:multiLevelType w:val="hybridMultilevel"/>
    <w:tmpl w:val="DA1E5116"/>
    <w:lvl w:ilvl="0" w:tplc="26F4BD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F4434FA"/>
    <w:multiLevelType w:val="hybridMultilevel"/>
    <w:tmpl w:val="10BA319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2F13B24"/>
    <w:multiLevelType w:val="hybridMultilevel"/>
    <w:tmpl w:val="2994816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6F03F8"/>
    <w:multiLevelType w:val="multilevel"/>
    <w:tmpl w:val="A4C0FEDA"/>
    <w:lvl w:ilvl="0">
      <w:start w:val="1"/>
      <w:numFmt w:val="decimal"/>
      <w:lvlText w:val="%1."/>
      <w:lvlJc w:val="left"/>
      <w:pPr>
        <w:tabs>
          <w:tab w:val="num" w:pos="1418"/>
        </w:tabs>
        <w:ind w:left="0" w:firstLine="0"/>
      </w:pPr>
      <w:rPr>
        <w:rFonts w:ascii="Times New Roman" w:hAnsi="Times New Roman" w:cs="Times New Roman" w:hint="default"/>
        <w:sz w:val="24"/>
        <w:szCs w:val="22"/>
      </w:rPr>
    </w:lvl>
    <w:lvl w:ilvl="1">
      <w:start w:val="1"/>
      <w:numFmt w:val="lowerLetter"/>
      <w:lvlText w:val="%2."/>
      <w:lvlJc w:val="left"/>
      <w:pPr>
        <w:ind w:left="2269" w:hanging="1418"/>
      </w:pPr>
      <w:rPr>
        <w:rFonts w:hint="default"/>
      </w:rPr>
    </w:lvl>
    <w:lvl w:ilvl="2">
      <w:start w:val="1"/>
      <w:numFmt w:val="lowerRoman"/>
      <w:lvlText w:val="%3."/>
      <w:lvlJc w:val="right"/>
      <w:pPr>
        <w:ind w:left="3120" w:hanging="1418"/>
      </w:pPr>
      <w:rPr>
        <w:rFonts w:hint="default"/>
      </w:rPr>
    </w:lvl>
    <w:lvl w:ilvl="3">
      <w:start w:val="1"/>
      <w:numFmt w:val="decimal"/>
      <w:lvlText w:val="%4."/>
      <w:lvlJc w:val="left"/>
      <w:pPr>
        <w:ind w:left="3971" w:hanging="1418"/>
      </w:pPr>
      <w:rPr>
        <w:rFonts w:hint="default"/>
      </w:rPr>
    </w:lvl>
    <w:lvl w:ilvl="4">
      <w:start w:val="1"/>
      <w:numFmt w:val="lowerLetter"/>
      <w:lvlText w:val="%5."/>
      <w:lvlJc w:val="left"/>
      <w:pPr>
        <w:ind w:left="4822" w:hanging="1418"/>
      </w:pPr>
      <w:rPr>
        <w:rFonts w:hint="default"/>
      </w:rPr>
    </w:lvl>
    <w:lvl w:ilvl="5">
      <w:start w:val="1"/>
      <w:numFmt w:val="lowerRoman"/>
      <w:lvlText w:val="%6."/>
      <w:lvlJc w:val="right"/>
      <w:pPr>
        <w:ind w:left="5673" w:hanging="1418"/>
      </w:pPr>
      <w:rPr>
        <w:rFonts w:hint="default"/>
      </w:rPr>
    </w:lvl>
    <w:lvl w:ilvl="6">
      <w:start w:val="1"/>
      <w:numFmt w:val="decimal"/>
      <w:lvlText w:val="%7."/>
      <w:lvlJc w:val="left"/>
      <w:pPr>
        <w:ind w:left="6524" w:hanging="1418"/>
      </w:pPr>
      <w:rPr>
        <w:rFonts w:hint="default"/>
      </w:rPr>
    </w:lvl>
    <w:lvl w:ilvl="7">
      <w:start w:val="1"/>
      <w:numFmt w:val="lowerLetter"/>
      <w:lvlText w:val="%8."/>
      <w:lvlJc w:val="left"/>
      <w:pPr>
        <w:ind w:left="7375" w:hanging="1418"/>
      </w:pPr>
      <w:rPr>
        <w:rFonts w:hint="default"/>
      </w:rPr>
    </w:lvl>
    <w:lvl w:ilvl="8">
      <w:start w:val="1"/>
      <w:numFmt w:val="lowerRoman"/>
      <w:lvlText w:val="%9."/>
      <w:lvlJc w:val="right"/>
      <w:pPr>
        <w:ind w:left="8226" w:hanging="1418"/>
      </w:pPr>
      <w:rPr>
        <w:rFonts w:hint="default"/>
      </w:rPr>
    </w:lvl>
  </w:abstractNum>
  <w:abstractNum w:abstractNumId="22" w15:restartNumberingAfterBreak="0">
    <w:nsid w:val="53F772D5"/>
    <w:multiLevelType w:val="hybridMultilevel"/>
    <w:tmpl w:val="002847E2"/>
    <w:lvl w:ilvl="0" w:tplc="3FC00C00">
      <w:start w:val="1"/>
      <w:numFmt w:val="lowerLetter"/>
      <w:lvlText w:val="%1)"/>
      <w:lvlJc w:val="left"/>
      <w:pPr>
        <w:ind w:left="1637"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2D7DA4"/>
    <w:multiLevelType w:val="hybridMultilevel"/>
    <w:tmpl w:val="B8506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076B7F"/>
    <w:multiLevelType w:val="hybridMultilevel"/>
    <w:tmpl w:val="32DC7932"/>
    <w:lvl w:ilvl="0" w:tplc="108C4072">
      <w:start w:val="1"/>
      <w:numFmt w:val="decimal"/>
      <w:lvlText w:val="%1."/>
      <w:lvlJc w:val="left"/>
      <w:pPr>
        <w:ind w:left="928" w:hanging="360"/>
      </w:pPr>
      <w:rPr>
        <w:b w:val="0"/>
        <w:i w:val="0"/>
        <w:color w:val="auto"/>
        <w:lang w:val="pt-BR"/>
      </w:rPr>
    </w:lvl>
    <w:lvl w:ilvl="1" w:tplc="FCDAE2C6">
      <w:start w:val="1"/>
      <w:numFmt w:val="lowerLetter"/>
      <w:lvlText w:val="%2)"/>
      <w:lvlJc w:val="left"/>
      <w:pPr>
        <w:ind w:left="1495" w:hanging="360"/>
      </w:pPr>
      <w:rPr>
        <w:rFonts w:hint="default"/>
        <w:b w:val="0"/>
        <w:i/>
        <w:color w:val="auto"/>
      </w:rPr>
    </w:lvl>
    <w:lvl w:ilvl="2" w:tplc="0416001B">
      <w:start w:val="1"/>
      <w:numFmt w:val="lowerRoman"/>
      <w:lvlText w:val="%3."/>
      <w:lvlJc w:val="right"/>
      <w:pPr>
        <w:ind w:left="2160" w:hanging="180"/>
      </w:pPr>
    </w:lvl>
    <w:lvl w:ilvl="3" w:tplc="08160001">
      <w:start w:val="1"/>
      <w:numFmt w:val="bullet"/>
      <w:lvlText w:val=""/>
      <w:lvlJc w:val="left"/>
      <w:pPr>
        <w:ind w:left="2880" w:hanging="360"/>
      </w:pPr>
      <w:rPr>
        <w:rFonts w:ascii="Symbol" w:hAnsi="Symbol" w:hint="default"/>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C4CDD"/>
    <w:multiLevelType w:val="hybridMultilevel"/>
    <w:tmpl w:val="D63C3B4A"/>
    <w:lvl w:ilvl="0" w:tplc="CEBA4714">
      <w:start w:val="1"/>
      <w:numFmt w:val="lowerLetter"/>
      <w:lvlText w:val="%1)"/>
      <w:lvlJc w:val="left"/>
      <w:pPr>
        <w:ind w:left="644" w:hanging="360"/>
      </w:pPr>
      <w:rPr>
        <w:rFonts w:hint="default"/>
        <w:b/>
        <w:sz w:val="24"/>
        <w:szCs w:val="24"/>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26" w15:restartNumberingAfterBreak="0">
    <w:nsid w:val="5D9453D1"/>
    <w:multiLevelType w:val="hybridMultilevel"/>
    <w:tmpl w:val="E79AA2B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1622C2C"/>
    <w:multiLevelType w:val="hybridMultilevel"/>
    <w:tmpl w:val="E9A89910"/>
    <w:lvl w:ilvl="0" w:tplc="9BA813C6">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9D0CF3"/>
    <w:multiLevelType w:val="hybridMultilevel"/>
    <w:tmpl w:val="7A8AA542"/>
    <w:lvl w:ilvl="0" w:tplc="FB323B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79D366B"/>
    <w:multiLevelType w:val="hybridMultilevel"/>
    <w:tmpl w:val="510213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4143D1"/>
    <w:multiLevelType w:val="hybridMultilevel"/>
    <w:tmpl w:val="FBC6967C"/>
    <w:lvl w:ilvl="0" w:tplc="9398D658">
      <w:start w:val="1"/>
      <w:numFmt w:val="decimal"/>
      <w:lvlText w:val="(%1)"/>
      <w:lvlJc w:val="left"/>
      <w:pPr>
        <w:ind w:left="720" w:hanging="360"/>
      </w:pPr>
      <w:rPr>
        <w:rFonts w:ascii="Calibri" w:eastAsia="Times New Roman" w:hAnsi="Calibri" w:cs="Calibri"/>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BE6C1D"/>
    <w:multiLevelType w:val="hybridMultilevel"/>
    <w:tmpl w:val="36F0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DC608A"/>
    <w:multiLevelType w:val="hybridMultilevel"/>
    <w:tmpl w:val="D7CA1482"/>
    <w:lvl w:ilvl="0" w:tplc="1A243D74">
      <w:start w:val="1"/>
      <w:numFmt w:val="decimal"/>
      <w:lvlText w:val="(%1)"/>
      <w:lvlJc w:val="left"/>
      <w:pPr>
        <w:ind w:left="720" w:hanging="360"/>
      </w:pPr>
      <w:rPr>
        <w:rFonts w:ascii="Calibri" w:eastAsia="Times New Roman"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2C3BE0"/>
    <w:multiLevelType w:val="hybridMultilevel"/>
    <w:tmpl w:val="319ED6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7D02846"/>
    <w:multiLevelType w:val="hybridMultilevel"/>
    <w:tmpl w:val="7BDC4CA6"/>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E7B19"/>
    <w:multiLevelType w:val="hybridMultilevel"/>
    <w:tmpl w:val="69067E88"/>
    <w:lvl w:ilvl="0" w:tplc="AE9C3EB4">
      <w:numFmt w:val="bullet"/>
      <w:lvlText w:val=""/>
      <w:lvlJc w:val="left"/>
      <w:pPr>
        <w:ind w:left="2118" w:hanging="360"/>
      </w:pPr>
      <w:rPr>
        <w:rFonts w:ascii="Wingdings" w:eastAsia="Wingdings" w:hAnsi="Wingdings" w:cs="Wingdings" w:hint="default"/>
        <w:w w:val="100"/>
        <w:sz w:val="22"/>
        <w:szCs w:val="22"/>
        <w:lang w:val="pt-PT" w:eastAsia="en-US" w:bidi="ar-SA"/>
      </w:rPr>
    </w:lvl>
    <w:lvl w:ilvl="1" w:tplc="E4DC7D58">
      <w:numFmt w:val="bullet"/>
      <w:lvlText w:val="•"/>
      <w:lvlJc w:val="left"/>
      <w:pPr>
        <w:ind w:left="3020" w:hanging="360"/>
      </w:pPr>
      <w:rPr>
        <w:rFonts w:hint="default"/>
        <w:lang w:val="pt-PT" w:eastAsia="en-US" w:bidi="ar-SA"/>
      </w:rPr>
    </w:lvl>
    <w:lvl w:ilvl="2" w:tplc="1C184AF0">
      <w:numFmt w:val="bullet"/>
      <w:lvlText w:val="•"/>
      <w:lvlJc w:val="left"/>
      <w:pPr>
        <w:ind w:left="3920" w:hanging="360"/>
      </w:pPr>
      <w:rPr>
        <w:rFonts w:hint="default"/>
        <w:lang w:val="pt-PT" w:eastAsia="en-US" w:bidi="ar-SA"/>
      </w:rPr>
    </w:lvl>
    <w:lvl w:ilvl="3" w:tplc="46BCEFBC">
      <w:numFmt w:val="bullet"/>
      <w:lvlText w:val="•"/>
      <w:lvlJc w:val="left"/>
      <w:pPr>
        <w:ind w:left="4820" w:hanging="360"/>
      </w:pPr>
      <w:rPr>
        <w:rFonts w:hint="default"/>
        <w:lang w:val="pt-PT" w:eastAsia="en-US" w:bidi="ar-SA"/>
      </w:rPr>
    </w:lvl>
    <w:lvl w:ilvl="4" w:tplc="BD1C81DE">
      <w:numFmt w:val="bullet"/>
      <w:lvlText w:val="•"/>
      <w:lvlJc w:val="left"/>
      <w:pPr>
        <w:ind w:left="5720" w:hanging="360"/>
      </w:pPr>
      <w:rPr>
        <w:rFonts w:hint="default"/>
        <w:lang w:val="pt-PT" w:eastAsia="en-US" w:bidi="ar-SA"/>
      </w:rPr>
    </w:lvl>
    <w:lvl w:ilvl="5" w:tplc="96523094">
      <w:numFmt w:val="bullet"/>
      <w:lvlText w:val="•"/>
      <w:lvlJc w:val="left"/>
      <w:pPr>
        <w:ind w:left="6620" w:hanging="360"/>
      </w:pPr>
      <w:rPr>
        <w:rFonts w:hint="default"/>
        <w:lang w:val="pt-PT" w:eastAsia="en-US" w:bidi="ar-SA"/>
      </w:rPr>
    </w:lvl>
    <w:lvl w:ilvl="6" w:tplc="2856D76C">
      <w:numFmt w:val="bullet"/>
      <w:lvlText w:val="•"/>
      <w:lvlJc w:val="left"/>
      <w:pPr>
        <w:ind w:left="7520" w:hanging="360"/>
      </w:pPr>
      <w:rPr>
        <w:rFonts w:hint="default"/>
        <w:lang w:val="pt-PT" w:eastAsia="en-US" w:bidi="ar-SA"/>
      </w:rPr>
    </w:lvl>
    <w:lvl w:ilvl="7" w:tplc="0B307206">
      <w:numFmt w:val="bullet"/>
      <w:lvlText w:val="•"/>
      <w:lvlJc w:val="left"/>
      <w:pPr>
        <w:ind w:left="8420" w:hanging="360"/>
      </w:pPr>
      <w:rPr>
        <w:rFonts w:hint="default"/>
        <w:lang w:val="pt-PT" w:eastAsia="en-US" w:bidi="ar-SA"/>
      </w:rPr>
    </w:lvl>
    <w:lvl w:ilvl="8" w:tplc="C8A87708">
      <w:numFmt w:val="bullet"/>
      <w:lvlText w:val="•"/>
      <w:lvlJc w:val="left"/>
      <w:pPr>
        <w:ind w:left="9320" w:hanging="360"/>
      </w:pPr>
      <w:rPr>
        <w:rFonts w:hint="default"/>
        <w:lang w:val="pt-PT" w:eastAsia="en-US" w:bidi="ar-SA"/>
      </w:rPr>
    </w:lvl>
  </w:abstractNum>
  <w:abstractNum w:abstractNumId="36" w15:restartNumberingAfterBreak="0">
    <w:nsid w:val="7CE7090E"/>
    <w:multiLevelType w:val="hybridMultilevel"/>
    <w:tmpl w:val="299813CE"/>
    <w:lvl w:ilvl="0" w:tplc="9AE8422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E891B70"/>
    <w:multiLevelType w:val="hybridMultilevel"/>
    <w:tmpl w:val="7BDC4CA6"/>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0"/>
  </w:num>
  <w:num w:numId="3">
    <w:abstractNumId w:val="27"/>
  </w:num>
  <w:num w:numId="4">
    <w:abstractNumId w:val="10"/>
  </w:num>
  <w:num w:numId="5">
    <w:abstractNumId w:val="25"/>
  </w:num>
  <w:num w:numId="6">
    <w:abstractNumId w:val="4"/>
  </w:num>
  <w:num w:numId="7">
    <w:abstractNumId w:val="9"/>
  </w:num>
  <w:num w:numId="8">
    <w:abstractNumId w:val="18"/>
  </w:num>
  <w:num w:numId="9">
    <w:abstractNumId w:val="6"/>
  </w:num>
  <w:num w:numId="10">
    <w:abstractNumId w:val="1"/>
  </w:num>
  <w:num w:numId="11">
    <w:abstractNumId w:val="33"/>
  </w:num>
  <w:num w:numId="12">
    <w:abstractNumId w:val="8"/>
  </w:num>
  <w:num w:numId="13">
    <w:abstractNumId w:val="29"/>
  </w:num>
  <w:num w:numId="14">
    <w:abstractNumId w:val="11"/>
  </w:num>
  <w:num w:numId="15">
    <w:abstractNumId w:val="2"/>
  </w:num>
  <w:num w:numId="16">
    <w:abstractNumId w:val="34"/>
  </w:num>
  <w:num w:numId="17">
    <w:abstractNumId w:val="23"/>
  </w:num>
  <w:num w:numId="18">
    <w:abstractNumId w:val="12"/>
  </w:num>
  <w:num w:numId="19">
    <w:abstractNumId w:val="15"/>
  </w:num>
  <w:num w:numId="20">
    <w:abstractNumId w:val="28"/>
  </w:num>
  <w:num w:numId="21">
    <w:abstractNumId w:val="30"/>
  </w:num>
  <w:num w:numId="22">
    <w:abstractNumId w:val="21"/>
  </w:num>
  <w:num w:numId="23">
    <w:abstractNumId w:val="24"/>
  </w:num>
  <w:num w:numId="24">
    <w:abstractNumId w:val="20"/>
  </w:num>
  <w:num w:numId="25">
    <w:abstractNumId w:val="37"/>
  </w:num>
  <w:num w:numId="26">
    <w:abstractNumId w:val="3"/>
  </w:num>
  <w:num w:numId="27">
    <w:abstractNumId w:val="35"/>
  </w:num>
  <w:num w:numId="28">
    <w:abstractNumId w:val="26"/>
  </w:num>
  <w:num w:numId="29">
    <w:abstractNumId w:val="17"/>
  </w:num>
  <w:num w:numId="30">
    <w:abstractNumId w:val="7"/>
  </w:num>
  <w:num w:numId="31">
    <w:abstractNumId w:val="19"/>
  </w:num>
  <w:num w:numId="32">
    <w:abstractNumId w:val="16"/>
  </w:num>
  <w:num w:numId="33">
    <w:abstractNumId w:val="36"/>
  </w:num>
  <w:num w:numId="34">
    <w:abstractNumId w:val="14"/>
  </w:num>
  <w:num w:numId="35">
    <w:abstractNumId w:val="31"/>
  </w:num>
  <w:num w:numId="36">
    <w:abstractNumId w:val="32"/>
  </w:num>
  <w:num w:numId="37">
    <w:abstractNumId w:val="13"/>
  </w:num>
  <w:num w:numId="3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10"/>
    <w:rsid w:val="00000BCA"/>
    <w:rsid w:val="00000C94"/>
    <w:rsid w:val="00000D8F"/>
    <w:rsid w:val="00000E94"/>
    <w:rsid w:val="00001005"/>
    <w:rsid w:val="00001DA8"/>
    <w:rsid w:val="00001F30"/>
    <w:rsid w:val="0000220D"/>
    <w:rsid w:val="000027B2"/>
    <w:rsid w:val="000028C7"/>
    <w:rsid w:val="00002A88"/>
    <w:rsid w:val="00002D60"/>
    <w:rsid w:val="00003029"/>
    <w:rsid w:val="000038B1"/>
    <w:rsid w:val="00004966"/>
    <w:rsid w:val="00004F42"/>
    <w:rsid w:val="000052AC"/>
    <w:rsid w:val="000052BC"/>
    <w:rsid w:val="000052F0"/>
    <w:rsid w:val="0000641F"/>
    <w:rsid w:val="000069AD"/>
    <w:rsid w:val="00006A6A"/>
    <w:rsid w:val="00006D0C"/>
    <w:rsid w:val="00007081"/>
    <w:rsid w:val="00007768"/>
    <w:rsid w:val="00007A8B"/>
    <w:rsid w:val="00007B07"/>
    <w:rsid w:val="000103EB"/>
    <w:rsid w:val="00010472"/>
    <w:rsid w:val="00010501"/>
    <w:rsid w:val="00010512"/>
    <w:rsid w:val="000109FB"/>
    <w:rsid w:val="0001206F"/>
    <w:rsid w:val="000125DE"/>
    <w:rsid w:val="00012608"/>
    <w:rsid w:val="00012652"/>
    <w:rsid w:val="00012EC4"/>
    <w:rsid w:val="000130F4"/>
    <w:rsid w:val="00013845"/>
    <w:rsid w:val="00013C66"/>
    <w:rsid w:val="00014143"/>
    <w:rsid w:val="00014224"/>
    <w:rsid w:val="0001425A"/>
    <w:rsid w:val="00014767"/>
    <w:rsid w:val="00014790"/>
    <w:rsid w:val="000148F8"/>
    <w:rsid w:val="00014B09"/>
    <w:rsid w:val="00014BFF"/>
    <w:rsid w:val="00014DC2"/>
    <w:rsid w:val="000154C7"/>
    <w:rsid w:val="000155BF"/>
    <w:rsid w:val="000155FA"/>
    <w:rsid w:val="0001580D"/>
    <w:rsid w:val="000158DC"/>
    <w:rsid w:val="0001598F"/>
    <w:rsid w:val="00016521"/>
    <w:rsid w:val="000168FB"/>
    <w:rsid w:val="00016B69"/>
    <w:rsid w:val="00020BA1"/>
    <w:rsid w:val="00020E50"/>
    <w:rsid w:val="00021249"/>
    <w:rsid w:val="00021F17"/>
    <w:rsid w:val="00021FF3"/>
    <w:rsid w:val="00022105"/>
    <w:rsid w:val="00022911"/>
    <w:rsid w:val="000229FA"/>
    <w:rsid w:val="0002316D"/>
    <w:rsid w:val="0002343B"/>
    <w:rsid w:val="00023AC8"/>
    <w:rsid w:val="00023BAC"/>
    <w:rsid w:val="000242FD"/>
    <w:rsid w:val="00024680"/>
    <w:rsid w:val="00024A86"/>
    <w:rsid w:val="00024F2C"/>
    <w:rsid w:val="0002508D"/>
    <w:rsid w:val="0002552A"/>
    <w:rsid w:val="00026171"/>
    <w:rsid w:val="00026475"/>
    <w:rsid w:val="000264A3"/>
    <w:rsid w:val="00026A12"/>
    <w:rsid w:val="00027791"/>
    <w:rsid w:val="00027F1B"/>
    <w:rsid w:val="00030200"/>
    <w:rsid w:val="00030E8C"/>
    <w:rsid w:val="000311D3"/>
    <w:rsid w:val="000315AE"/>
    <w:rsid w:val="0003160C"/>
    <w:rsid w:val="00031B0F"/>
    <w:rsid w:val="00031BB7"/>
    <w:rsid w:val="00031D94"/>
    <w:rsid w:val="00032764"/>
    <w:rsid w:val="00032CB9"/>
    <w:rsid w:val="00032F3B"/>
    <w:rsid w:val="00033BD9"/>
    <w:rsid w:val="00034521"/>
    <w:rsid w:val="00034776"/>
    <w:rsid w:val="00034820"/>
    <w:rsid w:val="00034851"/>
    <w:rsid w:val="00034AA9"/>
    <w:rsid w:val="000358F4"/>
    <w:rsid w:val="000360CF"/>
    <w:rsid w:val="00036234"/>
    <w:rsid w:val="0003643F"/>
    <w:rsid w:val="0003646A"/>
    <w:rsid w:val="000376F3"/>
    <w:rsid w:val="0004011B"/>
    <w:rsid w:val="000406FC"/>
    <w:rsid w:val="000408D6"/>
    <w:rsid w:val="00040BCF"/>
    <w:rsid w:val="00041155"/>
    <w:rsid w:val="0004117C"/>
    <w:rsid w:val="00043892"/>
    <w:rsid w:val="00043EC6"/>
    <w:rsid w:val="00044367"/>
    <w:rsid w:val="00044AC3"/>
    <w:rsid w:val="00044D40"/>
    <w:rsid w:val="0004581F"/>
    <w:rsid w:val="00045C0E"/>
    <w:rsid w:val="00046545"/>
    <w:rsid w:val="00046BF7"/>
    <w:rsid w:val="00046C80"/>
    <w:rsid w:val="0004780C"/>
    <w:rsid w:val="00047DC1"/>
    <w:rsid w:val="00047EC0"/>
    <w:rsid w:val="000500AD"/>
    <w:rsid w:val="000504C2"/>
    <w:rsid w:val="00051335"/>
    <w:rsid w:val="000519D8"/>
    <w:rsid w:val="00052819"/>
    <w:rsid w:val="00052C65"/>
    <w:rsid w:val="00052E9C"/>
    <w:rsid w:val="00053A04"/>
    <w:rsid w:val="00053F40"/>
    <w:rsid w:val="00054133"/>
    <w:rsid w:val="00054673"/>
    <w:rsid w:val="000547EE"/>
    <w:rsid w:val="0005481F"/>
    <w:rsid w:val="00054CE1"/>
    <w:rsid w:val="00054F4D"/>
    <w:rsid w:val="000551F6"/>
    <w:rsid w:val="0005551A"/>
    <w:rsid w:val="00055773"/>
    <w:rsid w:val="00055904"/>
    <w:rsid w:val="00055F20"/>
    <w:rsid w:val="00056148"/>
    <w:rsid w:val="00056337"/>
    <w:rsid w:val="00056433"/>
    <w:rsid w:val="000568B0"/>
    <w:rsid w:val="00056ED5"/>
    <w:rsid w:val="00056FCB"/>
    <w:rsid w:val="0005788D"/>
    <w:rsid w:val="00057AF4"/>
    <w:rsid w:val="00057B1E"/>
    <w:rsid w:val="000603DE"/>
    <w:rsid w:val="0006051E"/>
    <w:rsid w:val="00060615"/>
    <w:rsid w:val="00060741"/>
    <w:rsid w:val="00060FC5"/>
    <w:rsid w:val="00061562"/>
    <w:rsid w:val="0006229F"/>
    <w:rsid w:val="00062DDB"/>
    <w:rsid w:val="00063101"/>
    <w:rsid w:val="00063344"/>
    <w:rsid w:val="000638C7"/>
    <w:rsid w:val="00063CAF"/>
    <w:rsid w:val="00063D79"/>
    <w:rsid w:val="00063F74"/>
    <w:rsid w:val="000643B0"/>
    <w:rsid w:val="000643FB"/>
    <w:rsid w:val="0006479C"/>
    <w:rsid w:val="0006483C"/>
    <w:rsid w:val="0006516E"/>
    <w:rsid w:val="000656CB"/>
    <w:rsid w:val="0006608E"/>
    <w:rsid w:val="0006611E"/>
    <w:rsid w:val="00066BBD"/>
    <w:rsid w:val="000671A8"/>
    <w:rsid w:val="00067272"/>
    <w:rsid w:val="000674F2"/>
    <w:rsid w:val="00067549"/>
    <w:rsid w:val="00067718"/>
    <w:rsid w:val="00067BD4"/>
    <w:rsid w:val="000703BF"/>
    <w:rsid w:val="000704CC"/>
    <w:rsid w:val="00070651"/>
    <w:rsid w:val="0007086A"/>
    <w:rsid w:val="00070945"/>
    <w:rsid w:val="00070966"/>
    <w:rsid w:val="00071445"/>
    <w:rsid w:val="00071652"/>
    <w:rsid w:val="00071F5E"/>
    <w:rsid w:val="0007275C"/>
    <w:rsid w:val="00072D26"/>
    <w:rsid w:val="00073B49"/>
    <w:rsid w:val="000742C8"/>
    <w:rsid w:val="000746D2"/>
    <w:rsid w:val="00075644"/>
    <w:rsid w:val="0007577E"/>
    <w:rsid w:val="00075AC0"/>
    <w:rsid w:val="00076C37"/>
    <w:rsid w:val="000771FA"/>
    <w:rsid w:val="000773F2"/>
    <w:rsid w:val="000776EC"/>
    <w:rsid w:val="000776F4"/>
    <w:rsid w:val="00077A22"/>
    <w:rsid w:val="00077D8A"/>
    <w:rsid w:val="00077E62"/>
    <w:rsid w:val="00077EFE"/>
    <w:rsid w:val="00080C28"/>
    <w:rsid w:val="000814AE"/>
    <w:rsid w:val="00081913"/>
    <w:rsid w:val="00081926"/>
    <w:rsid w:val="00081C95"/>
    <w:rsid w:val="00081F1C"/>
    <w:rsid w:val="00081F5F"/>
    <w:rsid w:val="00082764"/>
    <w:rsid w:val="000827A5"/>
    <w:rsid w:val="00082F16"/>
    <w:rsid w:val="000832CA"/>
    <w:rsid w:val="0008330B"/>
    <w:rsid w:val="00083534"/>
    <w:rsid w:val="00083A35"/>
    <w:rsid w:val="00083D50"/>
    <w:rsid w:val="00083E15"/>
    <w:rsid w:val="0008493B"/>
    <w:rsid w:val="000849AA"/>
    <w:rsid w:val="00084CAE"/>
    <w:rsid w:val="000853BB"/>
    <w:rsid w:val="00086456"/>
    <w:rsid w:val="00087654"/>
    <w:rsid w:val="00087AFF"/>
    <w:rsid w:val="00087D47"/>
    <w:rsid w:val="00087EAE"/>
    <w:rsid w:val="00087FAB"/>
    <w:rsid w:val="00087FB4"/>
    <w:rsid w:val="00090452"/>
    <w:rsid w:val="000904CF"/>
    <w:rsid w:val="000907E8"/>
    <w:rsid w:val="00090C3E"/>
    <w:rsid w:val="00091613"/>
    <w:rsid w:val="00091DA1"/>
    <w:rsid w:val="000921F9"/>
    <w:rsid w:val="0009226D"/>
    <w:rsid w:val="000924B3"/>
    <w:rsid w:val="00092D86"/>
    <w:rsid w:val="00093156"/>
    <w:rsid w:val="0009413E"/>
    <w:rsid w:val="00094AF6"/>
    <w:rsid w:val="00094E05"/>
    <w:rsid w:val="000950F2"/>
    <w:rsid w:val="0009517C"/>
    <w:rsid w:val="000951E8"/>
    <w:rsid w:val="00095F47"/>
    <w:rsid w:val="00096AC9"/>
    <w:rsid w:val="00096B8A"/>
    <w:rsid w:val="00096C2A"/>
    <w:rsid w:val="00096C73"/>
    <w:rsid w:val="00097D2B"/>
    <w:rsid w:val="000A01E5"/>
    <w:rsid w:val="000A0467"/>
    <w:rsid w:val="000A074B"/>
    <w:rsid w:val="000A0FBE"/>
    <w:rsid w:val="000A115F"/>
    <w:rsid w:val="000A1B91"/>
    <w:rsid w:val="000A1BDD"/>
    <w:rsid w:val="000A1E95"/>
    <w:rsid w:val="000A21A6"/>
    <w:rsid w:val="000A287F"/>
    <w:rsid w:val="000A2D28"/>
    <w:rsid w:val="000A2FBC"/>
    <w:rsid w:val="000A35ED"/>
    <w:rsid w:val="000A35FC"/>
    <w:rsid w:val="000A370C"/>
    <w:rsid w:val="000A44A6"/>
    <w:rsid w:val="000A4607"/>
    <w:rsid w:val="000A4AF6"/>
    <w:rsid w:val="000A4C5D"/>
    <w:rsid w:val="000A5021"/>
    <w:rsid w:val="000A58E4"/>
    <w:rsid w:val="000A59F8"/>
    <w:rsid w:val="000A6515"/>
    <w:rsid w:val="000A6C60"/>
    <w:rsid w:val="000A7077"/>
    <w:rsid w:val="000A7290"/>
    <w:rsid w:val="000A786E"/>
    <w:rsid w:val="000A797E"/>
    <w:rsid w:val="000A7AAF"/>
    <w:rsid w:val="000A7B39"/>
    <w:rsid w:val="000B037F"/>
    <w:rsid w:val="000B0C95"/>
    <w:rsid w:val="000B0D56"/>
    <w:rsid w:val="000B1790"/>
    <w:rsid w:val="000B1857"/>
    <w:rsid w:val="000B1DB5"/>
    <w:rsid w:val="000B2097"/>
    <w:rsid w:val="000B2278"/>
    <w:rsid w:val="000B251D"/>
    <w:rsid w:val="000B2533"/>
    <w:rsid w:val="000B2874"/>
    <w:rsid w:val="000B2E26"/>
    <w:rsid w:val="000B2E29"/>
    <w:rsid w:val="000B2ED9"/>
    <w:rsid w:val="000B2F24"/>
    <w:rsid w:val="000B33CC"/>
    <w:rsid w:val="000B364F"/>
    <w:rsid w:val="000B38C8"/>
    <w:rsid w:val="000B3937"/>
    <w:rsid w:val="000B3BA2"/>
    <w:rsid w:val="000B3E29"/>
    <w:rsid w:val="000B4020"/>
    <w:rsid w:val="000B422E"/>
    <w:rsid w:val="000B473C"/>
    <w:rsid w:val="000B47F9"/>
    <w:rsid w:val="000B4EB0"/>
    <w:rsid w:val="000B4F11"/>
    <w:rsid w:val="000B4F14"/>
    <w:rsid w:val="000B56DF"/>
    <w:rsid w:val="000B5B0A"/>
    <w:rsid w:val="000B5CEA"/>
    <w:rsid w:val="000B6302"/>
    <w:rsid w:val="000B6539"/>
    <w:rsid w:val="000B6763"/>
    <w:rsid w:val="000B6F1A"/>
    <w:rsid w:val="000B74B9"/>
    <w:rsid w:val="000B79FA"/>
    <w:rsid w:val="000B7ECF"/>
    <w:rsid w:val="000C0004"/>
    <w:rsid w:val="000C0051"/>
    <w:rsid w:val="000C0099"/>
    <w:rsid w:val="000C00AB"/>
    <w:rsid w:val="000C05F8"/>
    <w:rsid w:val="000C065B"/>
    <w:rsid w:val="000C076B"/>
    <w:rsid w:val="000C0A54"/>
    <w:rsid w:val="000C0D09"/>
    <w:rsid w:val="000C0E1C"/>
    <w:rsid w:val="000C0E8D"/>
    <w:rsid w:val="000C106E"/>
    <w:rsid w:val="000C1363"/>
    <w:rsid w:val="000C1625"/>
    <w:rsid w:val="000C1923"/>
    <w:rsid w:val="000C194A"/>
    <w:rsid w:val="000C1A6D"/>
    <w:rsid w:val="000C2E06"/>
    <w:rsid w:val="000C32A1"/>
    <w:rsid w:val="000C3310"/>
    <w:rsid w:val="000C379A"/>
    <w:rsid w:val="000C384D"/>
    <w:rsid w:val="000C3A2F"/>
    <w:rsid w:val="000C3C86"/>
    <w:rsid w:val="000C3D09"/>
    <w:rsid w:val="000C3E4F"/>
    <w:rsid w:val="000C3EA9"/>
    <w:rsid w:val="000C41E8"/>
    <w:rsid w:val="000C469B"/>
    <w:rsid w:val="000C4C87"/>
    <w:rsid w:val="000C4E07"/>
    <w:rsid w:val="000C506A"/>
    <w:rsid w:val="000C5879"/>
    <w:rsid w:val="000C6213"/>
    <w:rsid w:val="000C6952"/>
    <w:rsid w:val="000C71AB"/>
    <w:rsid w:val="000C7886"/>
    <w:rsid w:val="000C7926"/>
    <w:rsid w:val="000C7A67"/>
    <w:rsid w:val="000D035D"/>
    <w:rsid w:val="000D054F"/>
    <w:rsid w:val="000D0CB4"/>
    <w:rsid w:val="000D11E6"/>
    <w:rsid w:val="000D121E"/>
    <w:rsid w:val="000D171F"/>
    <w:rsid w:val="000D1C0E"/>
    <w:rsid w:val="000D2FD4"/>
    <w:rsid w:val="000D3277"/>
    <w:rsid w:val="000D32E0"/>
    <w:rsid w:val="000D3626"/>
    <w:rsid w:val="000D44CE"/>
    <w:rsid w:val="000D4C7E"/>
    <w:rsid w:val="000D5724"/>
    <w:rsid w:val="000D59FC"/>
    <w:rsid w:val="000D5E38"/>
    <w:rsid w:val="000D65C1"/>
    <w:rsid w:val="000D7127"/>
    <w:rsid w:val="000D730B"/>
    <w:rsid w:val="000D7318"/>
    <w:rsid w:val="000D74D4"/>
    <w:rsid w:val="000E2F7F"/>
    <w:rsid w:val="000E350F"/>
    <w:rsid w:val="000E3604"/>
    <w:rsid w:val="000E37CB"/>
    <w:rsid w:val="000E3C01"/>
    <w:rsid w:val="000E3E4E"/>
    <w:rsid w:val="000E42E0"/>
    <w:rsid w:val="000E534A"/>
    <w:rsid w:val="000E5694"/>
    <w:rsid w:val="000E663C"/>
    <w:rsid w:val="000E687D"/>
    <w:rsid w:val="000E76F7"/>
    <w:rsid w:val="000F0F31"/>
    <w:rsid w:val="000F1298"/>
    <w:rsid w:val="000F149C"/>
    <w:rsid w:val="000F23AF"/>
    <w:rsid w:val="000F2AF3"/>
    <w:rsid w:val="000F37A3"/>
    <w:rsid w:val="000F3CD4"/>
    <w:rsid w:val="000F3FB5"/>
    <w:rsid w:val="000F4A6F"/>
    <w:rsid w:val="000F4DEB"/>
    <w:rsid w:val="000F4E1E"/>
    <w:rsid w:val="000F548D"/>
    <w:rsid w:val="000F5E21"/>
    <w:rsid w:val="000F5F74"/>
    <w:rsid w:val="000F63D0"/>
    <w:rsid w:val="000F651F"/>
    <w:rsid w:val="000F6782"/>
    <w:rsid w:val="000F6924"/>
    <w:rsid w:val="000F6A87"/>
    <w:rsid w:val="000F6B94"/>
    <w:rsid w:val="000F6BE9"/>
    <w:rsid w:val="000F6F4C"/>
    <w:rsid w:val="000F7362"/>
    <w:rsid w:val="00100270"/>
    <w:rsid w:val="0010105F"/>
    <w:rsid w:val="001011FD"/>
    <w:rsid w:val="001018CD"/>
    <w:rsid w:val="001018D3"/>
    <w:rsid w:val="00101B21"/>
    <w:rsid w:val="001029DA"/>
    <w:rsid w:val="00103104"/>
    <w:rsid w:val="00103490"/>
    <w:rsid w:val="0010352A"/>
    <w:rsid w:val="0010489B"/>
    <w:rsid w:val="00105C34"/>
    <w:rsid w:val="00105C7D"/>
    <w:rsid w:val="00105DA1"/>
    <w:rsid w:val="00106049"/>
    <w:rsid w:val="001061C7"/>
    <w:rsid w:val="001067A5"/>
    <w:rsid w:val="00106A38"/>
    <w:rsid w:val="00106C73"/>
    <w:rsid w:val="00106DEC"/>
    <w:rsid w:val="00106EB8"/>
    <w:rsid w:val="00107366"/>
    <w:rsid w:val="0010770E"/>
    <w:rsid w:val="0011006A"/>
    <w:rsid w:val="001105D5"/>
    <w:rsid w:val="00110D88"/>
    <w:rsid w:val="001112A6"/>
    <w:rsid w:val="0011134F"/>
    <w:rsid w:val="0011140B"/>
    <w:rsid w:val="0011141B"/>
    <w:rsid w:val="001119D5"/>
    <w:rsid w:val="00111D18"/>
    <w:rsid w:val="001123E3"/>
    <w:rsid w:val="0011284B"/>
    <w:rsid w:val="00112906"/>
    <w:rsid w:val="00112A07"/>
    <w:rsid w:val="00112A99"/>
    <w:rsid w:val="00112B54"/>
    <w:rsid w:val="00113232"/>
    <w:rsid w:val="00113665"/>
    <w:rsid w:val="00113737"/>
    <w:rsid w:val="00114D37"/>
    <w:rsid w:val="00114D4F"/>
    <w:rsid w:val="00114D87"/>
    <w:rsid w:val="00114E9F"/>
    <w:rsid w:val="00115882"/>
    <w:rsid w:val="001159E0"/>
    <w:rsid w:val="00116109"/>
    <w:rsid w:val="00116122"/>
    <w:rsid w:val="00116254"/>
    <w:rsid w:val="00116DCC"/>
    <w:rsid w:val="0011700E"/>
    <w:rsid w:val="0011745C"/>
    <w:rsid w:val="0011767A"/>
    <w:rsid w:val="00117714"/>
    <w:rsid w:val="00117D45"/>
    <w:rsid w:val="00117DE2"/>
    <w:rsid w:val="001200B5"/>
    <w:rsid w:val="001205E1"/>
    <w:rsid w:val="00120CA0"/>
    <w:rsid w:val="001210A7"/>
    <w:rsid w:val="001215A2"/>
    <w:rsid w:val="0012161D"/>
    <w:rsid w:val="00121A13"/>
    <w:rsid w:val="00121D3E"/>
    <w:rsid w:val="001222D9"/>
    <w:rsid w:val="001222F4"/>
    <w:rsid w:val="0012289E"/>
    <w:rsid w:val="001228A7"/>
    <w:rsid w:val="00122C48"/>
    <w:rsid w:val="00122E30"/>
    <w:rsid w:val="0012428D"/>
    <w:rsid w:val="00124C6A"/>
    <w:rsid w:val="00125124"/>
    <w:rsid w:val="00125959"/>
    <w:rsid w:val="001266A0"/>
    <w:rsid w:val="00126B46"/>
    <w:rsid w:val="00126EC2"/>
    <w:rsid w:val="00126EFA"/>
    <w:rsid w:val="00127E88"/>
    <w:rsid w:val="0013029F"/>
    <w:rsid w:val="0013088C"/>
    <w:rsid w:val="00130BAF"/>
    <w:rsid w:val="001316AB"/>
    <w:rsid w:val="001317E8"/>
    <w:rsid w:val="0013183F"/>
    <w:rsid w:val="001318FE"/>
    <w:rsid w:val="00131D9C"/>
    <w:rsid w:val="00131E8C"/>
    <w:rsid w:val="00132B17"/>
    <w:rsid w:val="00132BE2"/>
    <w:rsid w:val="00132E80"/>
    <w:rsid w:val="00133D80"/>
    <w:rsid w:val="00133F09"/>
    <w:rsid w:val="001347FC"/>
    <w:rsid w:val="00134CB9"/>
    <w:rsid w:val="001351E9"/>
    <w:rsid w:val="001357D8"/>
    <w:rsid w:val="00135B5A"/>
    <w:rsid w:val="00136016"/>
    <w:rsid w:val="001361A2"/>
    <w:rsid w:val="00136585"/>
    <w:rsid w:val="001367CA"/>
    <w:rsid w:val="00136BED"/>
    <w:rsid w:val="00136D17"/>
    <w:rsid w:val="00136FB8"/>
    <w:rsid w:val="00137200"/>
    <w:rsid w:val="0013739E"/>
    <w:rsid w:val="0014006B"/>
    <w:rsid w:val="001402F7"/>
    <w:rsid w:val="001404C6"/>
    <w:rsid w:val="001408D6"/>
    <w:rsid w:val="00140FB0"/>
    <w:rsid w:val="00141E08"/>
    <w:rsid w:val="00142321"/>
    <w:rsid w:val="0014249E"/>
    <w:rsid w:val="00142948"/>
    <w:rsid w:val="00142CB0"/>
    <w:rsid w:val="001439AF"/>
    <w:rsid w:val="001439E4"/>
    <w:rsid w:val="00143B02"/>
    <w:rsid w:val="00143DEB"/>
    <w:rsid w:val="001441C4"/>
    <w:rsid w:val="00144DC2"/>
    <w:rsid w:val="001450C5"/>
    <w:rsid w:val="00145B35"/>
    <w:rsid w:val="00145F6B"/>
    <w:rsid w:val="00146133"/>
    <w:rsid w:val="001461CC"/>
    <w:rsid w:val="00146CCC"/>
    <w:rsid w:val="00146DAB"/>
    <w:rsid w:val="00147218"/>
    <w:rsid w:val="00150B2A"/>
    <w:rsid w:val="00150DED"/>
    <w:rsid w:val="0015160D"/>
    <w:rsid w:val="00151B18"/>
    <w:rsid w:val="00152A45"/>
    <w:rsid w:val="00152E49"/>
    <w:rsid w:val="001533D4"/>
    <w:rsid w:val="00154397"/>
    <w:rsid w:val="001548FD"/>
    <w:rsid w:val="00154A1F"/>
    <w:rsid w:val="00154C95"/>
    <w:rsid w:val="00154CCF"/>
    <w:rsid w:val="00154CED"/>
    <w:rsid w:val="00154E18"/>
    <w:rsid w:val="0015581A"/>
    <w:rsid w:val="00155D97"/>
    <w:rsid w:val="001569E1"/>
    <w:rsid w:val="0015792C"/>
    <w:rsid w:val="001601D7"/>
    <w:rsid w:val="0016035D"/>
    <w:rsid w:val="001607F0"/>
    <w:rsid w:val="0016151E"/>
    <w:rsid w:val="00162655"/>
    <w:rsid w:val="00162A04"/>
    <w:rsid w:val="001637F9"/>
    <w:rsid w:val="00163817"/>
    <w:rsid w:val="00163A22"/>
    <w:rsid w:val="00163C69"/>
    <w:rsid w:val="00163D87"/>
    <w:rsid w:val="00163DF4"/>
    <w:rsid w:val="00163E2A"/>
    <w:rsid w:val="00163EFE"/>
    <w:rsid w:val="00164FDD"/>
    <w:rsid w:val="00165005"/>
    <w:rsid w:val="00166692"/>
    <w:rsid w:val="00166E77"/>
    <w:rsid w:val="00166FF6"/>
    <w:rsid w:val="001671F2"/>
    <w:rsid w:val="001676EA"/>
    <w:rsid w:val="001679D7"/>
    <w:rsid w:val="00167CD7"/>
    <w:rsid w:val="00170575"/>
    <w:rsid w:val="0017183F"/>
    <w:rsid w:val="00171CB8"/>
    <w:rsid w:val="00171DF3"/>
    <w:rsid w:val="00172411"/>
    <w:rsid w:val="00172964"/>
    <w:rsid w:val="00172DC1"/>
    <w:rsid w:val="00173084"/>
    <w:rsid w:val="0017323E"/>
    <w:rsid w:val="00173907"/>
    <w:rsid w:val="00173B29"/>
    <w:rsid w:val="00173EAD"/>
    <w:rsid w:val="00174075"/>
    <w:rsid w:val="001740BF"/>
    <w:rsid w:val="001743C1"/>
    <w:rsid w:val="00174649"/>
    <w:rsid w:val="00174797"/>
    <w:rsid w:val="00175268"/>
    <w:rsid w:val="00175D0A"/>
    <w:rsid w:val="00175E06"/>
    <w:rsid w:val="0017635C"/>
    <w:rsid w:val="00176457"/>
    <w:rsid w:val="0017653C"/>
    <w:rsid w:val="001768B3"/>
    <w:rsid w:val="00176D93"/>
    <w:rsid w:val="00176F52"/>
    <w:rsid w:val="00177614"/>
    <w:rsid w:val="00177E04"/>
    <w:rsid w:val="00177E27"/>
    <w:rsid w:val="00177F9D"/>
    <w:rsid w:val="001806AA"/>
    <w:rsid w:val="0018078C"/>
    <w:rsid w:val="00180AD7"/>
    <w:rsid w:val="00180B0D"/>
    <w:rsid w:val="00181017"/>
    <w:rsid w:val="00181180"/>
    <w:rsid w:val="001812E4"/>
    <w:rsid w:val="0018138D"/>
    <w:rsid w:val="00182A74"/>
    <w:rsid w:val="00183135"/>
    <w:rsid w:val="00183372"/>
    <w:rsid w:val="00183671"/>
    <w:rsid w:val="00183775"/>
    <w:rsid w:val="00183F5C"/>
    <w:rsid w:val="001857C6"/>
    <w:rsid w:val="00185C18"/>
    <w:rsid w:val="00185E32"/>
    <w:rsid w:val="00185F0A"/>
    <w:rsid w:val="00186216"/>
    <w:rsid w:val="001874E5"/>
    <w:rsid w:val="00190DE0"/>
    <w:rsid w:val="00190FDC"/>
    <w:rsid w:val="001913F9"/>
    <w:rsid w:val="001916AC"/>
    <w:rsid w:val="0019182A"/>
    <w:rsid w:val="00191B93"/>
    <w:rsid w:val="001921EC"/>
    <w:rsid w:val="0019250E"/>
    <w:rsid w:val="0019262B"/>
    <w:rsid w:val="0019284B"/>
    <w:rsid w:val="00192DEB"/>
    <w:rsid w:val="001930C7"/>
    <w:rsid w:val="00193122"/>
    <w:rsid w:val="001939E2"/>
    <w:rsid w:val="00194AAA"/>
    <w:rsid w:val="00195CC2"/>
    <w:rsid w:val="00195DA3"/>
    <w:rsid w:val="001965A7"/>
    <w:rsid w:val="00196C03"/>
    <w:rsid w:val="00196DD8"/>
    <w:rsid w:val="00197436"/>
    <w:rsid w:val="001A0376"/>
    <w:rsid w:val="001A04A6"/>
    <w:rsid w:val="001A0CAF"/>
    <w:rsid w:val="001A0EF1"/>
    <w:rsid w:val="001A10D4"/>
    <w:rsid w:val="001A123C"/>
    <w:rsid w:val="001A168A"/>
    <w:rsid w:val="001A1797"/>
    <w:rsid w:val="001A1C65"/>
    <w:rsid w:val="001A1CF6"/>
    <w:rsid w:val="001A1F83"/>
    <w:rsid w:val="001A234E"/>
    <w:rsid w:val="001A26F3"/>
    <w:rsid w:val="001A272B"/>
    <w:rsid w:val="001A2EA3"/>
    <w:rsid w:val="001A2EAF"/>
    <w:rsid w:val="001A302C"/>
    <w:rsid w:val="001A3D8C"/>
    <w:rsid w:val="001A41A2"/>
    <w:rsid w:val="001A483A"/>
    <w:rsid w:val="001A4852"/>
    <w:rsid w:val="001A4BBF"/>
    <w:rsid w:val="001A535A"/>
    <w:rsid w:val="001A5E52"/>
    <w:rsid w:val="001A5FD6"/>
    <w:rsid w:val="001A6963"/>
    <w:rsid w:val="001A6BF8"/>
    <w:rsid w:val="001A70B7"/>
    <w:rsid w:val="001A72BC"/>
    <w:rsid w:val="001A752B"/>
    <w:rsid w:val="001A77BC"/>
    <w:rsid w:val="001A7B58"/>
    <w:rsid w:val="001B00D0"/>
    <w:rsid w:val="001B0B17"/>
    <w:rsid w:val="001B1192"/>
    <w:rsid w:val="001B173F"/>
    <w:rsid w:val="001B1F8A"/>
    <w:rsid w:val="001B21E9"/>
    <w:rsid w:val="001B2272"/>
    <w:rsid w:val="001B2304"/>
    <w:rsid w:val="001B2742"/>
    <w:rsid w:val="001B35AA"/>
    <w:rsid w:val="001B4261"/>
    <w:rsid w:val="001B4C75"/>
    <w:rsid w:val="001B4D2D"/>
    <w:rsid w:val="001B6529"/>
    <w:rsid w:val="001B6717"/>
    <w:rsid w:val="001B68CD"/>
    <w:rsid w:val="001B6974"/>
    <w:rsid w:val="001B71DD"/>
    <w:rsid w:val="001B7279"/>
    <w:rsid w:val="001B7584"/>
    <w:rsid w:val="001B75DC"/>
    <w:rsid w:val="001B7C68"/>
    <w:rsid w:val="001C028C"/>
    <w:rsid w:val="001C053F"/>
    <w:rsid w:val="001C0967"/>
    <w:rsid w:val="001C0BA4"/>
    <w:rsid w:val="001C0E9A"/>
    <w:rsid w:val="001C0F3A"/>
    <w:rsid w:val="001C0F8D"/>
    <w:rsid w:val="001C14BC"/>
    <w:rsid w:val="001C1837"/>
    <w:rsid w:val="001C1894"/>
    <w:rsid w:val="001C18A1"/>
    <w:rsid w:val="001C1DE6"/>
    <w:rsid w:val="001C23DF"/>
    <w:rsid w:val="001C243D"/>
    <w:rsid w:val="001C26DB"/>
    <w:rsid w:val="001C28F6"/>
    <w:rsid w:val="001C2FA9"/>
    <w:rsid w:val="001C3941"/>
    <w:rsid w:val="001C3A9B"/>
    <w:rsid w:val="001C4098"/>
    <w:rsid w:val="001C40C0"/>
    <w:rsid w:val="001C42EC"/>
    <w:rsid w:val="001C4A0D"/>
    <w:rsid w:val="001C4EDD"/>
    <w:rsid w:val="001C4F0C"/>
    <w:rsid w:val="001C5B54"/>
    <w:rsid w:val="001C62D7"/>
    <w:rsid w:val="001C670C"/>
    <w:rsid w:val="001C6B2C"/>
    <w:rsid w:val="001C6FCE"/>
    <w:rsid w:val="001C75AC"/>
    <w:rsid w:val="001C7A28"/>
    <w:rsid w:val="001D09B9"/>
    <w:rsid w:val="001D0C0C"/>
    <w:rsid w:val="001D0E6B"/>
    <w:rsid w:val="001D1411"/>
    <w:rsid w:val="001D14E8"/>
    <w:rsid w:val="001D1606"/>
    <w:rsid w:val="001D1CAC"/>
    <w:rsid w:val="001D2085"/>
    <w:rsid w:val="001D3270"/>
    <w:rsid w:val="001D3381"/>
    <w:rsid w:val="001D35B6"/>
    <w:rsid w:val="001D3EB1"/>
    <w:rsid w:val="001D40A3"/>
    <w:rsid w:val="001D4268"/>
    <w:rsid w:val="001D444E"/>
    <w:rsid w:val="001D44A8"/>
    <w:rsid w:val="001D46BE"/>
    <w:rsid w:val="001D5BA5"/>
    <w:rsid w:val="001D5F24"/>
    <w:rsid w:val="001D633A"/>
    <w:rsid w:val="001D64D6"/>
    <w:rsid w:val="001D6DEE"/>
    <w:rsid w:val="001D7313"/>
    <w:rsid w:val="001D7488"/>
    <w:rsid w:val="001D7998"/>
    <w:rsid w:val="001D7A8A"/>
    <w:rsid w:val="001D7AD3"/>
    <w:rsid w:val="001D7AD8"/>
    <w:rsid w:val="001E0396"/>
    <w:rsid w:val="001E040F"/>
    <w:rsid w:val="001E0FF2"/>
    <w:rsid w:val="001E167F"/>
    <w:rsid w:val="001E211B"/>
    <w:rsid w:val="001E23D5"/>
    <w:rsid w:val="001E241B"/>
    <w:rsid w:val="001E2DAE"/>
    <w:rsid w:val="001E3256"/>
    <w:rsid w:val="001E36F7"/>
    <w:rsid w:val="001E3DF1"/>
    <w:rsid w:val="001E3ED7"/>
    <w:rsid w:val="001E42E9"/>
    <w:rsid w:val="001E42FE"/>
    <w:rsid w:val="001E490C"/>
    <w:rsid w:val="001E4F40"/>
    <w:rsid w:val="001E5396"/>
    <w:rsid w:val="001E608D"/>
    <w:rsid w:val="001E6760"/>
    <w:rsid w:val="001E6C5B"/>
    <w:rsid w:val="001E6C68"/>
    <w:rsid w:val="001E6E1B"/>
    <w:rsid w:val="001E75B4"/>
    <w:rsid w:val="001F03AB"/>
    <w:rsid w:val="001F06D4"/>
    <w:rsid w:val="001F0CF3"/>
    <w:rsid w:val="001F0CFE"/>
    <w:rsid w:val="001F0D6A"/>
    <w:rsid w:val="001F0FCF"/>
    <w:rsid w:val="001F10AA"/>
    <w:rsid w:val="001F11ED"/>
    <w:rsid w:val="001F1375"/>
    <w:rsid w:val="001F13A3"/>
    <w:rsid w:val="001F17F1"/>
    <w:rsid w:val="001F1901"/>
    <w:rsid w:val="001F2206"/>
    <w:rsid w:val="001F2EFA"/>
    <w:rsid w:val="001F3698"/>
    <w:rsid w:val="001F3868"/>
    <w:rsid w:val="001F3F30"/>
    <w:rsid w:val="001F3FCD"/>
    <w:rsid w:val="001F460F"/>
    <w:rsid w:val="001F4C5C"/>
    <w:rsid w:val="001F53D2"/>
    <w:rsid w:val="001F541A"/>
    <w:rsid w:val="001F5C35"/>
    <w:rsid w:val="001F6377"/>
    <w:rsid w:val="001F651A"/>
    <w:rsid w:val="001F6D6C"/>
    <w:rsid w:val="001F7184"/>
    <w:rsid w:val="001F71C1"/>
    <w:rsid w:val="001F736D"/>
    <w:rsid w:val="001F7BA0"/>
    <w:rsid w:val="001F7E8C"/>
    <w:rsid w:val="00200519"/>
    <w:rsid w:val="00200DCD"/>
    <w:rsid w:val="00201511"/>
    <w:rsid w:val="00201A02"/>
    <w:rsid w:val="00201C2C"/>
    <w:rsid w:val="00201C3D"/>
    <w:rsid w:val="002038F4"/>
    <w:rsid w:val="002040F2"/>
    <w:rsid w:val="0020443A"/>
    <w:rsid w:val="002045B8"/>
    <w:rsid w:val="0020468B"/>
    <w:rsid w:val="00204A83"/>
    <w:rsid w:val="0020593C"/>
    <w:rsid w:val="00205B43"/>
    <w:rsid w:val="00206344"/>
    <w:rsid w:val="002069FD"/>
    <w:rsid w:val="00206DA0"/>
    <w:rsid w:val="00206DD8"/>
    <w:rsid w:val="00207068"/>
    <w:rsid w:val="00207BDE"/>
    <w:rsid w:val="002101B8"/>
    <w:rsid w:val="00210C76"/>
    <w:rsid w:val="002112E5"/>
    <w:rsid w:val="00211845"/>
    <w:rsid w:val="0021184B"/>
    <w:rsid w:val="00211AAC"/>
    <w:rsid w:val="00211F8E"/>
    <w:rsid w:val="00212750"/>
    <w:rsid w:val="00212DC1"/>
    <w:rsid w:val="00212FFB"/>
    <w:rsid w:val="002133DC"/>
    <w:rsid w:val="0021356A"/>
    <w:rsid w:val="00213611"/>
    <w:rsid w:val="002136B7"/>
    <w:rsid w:val="00213900"/>
    <w:rsid w:val="0021398B"/>
    <w:rsid w:val="00214011"/>
    <w:rsid w:val="00214572"/>
    <w:rsid w:val="00214B07"/>
    <w:rsid w:val="00214E87"/>
    <w:rsid w:val="0021502A"/>
    <w:rsid w:val="002151F1"/>
    <w:rsid w:val="00215602"/>
    <w:rsid w:val="002159E4"/>
    <w:rsid w:val="00215A18"/>
    <w:rsid w:val="00215C4F"/>
    <w:rsid w:val="00216251"/>
    <w:rsid w:val="00216972"/>
    <w:rsid w:val="00216A83"/>
    <w:rsid w:val="00216B28"/>
    <w:rsid w:val="0021723B"/>
    <w:rsid w:val="00217D56"/>
    <w:rsid w:val="00217F78"/>
    <w:rsid w:val="00220496"/>
    <w:rsid w:val="00220BEC"/>
    <w:rsid w:val="00220C2C"/>
    <w:rsid w:val="002211A7"/>
    <w:rsid w:val="00221212"/>
    <w:rsid w:val="002214A0"/>
    <w:rsid w:val="0022225E"/>
    <w:rsid w:val="002222A8"/>
    <w:rsid w:val="00222360"/>
    <w:rsid w:val="00222415"/>
    <w:rsid w:val="002228D9"/>
    <w:rsid w:val="00222C6E"/>
    <w:rsid w:val="00222F6D"/>
    <w:rsid w:val="0022360A"/>
    <w:rsid w:val="00223FAA"/>
    <w:rsid w:val="002248C0"/>
    <w:rsid w:val="002249D9"/>
    <w:rsid w:val="00224DCD"/>
    <w:rsid w:val="002258BA"/>
    <w:rsid w:val="00225A1A"/>
    <w:rsid w:val="00225C07"/>
    <w:rsid w:val="00225CBD"/>
    <w:rsid w:val="002261FE"/>
    <w:rsid w:val="0022654B"/>
    <w:rsid w:val="0022655B"/>
    <w:rsid w:val="0022694E"/>
    <w:rsid w:val="00226A56"/>
    <w:rsid w:val="00226C64"/>
    <w:rsid w:val="00226E66"/>
    <w:rsid w:val="00226EAC"/>
    <w:rsid w:val="00226FF3"/>
    <w:rsid w:val="00230BF7"/>
    <w:rsid w:val="00230E8D"/>
    <w:rsid w:val="00231205"/>
    <w:rsid w:val="00231511"/>
    <w:rsid w:val="00231782"/>
    <w:rsid w:val="00231ED2"/>
    <w:rsid w:val="0023205E"/>
    <w:rsid w:val="00232186"/>
    <w:rsid w:val="002326AF"/>
    <w:rsid w:val="002326FF"/>
    <w:rsid w:val="00232874"/>
    <w:rsid w:val="00232AD1"/>
    <w:rsid w:val="00232D07"/>
    <w:rsid w:val="00232E07"/>
    <w:rsid w:val="002339ED"/>
    <w:rsid w:val="00233C6A"/>
    <w:rsid w:val="00233EF6"/>
    <w:rsid w:val="00233FD5"/>
    <w:rsid w:val="00234588"/>
    <w:rsid w:val="00234708"/>
    <w:rsid w:val="00234ACB"/>
    <w:rsid w:val="00234DB1"/>
    <w:rsid w:val="0023562E"/>
    <w:rsid w:val="00235AB6"/>
    <w:rsid w:val="00235B50"/>
    <w:rsid w:val="00235CD9"/>
    <w:rsid w:val="002361C7"/>
    <w:rsid w:val="00236796"/>
    <w:rsid w:val="00236C23"/>
    <w:rsid w:val="00236F77"/>
    <w:rsid w:val="00236FCA"/>
    <w:rsid w:val="00237136"/>
    <w:rsid w:val="0023738D"/>
    <w:rsid w:val="002374E1"/>
    <w:rsid w:val="00237CC5"/>
    <w:rsid w:val="00237F77"/>
    <w:rsid w:val="0024026F"/>
    <w:rsid w:val="00240330"/>
    <w:rsid w:val="002416B7"/>
    <w:rsid w:val="0024178A"/>
    <w:rsid w:val="00242420"/>
    <w:rsid w:val="00242919"/>
    <w:rsid w:val="00242B31"/>
    <w:rsid w:val="00242BDF"/>
    <w:rsid w:val="00242BE8"/>
    <w:rsid w:val="0024337A"/>
    <w:rsid w:val="002436B6"/>
    <w:rsid w:val="00244C98"/>
    <w:rsid w:val="00245187"/>
    <w:rsid w:val="0024519B"/>
    <w:rsid w:val="002451CD"/>
    <w:rsid w:val="0024530F"/>
    <w:rsid w:val="00246AA9"/>
    <w:rsid w:val="00247863"/>
    <w:rsid w:val="002478C4"/>
    <w:rsid w:val="00247BF9"/>
    <w:rsid w:val="00247C09"/>
    <w:rsid w:val="00250E26"/>
    <w:rsid w:val="00250E6B"/>
    <w:rsid w:val="002516D0"/>
    <w:rsid w:val="002517EB"/>
    <w:rsid w:val="00251A3C"/>
    <w:rsid w:val="00251F8D"/>
    <w:rsid w:val="00252248"/>
    <w:rsid w:val="0025237E"/>
    <w:rsid w:val="00252608"/>
    <w:rsid w:val="00252AEB"/>
    <w:rsid w:val="002535EA"/>
    <w:rsid w:val="00253A71"/>
    <w:rsid w:val="00253F1B"/>
    <w:rsid w:val="002540FB"/>
    <w:rsid w:val="0025456B"/>
    <w:rsid w:val="00254E5E"/>
    <w:rsid w:val="002555D4"/>
    <w:rsid w:val="0025580E"/>
    <w:rsid w:val="00255AD7"/>
    <w:rsid w:val="00255F1A"/>
    <w:rsid w:val="0025648E"/>
    <w:rsid w:val="00257E20"/>
    <w:rsid w:val="00260195"/>
    <w:rsid w:val="00260305"/>
    <w:rsid w:val="0026056F"/>
    <w:rsid w:val="00260641"/>
    <w:rsid w:val="002606F1"/>
    <w:rsid w:val="002609C6"/>
    <w:rsid w:val="00261501"/>
    <w:rsid w:val="00261F53"/>
    <w:rsid w:val="00262E1B"/>
    <w:rsid w:val="00262E1E"/>
    <w:rsid w:val="00263450"/>
    <w:rsid w:val="0026417F"/>
    <w:rsid w:val="00264385"/>
    <w:rsid w:val="002648A6"/>
    <w:rsid w:val="002648FA"/>
    <w:rsid w:val="00265255"/>
    <w:rsid w:val="00265512"/>
    <w:rsid w:val="002657B8"/>
    <w:rsid w:val="00266798"/>
    <w:rsid w:val="00266AF3"/>
    <w:rsid w:val="00266BD2"/>
    <w:rsid w:val="00267BC1"/>
    <w:rsid w:val="00267F86"/>
    <w:rsid w:val="00270197"/>
    <w:rsid w:val="00270D71"/>
    <w:rsid w:val="00270FAF"/>
    <w:rsid w:val="00271134"/>
    <w:rsid w:val="0027114A"/>
    <w:rsid w:val="002713FE"/>
    <w:rsid w:val="002719E9"/>
    <w:rsid w:val="002726DB"/>
    <w:rsid w:val="00272E22"/>
    <w:rsid w:val="00272E7B"/>
    <w:rsid w:val="00272EEE"/>
    <w:rsid w:val="002731A4"/>
    <w:rsid w:val="002734B9"/>
    <w:rsid w:val="002734BB"/>
    <w:rsid w:val="002739AF"/>
    <w:rsid w:val="00274477"/>
    <w:rsid w:val="00274BD5"/>
    <w:rsid w:val="00274C70"/>
    <w:rsid w:val="002750C1"/>
    <w:rsid w:val="0027510E"/>
    <w:rsid w:val="00275FCF"/>
    <w:rsid w:val="002761AA"/>
    <w:rsid w:val="00276EDE"/>
    <w:rsid w:val="00276F7D"/>
    <w:rsid w:val="0027756C"/>
    <w:rsid w:val="00277E5E"/>
    <w:rsid w:val="00280013"/>
    <w:rsid w:val="002802FA"/>
    <w:rsid w:val="00280363"/>
    <w:rsid w:val="00280540"/>
    <w:rsid w:val="00280700"/>
    <w:rsid w:val="0028094F"/>
    <w:rsid w:val="00280ACF"/>
    <w:rsid w:val="00280BC1"/>
    <w:rsid w:val="00280E5D"/>
    <w:rsid w:val="0028115B"/>
    <w:rsid w:val="002812E1"/>
    <w:rsid w:val="00281B3E"/>
    <w:rsid w:val="00282411"/>
    <w:rsid w:val="002827B8"/>
    <w:rsid w:val="00282AD9"/>
    <w:rsid w:val="0028322A"/>
    <w:rsid w:val="0028336F"/>
    <w:rsid w:val="00283D44"/>
    <w:rsid w:val="00284203"/>
    <w:rsid w:val="0028480F"/>
    <w:rsid w:val="002849F4"/>
    <w:rsid w:val="00285145"/>
    <w:rsid w:val="00285439"/>
    <w:rsid w:val="002855FD"/>
    <w:rsid w:val="00285A54"/>
    <w:rsid w:val="00285DE7"/>
    <w:rsid w:val="00285E6B"/>
    <w:rsid w:val="00285EE6"/>
    <w:rsid w:val="00286DBD"/>
    <w:rsid w:val="0028745D"/>
    <w:rsid w:val="00290D2B"/>
    <w:rsid w:val="00291064"/>
    <w:rsid w:val="00291465"/>
    <w:rsid w:val="00291947"/>
    <w:rsid w:val="00291CAC"/>
    <w:rsid w:val="00291E40"/>
    <w:rsid w:val="00291EC1"/>
    <w:rsid w:val="00292D0A"/>
    <w:rsid w:val="00292ECC"/>
    <w:rsid w:val="0029312F"/>
    <w:rsid w:val="0029338F"/>
    <w:rsid w:val="0029349B"/>
    <w:rsid w:val="0029391C"/>
    <w:rsid w:val="00293A21"/>
    <w:rsid w:val="00293B33"/>
    <w:rsid w:val="00294423"/>
    <w:rsid w:val="0029489A"/>
    <w:rsid w:val="00295CBE"/>
    <w:rsid w:val="00296367"/>
    <w:rsid w:val="00296D1E"/>
    <w:rsid w:val="00296F3A"/>
    <w:rsid w:val="002972E5"/>
    <w:rsid w:val="00297BEC"/>
    <w:rsid w:val="002A0008"/>
    <w:rsid w:val="002A076C"/>
    <w:rsid w:val="002A0CE7"/>
    <w:rsid w:val="002A0EBB"/>
    <w:rsid w:val="002A146C"/>
    <w:rsid w:val="002A1657"/>
    <w:rsid w:val="002A172E"/>
    <w:rsid w:val="002A2302"/>
    <w:rsid w:val="002A2756"/>
    <w:rsid w:val="002A28D2"/>
    <w:rsid w:val="002A36AB"/>
    <w:rsid w:val="002A4517"/>
    <w:rsid w:val="002A4973"/>
    <w:rsid w:val="002A4C74"/>
    <w:rsid w:val="002A4E76"/>
    <w:rsid w:val="002A4F16"/>
    <w:rsid w:val="002A5142"/>
    <w:rsid w:val="002A548D"/>
    <w:rsid w:val="002A5E53"/>
    <w:rsid w:val="002A6F7B"/>
    <w:rsid w:val="002A708A"/>
    <w:rsid w:val="002A759B"/>
    <w:rsid w:val="002A7BF9"/>
    <w:rsid w:val="002B0379"/>
    <w:rsid w:val="002B0DBB"/>
    <w:rsid w:val="002B1208"/>
    <w:rsid w:val="002B1683"/>
    <w:rsid w:val="002B1B7F"/>
    <w:rsid w:val="002B2C00"/>
    <w:rsid w:val="002B2DEF"/>
    <w:rsid w:val="002B31CE"/>
    <w:rsid w:val="002B491B"/>
    <w:rsid w:val="002B4CEC"/>
    <w:rsid w:val="002B5DEF"/>
    <w:rsid w:val="002B62A3"/>
    <w:rsid w:val="002B6527"/>
    <w:rsid w:val="002B67C8"/>
    <w:rsid w:val="002B6A98"/>
    <w:rsid w:val="002B6EC4"/>
    <w:rsid w:val="002B6FD2"/>
    <w:rsid w:val="002B70B9"/>
    <w:rsid w:val="002B7599"/>
    <w:rsid w:val="002B7E5A"/>
    <w:rsid w:val="002C0116"/>
    <w:rsid w:val="002C03C6"/>
    <w:rsid w:val="002C0431"/>
    <w:rsid w:val="002C0672"/>
    <w:rsid w:val="002C1046"/>
    <w:rsid w:val="002C17D2"/>
    <w:rsid w:val="002C1F78"/>
    <w:rsid w:val="002C2269"/>
    <w:rsid w:val="002C293D"/>
    <w:rsid w:val="002C2CD3"/>
    <w:rsid w:val="002C3525"/>
    <w:rsid w:val="002C35EF"/>
    <w:rsid w:val="002C36DA"/>
    <w:rsid w:val="002C375F"/>
    <w:rsid w:val="002C4223"/>
    <w:rsid w:val="002C44E3"/>
    <w:rsid w:val="002C45D1"/>
    <w:rsid w:val="002C4C63"/>
    <w:rsid w:val="002C4D21"/>
    <w:rsid w:val="002C55D8"/>
    <w:rsid w:val="002C5670"/>
    <w:rsid w:val="002C5D57"/>
    <w:rsid w:val="002C5EB7"/>
    <w:rsid w:val="002C6677"/>
    <w:rsid w:val="002C6E49"/>
    <w:rsid w:val="002C6EEB"/>
    <w:rsid w:val="002C77F6"/>
    <w:rsid w:val="002C7C0D"/>
    <w:rsid w:val="002C7DBE"/>
    <w:rsid w:val="002D08F1"/>
    <w:rsid w:val="002D13A6"/>
    <w:rsid w:val="002D13D3"/>
    <w:rsid w:val="002D17D5"/>
    <w:rsid w:val="002D1F60"/>
    <w:rsid w:val="002D2295"/>
    <w:rsid w:val="002D287A"/>
    <w:rsid w:val="002D346E"/>
    <w:rsid w:val="002D37EB"/>
    <w:rsid w:val="002D500B"/>
    <w:rsid w:val="002D53BB"/>
    <w:rsid w:val="002D5664"/>
    <w:rsid w:val="002D5C65"/>
    <w:rsid w:val="002D5D12"/>
    <w:rsid w:val="002D606D"/>
    <w:rsid w:val="002D611D"/>
    <w:rsid w:val="002D664C"/>
    <w:rsid w:val="002D6B2F"/>
    <w:rsid w:val="002D75C1"/>
    <w:rsid w:val="002D7913"/>
    <w:rsid w:val="002D7BCB"/>
    <w:rsid w:val="002D7D5D"/>
    <w:rsid w:val="002E06FC"/>
    <w:rsid w:val="002E0F1E"/>
    <w:rsid w:val="002E15F8"/>
    <w:rsid w:val="002E1833"/>
    <w:rsid w:val="002E192D"/>
    <w:rsid w:val="002E1A50"/>
    <w:rsid w:val="002E2B5B"/>
    <w:rsid w:val="002E3088"/>
    <w:rsid w:val="002E32B3"/>
    <w:rsid w:val="002E36B4"/>
    <w:rsid w:val="002E3990"/>
    <w:rsid w:val="002E3C51"/>
    <w:rsid w:val="002E4013"/>
    <w:rsid w:val="002E4092"/>
    <w:rsid w:val="002E490D"/>
    <w:rsid w:val="002E4F63"/>
    <w:rsid w:val="002E504F"/>
    <w:rsid w:val="002E50CB"/>
    <w:rsid w:val="002E5338"/>
    <w:rsid w:val="002E5476"/>
    <w:rsid w:val="002E5564"/>
    <w:rsid w:val="002E56BA"/>
    <w:rsid w:val="002E583B"/>
    <w:rsid w:val="002E5970"/>
    <w:rsid w:val="002E6401"/>
    <w:rsid w:val="002E6478"/>
    <w:rsid w:val="002E6499"/>
    <w:rsid w:val="002E66D4"/>
    <w:rsid w:val="002E6C3F"/>
    <w:rsid w:val="002E6E07"/>
    <w:rsid w:val="002E7110"/>
    <w:rsid w:val="002E79FB"/>
    <w:rsid w:val="002F04F2"/>
    <w:rsid w:val="002F0BF4"/>
    <w:rsid w:val="002F0C0F"/>
    <w:rsid w:val="002F154C"/>
    <w:rsid w:val="002F1CFC"/>
    <w:rsid w:val="002F22D7"/>
    <w:rsid w:val="002F2512"/>
    <w:rsid w:val="002F2B7B"/>
    <w:rsid w:val="002F2F86"/>
    <w:rsid w:val="002F30BA"/>
    <w:rsid w:val="002F344A"/>
    <w:rsid w:val="002F35E9"/>
    <w:rsid w:val="002F38BC"/>
    <w:rsid w:val="002F3B21"/>
    <w:rsid w:val="002F3C43"/>
    <w:rsid w:val="002F3CCB"/>
    <w:rsid w:val="002F3FB3"/>
    <w:rsid w:val="002F42DE"/>
    <w:rsid w:val="002F473D"/>
    <w:rsid w:val="002F49E3"/>
    <w:rsid w:val="002F4A9D"/>
    <w:rsid w:val="002F4B8C"/>
    <w:rsid w:val="002F4EB1"/>
    <w:rsid w:val="002F52AE"/>
    <w:rsid w:val="002F55BD"/>
    <w:rsid w:val="002F5633"/>
    <w:rsid w:val="002F56B9"/>
    <w:rsid w:val="002F5C68"/>
    <w:rsid w:val="002F6A50"/>
    <w:rsid w:val="002F7A90"/>
    <w:rsid w:val="002F7C9F"/>
    <w:rsid w:val="002F7DBD"/>
    <w:rsid w:val="003000C9"/>
    <w:rsid w:val="0030050F"/>
    <w:rsid w:val="00300790"/>
    <w:rsid w:val="00300D53"/>
    <w:rsid w:val="00300ECC"/>
    <w:rsid w:val="00300F0C"/>
    <w:rsid w:val="00301062"/>
    <w:rsid w:val="003022B9"/>
    <w:rsid w:val="00302B78"/>
    <w:rsid w:val="00302BE7"/>
    <w:rsid w:val="00302FC7"/>
    <w:rsid w:val="00303149"/>
    <w:rsid w:val="00303C09"/>
    <w:rsid w:val="003049AF"/>
    <w:rsid w:val="0030506A"/>
    <w:rsid w:val="003054F5"/>
    <w:rsid w:val="003057AB"/>
    <w:rsid w:val="00305EB0"/>
    <w:rsid w:val="00305ED4"/>
    <w:rsid w:val="00306325"/>
    <w:rsid w:val="0030665C"/>
    <w:rsid w:val="00307AA3"/>
    <w:rsid w:val="00307C25"/>
    <w:rsid w:val="003101AE"/>
    <w:rsid w:val="00310FBD"/>
    <w:rsid w:val="00310FBF"/>
    <w:rsid w:val="003115CB"/>
    <w:rsid w:val="003126F7"/>
    <w:rsid w:val="00312824"/>
    <w:rsid w:val="0031346E"/>
    <w:rsid w:val="00313718"/>
    <w:rsid w:val="0031395C"/>
    <w:rsid w:val="003139B5"/>
    <w:rsid w:val="00313AF4"/>
    <w:rsid w:val="00313C6B"/>
    <w:rsid w:val="003143D1"/>
    <w:rsid w:val="003148F8"/>
    <w:rsid w:val="003157EC"/>
    <w:rsid w:val="00315A29"/>
    <w:rsid w:val="00315F5B"/>
    <w:rsid w:val="003162EB"/>
    <w:rsid w:val="00316397"/>
    <w:rsid w:val="00316443"/>
    <w:rsid w:val="00316C62"/>
    <w:rsid w:val="00316EC9"/>
    <w:rsid w:val="003172EB"/>
    <w:rsid w:val="00317348"/>
    <w:rsid w:val="00317503"/>
    <w:rsid w:val="00317CCE"/>
    <w:rsid w:val="00320261"/>
    <w:rsid w:val="0032046B"/>
    <w:rsid w:val="00320C05"/>
    <w:rsid w:val="00320FB3"/>
    <w:rsid w:val="00321501"/>
    <w:rsid w:val="0032153F"/>
    <w:rsid w:val="00321B4D"/>
    <w:rsid w:val="00322792"/>
    <w:rsid w:val="0032290B"/>
    <w:rsid w:val="00322AE4"/>
    <w:rsid w:val="00323215"/>
    <w:rsid w:val="0032323C"/>
    <w:rsid w:val="00323D63"/>
    <w:rsid w:val="0032459D"/>
    <w:rsid w:val="0032479D"/>
    <w:rsid w:val="00324D5B"/>
    <w:rsid w:val="00324E7A"/>
    <w:rsid w:val="00324FB1"/>
    <w:rsid w:val="00325141"/>
    <w:rsid w:val="00325423"/>
    <w:rsid w:val="00325DA7"/>
    <w:rsid w:val="00325E59"/>
    <w:rsid w:val="0032609E"/>
    <w:rsid w:val="00326CEF"/>
    <w:rsid w:val="00327246"/>
    <w:rsid w:val="003278F1"/>
    <w:rsid w:val="00327BA4"/>
    <w:rsid w:val="00327CB1"/>
    <w:rsid w:val="00327F38"/>
    <w:rsid w:val="00330135"/>
    <w:rsid w:val="00330139"/>
    <w:rsid w:val="00330200"/>
    <w:rsid w:val="0033029E"/>
    <w:rsid w:val="00330325"/>
    <w:rsid w:val="00330B9D"/>
    <w:rsid w:val="00331514"/>
    <w:rsid w:val="0033177A"/>
    <w:rsid w:val="00331A4D"/>
    <w:rsid w:val="00331CEB"/>
    <w:rsid w:val="0033212C"/>
    <w:rsid w:val="003323DF"/>
    <w:rsid w:val="00332562"/>
    <w:rsid w:val="00332914"/>
    <w:rsid w:val="003329B3"/>
    <w:rsid w:val="00332A42"/>
    <w:rsid w:val="00332E13"/>
    <w:rsid w:val="00333052"/>
    <w:rsid w:val="00333D1C"/>
    <w:rsid w:val="00334454"/>
    <w:rsid w:val="0033450E"/>
    <w:rsid w:val="0033456D"/>
    <w:rsid w:val="00334C29"/>
    <w:rsid w:val="00334C99"/>
    <w:rsid w:val="00334E85"/>
    <w:rsid w:val="003352E3"/>
    <w:rsid w:val="00335715"/>
    <w:rsid w:val="00335D07"/>
    <w:rsid w:val="00336008"/>
    <w:rsid w:val="003361A8"/>
    <w:rsid w:val="00337000"/>
    <w:rsid w:val="00337667"/>
    <w:rsid w:val="00337B7B"/>
    <w:rsid w:val="00337DFF"/>
    <w:rsid w:val="00340975"/>
    <w:rsid w:val="00340E14"/>
    <w:rsid w:val="003413C0"/>
    <w:rsid w:val="003418EC"/>
    <w:rsid w:val="00341C76"/>
    <w:rsid w:val="00341FD7"/>
    <w:rsid w:val="00342277"/>
    <w:rsid w:val="00342761"/>
    <w:rsid w:val="00342FBF"/>
    <w:rsid w:val="003430CE"/>
    <w:rsid w:val="003436F2"/>
    <w:rsid w:val="00343BA0"/>
    <w:rsid w:val="003440D8"/>
    <w:rsid w:val="00344713"/>
    <w:rsid w:val="00345714"/>
    <w:rsid w:val="00345769"/>
    <w:rsid w:val="00345DED"/>
    <w:rsid w:val="003465BB"/>
    <w:rsid w:val="00346953"/>
    <w:rsid w:val="00346A27"/>
    <w:rsid w:val="00346D20"/>
    <w:rsid w:val="00346FAD"/>
    <w:rsid w:val="00346FD8"/>
    <w:rsid w:val="0034767A"/>
    <w:rsid w:val="00347797"/>
    <w:rsid w:val="0035020D"/>
    <w:rsid w:val="00351015"/>
    <w:rsid w:val="00351C4B"/>
    <w:rsid w:val="00352089"/>
    <w:rsid w:val="003520B5"/>
    <w:rsid w:val="003527D4"/>
    <w:rsid w:val="00352A31"/>
    <w:rsid w:val="00352C7D"/>
    <w:rsid w:val="00352CEB"/>
    <w:rsid w:val="003530ED"/>
    <w:rsid w:val="003533F8"/>
    <w:rsid w:val="0035342B"/>
    <w:rsid w:val="00354AAD"/>
    <w:rsid w:val="003554DC"/>
    <w:rsid w:val="00355572"/>
    <w:rsid w:val="00355938"/>
    <w:rsid w:val="00355D3C"/>
    <w:rsid w:val="00356063"/>
    <w:rsid w:val="003565E5"/>
    <w:rsid w:val="00356F75"/>
    <w:rsid w:val="00357504"/>
    <w:rsid w:val="0036035E"/>
    <w:rsid w:val="00360463"/>
    <w:rsid w:val="00360844"/>
    <w:rsid w:val="00360865"/>
    <w:rsid w:val="00360ABD"/>
    <w:rsid w:val="00361595"/>
    <w:rsid w:val="003616AC"/>
    <w:rsid w:val="00361A5C"/>
    <w:rsid w:val="003630C4"/>
    <w:rsid w:val="00364119"/>
    <w:rsid w:val="003641CD"/>
    <w:rsid w:val="0036433E"/>
    <w:rsid w:val="003648BA"/>
    <w:rsid w:val="003649A0"/>
    <w:rsid w:val="00364BDB"/>
    <w:rsid w:val="00364E3A"/>
    <w:rsid w:val="003657C6"/>
    <w:rsid w:val="003661F6"/>
    <w:rsid w:val="00366256"/>
    <w:rsid w:val="0036657C"/>
    <w:rsid w:val="00366626"/>
    <w:rsid w:val="0036694D"/>
    <w:rsid w:val="00366F1C"/>
    <w:rsid w:val="00367905"/>
    <w:rsid w:val="00370028"/>
    <w:rsid w:val="003708C5"/>
    <w:rsid w:val="00370EBE"/>
    <w:rsid w:val="003710E4"/>
    <w:rsid w:val="0037111D"/>
    <w:rsid w:val="003711F9"/>
    <w:rsid w:val="00371EEC"/>
    <w:rsid w:val="00372108"/>
    <w:rsid w:val="00372610"/>
    <w:rsid w:val="00372962"/>
    <w:rsid w:val="00372A18"/>
    <w:rsid w:val="003749BD"/>
    <w:rsid w:val="00374A20"/>
    <w:rsid w:val="00374CDF"/>
    <w:rsid w:val="00374F2B"/>
    <w:rsid w:val="00374FB9"/>
    <w:rsid w:val="00375246"/>
    <w:rsid w:val="00376383"/>
    <w:rsid w:val="0037639A"/>
    <w:rsid w:val="00376501"/>
    <w:rsid w:val="003769B3"/>
    <w:rsid w:val="00376BE3"/>
    <w:rsid w:val="003771D4"/>
    <w:rsid w:val="003772E3"/>
    <w:rsid w:val="00377941"/>
    <w:rsid w:val="00377AEF"/>
    <w:rsid w:val="00377C1C"/>
    <w:rsid w:val="00377C9F"/>
    <w:rsid w:val="00377FE8"/>
    <w:rsid w:val="0038067F"/>
    <w:rsid w:val="00380CE3"/>
    <w:rsid w:val="00380E89"/>
    <w:rsid w:val="003811EA"/>
    <w:rsid w:val="003817AC"/>
    <w:rsid w:val="003817DD"/>
    <w:rsid w:val="00383020"/>
    <w:rsid w:val="003833C1"/>
    <w:rsid w:val="00384006"/>
    <w:rsid w:val="00384A03"/>
    <w:rsid w:val="00384D60"/>
    <w:rsid w:val="00385199"/>
    <w:rsid w:val="00385299"/>
    <w:rsid w:val="0038658A"/>
    <w:rsid w:val="003870DB"/>
    <w:rsid w:val="0038713B"/>
    <w:rsid w:val="0038736C"/>
    <w:rsid w:val="003878BB"/>
    <w:rsid w:val="00390307"/>
    <w:rsid w:val="00390615"/>
    <w:rsid w:val="0039073D"/>
    <w:rsid w:val="00391326"/>
    <w:rsid w:val="003915F3"/>
    <w:rsid w:val="003919C1"/>
    <w:rsid w:val="00391DED"/>
    <w:rsid w:val="0039269A"/>
    <w:rsid w:val="00392B86"/>
    <w:rsid w:val="00393341"/>
    <w:rsid w:val="003939F8"/>
    <w:rsid w:val="00394409"/>
    <w:rsid w:val="003946EF"/>
    <w:rsid w:val="0039481B"/>
    <w:rsid w:val="0039488A"/>
    <w:rsid w:val="00394B93"/>
    <w:rsid w:val="00395553"/>
    <w:rsid w:val="00395D66"/>
    <w:rsid w:val="00395EAE"/>
    <w:rsid w:val="00396388"/>
    <w:rsid w:val="003963A9"/>
    <w:rsid w:val="003966E4"/>
    <w:rsid w:val="00397012"/>
    <w:rsid w:val="00397478"/>
    <w:rsid w:val="0039758B"/>
    <w:rsid w:val="0039796F"/>
    <w:rsid w:val="003A0EAF"/>
    <w:rsid w:val="003A1800"/>
    <w:rsid w:val="003A1DB3"/>
    <w:rsid w:val="003A2169"/>
    <w:rsid w:val="003A2A21"/>
    <w:rsid w:val="003A2C01"/>
    <w:rsid w:val="003A31D3"/>
    <w:rsid w:val="003A356C"/>
    <w:rsid w:val="003A3637"/>
    <w:rsid w:val="003A3727"/>
    <w:rsid w:val="003A3828"/>
    <w:rsid w:val="003A3F0D"/>
    <w:rsid w:val="003A432B"/>
    <w:rsid w:val="003A4B09"/>
    <w:rsid w:val="003A4E0A"/>
    <w:rsid w:val="003A5A70"/>
    <w:rsid w:val="003A6000"/>
    <w:rsid w:val="003A6036"/>
    <w:rsid w:val="003A655B"/>
    <w:rsid w:val="003A7478"/>
    <w:rsid w:val="003A747D"/>
    <w:rsid w:val="003A7AD7"/>
    <w:rsid w:val="003B0393"/>
    <w:rsid w:val="003B05F9"/>
    <w:rsid w:val="003B0930"/>
    <w:rsid w:val="003B0A43"/>
    <w:rsid w:val="003B0F8A"/>
    <w:rsid w:val="003B193A"/>
    <w:rsid w:val="003B1CC8"/>
    <w:rsid w:val="003B1DDA"/>
    <w:rsid w:val="003B2634"/>
    <w:rsid w:val="003B26EF"/>
    <w:rsid w:val="003B2E20"/>
    <w:rsid w:val="003B30C0"/>
    <w:rsid w:val="003B31B0"/>
    <w:rsid w:val="003B3440"/>
    <w:rsid w:val="003B3968"/>
    <w:rsid w:val="003B5E1C"/>
    <w:rsid w:val="003B60A7"/>
    <w:rsid w:val="003B664F"/>
    <w:rsid w:val="003B67EF"/>
    <w:rsid w:val="003B6BCA"/>
    <w:rsid w:val="003B73DB"/>
    <w:rsid w:val="003B7737"/>
    <w:rsid w:val="003B7B6F"/>
    <w:rsid w:val="003B7C6D"/>
    <w:rsid w:val="003B7CD8"/>
    <w:rsid w:val="003B7F53"/>
    <w:rsid w:val="003C0027"/>
    <w:rsid w:val="003C04AD"/>
    <w:rsid w:val="003C0642"/>
    <w:rsid w:val="003C0660"/>
    <w:rsid w:val="003C0862"/>
    <w:rsid w:val="003C0BE6"/>
    <w:rsid w:val="003C15D2"/>
    <w:rsid w:val="003C169B"/>
    <w:rsid w:val="003C1EC1"/>
    <w:rsid w:val="003C22BD"/>
    <w:rsid w:val="003C2D07"/>
    <w:rsid w:val="003C31AC"/>
    <w:rsid w:val="003C3F27"/>
    <w:rsid w:val="003C4206"/>
    <w:rsid w:val="003C43FA"/>
    <w:rsid w:val="003C45B8"/>
    <w:rsid w:val="003C46DE"/>
    <w:rsid w:val="003C4736"/>
    <w:rsid w:val="003C5A11"/>
    <w:rsid w:val="003C5BA5"/>
    <w:rsid w:val="003C633D"/>
    <w:rsid w:val="003C65D8"/>
    <w:rsid w:val="003C6DD8"/>
    <w:rsid w:val="003C6F7D"/>
    <w:rsid w:val="003C79DF"/>
    <w:rsid w:val="003C7FAF"/>
    <w:rsid w:val="003C7FDD"/>
    <w:rsid w:val="003D0094"/>
    <w:rsid w:val="003D05BD"/>
    <w:rsid w:val="003D14BD"/>
    <w:rsid w:val="003D193D"/>
    <w:rsid w:val="003D2036"/>
    <w:rsid w:val="003D2828"/>
    <w:rsid w:val="003D2C54"/>
    <w:rsid w:val="003D2FAD"/>
    <w:rsid w:val="003D3E12"/>
    <w:rsid w:val="003D4190"/>
    <w:rsid w:val="003D4819"/>
    <w:rsid w:val="003D49EC"/>
    <w:rsid w:val="003D4C88"/>
    <w:rsid w:val="003D4EEC"/>
    <w:rsid w:val="003D53DA"/>
    <w:rsid w:val="003D5411"/>
    <w:rsid w:val="003D5F46"/>
    <w:rsid w:val="003D7053"/>
    <w:rsid w:val="003D7317"/>
    <w:rsid w:val="003D7372"/>
    <w:rsid w:val="003D77F7"/>
    <w:rsid w:val="003D7A5A"/>
    <w:rsid w:val="003D7AB5"/>
    <w:rsid w:val="003D7ACC"/>
    <w:rsid w:val="003E00EF"/>
    <w:rsid w:val="003E0634"/>
    <w:rsid w:val="003E06E5"/>
    <w:rsid w:val="003E0839"/>
    <w:rsid w:val="003E099A"/>
    <w:rsid w:val="003E0DF1"/>
    <w:rsid w:val="003E0F2B"/>
    <w:rsid w:val="003E12D3"/>
    <w:rsid w:val="003E143C"/>
    <w:rsid w:val="003E1902"/>
    <w:rsid w:val="003E1A19"/>
    <w:rsid w:val="003E1AAC"/>
    <w:rsid w:val="003E1BC9"/>
    <w:rsid w:val="003E2089"/>
    <w:rsid w:val="003E274D"/>
    <w:rsid w:val="003E3784"/>
    <w:rsid w:val="003E3F52"/>
    <w:rsid w:val="003E4383"/>
    <w:rsid w:val="003E49F4"/>
    <w:rsid w:val="003E4A7B"/>
    <w:rsid w:val="003E4D9E"/>
    <w:rsid w:val="003E5433"/>
    <w:rsid w:val="003E551B"/>
    <w:rsid w:val="003E5549"/>
    <w:rsid w:val="003E611D"/>
    <w:rsid w:val="003E61E3"/>
    <w:rsid w:val="003E6997"/>
    <w:rsid w:val="003E6A43"/>
    <w:rsid w:val="003E70DB"/>
    <w:rsid w:val="003E711A"/>
    <w:rsid w:val="003E7293"/>
    <w:rsid w:val="003E73A2"/>
    <w:rsid w:val="003E757E"/>
    <w:rsid w:val="003E7928"/>
    <w:rsid w:val="003E7A5C"/>
    <w:rsid w:val="003E7C91"/>
    <w:rsid w:val="003F0052"/>
    <w:rsid w:val="003F03FE"/>
    <w:rsid w:val="003F07A4"/>
    <w:rsid w:val="003F0A38"/>
    <w:rsid w:val="003F0EA0"/>
    <w:rsid w:val="003F0F2B"/>
    <w:rsid w:val="003F0F58"/>
    <w:rsid w:val="003F0F8D"/>
    <w:rsid w:val="003F14AA"/>
    <w:rsid w:val="003F1B50"/>
    <w:rsid w:val="003F291E"/>
    <w:rsid w:val="003F2D2C"/>
    <w:rsid w:val="003F2E5C"/>
    <w:rsid w:val="003F2ED3"/>
    <w:rsid w:val="003F2FA5"/>
    <w:rsid w:val="003F30BE"/>
    <w:rsid w:val="003F3242"/>
    <w:rsid w:val="003F3259"/>
    <w:rsid w:val="003F3897"/>
    <w:rsid w:val="003F45D6"/>
    <w:rsid w:val="003F5105"/>
    <w:rsid w:val="003F5674"/>
    <w:rsid w:val="003F5889"/>
    <w:rsid w:val="003F69A2"/>
    <w:rsid w:val="003F6BD0"/>
    <w:rsid w:val="003F6BDF"/>
    <w:rsid w:val="003F6EAF"/>
    <w:rsid w:val="003F7024"/>
    <w:rsid w:val="003F70B3"/>
    <w:rsid w:val="003F7BD2"/>
    <w:rsid w:val="003F7C46"/>
    <w:rsid w:val="00400A96"/>
    <w:rsid w:val="00400D09"/>
    <w:rsid w:val="004012F4"/>
    <w:rsid w:val="004019E4"/>
    <w:rsid w:val="004028E9"/>
    <w:rsid w:val="0040290A"/>
    <w:rsid w:val="0040297E"/>
    <w:rsid w:val="00402A21"/>
    <w:rsid w:val="00403538"/>
    <w:rsid w:val="004036AB"/>
    <w:rsid w:val="00404356"/>
    <w:rsid w:val="00404F54"/>
    <w:rsid w:val="00404F88"/>
    <w:rsid w:val="00404FDE"/>
    <w:rsid w:val="00405261"/>
    <w:rsid w:val="004056FF"/>
    <w:rsid w:val="0040680B"/>
    <w:rsid w:val="00406866"/>
    <w:rsid w:val="00406922"/>
    <w:rsid w:val="00406E13"/>
    <w:rsid w:val="00406EAF"/>
    <w:rsid w:val="00406FD5"/>
    <w:rsid w:val="004073C8"/>
    <w:rsid w:val="00407512"/>
    <w:rsid w:val="00410897"/>
    <w:rsid w:val="004108DC"/>
    <w:rsid w:val="0041100A"/>
    <w:rsid w:val="00411126"/>
    <w:rsid w:val="004114AD"/>
    <w:rsid w:val="004116F2"/>
    <w:rsid w:val="00412096"/>
    <w:rsid w:val="00412468"/>
    <w:rsid w:val="00412855"/>
    <w:rsid w:val="00412AC0"/>
    <w:rsid w:val="00412BC1"/>
    <w:rsid w:val="00412BF8"/>
    <w:rsid w:val="00412EC8"/>
    <w:rsid w:val="00413216"/>
    <w:rsid w:val="0041372E"/>
    <w:rsid w:val="004143A2"/>
    <w:rsid w:val="004148BE"/>
    <w:rsid w:val="004149B8"/>
    <w:rsid w:val="00414A66"/>
    <w:rsid w:val="00414D72"/>
    <w:rsid w:val="00414D99"/>
    <w:rsid w:val="00414F2D"/>
    <w:rsid w:val="00414FD5"/>
    <w:rsid w:val="0041556E"/>
    <w:rsid w:val="00415763"/>
    <w:rsid w:val="00415B13"/>
    <w:rsid w:val="00415DD0"/>
    <w:rsid w:val="0041653E"/>
    <w:rsid w:val="00416598"/>
    <w:rsid w:val="00416920"/>
    <w:rsid w:val="0041692B"/>
    <w:rsid w:val="00417147"/>
    <w:rsid w:val="004178F2"/>
    <w:rsid w:val="00417D28"/>
    <w:rsid w:val="00417F9C"/>
    <w:rsid w:val="00420437"/>
    <w:rsid w:val="00420756"/>
    <w:rsid w:val="004208F6"/>
    <w:rsid w:val="00420A4D"/>
    <w:rsid w:val="00420CEC"/>
    <w:rsid w:val="004213E2"/>
    <w:rsid w:val="00421830"/>
    <w:rsid w:val="00421F18"/>
    <w:rsid w:val="00422BD1"/>
    <w:rsid w:val="00422D50"/>
    <w:rsid w:val="00423D5A"/>
    <w:rsid w:val="00423E50"/>
    <w:rsid w:val="0042488B"/>
    <w:rsid w:val="004248C2"/>
    <w:rsid w:val="004249BB"/>
    <w:rsid w:val="0042530D"/>
    <w:rsid w:val="00425C5C"/>
    <w:rsid w:val="00425EF5"/>
    <w:rsid w:val="00426800"/>
    <w:rsid w:val="00426F2C"/>
    <w:rsid w:val="00426F57"/>
    <w:rsid w:val="00427381"/>
    <w:rsid w:val="004276B6"/>
    <w:rsid w:val="0042786A"/>
    <w:rsid w:val="0042788A"/>
    <w:rsid w:val="00427EB7"/>
    <w:rsid w:val="0043002A"/>
    <w:rsid w:val="00430D00"/>
    <w:rsid w:val="00431629"/>
    <w:rsid w:val="00432864"/>
    <w:rsid w:val="0043393E"/>
    <w:rsid w:val="00433984"/>
    <w:rsid w:val="00433D29"/>
    <w:rsid w:val="0043468F"/>
    <w:rsid w:val="00434961"/>
    <w:rsid w:val="00434F88"/>
    <w:rsid w:val="00434FB3"/>
    <w:rsid w:val="00435040"/>
    <w:rsid w:val="0043505F"/>
    <w:rsid w:val="00435592"/>
    <w:rsid w:val="00436652"/>
    <w:rsid w:val="0043697E"/>
    <w:rsid w:val="00436A5D"/>
    <w:rsid w:val="00437494"/>
    <w:rsid w:val="00437FA9"/>
    <w:rsid w:val="0044000E"/>
    <w:rsid w:val="00440A58"/>
    <w:rsid w:val="00440D37"/>
    <w:rsid w:val="004412AA"/>
    <w:rsid w:val="00441B0B"/>
    <w:rsid w:val="00442167"/>
    <w:rsid w:val="0044247E"/>
    <w:rsid w:val="004433FA"/>
    <w:rsid w:val="004435FD"/>
    <w:rsid w:val="00443958"/>
    <w:rsid w:val="00443D68"/>
    <w:rsid w:val="00444B52"/>
    <w:rsid w:val="00445173"/>
    <w:rsid w:val="004455D0"/>
    <w:rsid w:val="0044576D"/>
    <w:rsid w:val="00445B06"/>
    <w:rsid w:val="00446C98"/>
    <w:rsid w:val="00446CD3"/>
    <w:rsid w:val="00447628"/>
    <w:rsid w:val="00447ECF"/>
    <w:rsid w:val="004508F0"/>
    <w:rsid w:val="00450DDD"/>
    <w:rsid w:val="004514B0"/>
    <w:rsid w:val="004515ED"/>
    <w:rsid w:val="004518AD"/>
    <w:rsid w:val="004518E1"/>
    <w:rsid w:val="00452B53"/>
    <w:rsid w:val="0045396F"/>
    <w:rsid w:val="00453BBE"/>
    <w:rsid w:val="00454419"/>
    <w:rsid w:val="00454B08"/>
    <w:rsid w:val="00454BA0"/>
    <w:rsid w:val="00454D07"/>
    <w:rsid w:val="00454D6D"/>
    <w:rsid w:val="0045528D"/>
    <w:rsid w:val="0045562C"/>
    <w:rsid w:val="00455C58"/>
    <w:rsid w:val="00455E81"/>
    <w:rsid w:val="00456168"/>
    <w:rsid w:val="004563A3"/>
    <w:rsid w:val="004566A2"/>
    <w:rsid w:val="00456849"/>
    <w:rsid w:val="00456B32"/>
    <w:rsid w:val="00456BC1"/>
    <w:rsid w:val="00456F49"/>
    <w:rsid w:val="00457555"/>
    <w:rsid w:val="00457CA3"/>
    <w:rsid w:val="00457E0A"/>
    <w:rsid w:val="004601AC"/>
    <w:rsid w:val="004601AF"/>
    <w:rsid w:val="0046053F"/>
    <w:rsid w:val="004616F1"/>
    <w:rsid w:val="00461D64"/>
    <w:rsid w:val="00462791"/>
    <w:rsid w:val="00462814"/>
    <w:rsid w:val="00463A9D"/>
    <w:rsid w:val="00463C99"/>
    <w:rsid w:val="0046427A"/>
    <w:rsid w:val="004644A3"/>
    <w:rsid w:val="004646C1"/>
    <w:rsid w:val="00464B71"/>
    <w:rsid w:val="00464FF8"/>
    <w:rsid w:val="0046500A"/>
    <w:rsid w:val="004652CE"/>
    <w:rsid w:val="00465489"/>
    <w:rsid w:val="004657E4"/>
    <w:rsid w:val="00465828"/>
    <w:rsid w:val="0046584E"/>
    <w:rsid w:val="00465B3E"/>
    <w:rsid w:val="00466137"/>
    <w:rsid w:val="00466271"/>
    <w:rsid w:val="004669FB"/>
    <w:rsid w:val="0046778D"/>
    <w:rsid w:val="00467DF4"/>
    <w:rsid w:val="004706C7"/>
    <w:rsid w:val="00470829"/>
    <w:rsid w:val="00470A41"/>
    <w:rsid w:val="00470DBA"/>
    <w:rsid w:val="00471053"/>
    <w:rsid w:val="0047116A"/>
    <w:rsid w:val="004711FB"/>
    <w:rsid w:val="0047129C"/>
    <w:rsid w:val="004713C1"/>
    <w:rsid w:val="004719C0"/>
    <w:rsid w:val="00471EA2"/>
    <w:rsid w:val="00472268"/>
    <w:rsid w:val="00472388"/>
    <w:rsid w:val="00472CB4"/>
    <w:rsid w:val="00472E42"/>
    <w:rsid w:val="00472E99"/>
    <w:rsid w:val="004730B9"/>
    <w:rsid w:val="004737F5"/>
    <w:rsid w:val="00473823"/>
    <w:rsid w:val="00473B94"/>
    <w:rsid w:val="00473D2F"/>
    <w:rsid w:val="004742EE"/>
    <w:rsid w:val="00475112"/>
    <w:rsid w:val="0047547D"/>
    <w:rsid w:val="00475538"/>
    <w:rsid w:val="004763D2"/>
    <w:rsid w:val="0047664A"/>
    <w:rsid w:val="0047683C"/>
    <w:rsid w:val="00476A47"/>
    <w:rsid w:val="00477497"/>
    <w:rsid w:val="004779B3"/>
    <w:rsid w:val="00477CF3"/>
    <w:rsid w:val="00477EEA"/>
    <w:rsid w:val="00480E96"/>
    <w:rsid w:val="00480F8A"/>
    <w:rsid w:val="00481296"/>
    <w:rsid w:val="004812FC"/>
    <w:rsid w:val="004819F1"/>
    <w:rsid w:val="004820B6"/>
    <w:rsid w:val="00482104"/>
    <w:rsid w:val="00482B63"/>
    <w:rsid w:val="00482BE9"/>
    <w:rsid w:val="0048322D"/>
    <w:rsid w:val="004834F4"/>
    <w:rsid w:val="004836CF"/>
    <w:rsid w:val="00483D1B"/>
    <w:rsid w:val="00483E8B"/>
    <w:rsid w:val="00484222"/>
    <w:rsid w:val="00484A79"/>
    <w:rsid w:val="00484A87"/>
    <w:rsid w:val="00484B5B"/>
    <w:rsid w:val="004850E5"/>
    <w:rsid w:val="0048519F"/>
    <w:rsid w:val="004852BA"/>
    <w:rsid w:val="00485503"/>
    <w:rsid w:val="0048564B"/>
    <w:rsid w:val="00485E83"/>
    <w:rsid w:val="00485F1A"/>
    <w:rsid w:val="004864F7"/>
    <w:rsid w:val="0048718A"/>
    <w:rsid w:val="00487255"/>
    <w:rsid w:val="00487548"/>
    <w:rsid w:val="00487EB6"/>
    <w:rsid w:val="00487F83"/>
    <w:rsid w:val="00487FA4"/>
    <w:rsid w:val="004906E7"/>
    <w:rsid w:val="0049086E"/>
    <w:rsid w:val="00490AB2"/>
    <w:rsid w:val="00490BA3"/>
    <w:rsid w:val="0049121E"/>
    <w:rsid w:val="0049122B"/>
    <w:rsid w:val="00491481"/>
    <w:rsid w:val="00491890"/>
    <w:rsid w:val="00491BC0"/>
    <w:rsid w:val="00493956"/>
    <w:rsid w:val="004945DC"/>
    <w:rsid w:val="004947D4"/>
    <w:rsid w:val="00494C82"/>
    <w:rsid w:val="00495032"/>
    <w:rsid w:val="0049522C"/>
    <w:rsid w:val="00495A0B"/>
    <w:rsid w:val="00495DA6"/>
    <w:rsid w:val="004966A1"/>
    <w:rsid w:val="004966BC"/>
    <w:rsid w:val="00496BF3"/>
    <w:rsid w:val="00496C7D"/>
    <w:rsid w:val="00496DC7"/>
    <w:rsid w:val="0049735C"/>
    <w:rsid w:val="004975EC"/>
    <w:rsid w:val="00497DA1"/>
    <w:rsid w:val="004A0B4F"/>
    <w:rsid w:val="004A10A7"/>
    <w:rsid w:val="004A1361"/>
    <w:rsid w:val="004A1AFC"/>
    <w:rsid w:val="004A1C5A"/>
    <w:rsid w:val="004A1F28"/>
    <w:rsid w:val="004A2573"/>
    <w:rsid w:val="004A28ED"/>
    <w:rsid w:val="004A2942"/>
    <w:rsid w:val="004A2C24"/>
    <w:rsid w:val="004A2C25"/>
    <w:rsid w:val="004A304D"/>
    <w:rsid w:val="004A328F"/>
    <w:rsid w:val="004A397B"/>
    <w:rsid w:val="004A430A"/>
    <w:rsid w:val="004A4AF9"/>
    <w:rsid w:val="004A4CFC"/>
    <w:rsid w:val="004A592B"/>
    <w:rsid w:val="004A59E2"/>
    <w:rsid w:val="004A5C0E"/>
    <w:rsid w:val="004A675D"/>
    <w:rsid w:val="004A67ED"/>
    <w:rsid w:val="004A683C"/>
    <w:rsid w:val="004A73A8"/>
    <w:rsid w:val="004A7431"/>
    <w:rsid w:val="004A743B"/>
    <w:rsid w:val="004A7C2F"/>
    <w:rsid w:val="004B016C"/>
    <w:rsid w:val="004B03CD"/>
    <w:rsid w:val="004B0538"/>
    <w:rsid w:val="004B0CFE"/>
    <w:rsid w:val="004B1860"/>
    <w:rsid w:val="004B1A8D"/>
    <w:rsid w:val="004B1D90"/>
    <w:rsid w:val="004B3427"/>
    <w:rsid w:val="004B34F4"/>
    <w:rsid w:val="004B35BB"/>
    <w:rsid w:val="004B377E"/>
    <w:rsid w:val="004B3802"/>
    <w:rsid w:val="004B4295"/>
    <w:rsid w:val="004B44DE"/>
    <w:rsid w:val="004B4CE7"/>
    <w:rsid w:val="004B4E8F"/>
    <w:rsid w:val="004B5155"/>
    <w:rsid w:val="004B5BEE"/>
    <w:rsid w:val="004B6430"/>
    <w:rsid w:val="004B6B43"/>
    <w:rsid w:val="004B6CEF"/>
    <w:rsid w:val="004B7BBA"/>
    <w:rsid w:val="004C00F5"/>
    <w:rsid w:val="004C0B6F"/>
    <w:rsid w:val="004C1857"/>
    <w:rsid w:val="004C18BA"/>
    <w:rsid w:val="004C220F"/>
    <w:rsid w:val="004C2306"/>
    <w:rsid w:val="004C2F13"/>
    <w:rsid w:val="004C3272"/>
    <w:rsid w:val="004C32F4"/>
    <w:rsid w:val="004C3C18"/>
    <w:rsid w:val="004C4782"/>
    <w:rsid w:val="004C4CA5"/>
    <w:rsid w:val="004C4F9D"/>
    <w:rsid w:val="004C5443"/>
    <w:rsid w:val="004C5740"/>
    <w:rsid w:val="004C5B95"/>
    <w:rsid w:val="004C5FA1"/>
    <w:rsid w:val="004C6205"/>
    <w:rsid w:val="004C64B8"/>
    <w:rsid w:val="004C6861"/>
    <w:rsid w:val="004C6C47"/>
    <w:rsid w:val="004C6D16"/>
    <w:rsid w:val="004C6E14"/>
    <w:rsid w:val="004C6FA5"/>
    <w:rsid w:val="004C6FE6"/>
    <w:rsid w:val="004C6FEE"/>
    <w:rsid w:val="004D0257"/>
    <w:rsid w:val="004D06A5"/>
    <w:rsid w:val="004D073A"/>
    <w:rsid w:val="004D0E50"/>
    <w:rsid w:val="004D1B00"/>
    <w:rsid w:val="004D2138"/>
    <w:rsid w:val="004D26B5"/>
    <w:rsid w:val="004D2BD0"/>
    <w:rsid w:val="004D317A"/>
    <w:rsid w:val="004D3792"/>
    <w:rsid w:val="004D40F7"/>
    <w:rsid w:val="004D4B9C"/>
    <w:rsid w:val="004D5045"/>
    <w:rsid w:val="004D5C6A"/>
    <w:rsid w:val="004D6EE1"/>
    <w:rsid w:val="004D6F0A"/>
    <w:rsid w:val="004D75BB"/>
    <w:rsid w:val="004E0405"/>
    <w:rsid w:val="004E083C"/>
    <w:rsid w:val="004E0CB7"/>
    <w:rsid w:val="004E0E50"/>
    <w:rsid w:val="004E0F23"/>
    <w:rsid w:val="004E124B"/>
    <w:rsid w:val="004E146F"/>
    <w:rsid w:val="004E19DB"/>
    <w:rsid w:val="004E217C"/>
    <w:rsid w:val="004E2723"/>
    <w:rsid w:val="004E289C"/>
    <w:rsid w:val="004E2976"/>
    <w:rsid w:val="004E3470"/>
    <w:rsid w:val="004E38F5"/>
    <w:rsid w:val="004E3A8D"/>
    <w:rsid w:val="004E3F1A"/>
    <w:rsid w:val="004E4102"/>
    <w:rsid w:val="004E4194"/>
    <w:rsid w:val="004E4A6D"/>
    <w:rsid w:val="004E4D55"/>
    <w:rsid w:val="004E5733"/>
    <w:rsid w:val="004E5A10"/>
    <w:rsid w:val="004E5A14"/>
    <w:rsid w:val="004E6935"/>
    <w:rsid w:val="004E7131"/>
    <w:rsid w:val="004E742E"/>
    <w:rsid w:val="004E78C7"/>
    <w:rsid w:val="004E795F"/>
    <w:rsid w:val="004E79AF"/>
    <w:rsid w:val="004E79FA"/>
    <w:rsid w:val="004E7F6E"/>
    <w:rsid w:val="004E7F9A"/>
    <w:rsid w:val="004F00F8"/>
    <w:rsid w:val="004F0408"/>
    <w:rsid w:val="004F064E"/>
    <w:rsid w:val="004F0782"/>
    <w:rsid w:val="004F147F"/>
    <w:rsid w:val="004F1623"/>
    <w:rsid w:val="004F1627"/>
    <w:rsid w:val="004F177A"/>
    <w:rsid w:val="004F1B2F"/>
    <w:rsid w:val="004F1C72"/>
    <w:rsid w:val="004F1C8E"/>
    <w:rsid w:val="004F2188"/>
    <w:rsid w:val="004F28B2"/>
    <w:rsid w:val="004F2BD2"/>
    <w:rsid w:val="004F2BF6"/>
    <w:rsid w:val="004F2E2E"/>
    <w:rsid w:val="004F38A5"/>
    <w:rsid w:val="004F3C6F"/>
    <w:rsid w:val="004F3D6F"/>
    <w:rsid w:val="004F406C"/>
    <w:rsid w:val="004F4203"/>
    <w:rsid w:val="004F4C12"/>
    <w:rsid w:val="004F528E"/>
    <w:rsid w:val="004F5C2F"/>
    <w:rsid w:val="004F623A"/>
    <w:rsid w:val="004F6CB8"/>
    <w:rsid w:val="004F6D01"/>
    <w:rsid w:val="004F70BA"/>
    <w:rsid w:val="004F7E3B"/>
    <w:rsid w:val="004F7F05"/>
    <w:rsid w:val="004F7FA8"/>
    <w:rsid w:val="005003C4"/>
    <w:rsid w:val="00500465"/>
    <w:rsid w:val="00500C0F"/>
    <w:rsid w:val="00500D5C"/>
    <w:rsid w:val="00501695"/>
    <w:rsid w:val="00502068"/>
    <w:rsid w:val="00502558"/>
    <w:rsid w:val="00502C3F"/>
    <w:rsid w:val="00502DE2"/>
    <w:rsid w:val="00503137"/>
    <w:rsid w:val="00503361"/>
    <w:rsid w:val="00503F54"/>
    <w:rsid w:val="00504145"/>
    <w:rsid w:val="00504693"/>
    <w:rsid w:val="00505049"/>
    <w:rsid w:val="00505328"/>
    <w:rsid w:val="00505396"/>
    <w:rsid w:val="00505668"/>
    <w:rsid w:val="00505717"/>
    <w:rsid w:val="00505723"/>
    <w:rsid w:val="00506095"/>
    <w:rsid w:val="00506347"/>
    <w:rsid w:val="00506C24"/>
    <w:rsid w:val="00506F69"/>
    <w:rsid w:val="005078E9"/>
    <w:rsid w:val="00507B6C"/>
    <w:rsid w:val="00510216"/>
    <w:rsid w:val="005105BB"/>
    <w:rsid w:val="00510B4C"/>
    <w:rsid w:val="00510EA8"/>
    <w:rsid w:val="00511201"/>
    <w:rsid w:val="005112AB"/>
    <w:rsid w:val="00511593"/>
    <w:rsid w:val="00511B88"/>
    <w:rsid w:val="00511BD3"/>
    <w:rsid w:val="0051236C"/>
    <w:rsid w:val="00512B61"/>
    <w:rsid w:val="00512CD7"/>
    <w:rsid w:val="00513218"/>
    <w:rsid w:val="0051348F"/>
    <w:rsid w:val="0051474D"/>
    <w:rsid w:val="0051484D"/>
    <w:rsid w:val="005149DF"/>
    <w:rsid w:val="00514B8F"/>
    <w:rsid w:val="00514C92"/>
    <w:rsid w:val="00514CF2"/>
    <w:rsid w:val="00514E69"/>
    <w:rsid w:val="00514F3F"/>
    <w:rsid w:val="0051524D"/>
    <w:rsid w:val="00515BC6"/>
    <w:rsid w:val="00515E35"/>
    <w:rsid w:val="005160EF"/>
    <w:rsid w:val="00516368"/>
    <w:rsid w:val="0051676B"/>
    <w:rsid w:val="00516C4F"/>
    <w:rsid w:val="0051749D"/>
    <w:rsid w:val="0051754F"/>
    <w:rsid w:val="0051780A"/>
    <w:rsid w:val="00517A60"/>
    <w:rsid w:val="00517C80"/>
    <w:rsid w:val="00517D36"/>
    <w:rsid w:val="0052005C"/>
    <w:rsid w:val="0052020B"/>
    <w:rsid w:val="00520566"/>
    <w:rsid w:val="00520B1E"/>
    <w:rsid w:val="005216DD"/>
    <w:rsid w:val="0052182F"/>
    <w:rsid w:val="005219C9"/>
    <w:rsid w:val="0052206D"/>
    <w:rsid w:val="005228B2"/>
    <w:rsid w:val="00522CF7"/>
    <w:rsid w:val="005230F1"/>
    <w:rsid w:val="005233EA"/>
    <w:rsid w:val="0052342E"/>
    <w:rsid w:val="00523E09"/>
    <w:rsid w:val="00523FE3"/>
    <w:rsid w:val="00524400"/>
    <w:rsid w:val="00524E76"/>
    <w:rsid w:val="005257CC"/>
    <w:rsid w:val="005259FB"/>
    <w:rsid w:val="0052637A"/>
    <w:rsid w:val="00526964"/>
    <w:rsid w:val="00526A0F"/>
    <w:rsid w:val="00526F70"/>
    <w:rsid w:val="005270DF"/>
    <w:rsid w:val="0052743E"/>
    <w:rsid w:val="00527A2E"/>
    <w:rsid w:val="00527D4B"/>
    <w:rsid w:val="00530682"/>
    <w:rsid w:val="005306A0"/>
    <w:rsid w:val="00530884"/>
    <w:rsid w:val="00530B25"/>
    <w:rsid w:val="00530DF5"/>
    <w:rsid w:val="0053171C"/>
    <w:rsid w:val="005322CF"/>
    <w:rsid w:val="0053253F"/>
    <w:rsid w:val="005325AA"/>
    <w:rsid w:val="00532880"/>
    <w:rsid w:val="005329EB"/>
    <w:rsid w:val="00532F56"/>
    <w:rsid w:val="00533D6F"/>
    <w:rsid w:val="00533E28"/>
    <w:rsid w:val="005348E0"/>
    <w:rsid w:val="00535171"/>
    <w:rsid w:val="00535623"/>
    <w:rsid w:val="00535637"/>
    <w:rsid w:val="005356AB"/>
    <w:rsid w:val="00535EB0"/>
    <w:rsid w:val="00537736"/>
    <w:rsid w:val="00540430"/>
    <w:rsid w:val="005407E6"/>
    <w:rsid w:val="0054098B"/>
    <w:rsid w:val="00541262"/>
    <w:rsid w:val="0054161F"/>
    <w:rsid w:val="0054173E"/>
    <w:rsid w:val="00541788"/>
    <w:rsid w:val="005421BE"/>
    <w:rsid w:val="00542739"/>
    <w:rsid w:val="00542C73"/>
    <w:rsid w:val="00542F46"/>
    <w:rsid w:val="00543052"/>
    <w:rsid w:val="00543179"/>
    <w:rsid w:val="0054404E"/>
    <w:rsid w:val="005440FD"/>
    <w:rsid w:val="0054475A"/>
    <w:rsid w:val="005447B8"/>
    <w:rsid w:val="00544FAD"/>
    <w:rsid w:val="00546499"/>
    <w:rsid w:val="00546A8C"/>
    <w:rsid w:val="005476D8"/>
    <w:rsid w:val="00547AFA"/>
    <w:rsid w:val="00547DF2"/>
    <w:rsid w:val="00550092"/>
    <w:rsid w:val="005500E0"/>
    <w:rsid w:val="005503AF"/>
    <w:rsid w:val="005508BC"/>
    <w:rsid w:val="0055111D"/>
    <w:rsid w:val="005514B8"/>
    <w:rsid w:val="005518B3"/>
    <w:rsid w:val="00551D9C"/>
    <w:rsid w:val="00551F0F"/>
    <w:rsid w:val="00552191"/>
    <w:rsid w:val="00552279"/>
    <w:rsid w:val="00552812"/>
    <w:rsid w:val="00553202"/>
    <w:rsid w:val="00553276"/>
    <w:rsid w:val="00553448"/>
    <w:rsid w:val="0055378D"/>
    <w:rsid w:val="00554097"/>
    <w:rsid w:val="00554468"/>
    <w:rsid w:val="005549F3"/>
    <w:rsid w:val="00554B7B"/>
    <w:rsid w:val="00554C48"/>
    <w:rsid w:val="00554CE7"/>
    <w:rsid w:val="00555417"/>
    <w:rsid w:val="005557CC"/>
    <w:rsid w:val="005558CB"/>
    <w:rsid w:val="005562D1"/>
    <w:rsid w:val="0055642C"/>
    <w:rsid w:val="00556561"/>
    <w:rsid w:val="00556636"/>
    <w:rsid w:val="005568A3"/>
    <w:rsid w:val="00556ED9"/>
    <w:rsid w:val="00556FDB"/>
    <w:rsid w:val="0055734C"/>
    <w:rsid w:val="00557752"/>
    <w:rsid w:val="00557769"/>
    <w:rsid w:val="00557919"/>
    <w:rsid w:val="00557B96"/>
    <w:rsid w:val="00557E2E"/>
    <w:rsid w:val="00560079"/>
    <w:rsid w:val="00560236"/>
    <w:rsid w:val="005602F4"/>
    <w:rsid w:val="00560E36"/>
    <w:rsid w:val="005611B2"/>
    <w:rsid w:val="005613CD"/>
    <w:rsid w:val="00561598"/>
    <w:rsid w:val="00561DA8"/>
    <w:rsid w:val="00561E8E"/>
    <w:rsid w:val="00562631"/>
    <w:rsid w:val="005628F5"/>
    <w:rsid w:val="00562A79"/>
    <w:rsid w:val="00562EE7"/>
    <w:rsid w:val="005636E7"/>
    <w:rsid w:val="00563EFC"/>
    <w:rsid w:val="00564AAD"/>
    <w:rsid w:val="00564DCF"/>
    <w:rsid w:val="00565718"/>
    <w:rsid w:val="00565D8E"/>
    <w:rsid w:val="0056620F"/>
    <w:rsid w:val="00566A88"/>
    <w:rsid w:val="00566D1A"/>
    <w:rsid w:val="00566FA5"/>
    <w:rsid w:val="00566FF6"/>
    <w:rsid w:val="00567185"/>
    <w:rsid w:val="005672BA"/>
    <w:rsid w:val="0056750E"/>
    <w:rsid w:val="00567812"/>
    <w:rsid w:val="0057083A"/>
    <w:rsid w:val="00570FE9"/>
    <w:rsid w:val="00571085"/>
    <w:rsid w:val="005711AA"/>
    <w:rsid w:val="00571361"/>
    <w:rsid w:val="005715B8"/>
    <w:rsid w:val="005723FD"/>
    <w:rsid w:val="00572630"/>
    <w:rsid w:val="005728B7"/>
    <w:rsid w:val="00572B11"/>
    <w:rsid w:val="00573509"/>
    <w:rsid w:val="005736A6"/>
    <w:rsid w:val="00573966"/>
    <w:rsid w:val="00573CAD"/>
    <w:rsid w:val="00573FE4"/>
    <w:rsid w:val="00574077"/>
    <w:rsid w:val="00574412"/>
    <w:rsid w:val="00575F57"/>
    <w:rsid w:val="005762F3"/>
    <w:rsid w:val="00576634"/>
    <w:rsid w:val="005772CC"/>
    <w:rsid w:val="00577E93"/>
    <w:rsid w:val="005805D3"/>
    <w:rsid w:val="00580D61"/>
    <w:rsid w:val="00580ED4"/>
    <w:rsid w:val="00581032"/>
    <w:rsid w:val="0058140E"/>
    <w:rsid w:val="00581697"/>
    <w:rsid w:val="0058170B"/>
    <w:rsid w:val="00582620"/>
    <w:rsid w:val="00582C20"/>
    <w:rsid w:val="00582C79"/>
    <w:rsid w:val="00582CDC"/>
    <w:rsid w:val="00582E9E"/>
    <w:rsid w:val="00582F9A"/>
    <w:rsid w:val="00582FBD"/>
    <w:rsid w:val="0058347D"/>
    <w:rsid w:val="0058429A"/>
    <w:rsid w:val="00584CE1"/>
    <w:rsid w:val="00584D81"/>
    <w:rsid w:val="00584E59"/>
    <w:rsid w:val="00585434"/>
    <w:rsid w:val="0058599D"/>
    <w:rsid w:val="00585F6A"/>
    <w:rsid w:val="00586B52"/>
    <w:rsid w:val="00586B5F"/>
    <w:rsid w:val="00586D42"/>
    <w:rsid w:val="00586E18"/>
    <w:rsid w:val="00587700"/>
    <w:rsid w:val="005902E0"/>
    <w:rsid w:val="00590736"/>
    <w:rsid w:val="00590CB9"/>
    <w:rsid w:val="00590DE9"/>
    <w:rsid w:val="00590F93"/>
    <w:rsid w:val="0059109E"/>
    <w:rsid w:val="005911D8"/>
    <w:rsid w:val="00591FA3"/>
    <w:rsid w:val="005921B2"/>
    <w:rsid w:val="005926C7"/>
    <w:rsid w:val="005938E4"/>
    <w:rsid w:val="00593B52"/>
    <w:rsid w:val="00593CE5"/>
    <w:rsid w:val="0059410F"/>
    <w:rsid w:val="0059465E"/>
    <w:rsid w:val="00595009"/>
    <w:rsid w:val="0059507A"/>
    <w:rsid w:val="005961F4"/>
    <w:rsid w:val="00596575"/>
    <w:rsid w:val="0059718D"/>
    <w:rsid w:val="00597857"/>
    <w:rsid w:val="005979A8"/>
    <w:rsid w:val="00597C2F"/>
    <w:rsid w:val="00597D46"/>
    <w:rsid w:val="00597EA4"/>
    <w:rsid w:val="005A069F"/>
    <w:rsid w:val="005A083C"/>
    <w:rsid w:val="005A0B48"/>
    <w:rsid w:val="005A0D24"/>
    <w:rsid w:val="005A2718"/>
    <w:rsid w:val="005A2BF8"/>
    <w:rsid w:val="005A2E68"/>
    <w:rsid w:val="005A36D9"/>
    <w:rsid w:val="005A3802"/>
    <w:rsid w:val="005A4B1E"/>
    <w:rsid w:val="005A4C5C"/>
    <w:rsid w:val="005A4F51"/>
    <w:rsid w:val="005A4FC6"/>
    <w:rsid w:val="005A5457"/>
    <w:rsid w:val="005A5C47"/>
    <w:rsid w:val="005A5C49"/>
    <w:rsid w:val="005A5DCB"/>
    <w:rsid w:val="005A5F84"/>
    <w:rsid w:val="005A64B2"/>
    <w:rsid w:val="005A65B9"/>
    <w:rsid w:val="005A6F91"/>
    <w:rsid w:val="005A73BF"/>
    <w:rsid w:val="005A74E1"/>
    <w:rsid w:val="005A75D7"/>
    <w:rsid w:val="005A7A23"/>
    <w:rsid w:val="005B00ED"/>
    <w:rsid w:val="005B023A"/>
    <w:rsid w:val="005B05ED"/>
    <w:rsid w:val="005B0790"/>
    <w:rsid w:val="005B0B23"/>
    <w:rsid w:val="005B0E33"/>
    <w:rsid w:val="005B0FD2"/>
    <w:rsid w:val="005B1012"/>
    <w:rsid w:val="005B15CD"/>
    <w:rsid w:val="005B1C72"/>
    <w:rsid w:val="005B1D73"/>
    <w:rsid w:val="005B1F00"/>
    <w:rsid w:val="005B1F6B"/>
    <w:rsid w:val="005B22FE"/>
    <w:rsid w:val="005B243C"/>
    <w:rsid w:val="005B257C"/>
    <w:rsid w:val="005B26CD"/>
    <w:rsid w:val="005B27E6"/>
    <w:rsid w:val="005B285D"/>
    <w:rsid w:val="005B2B92"/>
    <w:rsid w:val="005B2BAA"/>
    <w:rsid w:val="005B2C3B"/>
    <w:rsid w:val="005B2FBF"/>
    <w:rsid w:val="005B302C"/>
    <w:rsid w:val="005B37DC"/>
    <w:rsid w:val="005B595A"/>
    <w:rsid w:val="005B5AED"/>
    <w:rsid w:val="005B64B8"/>
    <w:rsid w:val="005B6A4B"/>
    <w:rsid w:val="005B6AC3"/>
    <w:rsid w:val="005B6F5A"/>
    <w:rsid w:val="005B70D8"/>
    <w:rsid w:val="005B7FE1"/>
    <w:rsid w:val="005C045C"/>
    <w:rsid w:val="005C0BB3"/>
    <w:rsid w:val="005C0BF2"/>
    <w:rsid w:val="005C0E17"/>
    <w:rsid w:val="005C15C5"/>
    <w:rsid w:val="005C171A"/>
    <w:rsid w:val="005C2491"/>
    <w:rsid w:val="005C25B0"/>
    <w:rsid w:val="005C2B60"/>
    <w:rsid w:val="005C2CEB"/>
    <w:rsid w:val="005C300F"/>
    <w:rsid w:val="005C3319"/>
    <w:rsid w:val="005C3349"/>
    <w:rsid w:val="005C34AE"/>
    <w:rsid w:val="005C363D"/>
    <w:rsid w:val="005C3D1E"/>
    <w:rsid w:val="005C3DD3"/>
    <w:rsid w:val="005C3E0A"/>
    <w:rsid w:val="005C5516"/>
    <w:rsid w:val="005C5574"/>
    <w:rsid w:val="005C56CF"/>
    <w:rsid w:val="005C5A6A"/>
    <w:rsid w:val="005C5DB0"/>
    <w:rsid w:val="005C5F9E"/>
    <w:rsid w:val="005C5FD0"/>
    <w:rsid w:val="005C6532"/>
    <w:rsid w:val="005C6EFE"/>
    <w:rsid w:val="005C7299"/>
    <w:rsid w:val="005C7668"/>
    <w:rsid w:val="005C7DAE"/>
    <w:rsid w:val="005C7E6E"/>
    <w:rsid w:val="005C7F3D"/>
    <w:rsid w:val="005D0090"/>
    <w:rsid w:val="005D079C"/>
    <w:rsid w:val="005D0D2D"/>
    <w:rsid w:val="005D12DE"/>
    <w:rsid w:val="005D16F5"/>
    <w:rsid w:val="005D1995"/>
    <w:rsid w:val="005D27D4"/>
    <w:rsid w:val="005D285A"/>
    <w:rsid w:val="005D31FA"/>
    <w:rsid w:val="005D36BF"/>
    <w:rsid w:val="005D3886"/>
    <w:rsid w:val="005D3FA5"/>
    <w:rsid w:val="005D402F"/>
    <w:rsid w:val="005D4034"/>
    <w:rsid w:val="005D4795"/>
    <w:rsid w:val="005D47D4"/>
    <w:rsid w:val="005D4E47"/>
    <w:rsid w:val="005D4EB1"/>
    <w:rsid w:val="005D573E"/>
    <w:rsid w:val="005D57E6"/>
    <w:rsid w:val="005D57F2"/>
    <w:rsid w:val="005D5FCB"/>
    <w:rsid w:val="005D61C6"/>
    <w:rsid w:val="005D6327"/>
    <w:rsid w:val="005D6A44"/>
    <w:rsid w:val="005D6D77"/>
    <w:rsid w:val="005D6EA8"/>
    <w:rsid w:val="005D7083"/>
    <w:rsid w:val="005D714D"/>
    <w:rsid w:val="005D727B"/>
    <w:rsid w:val="005D73EE"/>
    <w:rsid w:val="005D7465"/>
    <w:rsid w:val="005D771E"/>
    <w:rsid w:val="005D7755"/>
    <w:rsid w:val="005D7B2E"/>
    <w:rsid w:val="005E089C"/>
    <w:rsid w:val="005E0A58"/>
    <w:rsid w:val="005E0CCB"/>
    <w:rsid w:val="005E0D23"/>
    <w:rsid w:val="005E11A2"/>
    <w:rsid w:val="005E11D5"/>
    <w:rsid w:val="005E12AA"/>
    <w:rsid w:val="005E1AFB"/>
    <w:rsid w:val="005E1D60"/>
    <w:rsid w:val="005E1FB3"/>
    <w:rsid w:val="005E22FE"/>
    <w:rsid w:val="005E2653"/>
    <w:rsid w:val="005E272E"/>
    <w:rsid w:val="005E27D2"/>
    <w:rsid w:val="005E2934"/>
    <w:rsid w:val="005E3402"/>
    <w:rsid w:val="005E36EA"/>
    <w:rsid w:val="005E50ED"/>
    <w:rsid w:val="005E5235"/>
    <w:rsid w:val="005E5BDA"/>
    <w:rsid w:val="005E5C44"/>
    <w:rsid w:val="005E5EA3"/>
    <w:rsid w:val="005E606C"/>
    <w:rsid w:val="005E64F0"/>
    <w:rsid w:val="005E6537"/>
    <w:rsid w:val="005E67CD"/>
    <w:rsid w:val="005E6AC3"/>
    <w:rsid w:val="005E7201"/>
    <w:rsid w:val="005E7275"/>
    <w:rsid w:val="005E73EC"/>
    <w:rsid w:val="005E7A6A"/>
    <w:rsid w:val="005E7BE2"/>
    <w:rsid w:val="005E7DC0"/>
    <w:rsid w:val="005F0525"/>
    <w:rsid w:val="005F0EC6"/>
    <w:rsid w:val="005F12CB"/>
    <w:rsid w:val="005F1376"/>
    <w:rsid w:val="005F13CD"/>
    <w:rsid w:val="005F1408"/>
    <w:rsid w:val="005F1AAF"/>
    <w:rsid w:val="005F1C8D"/>
    <w:rsid w:val="005F206C"/>
    <w:rsid w:val="005F21A4"/>
    <w:rsid w:val="005F2307"/>
    <w:rsid w:val="005F2B81"/>
    <w:rsid w:val="005F2E55"/>
    <w:rsid w:val="005F386F"/>
    <w:rsid w:val="005F3AAD"/>
    <w:rsid w:val="005F3FD9"/>
    <w:rsid w:val="005F4113"/>
    <w:rsid w:val="005F4CA9"/>
    <w:rsid w:val="005F5442"/>
    <w:rsid w:val="005F55FC"/>
    <w:rsid w:val="005F5985"/>
    <w:rsid w:val="005F5F3E"/>
    <w:rsid w:val="005F5FB3"/>
    <w:rsid w:val="005F6BCD"/>
    <w:rsid w:val="005F6C18"/>
    <w:rsid w:val="005F6FD1"/>
    <w:rsid w:val="005F7C60"/>
    <w:rsid w:val="00601C12"/>
    <w:rsid w:val="006025FA"/>
    <w:rsid w:val="0060383A"/>
    <w:rsid w:val="00603A2C"/>
    <w:rsid w:val="00603D71"/>
    <w:rsid w:val="006043B1"/>
    <w:rsid w:val="00604B56"/>
    <w:rsid w:val="00604EFA"/>
    <w:rsid w:val="00605CD9"/>
    <w:rsid w:val="00605D1B"/>
    <w:rsid w:val="006064F2"/>
    <w:rsid w:val="006069D0"/>
    <w:rsid w:val="006076BE"/>
    <w:rsid w:val="006077A5"/>
    <w:rsid w:val="006077A6"/>
    <w:rsid w:val="00607B04"/>
    <w:rsid w:val="00610382"/>
    <w:rsid w:val="00610411"/>
    <w:rsid w:val="0061083A"/>
    <w:rsid w:val="0061098F"/>
    <w:rsid w:val="00612281"/>
    <w:rsid w:val="006122A3"/>
    <w:rsid w:val="00612385"/>
    <w:rsid w:val="006127A0"/>
    <w:rsid w:val="0061282D"/>
    <w:rsid w:val="00612C7A"/>
    <w:rsid w:val="00612F1D"/>
    <w:rsid w:val="00613EA2"/>
    <w:rsid w:val="00614B9E"/>
    <w:rsid w:val="00615687"/>
    <w:rsid w:val="006157E9"/>
    <w:rsid w:val="00615870"/>
    <w:rsid w:val="00616679"/>
    <w:rsid w:val="00616AEC"/>
    <w:rsid w:val="00616B0E"/>
    <w:rsid w:val="00616B6B"/>
    <w:rsid w:val="00616F36"/>
    <w:rsid w:val="00617C31"/>
    <w:rsid w:val="00617CD9"/>
    <w:rsid w:val="00617E39"/>
    <w:rsid w:val="00617FD7"/>
    <w:rsid w:val="00621069"/>
    <w:rsid w:val="00621568"/>
    <w:rsid w:val="00621838"/>
    <w:rsid w:val="0062220E"/>
    <w:rsid w:val="006223EB"/>
    <w:rsid w:val="00622567"/>
    <w:rsid w:val="00622574"/>
    <w:rsid w:val="006235BD"/>
    <w:rsid w:val="00623652"/>
    <w:rsid w:val="006240F9"/>
    <w:rsid w:val="0062471B"/>
    <w:rsid w:val="00624B8E"/>
    <w:rsid w:val="00624F71"/>
    <w:rsid w:val="00624FCE"/>
    <w:rsid w:val="00625421"/>
    <w:rsid w:val="006254B0"/>
    <w:rsid w:val="00625C39"/>
    <w:rsid w:val="0062607D"/>
    <w:rsid w:val="006260BA"/>
    <w:rsid w:val="00626BEE"/>
    <w:rsid w:val="00626CB4"/>
    <w:rsid w:val="00627268"/>
    <w:rsid w:val="0062764A"/>
    <w:rsid w:val="006276C1"/>
    <w:rsid w:val="00627D90"/>
    <w:rsid w:val="00627FB8"/>
    <w:rsid w:val="0063066F"/>
    <w:rsid w:val="0063095F"/>
    <w:rsid w:val="00630BAC"/>
    <w:rsid w:val="00630EEB"/>
    <w:rsid w:val="006316AF"/>
    <w:rsid w:val="00631C69"/>
    <w:rsid w:val="006332BD"/>
    <w:rsid w:val="006333AF"/>
    <w:rsid w:val="006333D3"/>
    <w:rsid w:val="0063346E"/>
    <w:rsid w:val="0063363F"/>
    <w:rsid w:val="00633924"/>
    <w:rsid w:val="00633EDE"/>
    <w:rsid w:val="00634FD2"/>
    <w:rsid w:val="00635D1C"/>
    <w:rsid w:val="00636B3A"/>
    <w:rsid w:val="00636C2F"/>
    <w:rsid w:val="00636E92"/>
    <w:rsid w:val="0063706A"/>
    <w:rsid w:val="006370EA"/>
    <w:rsid w:val="0063743E"/>
    <w:rsid w:val="00637504"/>
    <w:rsid w:val="00637D5E"/>
    <w:rsid w:val="00637E04"/>
    <w:rsid w:val="00640548"/>
    <w:rsid w:val="00640732"/>
    <w:rsid w:val="00640D58"/>
    <w:rsid w:val="006414B2"/>
    <w:rsid w:val="00641FE9"/>
    <w:rsid w:val="00642146"/>
    <w:rsid w:val="00642514"/>
    <w:rsid w:val="00642A6A"/>
    <w:rsid w:val="00642BD4"/>
    <w:rsid w:val="00642DB1"/>
    <w:rsid w:val="00642E8B"/>
    <w:rsid w:val="00643CAB"/>
    <w:rsid w:val="00643EB3"/>
    <w:rsid w:val="00644070"/>
    <w:rsid w:val="0064425F"/>
    <w:rsid w:val="0064431B"/>
    <w:rsid w:val="00644449"/>
    <w:rsid w:val="006446C5"/>
    <w:rsid w:val="00644842"/>
    <w:rsid w:val="00644857"/>
    <w:rsid w:val="00644C43"/>
    <w:rsid w:val="006453D3"/>
    <w:rsid w:val="006455EE"/>
    <w:rsid w:val="006456F0"/>
    <w:rsid w:val="00645BAC"/>
    <w:rsid w:val="00645FAA"/>
    <w:rsid w:val="00646583"/>
    <w:rsid w:val="006469B6"/>
    <w:rsid w:val="006478A2"/>
    <w:rsid w:val="00647E7C"/>
    <w:rsid w:val="006501C4"/>
    <w:rsid w:val="00650389"/>
    <w:rsid w:val="00650BA8"/>
    <w:rsid w:val="00651812"/>
    <w:rsid w:val="00651C4A"/>
    <w:rsid w:val="00651D2F"/>
    <w:rsid w:val="00651EAE"/>
    <w:rsid w:val="00651F44"/>
    <w:rsid w:val="0065223B"/>
    <w:rsid w:val="00652663"/>
    <w:rsid w:val="00652BD2"/>
    <w:rsid w:val="00652C1E"/>
    <w:rsid w:val="00652D0A"/>
    <w:rsid w:val="0065357B"/>
    <w:rsid w:val="006541BA"/>
    <w:rsid w:val="00654355"/>
    <w:rsid w:val="00654405"/>
    <w:rsid w:val="006546F9"/>
    <w:rsid w:val="00655233"/>
    <w:rsid w:val="00655E27"/>
    <w:rsid w:val="00657126"/>
    <w:rsid w:val="0065748A"/>
    <w:rsid w:val="00657941"/>
    <w:rsid w:val="00657D03"/>
    <w:rsid w:val="00660339"/>
    <w:rsid w:val="00660C9B"/>
    <w:rsid w:val="00661EC2"/>
    <w:rsid w:val="0066217E"/>
    <w:rsid w:val="006621EA"/>
    <w:rsid w:val="006627C9"/>
    <w:rsid w:val="00662FEF"/>
    <w:rsid w:val="0066349B"/>
    <w:rsid w:val="00663501"/>
    <w:rsid w:val="0066373D"/>
    <w:rsid w:val="00663FAA"/>
    <w:rsid w:val="00664A62"/>
    <w:rsid w:val="0066502D"/>
    <w:rsid w:val="006651CB"/>
    <w:rsid w:val="00665A3A"/>
    <w:rsid w:val="00665BE8"/>
    <w:rsid w:val="006661E8"/>
    <w:rsid w:val="00666303"/>
    <w:rsid w:val="0066652D"/>
    <w:rsid w:val="00666688"/>
    <w:rsid w:val="0066668B"/>
    <w:rsid w:val="0066682F"/>
    <w:rsid w:val="0066683F"/>
    <w:rsid w:val="00666DC7"/>
    <w:rsid w:val="00666DD4"/>
    <w:rsid w:val="00667146"/>
    <w:rsid w:val="0066727D"/>
    <w:rsid w:val="006672CB"/>
    <w:rsid w:val="006674B6"/>
    <w:rsid w:val="006675B1"/>
    <w:rsid w:val="00667668"/>
    <w:rsid w:val="006678D0"/>
    <w:rsid w:val="00667C0F"/>
    <w:rsid w:val="00667FA3"/>
    <w:rsid w:val="0067049F"/>
    <w:rsid w:val="006705D4"/>
    <w:rsid w:val="00670AF9"/>
    <w:rsid w:val="00671044"/>
    <w:rsid w:val="006715EB"/>
    <w:rsid w:val="006721AA"/>
    <w:rsid w:val="00672220"/>
    <w:rsid w:val="006722FD"/>
    <w:rsid w:val="006725F7"/>
    <w:rsid w:val="00672626"/>
    <w:rsid w:val="00672A4C"/>
    <w:rsid w:val="0067320A"/>
    <w:rsid w:val="006734F9"/>
    <w:rsid w:val="0067382E"/>
    <w:rsid w:val="006738EF"/>
    <w:rsid w:val="00673AD5"/>
    <w:rsid w:val="00673B31"/>
    <w:rsid w:val="00673CCD"/>
    <w:rsid w:val="00674052"/>
    <w:rsid w:val="00674563"/>
    <w:rsid w:val="006748DE"/>
    <w:rsid w:val="00674A52"/>
    <w:rsid w:val="00674DCD"/>
    <w:rsid w:val="00674EFC"/>
    <w:rsid w:val="00674F18"/>
    <w:rsid w:val="0067571D"/>
    <w:rsid w:val="00675D61"/>
    <w:rsid w:val="00675F24"/>
    <w:rsid w:val="0067674D"/>
    <w:rsid w:val="00676799"/>
    <w:rsid w:val="006769D2"/>
    <w:rsid w:val="0067745A"/>
    <w:rsid w:val="006776D6"/>
    <w:rsid w:val="006778F8"/>
    <w:rsid w:val="006779B2"/>
    <w:rsid w:val="00677E67"/>
    <w:rsid w:val="006800AE"/>
    <w:rsid w:val="006801A1"/>
    <w:rsid w:val="0068073F"/>
    <w:rsid w:val="00680CF5"/>
    <w:rsid w:val="00680F86"/>
    <w:rsid w:val="006810D3"/>
    <w:rsid w:val="0068118E"/>
    <w:rsid w:val="00681361"/>
    <w:rsid w:val="00681AF9"/>
    <w:rsid w:val="00681C1C"/>
    <w:rsid w:val="00681D14"/>
    <w:rsid w:val="00681F88"/>
    <w:rsid w:val="006821B0"/>
    <w:rsid w:val="00682519"/>
    <w:rsid w:val="00682860"/>
    <w:rsid w:val="006834FF"/>
    <w:rsid w:val="00683914"/>
    <w:rsid w:val="00684527"/>
    <w:rsid w:val="00684B56"/>
    <w:rsid w:val="00684E2D"/>
    <w:rsid w:val="00684E66"/>
    <w:rsid w:val="00684FB9"/>
    <w:rsid w:val="0068558C"/>
    <w:rsid w:val="00685888"/>
    <w:rsid w:val="00686063"/>
    <w:rsid w:val="006869F6"/>
    <w:rsid w:val="00686C2A"/>
    <w:rsid w:val="006878A9"/>
    <w:rsid w:val="00687A66"/>
    <w:rsid w:val="00687B34"/>
    <w:rsid w:val="006904DA"/>
    <w:rsid w:val="006912C4"/>
    <w:rsid w:val="00691638"/>
    <w:rsid w:val="00691BC2"/>
    <w:rsid w:val="00692184"/>
    <w:rsid w:val="006927EB"/>
    <w:rsid w:val="00692824"/>
    <w:rsid w:val="00692A54"/>
    <w:rsid w:val="00692EA5"/>
    <w:rsid w:val="00692ED6"/>
    <w:rsid w:val="00692FA0"/>
    <w:rsid w:val="00693972"/>
    <w:rsid w:val="00693F40"/>
    <w:rsid w:val="0069405D"/>
    <w:rsid w:val="0069544F"/>
    <w:rsid w:val="00695C44"/>
    <w:rsid w:val="00695F78"/>
    <w:rsid w:val="006961EA"/>
    <w:rsid w:val="006963CC"/>
    <w:rsid w:val="00696CFE"/>
    <w:rsid w:val="0069739A"/>
    <w:rsid w:val="00697964"/>
    <w:rsid w:val="00697AD2"/>
    <w:rsid w:val="006A05C7"/>
    <w:rsid w:val="006A0D3C"/>
    <w:rsid w:val="006A0DEA"/>
    <w:rsid w:val="006A0EDD"/>
    <w:rsid w:val="006A10E7"/>
    <w:rsid w:val="006A1A35"/>
    <w:rsid w:val="006A1CA6"/>
    <w:rsid w:val="006A1FE5"/>
    <w:rsid w:val="006A236D"/>
    <w:rsid w:val="006A24D4"/>
    <w:rsid w:val="006A2FBE"/>
    <w:rsid w:val="006A3204"/>
    <w:rsid w:val="006A382D"/>
    <w:rsid w:val="006A3E5C"/>
    <w:rsid w:val="006A3EDD"/>
    <w:rsid w:val="006A4B31"/>
    <w:rsid w:val="006A53E9"/>
    <w:rsid w:val="006A61D2"/>
    <w:rsid w:val="006A61F3"/>
    <w:rsid w:val="006A640A"/>
    <w:rsid w:val="006A6A95"/>
    <w:rsid w:val="006A6D94"/>
    <w:rsid w:val="006B0236"/>
    <w:rsid w:val="006B0CE7"/>
    <w:rsid w:val="006B0E47"/>
    <w:rsid w:val="006B15C7"/>
    <w:rsid w:val="006B1C54"/>
    <w:rsid w:val="006B1CB5"/>
    <w:rsid w:val="006B1E19"/>
    <w:rsid w:val="006B1FBA"/>
    <w:rsid w:val="006B2387"/>
    <w:rsid w:val="006B25C4"/>
    <w:rsid w:val="006B2708"/>
    <w:rsid w:val="006B27EA"/>
    <w:rsid w:val="006B3D7A"/>
    <w:rsid w:val="006B3D93"/>
    <w:rsid w:val="006B4425"/>
    <w:rsid w:val="006B4505"/>
    <w:rsid w:val="006B4C1E"/>
    <w:rsid w:val="006B4E9A"/>
    <w:rsid w:val="006B5299"/>
    <w:rsid w:val="006B5845"/>
    <w:rsid w:val="006B5E92"/>
    <w:rsid w:val="006B6253"/>
    <w:rsid w:val="006B6BD4"/>
    <w:rsid w:val="006B6CB7"/>
    <w:rsid w:val="006B6CF3"/>
    <w:rsid w:val="006B7197"/>
    <w:rsid w:val="006B71F0"/>
    <w:rsid w:val="006B77C0"/>
    <w:rsid w:val="006B7F9D"/>
    <w:rsid w:val="006C007D"/>
    <w:rsid w:val="006C01C7"/>
    <w:rsid w:val="006C0B4D"/>
    <w:rsid w:val="006C1499"/>
    <w:rsid w:val="006C157F"/>
    <w:rsid w:val="006C178E"/>
    <w:rsid w:val="006C20CD"/>
    <w:rsid w:val="006C2224"/>
    <w:rsid w:val="006C226A"/>
    <w:rsid w:val="006C273C"/>
    <w:rsid w:val="006C2FC4"/>
    <w:rsid w:val="006C3131"/>
    <w:rsid w:val="006C36AD"/>
    <w:rsid w:val="006C36F6"/>
    <w:rsid w:val="006C3C6F"/>
    <w:rsid w:val="006C49CA"/>
    <w:rsid w:val="006C4AA0"/>
    <w:rsid w:val="006C4E01"/>
    <w:rsid w:val="006C4E41"/>
    <w:rsid w:val="006C50AB"/>
    <w:rsid w:val="006C5427"/>
    <w:rsid w:val="006C5881"/>
    <w:rsid w:val="006C588B"/>
    <w:rsid w:val="006C5F02"/>
    <w:rsid w:val="006C67C5"/>
    <w:rsid w:val="006C6A90"/>
    <w:rsid w:val="006C6B3C"/>
    <w:rsid w:val="006C719B"/>
    <w:rsid w:val="006C77E8"/>
    <w:rsid w:val="006C789F"/>
    <w:rsid w:val="006D0318"/>
    <w:rsid w:val="006D06A9"/>
    <w:rsid w:val="006D072A"/>
    <w:rsid w:val="006D0867"/>
    <w:rsid w:val="006D086B"/>
    <w:rsid w:val="006D091B"/>
    <w:rsid w:val="006D09E5"/>
    <w:rsid w:val="006D10C0"/>
    <w:rsid w:val="006D1539"/>
    <w:rsid w:val="006D1F53"/>
    <w:rsid w:val="006D2722"/>
    <w:rsid w:val="006D335E"/>
    <w:rsid w:val="006D359C"/>
    <w:rsid w:val="006D3992"/>
    <w:rsid w:val="006D3B86"/>
    <w:rsid w:val="006D3D12"/>
    <w:rsid w:val="006D419E"/>
    <w:rsid w:val="006D4394"/>
    <w:rsid w:val="006D48C5"/>
    <w:rsid w:val="006D48E5"/>
    <w:rsid w:val="006D4D74"/>
    <w:rsid w:val="006D50E3"/>
    <w:rsid w:val="006D50EE"/>
    <w:rsid w:val="006D5372"/>
    <w:rsid w:val="006D5717"/>
    <w:rsid w:val="006D5C5A"/>
    <w:rsid w:val="006D661C"/>
    <w:rsid w:val="006D661D"/>
    <w:rsid w:val="006D6B32"/>
    <w:rsid w:val="006D7075"/>
    <w:rsid w:val="006D7200"/>
    <w:rsid w:val="006D7715"/>
    <w:rsid w:val="006D787D"/>
    <w:rsid w:val="006E0D51"/>
    <w:rsid w:val="006E0F2D"/>
    <w:rsid w:val="006E10DF"/>
    <w:rsid w:val="006E1366"/>
    <w:rsid w:val="006E1AD8"/>
    <w:rsid w:val="006E2899"/>
    <w:rsid w:val="006E295E"/>
    <w:rsid w:val="006E2D72"/>
    <w:rsid w:val="006E2E39"/>
    <w:rsid w:val="006E2EFE"/>
    <w:rsid w:val="006E30FB"/>
    <w:rsid w:val="006E3214"/>
    <w:rsid w:val="006E3611"/>
    <w:rsid w:val="006E3E4D"/>
    <w:rsid w:val="006E3EE4"/>
    <w:rsid w:val="006E4C92"/>
    <w:rsid w:val="006E53C8"/>
    <w:rsid w:val="006E5590"/>
    <w:rsid w:val="006E5A43"/>
    <w:rsid w:val="006E5EA5"/>
    <w:rsid w:val="006E6328"/>
    <w:rsid w:val="006E6859"/>
    <w:rsid w:val="006E6A6B"/>
    <w:rsid w:val="006E6DE8"/>
    <w:rsid w:val="006E7582"/>
    <w:rsid w:val="006E7D1D"/>
    <w:rsid w:val="006F0E47"/>
    <w:rsid w:val="006F1370"/>
    <w:rsid w:val="006F14CC"/>
    <w:rsid w:val="006F1F09"/>
    <w:rsid w:val="006F203B"/>
    <w:rsid w:val="006F238D"/>
    <w:rsid w:val="006F2787"/>
    <w:rsid w:val="006F2822"/>
    <w:rsid w:val="006F3160"/>
    <w:rsid w:val="006F322E"/>
    <w:rsid w:val="006F39D2"/>
    <w:rsid w:val="006F3BC9"/>
    <w:rsid w:val="006F3D61"/>
    <w:rsid w:val="006F3DAC"/>
    <w:rsid w:val="006F4B3D"/>
    <w:rsid w:val="006F4E3F"/>
    <w:rsid w:val="006F4E4C"/>
    <w:rsid w:val="006F4FEE"/>
    <w:rsid w:val="006F6180"/>
    <w:rsid w:val="006F6839"/>
    <w:rsid w:val="006F699C"/>
    <w:rsid w:val="006F6A22"/>
    <w:rsid w:val="006F6FBA"/>
    <w:rsid w:val="006F7B64"/>
    <w:rsid w:val="007002AF"/>
    <w:rsid w:val="007002D3"/>
    <w:rsid w:val="007005BC"/>
    <w:rsid w:val="00700954"/>
    <w:rsid w:val="0070130F"/>
    <w:rsid w:val="007017AF"/>
    <w:rsid w:val="00702220"/>
    <w:rsid w:val="00702567"/>
    <w:rsid w:val="007026C5"/>
    <w:rsid w:val="00703072"/>
    <w:rsid w:val="00703201"/>
    <w:rsid w:val="00703642"/>
    <w:rsid w:val="00703811"/>
    <w:rsid w:val="007039DD"/>
    <w:rsid w:val="00703AAD"/>
    <w:rsid w:val="00703B62"/>
    <w:rsid w:val="007047E6"/>
    <w:rsid w:val="0070488C"/>
    <w:rsid w:val="00705399"/>
    <w:rsid w:val="007058AB"/>
    <w:rsid w:val="00706813"/>
    <w:rsid w:val="00706D4A"/>
    <w:rsid w:val="00707AF0"/>
    <w:rsid w:val="00707CF6"/>
    <w:rsid w:val="0071030F"/>
    <w:rsid w:val="007103D7"/>
    <w:rsid w:val="00710F5F"/>
    <w:rsid w:val="00710FEA"/>
    <w:rsid w:val="007111A9"/>
    <w:rsid w:val="00711232"/>
    <w:rsid w:val="0071131A"/>
    <w:rsid w:val="0071168F"/>
    <w:rsid w:val="00711B7B"/>
    <w:rsid w:val="00711C2D"/>
    <w:rsid w:val="007123A6"/>
    <w:rsid w:val="00712918"/>
    <w:rsid w:val="00712F5D"/>
    <w:rsid w:val="0071329F"/>
    <w:rsid w:val="00713327"/>
    <w:rsid w:val="00713A20"/>
    <w:rsid w:val="00714AF2"/>
    <w:rsid w:val="00714D91"/>
    <w:rsid w:val="007154D7"/>
    <w:rsid w:val="00715531"/>
    <w:rsid w:val="007158EB"/>
    <w:rsid w:val="007159D7"/>
    <w:rsid w:val="007161ED"/>
    <w:rsid w:val="00716C54"/>
    <w:rsid w:val="00717289"/>
    <w:rsid w:val="007175C6"/>
    <w:rsid w:val="00720E3E"/>
    <w:rsid w:val="007217B0"/>
    <w:rsid w:val="007217ED"/>
    <w:rsid w:val="00721FA8"/>
    <w:rsid w:val="007222DD"/>
    <w:rsid w:val="007225C2"/>
    <w:rsid w:val="00722949"/>
    <w:rsid w:val="007229B3"/>
    <w:rsid w:val="00723A42"/>
    <w:rsid w:val="00723AA2"/>
    <w:rsid w:val="007240AB"/>
    <w:rsid w:val="00724427"/>
    <w:rsid w:val="00724645"/>
    <w:rsid w:val="00724A0D"/>
    <w:rsid w:val="007255B3"/>
    <w:rsid w:val="00726872"/>
    <w:rsid w:val="00726963"/>
    <w:rsid w:val="0072732F"/>
    <w:rsid w:val="00727888"/>
    <w:rsid w:val="00727C2D"/>
    <w:rsid w:val="00730BC0"/>
    <w:rsid w:val="007310B7"/>
    <w:rsid w:val="00731224"/>
    <w:rsid w:val="00731BB6"/>
    <w:rsid w:val="00732188"/>
    <w:rsid w:val="007325D3"/>
    <w:rsid w:val="00732ACB"/>
    <w:rsid w:val="007336EE"/>
    <w:rsid w:val="00733861"/>
    <w:rsid w:val="00733AC2"/>
    <w:rsid w:val="00733B35"/>
    <w:rsid w:val="0073431B"/>
    <w:rsid w:val="00734373"/>
    <w:rsid w:val="007347CB"/>
    <w:rsid w:val="00734891"/>
    <w:rsid w:val="00734ADF"/>
    <w:rsid w:val="00734C26"/>
    <w:rsid w:val="007352CB"/>
    <w:rsid w:val="007358AD"/>
    <w:rsid w:val="00735A89"/>
    <w:rsid w:val="00735D43"/>
    <w:rsid w:val="00736874"/>
    <w:rsid w:val="0073699C"/>
    <w:rsid w:val="0073728E"/>
    <w:rsid w:val="007376F1"/>
    <w:rsid w:val="00737C40"/>
    <w:rsid w:val="00737D54"/>
    <w:rsid w:val="00737FB2"/>
    <w:rsid w:val="00740478"/>
    <w:rsid w:val="00740589"/>
    <w:rsid w:val="00740616"/>
    <w:rsid w:val="00741641"/>
    <w:rsid w:val="0074178F"/>
    <w:rsid w:val="00742582"/>
    <w:rsid w:val="00742970"/>
    <w:rsid w:val="007429DE"/>
    <w:rsid w:val="0074394F"/>
    <w:rsid w:val="00743D37"/>
    <w:rsid w:val="00744175"/>
    <w:rsid w:val="0074497A"/>
    <w:rsid w:val="007449AC"/>
    <w:rsid w:val="00744F44"/>
    <w:rsid w:val="007457F6"/>
    <w:rsid w:val="00745D88"/>
    <w:rsid w:val="00746EB3"/>
    <w:rsid w:val="00746EEB"/>
    <w:rsid w:val="00746FD9"/>
    <w:rsid w:val="00747343"/>
    <w:rsid w:val="007479AA"/>
    <w:rsid w:val="007479D8"/>
    <w:rsid w:val="00747A86"/>
    <w:rsid w:val="00747BAC"/>
    <w:rsid w:val="00747CCF"/>
    <w:rsid w:val="00747F8E"/>
    <w:rsid w:val="007505E6"/>
    <w:rsid w:val="00750658"/>
    <w:rsid w:val="007508BF"/>
    <w:rsid w:val="00750CA7"/>
    <w:rsid w:val="00750F39"/>
    <w:rsid w:val="00751055"/>
    <w:rsid w:val="007513BD"/>
    <w:rsid w:val="00751534"/>
    <w:rsid w:val="00751553"/>
    <w:rsid w:val="0075187F"/>
    <w:rsid w:val="00752731"/>
    <w:rsid w:val="0075287C"/>
    <w:rsid w:val="007537B8"/>
    <w:rsid w:val="007540CA"/>
    <w:rsid w:val="00754152"/>
    <w:rsid w:val="007541C2"/>
    <w:rsid w:val="00754AD0"/>
    <w:rsid w:val="00755C78"/>
    <w:rsid w:val="007561F8"/>
    <w:rsid w:val="007565BC"/>
    <w:rsid w:val="00756688"/>
    <w:rsid w:val="007568E7"/>
    <w:rsid w:val="00756C22"/>
    <w:rsid w:val="00756CDB"/>
    <w:rsid w:val="00756D2D"/>
    <w:rsid w:val="00756FCC"/>
    <w:rsid w:val="00757A0B"/>
    <w:rsid w:val="0076078B"/>
    <w:rsid w:val="0076095F"/>
    <w:rsid w:val="0076199F"/>
    <w:rsid w:val="007622EA"/>
    <w:rsid w:val="00762A6F"/>
    <w:rsid w:val="00763099"/>
    <w:rsid w:val="00763613"/>
    <w:rsid w:val="00763726"/>
    <w:rsid w:val="00763FA8"/>
    <w:rsid w:val="00764887"/>
    <w:rsid w:val="00764E82"/>
    <w:rsid w:val="00765101"/>
    <w:rsid w:val="007656BE"/>
    <w:rsid w:val="00765A50"/>
    <w:rsid w:val="00766229"/>
    <w:rsid w:val="007662E2"/>
    <w:rsid w:val="00766496"/>
    <w:rsid w:val="0076661B"/>
    <w:rsid w:val="007667A7"/>
    <w:rsid w:val="00766E47"/>
    <w:rsid w:val="0076757E"/>
    <w:rsid w:val="00767B73"/>
    <w:rsid w:val="007701FF"/>
    <w:rsid w:val="00771272"/>
    <w:rsid w:val="00772A5A"/>
    <w:rsid w:val="00772A77"/>
    <w:rsid w:val="00773540"/>
    <w:rsid w:val="00774508"/>
    <w:rsid w:val="00774942"/>
    <w:rsid w:val="0077565D"/>
    <w:rsid w:val="007757D8"/>
    <w:rsid w:val="0077658B"/>
    <w:rsid w:val="00776768"/>
    <w:rsid w:val="0077686F"/>
    <w:rsid w:val="00776B8D"/>
    <w:rsid w:val="007770D5"/>
    <w:rsid w:val="00777128"/>
    <w:rsid w:val="00777177"/>
    <w:rsid w:val="00777750"/>
    <w:rsid w:val="00777795"/>
    <w:rsid w:val="00780050"/>
    <w:rsid w:val="007803E5"/>
    <w:rsid w:val="00780935"/>
    <w:rsid w:val="00780D4D"/>
    <w:rsid w:val="00781788"/>
    <w:rsid w:val="00781B13"/>
    <w:rsid w:val="00781F33"/>
    <w:rsid w:val="0078224D"/>
    <w:rsid w:val="0078299B"/>
    <w:rsid w:val="00782E54"/>
    <w:rsid w:val="00782E97"/>
    <w:rsid w:val="00782EF5"/>
    <w:rsid w:val="0078320E"/>
    <w:rsid w:val="00783590"/>
    <w:rsid w:val="007836A3"/>
    <w:rsid w:val="00783738"/>
    <w:rsid w:val="007839B7"/>
    <w:rsid w:val="00784073"/>
    <w:rsid w:val="007840AF"/>
    <w:rsid w:val="00784220"/>
    <w:rsid w:val="00784DC5"/>
    <w:rsid w:val="00784F1A"/>
    <w:rsid w:val="007850A7"/>
    <w:rsid w:val="007857C0"/>
    <w:rsid w:val="00785B26"/>
    <w:rsid w:val="00786024"/>
    <w:rsid w:val="00786116"/>
    <w:rsid w:val="007861D9"/>
    <w:rsid w:val="00786262"/>
    <w:rsid w:val="00786440"/>
    <w:rsid w:val="00786DEF"/>
    <w:rsid w:val="00787E45"/>
    <w:rsid w:val="00787F70"/>
    <w:rsid w:val="00790032"/>
    <w:rsid w:val="0079005A"/>
    <w:rsid w:val="00790167"/>
    <w:rsid w:val="00790C53"/>
    <w:rsid w:val="00790DCE"/>
    <w:rsid w:val="0079170C"/>
    <w:rsid w:val="007918E3"/>
    <w:rsid w:val="00791BB7"/>
    <w:rsid w:val="0079286A"/>
    <w:rsid w:val="00792A64"/>
    <w:rsid w:val="00792ABD"/>
    <w:rsid w:val="00792B73"/>
    <w:rsid w:val="00793478"/>
    <w:rsid w:val="0079387F"/>
    <w:rsid w:val="00793B10"/>
    <w:rsid w:val="00793F49"/>
    <w:rsid w:val="0079405A"/>
    <w:rsid w:val="00794859"/>
    <w:rsid w:val="00794CB1"/>
    <w:rsid w:val="00794DA6"/>
    <w:rsid w:val="00795DF6"/>
    <w:rsid w:val="00796146"/>
    <w:rsid w:val="007961CB"/>
    <w:rsid w:val="00796A1D"/>
    <w:rsid w:val="00796E5C"/>
    <w:rsid w:val="007977D0"/>
    <w:rsid w:val="00797888"/>
    <w:rsid w:val="00797959"/>
    <w:rsid w:val="007A01EB"/>
    <w:rsid w:val="007A0345"/>
    <w:rsid w:val="007A0522"/>
    <w:rsid w:val="007A08B4"/>
    <w:rsid w:val="007A0DD9"/>
    <w:rsid w:val="007A1072"/>
    <w:rsid w:val="007A1087"/>
    <w:rsid w:val="007A11E2"/>
    <w:rsid w:val="007A133D"/>
    <w:rsid w:val="007A142D"/>
    <w:rsid w:val="007A1A49"/>
    <w:rsid w:val="007A1C80"/>
    <w:rsid w:val="007A2612"/>
    <w:rsid w:val="007A284D"/>
    <w:rsid w:val="007A28F9"/>
    <w:rsid w:val="007A305B"/>
    <w:rsid w:val="007A332B"/>
    <w:rsid w:val="007A3959"/>
    <w:rsid w:val="007A3C54"/>
    <w:rsid w:val="007A3C88"/>
    <w:rsid w:val="007A4458"/>
    <w:rsid w:val="007A4520"/>
    <w:rsid w:val="007A4914"/>
    <w:rsid w:val="007A51BB"/>
    <w:rsid w:val="007A5B82"/>
    <w:rsid w:val="007A5BA8"/>
    <w:rsid w:val="007A5D88"/>
    <w:rsid w:val="007A603C"/>
    <w:rsid w:val="007A6436"/>
    <w:rsid w:val="007A6928"/>
    <w:rsid w:val="007A78BE"/>
    <w:rsid w:val="007A7951"/>
    <w:rsid w:val="007A7A40"/>
    <w:rsid w:val="007A7FCA"/>
    <w:rsid w:val="007B012F"/>
    <w:rsid w:val="007B0132"/>
    <w:rsid w:val="007B0ED8"/>
    <w:rsid w:val="007B1421"/>
    <w:rsid w:val="007B1476"/>
    <w:rsid w:val="007B1660"/>
    <w:rsid w:val="007B1737"/>
    <w:rsid w:val="007B1D6C"/>
    <w:rsid w:val="007B1D8D"/>
    <w:rsid w:val="007B1EB0"/>
    <w:rsid w:val="007B2915"/>
    <w:rsid w:val="007B2F16"/>
    <w:rsid w:val="007B3048"/>
    <w:rsid w:val="007B3130"/>
    <w:rsid w:val="007B49B2"/>
    <w:rsid w:val="007B49FA"/>
    <w:rsid w:val="007B5213"/>
    <w:rsid w:val="007B5912"/>
    <w:rsid w:val="007B5EA4"/>
    <w:rsid w:val="007B722A"/>
    <w:rsid w:val="007B775C"/>
    <w:rsid w:val="007C02B9"/>
    <w:rsid w:val="007C148A"/>
    <w:rsid w:val="007C19DE"/>
    <w:rsid w:val="007C19E2"/>
    <w:rsid w:val="007C23CB"/>
    <w:rsid w:val="007C25A9"/>
    <w:rsid w:val="007C284D"/>
    <w:rsid w:val="007C3641"/>
    <w:rsid w:val="007C39D8"/>
    <w:rsid w:val="007C3AA1"/>
    <w:rsid w:val="007C3C80"/>
    <w:rsid w:val="007C4842"/>
    <w:rsid w:val="007C496C"/>
    <w:rsid w:val="007C576C"/>
    <w:rsid w:val="007C5882"/>
    <w:rsid w:val="007C5C73"/>
    <w:rsid w:val="007C6960"/>
    <w:rsid w:val="007C6CE7"/>
    <w:rsid w:val="007C6E16"/>
    <w:rsid w:val="007C6F15"/>
    <w:rsid w:val="007C735D"/>
    <w:rsid w:val="007C7617"/>
    <w:rsid w:val="007C796B"/>
    <w:rsid w:val="007C7BE0"/>
    <w:rsid w:val="007C7D4E"/>
    <w:rsid w:val="007C7DD0"/>
    <w:rsid w:val="007D022E"/>
    <w:rsid w:val="007D052E"/>
    <w:rsid w:val="007D07A8"/>
    <w:rsid w:val="007D119D"/>
    <w:rsid w:val="007D127C"/>
    <w:rsid w:val="007D268D"/>
    <w:rsid w:val="007D28DC"/>
    <w:rsid w:val="007D298C"/>
    <w:rsid w:val="007D2F4F"/>
    <w:rsid w:val="007D3651"/>
    <w:rsid w:val="007D37A8"/>
    <w:rsid w:val="007D383E"/>
    <w:rsid w:val="007D38CA"/>
    <w:rsid w:val="007D3C92"/>
    <w:rsid w:val="007D3E28"/>
    <w:rsid w:val="007D4AE9"/>
    <w:rsid w:val="007D4E6F"/>
    <w:rsid w:val="007D56A6"/>
    <w:rsid w:val="007D5A40"/>
    <w:rsid w:val="007D5C15"/>
    <w:rsid w:val="007D5E89"/>
    <w:rsid w:val="007D6162"/>
    <w:rsid w:val="007D6B79"/>
    <w:rsid w:val="007D6EA6"/>
    <w:rsid w:val="007D70F9"/>
    <w:rsid w:val="007D714E"/>
    <w:rsid w:val="007D78D2"/>
    <w:rsid w:val="007D7BA1"/>
    <w:rsid w:val="007E0744"/>
    <w:rsid w:val="007E07A3"/>
    <w:rsid w:val="007E1198"/>
    <w:rsid w:val="007E1ABC"/>
    <w:rsid w:val="007E230B"/>
    <w:rsid w:val="007E2681"/>
    <w:rsid w:val="007E29AB"/>
    <w:rsid w:val="007E32FF"/>
    <w:rsid w:val="007E39A1"/>
    <w:rsid w:val="007E4677"/>
    <w:rsid w:val="007E495D"/>
    <w:rsid w:val="007E49F5"/>
    <w:rsid w:val="007E4B2D"/>
    <w:rsid w:val="007E507B"/>
    <w:rsid w:val="007E5210"/>
    <w:rsid w:val="007E53F9"/>
    <w:rsid w:val="007E5CEC"/>
    <w:rsid w:val="007E5F20"/>
    <w:rsid w:val="007E624E"/>
    <w:rsid w:val="007E7483"/>
    <w:rsid w:val="007E760E"/>
    <w:rsid w:val="007E7746"/>
    <w:rsid w:val="007E7C4E"/>
    <w:rsid w:val="007F0273"/>
    <w:rsid w:val="007F0E6B"/>
    <w:rsid w:val="007F126A"/>
    <w:rsid w:val="007F13A4"/>
    <w:rsid w:val="007F1AFE"/>
    <w:rsid w:val="007F2AFD"/>
    <w:rsid w:val="007F2DD5"/>
    <w:rsid w:val="007F304C"/>
    <w:rsid w:val="007F3A05"/>
    <w:rsid w:val="007F48C4"/>
    <w:rsid w:val="007F4918"/>
    <w:rsid w:val="007F4A1F"/>
    <w:rsid w:val="007F4DB2"/>
    <w:rsid w:val="007F4E59"/>
    <w:rsid w:val="007F4EC0"/>
    <w:rsid w:val="007F50BE"/>
    <w:rsid w:val="007F583C"/>
    <w:rsid w:val="007F627C"/>
    <w:rsid w:val="007F677F"/>
    <w:rsid w:val="007F6824"/>
    <w:rsid w:val="007F69C2"/>
    <w:rsid w:val="007F6EF2"/>
    <w:rsid w:val="007F70B5"/>
    <w:rsid w:val="007F75B8"/>
    <w:rsid w:val="007F7628"/>
    <w:rsid w:val="007F779B"/>
    <w:rsid w:val="007F79F7"/>
    <w:rsid w:val="008001CD"/>
    <w:rsid w:val="008005D5"/>
    <w:rsid w:val="00800797"/>
    <w:rsid w:val="00800EE6"/>
    <w:rsid w:val="008010B5"/>
    <w:rsid w:val="008013E8"/>
    <w:rsid w:val="008015DF"/>
    <w:rsid w:val="008016B9"/>
    <w:rsid w:val="00801C22"/>
    <w:rsid w:val="00801DF4"/>
    <w:rsid w:val="008024C3"/>
    <w:rsid w:val="00802F5F"/>
    <w:rsid w:val="008031F0"/>
    <w:rsid w:val="008036AC"/>
    <w:rsid w:val="0080388D"/>
    <w:rsid w:val="00803C3D"/>
    <w:rsid w:val="00804070"/>
    <w:rsid w:val="008055B4"/>
    <w:rsid w:val="008058B8"/>
    <w:rsid w:val="008058C9"/>
    <w:rsid w:val="00805EF5"/>
    <w:rsid w:val="00806433"/>
    <w:rsid w:val="0080657E"/>
    <w:rsid w:val="008068BD"/>
    <w:rsid w:val="00807253"/>
    <w:rsid w:val="008073A8"/>
    <w:rsid w:val="00807DB0"/>
    <w:rsid w:val="00810161"/>
    <w:rsid w:val="008101F4"/>
    <w:rsid w:val="0081089E"/>
    <w:rsid w:val="00810E4B"/>
    <w:rsid w:val="00810F1C"/>
    <w:rsid w:val="008110A4"/>
    <w:rsid w:val="008112B1"/>
    <w:rsid w:val="008118B2"/>
    <w:rsid w:val="00811F03"/>
    <w:rsid w:val="008128E2"/>
    <w:rsid w:val="00812C4F"/>
    <w:rsid w:val="00813049"/>
    <w:rsid w:val="0081320E"/>
    <w:rsid w:val="008141EB"/>
    <w:rsid w:val="008142BE"/>
    <w:rsid w:val="00814574"/>
    <w:rsid w:val="00814918"/>
    <w:rsid w:val="00814C41"/>
    <w:rsid w:val="008150D6"/>
    <w:rsid w:val="008155E6"/>
    <w:rsid w:val="00816362"/>
    <w:rsid w:val="00816914"/>
    <w:rsid w:val="00816A4B"/>
    <w:rsid w:val="00816B7C"/>
    <w:rsid w:val="00817CB2"/>
    <w:rsid w:val="008200D0"/>
    <w:rsid w:val="0082023B"/>
    <w:rsid w:val="008205A8"/>
    <w:rsid w:val="00820651"/>
    <w:rsid w:val="00820990"/>
    <w:rsid w:val="00820B7E"/>
    <w:rsid w:val="00820E22"/>
    <w:rsid w:val="0082112D"/>
    <w:rsid w:val="00821D9B"/>
    <w:rsid w:val="00822385"/>
    <w:rsid w:val="00822478"/>
    <w:rsid w:val="008225E2"/>
    <w:rsid w:val="008227CE"/>
    <w:rsid w:val="00822FC5"/>
    <w:rsid w:val="008233A0"/>
    <w:rsid w:val="00823AF4"/>
    <w:rsid w:val="00823DAA"/>
    <w:rsid w:val="0082446F"/>
    <w:rsid w:val="00824615"/>
    <w:rsid w:val="00824D67"/>
    <w:rsid w:val="008251F6"/>
    <w:rsid w:val="00825296"/>
    <w:rsid w:val="00825923"/>
    <w:rsid w:val="00826579"/>
    <w:rsid w:val="00826781"/>
    <w:rsid w:val="00826A25"/>
    <w:rsid w:val="00826D29"/>
    <w:rsid w:val="00826E67"/>
    <w:rsid w:val="00827014"/>
    <w:rsid w:val="00827317"/>
    <w:rsid w:val="00827BBB"/>
    <w:rsid w:val="00827D19"/>
    <w:rsid w:val="008301A8"/>
    <w:rsid w:val="00830D6E"/>
    <w:rsid w:val="00831218"/>
    <w:rsid w:val="008316E0"/>
    <w:rsid w:val="00831755"/>
    <w:rsid w:val="00831A5D"/>
    <w:rsid w:val="00831AC1"/>
    <w:rsid w:val="00831B1C"/>
    <w:rsid w:val="008325D1"/>
    <w:rsid w:val="00832904"/>
    <w:rsid w:val="00833252"/>
    <w:rsid w:val="008332EC"/>
    <w:rsid w:val="008336B8"/>
    <w:rsid w:val="00833C55"/>
    <w:rsid w:val="008341F6"/>
    <w:rsid w:val="00834C2D"/>
    <w:rsid w:val="00835DCE"/>
    <w:rsid w:val="008360CE"/>
    <w:rsid w:val="00836B23"/>
    <w:rsid w:val="00836E8D"/>
    <w:rsid w:val="00837C39"/>
    <w:rsid w:val="00837D86"/>
    <w:rsid w:val="008411E1"/>
    <w:rsid w:val="0084167D"/>
    <w:rsid w:val="008419ED"/>
    <w:rsid w:val="00841F8D"/>
    <w:rsid w:val="008422BF"/>
    <w:rsid w:val="0084247D"/>
    <w:rsid w:val="00842CD5"/>
    <w:rsid w:val="00842D7B"/>
    <w:rsid w:val="00842EB4"/>
    <w:rsid w:val="00843229"/>
    <w:rsid w:val="0084381D"/>
    <w:rsid w:val="0084466B"/>
    <w:rsid w:val="00844785"/>
    <w:rsid w:val="008447B0"/>
    <w:rsid w:val="0084532F"/>
    <w:rsid w:val="008453AD"/>
    <w:rsid w:val="008456EC"/>
    <w:rsid w:val="00845A42"/>
    <w:rsid w:val="00845A82"/>
    <w:rsid w:val="008475D4"/>
    <w:rsid w:val="00847E27"/>
    <w:rsid w:val="00850452"/>
    <w:rsid w:val="008506C0"/>
    <w:rsid w:val="0085099E"/>
    <w:rsid w:val="00851057"/>
    <w:rsid w:val="00851092"/>
    <w:rsid w:val="00851428"/>
    <w:rsid w:val="0085143A"/>
    <w:rsid w:val="008523CD"/>
    <w:rsid w:val="0085266B"/>
    <w:rsid w:val="00852C9E"/>
    <w:rsid w:val="00853DB1"/>
    <w:rsid w:val="00854097"/>
    <w:rsid w:val="008541AE"/>
    <w:rsid w:val="008544A1"/>
    <w:rsid w:val="00854C81"/>
    <w:rsid w:val="00855294"/>
    <w:rsid w:val="00855939"/>
    <w:rsid w:val="00855CA1"/>
    <w:rsid w:val="00855DA6"/>
    <w:rsid w:val="008561E4"/>
    <w:rsid w:val="00856976"/>
    <w:rsid w:val="00856CCE"/>
    <w:rsid w:val="0085735B"/>
    <w:rsid w:val="00857576"/>
    <w:rsid w:val="008603D9"/>
    <w:rsid w:val="00860491"/>
    <w:rsid w:val="00860A37"/>
    <w:rsid w:val="00860EB0"/>
    <w:rsid w:val="00860ECA"/>
    <w:rsid w:val="00860FC9"/>
    <w:rsid w:val="008616D3"/>
    <w:rsid w:val="008619A5"/>
    <w:rsid w:val="008619B2"/>
    <w:rsid w:val="008619C5"/>
    <w:rsid w:val="00861EFC"/>
    <w:rsid w:val="008634B7"/>
    <w:rsid w:val="008637D2"/>
    <w:rsid w:val="00863872"/>
    <w:rsid w:val="00863EEA"/>
    <w:rsid w:val="00863EF3"/>
    <w:rsid w:val="0086432F"/>
    <w:rsid w:val="00864CBC"/>
    <w:rsid w:val="0086506B"/>
    <w:rsid w:val="0086594C"/>
    <w:rsid w:val="00865CC9"/>
    <w:rsid w:val="00865D79"/>
    <w:rsid w:val="00865EDF"/>
    <w:rsid w:val="008669FE"/>
    <w:rsid w:val="00866ACE"/>
    <w:rsid w:val="00866CCB"/>
    <w:rsid w:val="00867498"/>
    <w:rsid w:val="0086781E"/>
    <w:rsid w:val="00867E4C"/>
    <w:rsid w:val="008705B7"/>
    <w:rsid w:val="00871234"/>
    <w:rsid w:val="008712F1"/>
    <w:rsid w:val="00871760"/>
    <w:rsid w:val="008718D8"/>
    <w:rsid w:val="00871F79"/>
    <w:rsid w:val="008721E1"/>
    <w:rsid w:val="008730FE"/>
    <w:rsid w:val="008732DC"/>
    <w:rsid w:val="00873B1F"/>
    <w:rsid w:val="008747C1"/>
    <w:rsid w:val="00874C4E"/>
    <w:rsid w:val="00874E8F"/>
    <w:rsid w:val="0087506D"/>
    <w:rsid w:val="0087543E"/>
    <w:rsid w:val="00875A15"/>
    <w:rsid w:val="00875AB7"/>
    <w:rsid w:val="00875B12"/>
    <w:rsid w:val="00875B3F"/>
    <w:rsid w:val="008762EC"/>
    <w:rsid w:val="00876394"/>
    <w:rsid w:val="008765E1"/>
    <w:rsid w:val="0087692A"/>
    <w:rsid w:val="00876D2F"/>
    <w:rsid w:val="008774FE"/>
    <w:rsid w:val="00877CAF"/>
    <w:rsid w:val="008804DC"/>
    <w:rsid w:val="008805BF"/>
    <w:rsid w:val="008809D3"/>
    <w:rsid w:val="008817E2"/>
    <w:rsid w:val="00881EE0"/>
    <w:rsid w:val="00882107"/>
    <w:rsid w:val="00882232"/>
    <w:rsid w:val="00882C8C"/>
    <w:rsid w:val="0088390B"/>
    <w:rsid w:val="0088413C"/>
    <w:rsid w:val="008845DB"/>
    <w:rsid w:val="00884928"/>
    <w:rsid w:val="0088496C"/>
    <w:rsid w:val="008855BC"/>
    <w:rsid w:val="00885914"/>
    <w:rsid w:val="00886598"/>
    <w:rsid w:val="0088675B"/>
    <w:rsid w:val="008867AB"/>
    <w:rsid w:val="00886ED6"/>
    <w:rsid w:val="00886F70"/>
    <w:rsid w:val="00887544"/>
    <w:rsid w:val="0088776C"/>
    <w:rsid w:val="00887AF8"/>
    <w:rsid w:val="00890527"/>
    <w:rsid w:val="00890D5F"/>
    <w:rsid w:val="00890DF3"/>
    <w:rsid w:val="00891DE9"/>
    <w:rsid w:val="00892200"/>
    <w:rsid w:val="008923B7"/>
    <w:rsid w:val="0089307A"/>
    <w:rsid w:val="00893F4C"/>
    <w:rsid w:val="00894308"/>
    <w:rsid w:val="00894AEF"/>
    <w:rsid w:val="00894DA7"/>
    <w:rsid w:val="00894FD8"/>
    <w:rsid w:val="008950CC"/>
    <w:rsid w:val="00895F96"/>
    <w:rsid w:val="00896145"/>
    <w:rsid w:val="008961FF"/>
    <w:rsid w:val="0089631F"/>
    <w:rsid w:val="00896625"/>
    <w:rsid w:val="0089679B"/>
    <w:rsid w:val="00896822"/>
    <w:rsid w:val="00896BCC"/>
    <w:rsid w:val="0089736B"/>
    <w:rsid w:val="00897805"/>
    <w:rsid w:val="008A0098"/>
    <w:rsid w:val="008A0684"/>
    <w:rsid w:val="008A06CC"/>
    <w:rsid w:val="008A0808"/>
    <w:rsid w:val="008A147B"/>
    <w:rsid w:val="008A183E"/>
    <w:rsid w:val="008A1B41"/>
    <w:rsid w:val="008A1DA1"/>
    <w:rsid w:val="008A237F"/>
    <w:rsid w:val="008A2975"/>
    <w:rsid w:val="008A3034"/>
    <w:rsid w:val="008A306F"/>
    <w:rsid w:val="008A3725"/>
    <w:rsid w:val="008A3FAA"/>
    <w:rsid w:val="008A4D12"/>
    <w:rsid w:val="008A50B6"/>
    <w:rsid w:val="008A5399"/>
    <w:rsid w:val="008A5CEF"/>
    <w:rsid w:val="008A5F2D"/>
    <w:rsid w:val="008A71F2"/>
    <w:rsid w:val="008A7215"/>
    <w:rsid w:val="008A73D6"/>
    <w:rsid w:val="008A753B"/>
    <w:rsid w:val="008B072C"/>
    <w:rsid w:val="008B123C"/>
    <w:rsid w:val="008B1C68"/>
    <w:rsid w:val="008B1F6A"/>
    <w:rsid w:val="008B1FE9"/>
    <w:rsid w:val="008B21E9"/>
    <w:rsid w:val="008B262E"/>
    <w:rsid w:val="008B29DF"/>
    <w:rsid w:val="008B2E3C"/>
    <w:rsid w:val="008B30F2"/>
    <w:rsid w:val="008B31C8"/>
    <w:rsid w:val="008B3433"/>
    <w:rsid w:val="008B3CB0"/>
    <w:rsid w:val="008B40D3"/>
    <w:rsid w:val="008B41B9"/>
    <w:rsid w:val="008B479C"/>
    <w:rsid w:val="008B7464"/>
    <w:rsid w:val="008B7745"/>
    <w:rsid w:val="008B7BAD"/>
    <w:rsid w:val="008C198C"/>
    <w:rsid w:val="008C1E34"/>
    <w:rsid w:val="008C24B3"/>
    <w:rsid w:val="008C257A"/>
    <w:rsid w:val="008C3427"/>
    <w:rsid w:val="008C35F5"/>
    <w:rsid w:val="008C3864"/>
    <w:rsid w:val="008C4174"/>
    <w:rsid w:val="008C43A0"/>
    <w:rsid w:val="008C4EBD"/>
    <w:rsid w:val="008C5509"/>
    <w:rsid w:val="008C59EE"/>
    <w:rsid w:val="008C5F06"/>
    <w:rsid w:val="008C6086"/>
    <w:rsid w:val="008C65A5"/>
    <w:rsid w:val="008C6D64"/>
    <w:rsid w:val="008C766E"/>
    <w:rsid w:val="008C78A5"/>
    <w:rsid w:val="008D0425"/>
    <w:rsid w:val="008D16CB"/>
    <w:rsid w:val="008D1A96"/>
    <w:rsid w:val="008D2AF2"/>
    <w:rsid w:val="008D3117"/>
    <w:rsid w:val="008D3A97"/>
    <w:rsid w:val="008D3EB6"/>
    <w:rsid w:val="008D459A"/>
    <w:rsid w:val="008D47EC"/>
    <w:rsid w:val="008D4843"/>
    <w:rsid w:val="008D4C5C"/>
    <w:rsid w:val="008D4E3A"/>
    <w:rsid w:val="008D623F"/>
    <w:rsid w:val="008D6FA5"/>
    <w:rsid w:val="008D7096"/>
    <w:rsid w:val="008D74FA"/>
    <w:rsid w:val="008D78D9"/>
    <w:rsid w:val="008E0710"/>
    <w:rsid w:val="008E0C06"/>
    <w:rsid w:val="008E1527"/>
    <w:rsid w:val="008E1E7B"/>
    <w:rsid w:val="008E4171"/>
    <w:rsid w:val="008E4261"/>
    <w:rsid w:val="008E42EB"/>
    <w:rsid w:val="008E441D"/>
    <w:rsid w:val="008E44BC"/>
    <w:rsid w:val="008E4724"/>
    <w:rsid w:val="008E63AE"/>
    <w:rsid w:val="008E6512"/>
    <w:rsid w:val="008E69F6"/>
    <w:rsid w:val="008E6D8B"/>
    <w:rsid w:val="008E700E"/>
    <w:rsid w:val="008E701C"/>
    <w:rsid w:val="008E7951"/>
    <w:rsid w:val="008E7B30"/>
    <w:rsid w:val="008E7DB6"/>
    <w:rsid w:val="008E7F3E"/>
    <w:rsid w:val="008F0491"/>
    <w:rsid w:val="008F0592"/>
    <w:rsid w:val="008F05B3"/>
    <w:rsid w:val="008F0BEC"/>
    <w:rsid w:val="008F0F2A"/>
    <w:rsid w:val="008F1147"/>
    <w:rsid w:val="008F1718"/>
    <w:rsid w:val="008F185F"/>
    <w:rsid w:val="008F2E7A"/>
    <w:rsid w:val="008F30E6"/>
    <w:rsid w:val="008F3504"/>
    <w:rsid w:val="008F3AAC"/>
    <w:rsid w:val="008F3E38"/>
    <w:rsid w:val="008F4292"/>
    <w:rsid w:val="008F4755"/>
    <w:rsid w:val="008F4A13"/>
    <w:rsid w:val="008F4A72"/>
    <w:rsid w:val="008F51C2"/>
    <w:rsid w:val="008F5703"/>
    <w:rsid w:val="008F5721"/>
    <w:rsid w:val="008F5891"/>
    <w:rsid w:val="008F5ADC"/>
    <w:rsid w:val="008F5B96"/>
    <w:rsid w:val="008F5DD1"/>
    <w:rsid w:val="008F5FA7"/>
    <w:rsid w:val="008F6432"/>
    <w:rsid w:val="008F6460"/>
    <w:rsid w:val="008F706A"/>
    <w:rsid w:val="008F72C1"/>
    <w:rsid w:val="008F7883"/>
    <w:rsid w:val="008F7FD3"/>
    <w:rsid w:val="00900AC8"/>
    <w:rsid w:val="0090137D"/>
    <w:rsid w:val="00901739"/>
    <w:rsid w:val="009018AD"/>
    <w:rsid w:val="00902410"/>
    <w:rsid w:val="00902817"/>
    <w:rsid w:val="00902BBF"/>
    <w:rsid w:val="0090315B"/>
    <w:rsid w:val="00903195"/>
    <w:rsid w:val="00903CA3"/>
    <w:rsid w:val="009040E9"/>
    <w:rsid w:val="00904296"/>
    <w:rsid w:val="00904376"/>
    <w:rsid w:val="009049EC"/>
    <w:rsid w:val="00904DE6"/>
    <w:rsid w:val="00904E3E"/>
    <w:rsid w:val="00904EEF"/>
    <w:rsid w:val="00904F8C"/>
    <w:rsid w:val="00905242"/>
    <w:rsid w:val="00905440"/>
    <w:rsid w:val="00905608"/>
    <w:rsid w:val="009062BF"/>
    <w:rsid w:val="009063ED"/>
    <w:rsid w:val="009064E9"/>
    <w:rsid w:val="009069A4"/>
    <w:rsid w:val="0090763B"/>
    <w:rsid w:val="009078C9"/>
    <w:rsid w:val="00907C6C"/>
    <w:rsid w:val="00907FFE"/>
    <w:rsid w:val="00910240"/>
    <w:rsid w:val="0091090D"/>
    <w:rsid w:val="00910BD6"/>
    <w:rsid w:val="00910D8F"/>
    <w:rsid w:val="00910D97"/>
    <w:rsid w:val="00910FB9"/>
    <w:rsid w:val="00911676"/>
    <w:rsid w:val="00911726"/>
    <w:rsid w:val="00912D87"/>
    <w:rsid w:val="009133A7"/>
    <w:rsid w:val="00913899"/>
    <w:rsid w:val="009145F5"/>
    <w:rsid w:val="009147A6"/>
    <w:rsid w:val="00914CB0"/>
    <w:rsid w:val="0091530E"/>
    <w:rsid w:val="009153EA"/>
    <w:rsid w:val="00916223"/>
    <w:rsid w:val="009165D8"/>
    <w:rsid w:val="0091682F"/>
    <w:rsid w:val="0091694D"/>
    <w:rsid w:val="00916C6C"/>
    <w:rsid w:val="00916F9C"/>
    <w:rsid w:val="00917893"/>
    <w:rsid w:val="00917B53"/>
    <w:rsid w:val="00917DDB"/>
    <w:rsid w:val="009203C8"/>
    <w:rsid w:val="00920504"/>
    <w:rsid w:val="00920777"/>
    <w:rsid w:val="0092077D"/>
    <w:rsid w:val="00920EC5"/>
    <w:rsid w:val="00920ED9"/>
    <w:rsid w:val="00921778"/>
    <w:rsid w:val="0092187E"/>
    <w:rsid w:val="009218B3"/>
    <w:rsid w:val="0092191E"/>
    <w:rsid w:val="00921A60"/>
    <w:rsid w:val="00921F60"/>
    <w:rsid w:val="0092228D"/>
    <w:rsid w:val="00922764"/>
    <w:rsid w:val="0092299B"/>
    <w:rsid w:val="00922A4C"/>
    <w:rsid w:val="00922C7E"/>
    <w:rsid w:val="00922D9F"/>
    <w:rsid w:val="0092355D"/>
    <w:rsid w:val="009235DC"/>
    <w:rsid w:val="00923820"/>
    <w:rsid w:val="0092389C"/>
    <w:rsid w:val="00924130"/>
    <w:rsid w:val="009247F7"/>
    <w:rsid w:val="00924CBA"/>
    <w:rsid w:val="00925049"/>
    <w:rsid w:val="0092512A"/>
    <w:rsid w:val="00925490"/>
    <w:rsid w:val="00926163"/>
    <w:rsid w:val="00926A86"/>
    <w:rsid w:val="00926E42"/>
    <w:rsid w:val="009271E3"/>
    <w:rsid w:val="00927349"/>
    <w:rsid w:val="009276DE"/>
    <w:rsid w:val="00927959"/>
    <w:rsid w:val="00927C28"/>
    <w:rsid w:val="00927F8A"/>
    <w:rsid w:val="009301B6"/>
    <w:rsid w:val="009301E4"/>
    <w:rsid w:val="00930742"/>
    <w:rsid w:val="00930BCF"/>
    <w:rsid w:val="00930F5E"/>
    <w:rsid w:val="009313FA"/>
    <w:rsid w:val="00931D72"/>
    <w:rsid w:val="0093216A"/>
    <w:rsid w:val="0093237D"/>
    <w:rsid w:val="009327C7"/>
    <w:rsid w:val="00932C18"/>
    <w:rsid w:val="009333E9"/>
    <w:rsid w:val="009337AF"/>
    <w:rsid w:val="00933CAD"/>
    <w:rsid w:val="009342C1"/>
    <w:rsid w:val="00935104"/>
    <w:rsid w:val="0093584A"/>
    <w:rsid w:val="00936B77"/>
    <w:rsid w:val="00936D2B"/>
    <w:rsid w:val="00936EA9"/>
    <w:rsid w:val="00936FF1"/>
    <w:rsid w:val="0093762B"/>
    <w:rsid w:val="009401D4"/>
    <w:rsid w:val="00940BE4"/>
    <w:rsid w:val="0094123F"/>
    <w:rsid w:val="0094179C"/>
    <w:rsid w:val="00941EB4"/>
    <w:rsid w:val="00941FAD"/>
    <w:rsid w:val="0094217A"/>
    <w:rsid w:val="00942DB5"/>
    <w:rsid w:val="0094323B"/>
    <w:rsid w:val="00943D9D"/>
    <w:rsid w:val="00943F62"/>
    <w:rsid w:val="00943FF8"/>
    <w:rsid w:val="009441A9"/>
    <w:rsid w:val="00944429"/>
    <w:rsid w:val="009444AA"/>
    <w:rsid w:val="00944A1C"/>
    <w:rsid w:val="00944CE4"/>
    <w:rsid w:val="009451C7"/>
    <w:rsid w:val="009452F1"/>
    <w:rsid w:val="009454D9"/>
    <w:rsid w:val="00945D6C"/>
    <w:rsid w:val="00946106"/>
    <w:rsid w:val="00946BF0"/>
    <w:rsid w:val="009470F8"/>
    <w:rsid w:val="0094728C"/>
    <w:rsid w:val="00947831"/>
    <w:rsid w:val="009478D8"/>
    <w:rsid w:val="009479EA"/>
    <w:rsid w:val="00947AF5"/>
    <w:rsid w:val="00947C46"/>
    <w:rsid w:val="00950E02"/>
    <w:rsid w:val="009515A6"/>
    <w:rsid w:val="00951F84"/>
    <w:rsid w:val="00953372"/>
    <w:rsid w:val="00953ECC"/>
    <w:rsid w:val="00954343"/>
    <w:rsid w:val="0095453D"/>
    <w:rsid w:val="00955C13"/>
    <w:rsid w:val="00956346"/>
    <w:rsid w:val="00956602"/>
    <w:rsid w:val="00956793"/>
    <w:rsid w:val="009571E8"/>
    <w:rsid w:val="009578B0"/>
    <w:rsid w:val="0095796C"/>
    <w:rsid w:val="00957D17"/>
    <w:rsid w:val="00960570"/>
    <w:rsid w:val="009605AB"/>
    <w:rsid w:val="009609C9"/>
    <w:rsid w:val="00961B99"/>
    <w:rsid w:val="00962365"/>
    <w:rsid w:val="00962609"/>
    <w:rsid w:val="0096283A"/>
    <w:rsid w:val="00962F55"/>
    <w:rsid w:val="009635F4"/>
    <w:rsid w:val="00964629"/>
    <w:rsid w:val="009649CE"/>
    <w:rsid w:val="00964CA5"/>
    <w:rsid w:val="009652F3"/>
    <w:rsid w:val="00965865"/>
    <w:rsid w:val="00965911"/>
    <w:rsid w:val="009664E0"/>
    <w:rsid w:val="0096794A"/>
    <w:rsid w:val="009703E4"/>
    <w:rsid w:val="009705E6"/>
    <w:rsid w:val="00970EA8"/>
    <w:rsid w:val="00970F60"/>
    <w:rsid w:val="00971385"/>
    <w:rsid w:val="009714EC"/>
    <w:rsid w:val="00971F3A"/>
    <w:rsid w:val="009721CB"/>
    <w:rsid w:val="00972344"/>
    <w:rsid w:val="00972D38"/>
    <w:rsid w:val="0097313E"/>
    <w:rsid w:val="00973582"/>
    <w:rsid w:val="00974946"/>
    <w:rsid w:val="009749AB"/>
    <w:rsid w:val="00974A19"/>
    <w:rsid w:val="00974ABB"/>
    <w:rsid w:val="009750C8"/>
    <w:rsid w:val="00975125"/>
    <w:rsid w:val="0097537F"/>
    <w:rsid w:val="00975603"/>
    <w:rsid w:val="00975A34"/>
    <w:rsid w:val="00976831"/>
    <w:rsid w:val="00976B95"/>
    <w:rsid w:val="00976CC2"/>
    <w:rsid w:val="00977307"/>
    <w:rsid w:val="0097741A"/>
    <w:rsid w:val="0097784E"/>
    <w:rsid w:val="00977AD1"/>
    <w:rsid w:val="00977B51"/>
    <w:rsid w:val="00977D93"/>
    <w:rsid w:val="00977DA4"/>
    <w:rsid w:val="009800E5"/>
    <w:rsid w:val="00980277"/>
    <w:rsid w:val="00980858"/>
    <w:rsid w:val="00980F2C"/>
    <w:rsid w:val="0098109C"/>
    <w:rsid w:val="009815A0"/>
    <w:rsid w:val="009816CB"/>
    <w:rsid w:val="00981A71"/>
    <w:rsid w:val="00981B10"/>
    <w:rsid w:val="00981C06"/>
    <w:rsid w:val="009826C0"/>
    <w:rsid w:val="009826C2"/>
    <w:rsid w:val="0098304C"/>
    <w:rsid w:val="00983335"/>
    <w:rsid w:val="009834EB"/>
    <w:rsid w:val="00983969"/>
    <w:rsid w:val="00983CF2"/>
    <w:rsid w:val="00983D71"/>
    <w:rsid w:val="00983E38"/>
    <w:rsid w:val="009840E1"/>
    <w:rsid w:val="00984E5F"/>
    <w:rsid w:val="00984EAB"/>
    <w:rsid w:val="009856AD"/>
    <w:rsid w:val="009857DA"/>
    <w:rsid w:val="00985957"/>
    <w:rsid w:val="0098600A"/>
    <w:rsid w:val="00987F3E"/>
    <w:rsid w:val="00990251"/>
    <w:rsid w:val="009906EF"/>
    <w:rsid w:val="009912AA"/>
    <w:rsid w:val="00991724"/>
    <w:rsid w:val="00992353"/>
    <w:rsid w:val="0099373D"/>
    <w:rsid w:val="0099374D"/>
    <w:rsid w:val="009937DF"/>
    <w:rsid w:val="00994058"/>
    <w:rsid w:val="00994098"/>
    <w:rsid w:val="00994709"/>
    <w:rsid w:val="00994A9D"/>
    <w:rsid w:val="00995B50"/>
    <w:rsid w:val="00995E1B"/>
    <w:rsid w:val="00996032"/>
    <w:rsid w:val="009979E3"/>
    <w:rsid w:val="00997B3F"/>
    <w:rsid w:val="00997C0C"/>
    <w:rsid w:val="00997C4C"/>
    <w:rsid w:val="00997E85"/>
    <w:rsid w:val="009A0443"/>
    <w:rsid w:val="009A044C"/>
    <w:rsid w:val="009A0ABC"/>
    <w:rsid w:val="009A1232"/>
    <w:rsid w:val="009A20A2"/>
    <w:rsid w:val="009A2510"/>
    <w:rsid w:val="009A27CC"/>
    <w:rsid w:val="009A2879"/>
    <w:rsid w:val="009A31E9"/>
    <w:rsid w:val="009A398F"/>
    <w:rsid w:val="009A46DC"/>
    <w:rsid w:val="009A4AD2"/>
    <w:rsid w:val="009A4D59"/>
    <w:rsid w:val="009A4F02"/>
    <w:rsid w:val="009A5277"/>
    <w:rsid w:val="009A7134"/>
    <w:rsid w:val="009A7951"/>
    <w:rsid w:val="009A7A2A"/>
    <w:rsid w:val="009A7C94"/>
    <w:rsid w:val="009A7E05"/>
    <w:rsid w:val="009B022E"/>
    <w:rsid w:val="009B0955"/>
    <w:rsid w:val="009B0B49"/>
    <w:rsid w:val="009B0C7A"/>
    <w:rsid w:val="009B0F25"/>
    <w:rsid w:val="009B11D8"/>
    <w:rsid w:val="009B12E4"/>
    <w:rsid w:val="009B1385"/>
    <w:rsid w:val="009B1647"/>
    <w:rsid w:val="009B21F9"/>
    <w:rsid w:val="009B2563"/>
    <w:rsid w:val="009B313F"/>
    <w:rsid w:val="009B3476"/>
    <w:rsid w:val="009B3536"/>
    <w:rsid w:val="009B3A36"/>
    <w:rsid w:val="009B3DAC"/>
    <w:rsid w:val="009B4B66"/>
    <w:rsid w:val="009B4D14"/>
    <w:rsid w:val="009B51B5"/>
    <w:rsid w:val="009B527D"/>
    <w:rsid w:val="009B5404"/>
    <w:rsid w:val="009B5716"/>
    <w:rsid w:val="009B5C2B"/>
    <w:rsid w:val="009B5ED1"/>
    <w:rsid w:val="009B6203"/>
    <w:rsid w:val="009B62A2"/>
    <w:rsid w:val="009B6F9B"/>
    <w:rsid w:val="009B7C9E"/>
    <w:rsid w:val="009C00A5"/>
    <w:rsid w:val="009C0258"/>
    <w:rsid w:val="009C0E81"/>
    <w:rsid w:val="009C0F5B"/>
    <w:rsid w:val="009C1F27"/>
    <w:rsid w:val="009C2095"/>
    <w:rsid w:val="009C2288"/>
    <w:rsid w:val="009C22C5"/>
    <w:rsid w:val="009C2342"/>
    <w:rsid w:val="009C2522"/>
    <w:rsid w:val="009C25B4"/>
    <w:rsid w:val="009C2A3F"/>
    <w:rsid w:val="009C379D"/>
    <w:rsid w:val="009C37AD"/>
    <w:rsid w:val="009C38E9"/>
    <w:rsid w:val="009C3F9C"/>
    <w:rsid w:val="009C45C8"/>
    <w:rsid w:val="009C4722"/>
    <w:rsid w:val="009C49D2"/>
    <w:rsid w:val="009C50C2"/>
    <w:rsid w:val="009C5634"/>
    <w:rsid w:val="009C613E"/>
    <w:rsid w:val="009C6263"/>
    <w:rsid w:val="009C6473"/>
    <w:rsid w:val="009C6659"/>
    <w:rsid w:val="009C69B0"/>
    <w:rsid w:val="009C6A9B"/>
    <w:rsid w:val="009C70FE"/>
    <w:rsid w:val="009C7FB5"/>
    <w:rsid w:val="009D02D3"/>
    <w:rsid w:val="009D059B"/>
    <w:rsid w:val="009D071A"/>
    <w:rsid w:val="009D088C"/>
    <w:rsid w:val="009D0E71"/>
    <w:rsid w:val="009D1E5F"/>
    <w:rsid w:val="009D20AF"/>
    <w:rsid w:val="009D23D9"/>
    <w:rsid w:val="009D2649"/>
    <w:rsid w:val="009D2AF8"/>
    <w:rsid w:val="009D2C03"/>
    <w:rsid w:val="009D313B"/>
    <w:rsid w:val="009D3180"/>
    <w:rsid w:val="009D39E7"/>
    <w:rsid w:val="009D40B5"/>
    <w:rsid w:val="009D449B"/>
    <w:rsid w:val="009D4939"/>
    <w:rsid w:val="009D51FB"/>
    <w:rsid w:val="009D597E"/>
    <w:rsid w:val="009D59B9"/>
    <w:rsid w:val="009D5C7E"/>
    <w:rsid w:val="009D6107"/>
    <w:rsid w:val="009D6624"/>
    <w:rsid w:val="009D6870"/>
    <w:rsid w:val="009D6DA2"/>
    <w:rsid w:val="009D7150"/>
    <w:rsid w:val="009D74E2"/>
    <w:rsid w:val="009D76D6"/>
    <w:rsid w:val="009D7E61"/>
    <w:rsid w:val="009E0763"/>
    <w:rsid w:val="009E0E69"/>
    <w:rsid w:val="009E0F20"/>
    <w:rsid w:val="009E1035"/>
    <w:rsid w:val="009E1514"/>
    <w:rsid w:val="009E1910"/>
    <w:rsid w:val="009E1A90"/>
    <w:rsid w:val="009E1BDD"/>
    <w:rsid w:val="009E20C3"/>
    <w:rsid w:val="009E21C6"/>
    <w:rsid w:val="009E280A"/>
    <w:rsid w:val="009E29C7"/>
    <w:rsid w:val="009E2D69"/>
    <w:rsid w:val="009E3360"/>
    <w:rsid w:val="009E3C56"/>
    <w:rsid w:val="009E3D5C"/>
    <w:rsid w:val="009E4223"/>
    <w:rsid w:val="009E4553"/>
    <w:rsid w:val="009E466F"/>
    <w:rsid w:val="009E4A37"/>
    <w:rsid w:val="009E4BA6"/>
    <w:rsid w:val="009E51B3"/>
    <w:rsid w:val="009E54E3"/>
    <w:rsid w:val="009E5844"/>
    <w:rsid w:val="009E595F"/>
    <w:rsid w:val="009E7225"/>
    <w:rsid w:val="009E76EB"/>
    <w:rsid w:val="009E7764"/>
    <w:rsid w:val="009E77CD"/>
    <w:rsid w:val="009E7936"/>
    <w:rsid w:val="009E7AF6"/>
    <w:rsid w:val="009E7D04"/>
    <w:rsid w:val="009E7E6F"/>
    <w:rsid w:val="009F0151"/>
    <w:rsid w:val="009F020E"/>
    <w:rsid w:val="009F05D1"/>
    <w:rsid w:val="009F14E0"/>
    <w:rsid w:val="009F15D2"/>
    <w:rsid w:val="009F1C81"/>
    <w:rsid w:val="009F1D4E"/>
    <w:rsid w:val="009F1EC7"/>
    <w:rsid w:val="009F1F15"/>
    <w:rsid w:val="009F26DD"/>
    <w:rsid w:val="009F319E"/>
    <w:rsid w:val="009F3399"/>
    <w:rsid w:val="009F3A5C"/>
    <w:rsid w:val="009F3F68"/>
    <w:rsid w:val="009F43C4"/>
    <w:rsid w:val="009F46CA"/>
    <w:rsid w:val="009F46D4"/>
    <w:rsid w:val="009F4A1C"/>
    <w:rsid w:val="009F4B9D"/>
    <w:rsid w:val="009F4EA1"/>
    <w:rsid w:val="009F5081"/>
    <w:rsid w:val="009F52C1"/>
    <w:rsid w:val="009F5321"/>
    <w:rsid w:val="009F558F"/>
    <w:rsid w:val="009F5F09"/>
    <w:rsid w:val="009F6137"/>
    <w:rsid w:val="009F67AD"/>
    <w:rsid w:val="009F68BF"/>
    <w:rsid w:val="009F68F9"/>
    <w:rsid w:val="009F69D1"/>
    <w:rsid w:val="009F6BDE"/>
    <w:rsid w:val="009F6D22"/>
    <w:rsid w:val="009F6FF6"/>
    <w:rsid w:val="009F70B9"/>
    <w:rsid w:val="009F72D0"/>
    <w:rsid w:val="009F7990"/>
    <w:rsid w:val="009F7A99"/>
    <w:rsid w:val="00A000CB"/>
    <w:rsid w:val="00A0036B"/>
    <w:rsid w:val="00A00373"/>
    <w:rsid w:val="00A00571"/>
    <w:rsid w:val="00A0085E"/>
    <w:rsid w:val="00A01700"/>
    <w:rsid w:val="00A01A55"/>
    <w:rsid w:val="00A01E6A"/>
    <w:rsid w:val="00A01F81"/>
    <w:rsid w:val="00A023CF"/>
    <w:rsid w:val="00A02464"/>
    <w:rsid w:val="00A02729"/>
    <w:rsid w:val="00A02E0D"/>
    <w:rsid w:val="00A02E15"/>
    <w:rsid w:val="00A0305B"/>
    <w:rsid w:val="00A03AD7"/>
    <w:rsid w:val="00A03B99"/>
    <w:rsid w:val="00A03EC9"/>
    <w:rsid w:val="00A0428C"/>
    <w:rsid w:val="00A0431E"/>
    <w:rsid w:val="00A0470B"/>
    <w:rsid w:val="00A04D4A"/>
    <w:rsid w:val="00A05149"/>
    <w:rsid w:val="00A052CF"/>
    <w:rsid w:val="00A05E4B"/>
    <w:rsid w:val="00A0666A"/>
    <w:rsid w:val="00A06DA3"/>
    <w:rsid w:val="00A06E88"/>
    <w:rsid w:val="00A0749D"/>
    <w:rsid w:val="00A07813"/>
    <w:rsid w:val="00A07CCD"/>
    <w:rsid w:val="00A100E5"/>
    <w:rsid w:val="00A10351"/>
    <w:rsid w:val="00A11A76"/>
    <w:rsid w:val="00A1229A"/>
    <w:rsid w:val="00A12394"/>
    <w:rsid w:val="00A125A1"/>
    <w:rsid w:val="00A12602"/>
    <w:rsid w:val="00A12B1E"/>
    <w:rsid w:val="00A14548"/>
    <w:rsid w:val="00A146B5"/>
    <w:rsid w:val="00A147CD"/>
    <w:rsid w:val="00A1483B"/>
    <w:rsid w:val="00A14A86"/>
    <w:rsid w:val="00A16061"/>
    <w:rsid w:val="00A160F9"/>
    <w:rsid w:val="00A1619F"/>
    <w:rsid w:val="00A167C2"/>
    <w:rsid w:val="00A1684F"/>
    <w:rsid w:val="00A168BB"/>
    <w:rsid w:val="00A16B1D"/>
    <w:rsid w:val="00A17C11"/>
    <w:rsid w:val="00A2035F"/>
    <w:rsid w:val="00A20686"/>
    <w:rsid w:val="00A206F6"/>
    <w:rsid w:val="00A20A55"/>
    <w:rsid w:val="00A20B53"/>
    <w:rsid w:val="00A21379"/>
    <w:rsid w:val="00A21541"/>
    <w:rsid w:val="00A21688"/>
    <w:rsid w:val="00A21A0A"/>
    <w:rsid w:val="00A21CE4"/>
    <w:rsid w:val="00A22360"/>
    <w:rsid w:val="00A2240A"/>
    <w:rsid w:val="00A2290B"/>
    <w:rsid w:val="00A22BC1"/>
    <w:rsid w:val="00A22DEB"/>
    <w:rsid w:val="00A2342A"/>
    <w:rsid w:val="00A23A29"/>
    <w:rsid w:val="00A23DEB"/>
    <w:rsid w:val="00A24335"/>
    <w:rsid w:val="00A25146"/>
    <w:rsid w:val="00A257E9"/>
    <w:rsid w:val="00A25812"/>
    <w:rsid w:val="00A2596A"/>
    <w:rsid w:val="00A25B6F"/>
    <w:rsid w:val="00A25E25"/>
    <w:rsid w:val="00A26533"/>
    <w:rsid w:val="00A27072"/>
    <w:rsid w:val="00A277E8"/>
    <w:rsid w:val="00A27D1A"/>
    <w:rsid w:val="00A30180"/>
    <w:rsid w:val="00A301BC"/>
    <w:rsid w:val="00A30412"/>
    <w:rsid w:val="00A3073B"/>
    <w:rsid w:val="00A309A1"/>
    <w:rsid w:val="00A30A64"/>
    <w:rsid w:val="00A30E0D"/>
    <w:rsid w:val="00A3123F"/>
    <w:rsid w:val="00A3199A"/>
    <w:rsid w:val="00A31B38"/>
    <w:rsid w:val="00A31E28"/>
    <w:rsid w:val="00A31EA7"/>
    <w:rsid w:val="00A321C7"/>
    <w:rsid w:val="00A32466"/>
    <w:rsid w:val="00A3251C"/>
    <w:rsid w:val="00A32721"/>
    <w:rsid w:val="00A32FD7"/>
    <w:rsid w:val="00A335EF"/>
    <w:rsid w:val="00A34161"/>
    <w:rsid w:val="00A34835"/>
    <w:rsid w:val="00A34CD8"/>
    <w:rsid w:val="00A35224"/>
    <w:rsid w:val="00A35244"/>
    <w:rsid w:val="00A3526F"/>
    <w:rsid w:val="00A356D5"/>
    <w:rsid w:val="00A35897"/>
    <w:rsid w:val="00A35976"/>
    <w:rsid w:val="00A36A67"/>
    <w:rsid w:val="00A36D7B"/>
    <w:rsid w:val="00A36E79"/>
    <w:rsid w:val="00A374D1"/>
    <w:rsid w:val="00A3783D"/>
    <w:rsid w:val="00A4003D"/>
    <w:rsid w:val="00A40611"/>
    <w:rsid w:val="00A40B2C"/>
    <w:rsid w:val="00A414C0"/>
    <w:rsid w:val="00A416AA"/>
    <w:rsid w:val="00A416DC"/>
    <w:rsid w:val="00A4176F"/>
    <w:rsid w:val="00A41970"/>
    <w:rsid w:val="00A419B2"/>
    <w:rsid w:val="00A41B0B"/>
    <w:rsid w:val="00A42C8E"/>
    <w:rsid w:val="00A42E86"/>
    <w:rsid w:val="00A43054"/>
    <w:rsid w:val="00A43144"/>
    <w:rsid w:val="00A43392"/>
    <w:rsid w:val="00A43977"/>
    <w:rsid w:val="00A43BEA"/>
    <w:rsid w:val="00A43C0A"/>
    <w:rsid w:val="00A43D72"/>
    <w:rsid w:val="00A442AB"/>
    <w:rsid w:val="00A449E1"/>
    <w:rsid w:val="00A452D4"/>
    <w:rsid w:val="00A4592A"/>
    <w:rsid w:val="00A46C06"/>
    <w:rsid w:val="00A4735D"/>
    <w:rsid w:val="00A4758F"/>
    <w:rsid w:val="00A47758"/>
    <w:rsid w:val="00A4786A"/>
    <w:rsid w:val="00A47952"/>
    <w:rsid w:val="00A4797C"/>
    <w:rsid w:val="00A479DA"/>
    <w:rsid w:val="00A47CD2"/>
    <w:rsid w:val="00A502E5"/>
    <w:rsid w:val="00A50717"/>
    <w:rsid w:val="00A50D06"/>
    <w:rsid w:val="00A50E88"/>
    <w:rsid w:val="00A5110E"/>
    <w:rsid w:val="00A51739"/>
    <w:rsid w:val="00A51B06"/>
    <w:rsid w:val="00A52115"/>
    <w:rsid w:val="00A52201"/>
    <w:rsid w:val="00A522DB"/>
    <w:rsid w:val="00A5287C"/>
    <w:rsid w:val="00A52FFE"/>
    <w:rsid w:val="00A544C0"/>
    <w:rsid w:val="00A5464E"/>
    <w:rsid w:val="00A548B5"/>
    <w:rsid w:val="00A55456"/>
    <w:rsid w:val="00A55DC7"/>
    <w:rsid w:val="00A5668A"/>
    <w:rsid w:val="00A56A73"/>
    <w:rsid w:val="00A56C81"/>
    <w:rsid w:val="00A56CE6"/>
    <w:rsid w:val="00A57322"/>
    <w:rsid w:val="00A60340"/>
    <w:rsid w:val="00A60421"/>
    <w:rsid w:val="00A60471"/>
    <w:rsid w:val="00A60A99"/>
    <w:rsid w:val="00A60CDA"/>
    <w:rsid w:val="00A60E49"/>
    <w:rsid w:val="00A60F87"/>
    <w:rsid w:val="00A6113B"/>
    <w:rsid w:val="00A61A62"/>
    <w:rsid w:val="00A61FB1"/>
    <w:rsid w:val="00A6221B"/>
    <w:rsid w:val="00A62328"/>
    <w:rsid w:val="00A628A0"/>
    <w:rsid w:val="00A62BC8"/>
    <w:rsid w:val="00A6340B"/>
    <w:rsid w:val="00A63F68"/>
    <w:rsid w:val="00A64436"/>
    <w:rsid w:val="00A64D4A"/>
    <w:rsid w:val="00A65256"/>
    <w:rsid w:val="00A65831"/>
    <w:rsid w:val="00A65F21"/>
    <w:rsid w:val="00A6690B"/>
    <w:rsid w:val="00A66947"/>
    <w:rsid w:val="00A66979"/>
    <w:rsid w:val="00A66A2E"/>
    <w:rsid w:val="00A66C89"/>
    <w:rsid w:val="00A67920"/>
    <w:rsid w:val="00A67FC1"/>
    <w:rsid w:val="00A705E5"/>
    <w:rsid w:val="00A70E76"/>
    <w:rsid w:val="00A70F44"/>
    <w:rsid w:val="00A719C0"/>
    <w:rsid w:val="00A72637"/>
    <w:rsid w:val="00A72A16"/>
    <w:rsid w:val="00A72ADE"/>
    <w:rsid w:val="00A72B06"/>
    <w:rsid w:val="00A72C25"/>
    <w:rsid w:val="00A72C60"/>
    <w:rsid w:val="00A72F05"/>
    <w:rsid w:val="00A7307E"/>
    <w:rsid w:val="00A7339A"/>
    <w:rsid w:val="00A73FD6"/>
    <w:rsid w:val="00A743D8"/>
    <w:rsid w:val="00A7446E"/>
    <w:rsid w:val="00A74D31"/>
    <w:rsid w:val="00A752DF"/>
    <w:rsid w:val="00A7548D"/>
    <w:rsid w:val="00A75BC6"/>
    <w:rsid w:val="00A76115"/>
    <w:rsid w:val="00A7642B"/>
    <w:rsid w:val="00A76621"/>
    <w:rsid w:val="00A76694"/>
    <w:rsid w:val="00A767FA"/>
    <w:rsid w:val="00A76A52"/>
    <w:rsid w:val="00A77B64"/>
    <w:rsid w:val="00A77FE7"/>
    <w:rsid w:val="00A80199"/>
    <w:rsid w:val="00A80CEC"/>
    <w:rsid w:val="00A80E49"/>
    <w:rsid w:val="00A8109C"/>
    <w:rsid w:val="00A81C9B"/>
    <w:rsid w:val="00A81D78"/>
    <w:rsid w:val="00A82165"/>
    <w:rsid w:val="00A82851"/>
    <w:rsid w:val="00A83127"/>
    <w:rsid w:val="00A83215"/>
    <w:rsid w:val="00A83503"/>
    <w:rsid w:val="00A83FF5"/>
    <w:rsid w:val="00A84858"/>
    <w:rsid w:val="00A8494A"/>
    <w:rsid w:val="00A84B5F"/>
    <w:rsid w:val="00A85C49"/>
    <w:rsid w:val="00A86184"/>
    <w:rsid w:val="00A86A98"/>
    <w:rsid w:val="00A86F75"/>
    <w:rsid w:val="00A871AF"/>
    <w:rsid w:val="00A876D8"/>
    <w:rsid w:val="00A90252"/>
    <w:rsid w:val="00A9099C"/>
    <w:rsid w:val="00A912FB"/>
    <w:rsid w:val="00A91436"/>
    <w:rsid w:val="00A916C5"/>
    <w:rsid w:val="00A916D5"/>
    <w:rsid w:val="00A91F1A"/>
    <w:rsid w:val="00A92833"/>
    <w:rsid w:val="00A92A28"/>
    <w:rsid w:val="00A92DF3"/>
    <w:rsid w:val="00A9302E"/>
    <w:rsid w:val="00A93173"/>
    <w:rsid w:val="00A93521"/>
    <w:rsid w:val="00A936B6"/>
    <w:rsid w:val="00A9373E"/>
    <w:rsid w:val="00A937C8"/>
    <w:rsid w:val="00A93950"/>
    <w:rsid w:val="00A93D8D"/>
    <w:rsid w:val="00A9466C"/>
    <w:rsid w:val="00A94962"/>
    <w:rsid w:val="00A94B78"/>
    <w:rsid w:val="00A96BDB"/>
    <w:rsid w:val="00A96C07"/>
    <w:rsid w:val="00A97414"/>
    <w:rsid w:val="00A97433"/>
    <w:rsid w:val="00A97C9A"/>
    <w:rsid w:val="00A97F99"/>
    <w:rsid w:val="00AA0060"/>
    <w:rsid w:val="00AA058A"/>
    <w:rsid w:val="00AA064B"/>
    <w:rsid w:val="00AA0936"/>
    <w:rsid w:val="00AA0F82"/>
    <w:rsid w:val="00AA1256"/>
    <w:rsid w:val="00AA1A24"/>
    <w:rsid w:val="00AA1EFE"/>
    <w:rsid w:val="00AA2027"/>
    <w:rsid w:val="00AA2155"/>
    <w:rsid w:val="00AA2E7C"/>
    <w:rsid w:val="00AA2F03"/>
    <w:rsid w:val="00AA34C5"/>
    <w:rsid w:val="00AA365B"/>
    <w:rsid w:val="00AA386B"/>
    <w:rsid w:val="00AA3934"/>
    <w:rsid w:val="00AA3C84"/>
    <w:rsid w:val="00AA3E83"/>
    <w:rsid w:val="00AA44B6"/>
    <w:rsid w:val="00AA4610"/>
    <w:rsid w:val="00AA544A"/>
    <w:rsid w:val="00AA5748"/>
    <w:rsid w:val="00AA5868"/>
    <w:rsid w:val="00AA6801"/>
    <w:rsid w:val="00AA6887"/>
    <w:rsid w:val="00AA6940"/>
    <w:rsid w:val="00AA6959"/>
    <w:rsid w:val="00AA6A45"/>
    <w:rsid w:val="00AA7033"/>
    <w:rsid w:val="00AA74D1"/>
    <w:rsid w:val="00AA7812"/>
    <w:rsid w:val="00AB006B"/>
    <w:rsid w:val="00AB00BC"/>
    <w:rsid w:val="00AB04E1"/>
    <w:rsid w:val="00AB0B57"/>
    <w:rsid w:val="00AB11A0"/>
    <w:rsid w:val="00AB134E"/>
    <w:rsid w:val="00AB18DF"/>
    <w:rsid w:val="00AB1E5E"/>
    <w:rsid w:val="00AB21AE"/>
    <w:rsid w:val="00AB2313"/>
    <w:rsid w:val="00AB233D"/>
    <w:rsid w:val="00AB268F"/>
    <w:rsid w:val="00AB2B6C"/>
    <w:rsid w:val="00AB2BA0"/>
    <w:rsid w:val="00AB2F4A"/>
    <w:rsid w:val="00AB3E83"/>
    <w:rsid w:val="00AB4366"/>
    <w:rsid w:val="00AB47F3"/>
    <w:rsid w:val="00AB49CF"/>
    <w:rsid w:val="00AB51AE"/>
    <w:rsid w:val="00AB54C8"/>
    <w:rsid w:val="00AB577A"/>
    <w:rsid w:val="00AB5C4D"/>
    <w:rsid w:val="00AB621D"/>
    <w:rsid w:val="00AB62C5"/>
    <w:rsid w:val="00AB640B"/>
    <w:rsid w:val="00AB6AA1"/>
    <w:rsid w:val="00AB6CF9"/>
    <w:rsid w:val="00AB77EE"/>
    <w:rsid w:val="00AB79BA"/>
    <w:rsid w:val="00AB7EA5"/>
    <w:rsid w:val="00AC06B8"/>
    <w:rsid w:val="00AC0AB1"/>
    <w:rsid w:val="00AC0D4B"/>
    <w:rsid w:val="00AC0F7D"/>
    <w:rsid w:val="00AC148F"/>
    <w:rsid w:val="00AC1A66"/>
    <w:rsid w:val="00AC1AD6"/>
    <w:rsid w:val="00AC1DE8"/>
    <w:rsid w:val="00AC202D"/>
    <w:rsid w:val="00AC260F"/>
    <w:rsid w:val="00AC2662"/>
    <w:rsid w:val="00AC2771"/>
    <w:rsid w:val="00AC280D"/>
    <w:rsid w:val="00AC29B5"/>
    <w:rsid w:val="00AC321F"/>
    <w:rsid w:val="00AC348A"/>
    <w:rsid w:val="00AC3657"/>
    <w:rsid w:val="00AC3841"/>
    <w:rsid w:val="00AC4DE3"/>
    <w:rsid w:val="00AC51A9"/>
    <w:rsid w:val="00AC5652"/>
    <w:rsid w:val="00AC587F"/>
    <w:rsid w:val="00AC5B73"/>
    <w:rsid w:val="00AC5BDD"/>
    <w:rsid w:val="00AC5C67"/>
    <w:rsid w:val="00AC5FDB"/>
    <w:rsid w:val="00AC62FB"/>
    <w:rsid w:val="00AC7554"/>
    <w:rsid w:val="00AC7576"/>
    <w:rsid w:val="00AC79C2"/>
    <w:rsid w:val="00AD0815"/>
    <w:rsid w:val="00AD0EEF"/>
    <w:rsid w:val="00AD1B66"/>
    <w:rsid w:val="00AD1C46"/>
    <w:rsid w:val="00AD2077"/>
    <w:rsid w:val="00AD20FF"/>
    <w:rsid w:val="00AD258D"/>
    <w:rsid w:val="00AD28FE"/>
    <w:rsid w:val="00AD31FE"/>
    <w:rsid w:val="00AD3400"/>
    <w:rsid w:val="00AD3777"/>
    <w:rsid w:val="00AD394E"/>
    <w:rsid w:val="00AD39BE"/>
    <w:rsid w:val="00AD430A"/>
    <w:rsid w:val="00AD488C"/>
    <w:rsid w:val="00AD5261"/>
    <w:rsid w:val="00AD52BF"/>
    <w:rsid w:val="00AD5F43"/>
    <w:rsid w:val="00AD621C"/>
    <w:rsid w:val="00AD644F"/>
    <w:rsid w:val="00AD672B"/>
    <w:rsid w:val="00AD6E75"/>
    <w:rsid w:val="00AD6FB1"/>
    <w:rsid w:val="00AD749D"/>
    <w:rsid w:val="00AE0AC5"/>
    <w:rsid w:val="00AE10FF"/>
    <w:rsid w:val="00AE1D17"/>
    <w:rsid w:val="00AE29E5"/>
    <w:rsid w:val="00AE2E08"/>
    <w:rsid w:val="00AE3FED"/>
    <w:rsid w:val="00AE4174"/>
    <w:rsid w:val="00AE42EB"/>
    <w:rsid w:val="00AE4917"/>
    <w:rsid w:val="00AE4B72"/>
    <w:rsid w:val="00AE4DF7"/>
    <w:rsid w:val="00AE500D"/>
    <w:rsid w:val="00AE52DE"/>
    <w:rsid w:val="00AE53EC"/>
    <w:rsid w:val="00AE53F1"/>
    <w:rsid w:val="00AE6A65"/>
    <w:rsid w:val="00AE6D0E"/>
    <w:rsid w:val="00AE6FB1"/>
    <w:rsid w:val="00AE735D"/>
    <w:rsid w:val="00AE7509"/>
    <w:rsid w:val="00AE7EE5"/>
    <w:rsid w:val="00AF1072"/>
    <w:rsid w:val="00AF1BAD"/>
    <w:rsid w:val="00AF1D40"/>
    <w:rsid w:val="00AF2176"/>
    <w:rsid w:val="00AF219A"/>
    <w:rsid w:val="00AF23F4"/>
    <w:rsid w:val="00AF287A"/>
    <w:rsid w:val="00AF2A0A"/>
    <w:rsid w:val="00AF2A84"/>
    <w:rsid w:val="00AF2C05"/>
    <w:rsid w:val="00AF340D"/>
    <w:rsid w:val="00AF3423"/>
    <w:rsid w:val="00AF3BFE"/>
    <w:rsid w:val="00AF3F32"/>
    <w:rsid w:val="00AF43E5"/>
    <w:rsid w:val="00AF49C7"/>
    <w:rsid w:val="00AF4D7A"/>
    <w:rsid w:val="00AF5379"/>
    <w:rsid w:val="00AF54F4"/>
    <w:rsid w:val="00AF5982"/>
    <w:rsid w:val="00AF5B83"/>
    <w:rsid w:val="00AF5D3E"/>
    <w:rsid w:val="00AF6729"/>
    <w:rsid w:val="00AF6801"/>
    <w:rsid w:val="00AF727D"/>
    <w:rsid w:val="00AF7478"/>
    <w:rsid w:val="00AF7492"/>
    <w:rsid w:val="00AF77B8"/>
    <w:rsid w:val="00AF7B3D"/>
    <w:rsid w:val="00AF7D4E"/>
    <w:rsid w:val="00B00F4B"/>
    <w:rsid w:val="00B0155F"/>
    <w:rsid w:val="00B01F46"/>
    <w:rsid w:val="00B020AE"/>
    <w:rsid w:val="00B027B4"/>
    <w:rsid w:val="00B027E5"/>
    <w:rsid w:val="00B0286A"/>
    <w:rsid w:val="00B02B62"/>
    <w:rsid w:val="00B03429"/>
    <w:rsid w:val="00B03835"/>
    <w:rsid w:val="00B03CB4"/>
    <w:rsid w:val="00B0407B"/>
    <w:rsid w:val="00B044A5"/>
    <w:rsid w:val="00B04B86"/>
    <w:rsid w:val="00B05094"/>
    <w:rsid w:val="00B053E8"/>
    <w:rsid w:val="00B054F0"/>
    <w:rsid w:val="00B05607"/>
    <w:rsid w:val="00B057C0"/>
    <w:rsid w:val="00B0612B"/>
    <w:rsid w:val="00B061FF"/>
    <w:rsid w:val="00B063FF"/>
    <w:rsid w:val="00B0675A"/>
    <w:rsid w:val="00B075C4"/>
    <w:rsid w:val="00B07949"/>
    <w:rsid w:val="00B102BB"/>
    <w:rsid w:val="00B10644"/>
    <w:rsid w:val="00B10731"/>
    <w:rsid w:val="00B1077F"/>
    <w:rsid w:val="00B107E0"/>
    <w:rsid w:val="00B1130C"/>
    <w:rsid w:val="00B1166A"/>
    <w:rsid w:val="00B11986"/>
    <w:rsid w:val="00B11ED9"/>
    <w:rsid w:val="00B122B8"/>
    <w:rsid w:val="00B12348"/>
    <w:rsid w:val="00B124A6"/>
    <w:rsid w:val="00B12A29"/>
    <w:rsid w:val="00B12BFA"/>
    <w:rsid w:val="00B12F12"/>
    <w:rsid w:val="00B135A0"/>
    <w:rsid w:val="00B13671"/>
    <w:rsid w:val="00B13753"/>
    <w:rsid w:val="00B1449E"/>
    <w:rsid w:val="00B14DA8"/>
    <w:rsid w:val="00B151DA"/>
    <w:rsid w:val="00B1541E"/>
    <w:rsid w:val="00B1569B"/>
    <w:rsid w:val="00B15C32"/>
    <w:rsid w:val="00B16011"/>
    <w:rsid w:val="00B16A64"/>
    <w:rsid w:val="00B16CCE"/>
    <w:rsid w:val="00B16F9D"/>
    <w:rsid w:val="00B1735E"/>
    <w:rsid w:val="00B17769"/>
    <w:rsid w:val="00B201AA"/>
    <w:rsid w:val="00B20635"/>
    <w:rsid w:val="00B20BCB"/>
    <w:rsid w:val="00B20FCD"/>
    <w:rsid w:val="00B21450"/>
    <w:rsid w:val="00B220E6"/>
    <w:rsid w:val="00B226DD"/>
    <w:rsid w:val="00B22923"/>
    <w:rsid w:val="00B22C90"/>
    <w:rsid w:val="00B22F1E"/>
    <w:rsid w:val="00B22FF7"/>
    <w:rsid w:val="00B23C6F"/>
    <w:rsid w:val="00B23CD9"/>
    <w:rsid w:val="00B23D01"/>
    <w:rsid w:val="00B23D0A"/>
    <w:rsid w:val="00B2452E"/>
    <w:rsid w:val="00B253BC"/>
    <w:rsid w:val="00B260FB"/>
    <w:rsid w:val="00B26C5B"/>
    <w:rsid w:val="00B26F43"/>
    <w:rsid w:val="00B2703D"/>
    <w:rsid w:val="00B2730E"/>
    <w:rsid w:val="00B27D65"/>
    <w:rsid w:val="00B30015"/>
    <w:rsid w:val="00B3021B"/>
    <w:rsid w:val="00B3024D"/>
    <w:rsid w:val="00B30336"/>
    <w:rsid w:val="00B30D60"/>
    <w:rsid w:val="00B30EC1"/>
    <w:rsid w:val="00B3139E"/>
    <w:rsid w:val="00B31412"/>
    <w:rsid w:val="00B31470"/>
    <w:rsid w:val="00B315E5"/>
    <w:rsid w:val="00B31605"/>
    <w:rsid w:val="00B316B8"/>
    <w:rsid w:val="00B318E1"/>
    <w:rsid w:val="00B32963"/>
    <w:rsid w:val="00B32A75"/>
    <w:rsid w:val="00B33236"/>
    <w:rsid w:val="00B33370"/>
    <w:rsid w:val="00B3452B"/>
    <w:rsid w:val="00B348CF"/>
    <w:rsid w:val="00B34BE7"/>
    <w:rsid w:val="00B34D89"/>
    <w:rsid w:val="00B35B53"/>
    <w:rsid w:val="00B35E5B"/>
    <w:rsid w:val="00B3610D"/>
    <w:rsid w:val="00B364D0"/>
    <w:rsid w:val="00B374CC"/>
    <w:rsid w:val="00B37C70"/>
    <w:rsid w:val="00B40094"/>
    <w:rsid w:val="00B402C0"/>
    <w:rsid w:val="00B41017"/>
    <w:rsid w:val="00B417D5"/>
    <w:rsid w:val="00B419C8"/>
    <w:rsid w:val="00B429C8"/>
    <w:rsid w:val="00B4364F"/>
    <w:rsid w:val="00B43960"/>
    <w:rsid w:val="00B43D15"/>
    <w:rsid w:val="00B440A0"/>
    <w:rsid w:val="00B44173"/>
    <w:rsid w:val="00B4434E"/>
    <w:rsid w:val="00B4445B"/>
    <w:rsid w:val="00B4587B"/>
    <w:rsid w:val="00B45B46"/>
    <w:rsid w:val="00B46202"/>
    <w:rsid w:val="00B4641C"/>
    <w:rsid w:val="00B46476"/>
    <w:rsid w:val="00B46AC1"/>
    <w:rsid w:val="00B46B87"/>
    <w:rsid w:val="00B46EF6"/>
    <w:rsid w:val="00B47C00"/>
    <w:rsid w:val="00B500D2"/>
    <w:rsid w:val="00B5144D"/>
    <w:rsid w:val="00B520EB"/>
    <w:rsid w:val="00B52C15"/>
    <w:rsid w:val="00B52C3D"/>
    <w:rsid w:val="00B53289"/>
    <w:rsid w:val="00B53909"/>
    <w:rsid w:val="00B53C94"/>
    <w:rsid w:val="00B5413B"/>
    <w:rsid w:val="00B542EA"/>
    <w:rsid w:val="00B54457"/>
    <w:rsid w:val="00B5467B"/>
    <w:rsid w:val="00B546F2"/>
    <w:rsid w:val="00B549CB"/>
    <w:rsid w:val="00B54B20"/>
    <w:rsid w:val="00B54EAA"/>
    <w:rsid w:val="00B5574B"/>
    <w:rsid w:val="00B55885"/>
    <w:rsid w:val="00B55AA1"/>
    <w:rsid w:val="00B55EEB"/>
    <w:rsid w:val="00B562A1"/>
    <w:rsid w:val="00B56A4C"/>
    <w:rsid w:val="00B56A5B"/>
    <w:rsid w:val="00B56E4E"/>
    <w:rsid w:val="00B571BC"/>
    <w:rsid w:val="00B57243"/>
    <w:rsid w:val="00B57353"/>
    <w:rsid w:val="00B57957"/>
    <w:rsid w:val="00B57AAF"/>
    <w:rsid w:val="00B606F2"/>
    <w:rsid w:val="00B6079F"/>
    <w:rsid w:val="00B60B6C"/>
    <w:rsid w:val="00B60C11"/>
    <w:rsid w:val="00B60E27"/>
    <w:rsid w:val="00B60EFF"/>
    <w:rsid w:val="00B61781"/>
    <w:rsid w:val="00B61B4D"/>
    <w:rsid w:val="00B624B7"/>
    <w:rsid w:val="00B628E5"/>
    <w:rsid w:val="00B632AC"/>
    <w:rsid w:val="00B63CA3"/>
    <w:rsid w:val="00B642F3"/>
    <w:rsid w:val="00B6498D"/>
    <w:rsid w:val="00B64A75"/>
    <w:rsid w:val="00B64ABC"/>
    <w:rsid w:val="00B66426"/>
    <w:rsid w:val="00B6684E"/>
    <w:rsid w:val="00B66BD4"/>
    <w:rsid w:val="00B66BD7"/>
    <w:rsid w:val="00B66D95"/>
    <w:rsid w:val="00B66E99"/>
    <w:rsid w:val="00B66FFB"/>
    <w:rsid w:val="00B67750"/>
    <w:rsid w:val="00B67A22"/>
    <w:rsid w:val="00B67A69"/>
    <w:rsid w:val="00B67C0B"/>
    <w:rsid w:val="00B67F0E"/>
    <w:rsid w:val="00B710E7"/>
    <w:rsid w:val="00B717BC"/>
    <w:rsid w:val="00B72233"/>
    <w:rsid w:val="00B72310"/>
    <w:rsid w:val="00B72A61"/>
    <w:rsid w:val="00B734A5"/>
    <w:rsid w:val="00B7370E"/>
    <w:rsid w:val="00B73EEB"/>
    <w:rsid w:val="00B7486F"/>
    <w:rsid w:val="00B74A7A"/>
    <w:rsid w:val="00B74BC3"/>
    <w:rsid w:val="00B74CB4"/>
    <w:rsid w:val="00B74DE7"/>
    <w:rsid w:val="00B74FE0"/>
    <w:rsid w:val="00B757B2"/>
    <w:rsid w:val="00B7580D"/>
    <w:rsid w:val="00B76025"/>
    <w:rsid w:val="00B76685"/>
    <w:rsid w:val="00B7698D"/>
    <w:rsid w:val="00B77FAE"/>
    <w:rsid w:val="00B800DB"/>
    <w:rsid w:val="00B80638"/>
    <w:rsid w:val="00B80B5B"/>
    <w:rsid w:val="00B810A7"/>
    <w:rsid w:val="00B812FB"/>
    <w:rsid w:val="00B81429"/>
    <w:rsid w:val="00B81E83"/>
    <w:rsid w:val="00B81FCC"/>
    <w:rsid w:val="00B82463"/>
    <w:rsid w:val="00B827E1"/>
    <w:rsid w:val="00B82B86"/>
    <w:rsid w:val="00B8368E"/>
    <w:rsid w:val="00B83765"/>
    <w:rsid w:val="00B83F38"/>
    <w:rsid w:val="00B84648"/>
    <w:rsid w:val="00B84C4E"/>
    <w:rsid w:val="00B84C98"/>
    <w:rsid w:val="00B851D1"/>
    <w:rsid w:val="00B85FF7"/>
    <w:rsid w:val="00B86758"/>
    <w:rsid w:val="00B8741F"/>
    <w:rsid w:val="00B875A9"/>
    <w:rsid w:val="00B87A59"/>
    <w:rsid w:val="00B87A63"/>
    <w:rsid w:val="00B90631"/>
    <w:rsid w:val="00B9065D"/>
    <w:rsid w:val="00B915D2"/>
    <w:rsid w:val="00B92707"/>
    <w:rsid w:val="00B92C49"/>
    <w:rsid w:val="00B92FB1"/>
    <w:rsid w:val="00B93BDC"/>
    <w:rsid w:val="00B93E82"/>
    <w:rsid w:val="00B943C6"/>
    <w:rsid w:val="00B95070"/>
    <w:rsid w:val="00B95C16"/>
    <w:rsid w:val="00B95C3C"/>
    <w:rsid w:val="00B9667A"/>
    <w:rsid w:val="00B97033"/>
    <w:rsid w:val="00B97C71"/>
    <w:rsid w:val="00B97D03"/>
    <w:rsid w:val="00BA0018"/>
    <w:rsid w:val="00BA0D1A"/>
    <w:rsid w:val="00BA0FC4"/>
    <w:rsid w:val="00BA138A"/>
    <w:rsid w:val="00BA1E40"/>
    <w:rsid w:val="00BA2A6D"/>
    <w:rsid w:val="00BA2BB8"/>
    <w:rsid w:val="00BA2DAB"/>
    <w:rsid w:val="00BA2E3C"/>
    <w:rsid w:val="00BA38CD"/>
    <w:rsid w:val="00BA412B"/>
    <w:rsid w:val="00BA4193"/>
    <w:rsid w:val="00BA4461"/>
    <w:rsid w:val="00BA44F1"/>
    <w:rsid w:val="00BA459E"/>
    <w:rsid w:val="00BA45AD"/>
    <w:rsid w:val="00BA45F1"/>
    <w:rsid w:val="00BA46D1"/>
    <w:rsid w:val="00BA4773"/>
    <w:rsid w:val="00BA4995"/>
    <w:rsid w:val="00BA4DFB"/>
    <w:rsid w:val="00BA4E05"/>
    <w:rsid w:val="00BA619C"/>
    <w:rsid w:val="00BA62CA"/>
    <w:rsid w:val="00BA6C2F"/>
    <w:rsid w:val="00BA73E2"/>
    <w:rsid w:val="00BA74E0"/>
    <w:rsid w:val="00BA74F5"/>
    <w:rsid w:val="00BA786C"/>
    <w:rsid w:val="00BA7B17"/>
    <w:rsid w:val="00BB003B"/>
    <w:rsid w:val="00BB0610"/>
    <w:rsid w:val="00BB0741"/>
    <w:rsid w:val="00BB0789"/>
    <w:rsid w:val="00BB0C8D"/>
    <w:rsid w:val="00BB0CEF"/>
    <w:rsid w:val="00BB0CFC"/>
    <w:rsid w:val="00BB0ED2"/>
    <w:rsid w:val="00BB12E4"/>
    <w:rsid w:val="00BB1913"/>
    <w:rsid w:val="00BB1EC8"/>
    <w:rsid w:val="00BB1EF5"/>
    <w:rsid w:val="00BB250E"/>
    <w:rsid w:val="00BB2FEC"/>
    <w:rsid w:val="00BB3497"/>
    <w:rsid w:val="00BB3E7B"/>
    <w:rsid w:val="00BB4677"/>
    <w:rsid w:val="00BB4F5D"/>
    <w:rsid w:val="00BB5A64"/>
    <w:rsid w:val="00BB63AB"/>
    <w:rsid w:val="00BB6F34"/>
    <w:rsid w:val="00BB7C83"/>
    <w:rsid w:val="00BC0AD2"/>
    <w:rsid w:val="00BC0F61"/>
    <w:rsid w:val="00BC1243"/>
    <w:rsid w:val="00BC1562"/>
    <w:rsid w:val="00BC1708"/>
    <w:rsid w:val="00BC23FF"/>
    <w:rsid w:val="00BC26C7"/>
    <w:rsid w:val="00BC2E03"/>
    <w:rsid w:val="00BC32CF"/>
    <w:rsid w:val="00BC41DF"/>
    <w:rsid w:val="00BC4414"/>
    <w:rsid w:val="00BC470C"/>
    <w:rsid w:val="00BC54C2"/>
    <w:rsid w:val="00BC57DB"/>
    <w:rsid w:val="00BC5AF8"/>
    <w:rsid w:val="00BC5D77"/>
    <w:rsid w:val="00BC5E91"/>
    <w:rsid w:val="00BC605C"/>
    <w:rsid w:val="00BC6100"/>
    <w:rsid w:val="00BC62DF"/>
    <w:rsid w:val="00BC6D60"/>
    <w:rsid w:val="00BC7D05"/>
    <w:rsid w:val="00BD043E"/>
    <w:rsid w:val="00BD0AC3"/>
    <w:rsid w:val="00BD1189"/>
    <w:rsid w:val="00BD14B0"/>
    <w:rsid w:val="00BD20B1"/>
    <w:rsid w:val="00BD2ADB"/>
    <w:rsid w:val="00BD2B85"/>
    <w:rsid w:val="00BD2BF4"/>
    <w:rsid w:val="00BD3946"/>
    <w:rsid w:val="00BD3979"/>
    <w:rsid w:val="00BD3EB7"/>
    <w:rsid w:val="00BD3F70"/>
    <w:rsid w:val="00BD41DE"/>
    <w:rsid w:val="00BD4A94"/>
    <w:rsid w:val="00BD5C47"/>
    <w:rsid w:val="00BD5DB5"/>
    <w:rsid w:val="00BD6A6A"/>
    <w:rsid w:val="00BD70F1"/>
    <w:rsid w:val="00BD7263"/>
    <w:rsid w:val="00BD7306"/>
    <w:rsid w:val="00BD7483"/>
    <w:rsid w:val="00BD787E"/>
    <w:rsid w:val="00BD7B51"/>
    <w:rsid w:val="00BD7C0B"/>
    <w:rsid w:val="00BE043F"/>
    <w:rsid w:val="00BE05B7"/>
    <w:rsid w:val="00BE07D5"/>
    <w:rsid w:val="00BE0AE0"/>
    <w:rsid w:val="00BE0C96"/>
    <w:rsid w:val="00BE0D9C"/>
    <w:rsid w:val="00BE0FC4"/>
    <w:rsid w:val="00BE1376"/>
    <w:rsid w:val="00BE1A7A"/>
    <w:rsid w:val="00BE329A"/>
    <w:rsid w:val="00BE3455"/>
    <w:rsid w:val="00BE3463"/>
    <w:rsid w:val="00BE3A95"/>
    <w:rsid w:val="00BE3BFE"/>
    <w:rsid w:val="00BE46CE"/>
    <w:rsid w:val="00BE49CE"/>
    <w:rsid w:val="00BE4A2A"/>
    <w:rsid w:val="00BE5E22"/>
    <w:rsid w:val="00BE5E3D"/>
    <w:rsid w:val="00BE68B3"/>
    <w:rsid w:val="00BE6990"/>
    <w:rsid w:val="00BE6C3D"/>
    <w:rsid w:val="00BE6F7B"/>
    <w:rsid w:val="00BE769B"/>
    <w:rsid w:val="00BF166D"/>
    <w:rsid w:val="00BF1AF1"/>
    <w:rsid w:val="00BF2AED"/>
    <w:rsid w:val="00BF2B17"/>
    <w:rsid w:val="00BF37F9"/>
    <w:rsid w:val="00BF3BCF"/>
    <w:rsid w:val="00BF3E09"/>
    <w:rsid w:val="00BF42CB"/>
    <w:rsid w:val="00BF485B"/>
    <w:rsid w:val="00BF4C35"/>
    <w:rsid w:val="00BF5428"/>
    <w:rsid w:val="00BF559C"/>
    <w:rsid w:val="00BF55E8"/>
    <w:rsid w:val="00BF603C"/>
    <w:rsid w:val="00C0006A"/>
    <w:rsid w:val="00C01841"/>
    <w:rsid w:val="00C01CFA"/>
    <w:rsid w:val="00C01D27"/>
    <w:rsid w:val="00C01F7B"/>
    <w:rsid w:val="00C02186"/>
    <w:rsid w:val="00C02DAA"/>
    <w:rsid w:val="00C032FF"/>
    <w:rsid w:val="00C0336C"/>
    <w:rsid w:val="00C034A7"/>
    <w:rsid w:val="00C03588"/>
    <w:rsid w:val="00C04A20"/>
    <w:rsid w:val="00C051E5"/>
    <w:rsid w:val="00C05C19"/>
    <w:rsid w:val="00C05DAC"/>
    <w:rsid w:val="00C06450"/>
    <w:rsid w:val="00C06513"/>
    <w:rsid w:val="00C06CCD"/>
    <w:rsid w:val="00C06F8B"/>
    <w:rsid w:val="00C0701D"/>
    <w:rsid w:val="00C0764C"/>
    <w:rsid w:val="00C079BD"/>
    <w:rsid w:val="00C07BEB"/>
    <w:rsid w:val="00C07EBB"/>
    <w:rsid w:val="00C1035A"/>
    <w:rsid w:val="00C107C3"/>
    <w:rsid w:val="00C10991"/>
    <w:rsid w:val="00C10B02"/>
    <w:rsid w:val="00C112E8"/>
    <w:rsid w:val="00C11510"/>
    <w:rsid w:val="00C11B66"/>
    <w:rsid w:val="00C1237F"/>
    <w:rsid w:val="00C12745"/>
    <w:rsid w:val="00C13251"/>
    <w:rsid w:val="00C13333"/>
    <w:rsid w:val="00C133D7"/>
    <w:rsid w:val="00C1415F"/>
    <w:rsid w:val="00C1446A"/>
    <w:rsid w:val="00C14AA3"/>
    <w:rsid w:val="00C14F54"/>
    <w:rsid w:val="00C154C6"/>
    <w:rsid w:val="00C1589C"/>
    <w:rsid w:val="00C16F07"/>
    <w:rsid w:val="00C1734B"/>
    <w:rsid w:val="00C173A5"/>
    <w:rsid w:val="00C173BF"/>
    <w:rsid w:val="00C1740D"/>
    <w:rsid w:val="00C178AB"/>
    <w:rsid w:val="00C17CC7"/>
    <w:rsid w:val="00C20874"/>
    <w:rsid w:val="00C213C0"/>
    <w:rsid w:val="00C21540"/>
    <w:rsid w:val="00C21683"/>
    <w:rsid w:val="00C21D30"/>
    <w:rsid w:val="00C22CCC"/>
    <w:rsid w:val="00C22DC1"/>
    <w:rsid w:val="00C2324F"/>
    <w:rsid w:val="00C2370F"/>
    <w:rsid w:val="00C2414C"/>
    <w:rsid w:val="00C24287"/>
    <w:rsid w:val="00C24B9C"/>
    <w:rsid w:val="00C24D2B"/>
    <w:rsid w:val="00C26076"/>
    <w:rsid w:val="00C266DC"/>
    <w:rsid w:val="00C267A9"/>
    <w:rsid w:val="00C273E4"/>
    <w:rsid w:val="00C30386"/>
    <w:rsid w:val="00C30423"/>
    <w:rsid w:val="00C306AE"/>
    <w:rsid w:val="00C308BD"/>
    <w:rsid w:val="00C30FB6"/>
    <w:rsid w:val="00C31A26"/>
    <w:rsid w:val="00C31FC1"/>
    <w:rsid w:val="00C3215E"/>
    <w:rsid w:val="00C32335"/>
    <w:rsid w:val="00C32477"/>
    <w:rsid w:val="00C32929"/>
    <w:rsid w:val="00C3307F"/>
    <w:rsid w:val="00C330C2"/>
    <w:rsid w:val="00C33870"/>
    <w:rsid w:val="00C34206"/>
    <w:rsid w:val="00C3429D"/>
    <w:rsid w:val="00C34820"/>
    <w:rsid w:val="00C34E8D"/>
    <w:rsid w:val="00C354A5"/>
    <w:rsid w:val="00C35AE8"/>
    <w:rsid w:val="00C35EB1"/>
    <w:rsid w:val="00C3606D"/>
    <w:rsid w:val="00C36088"/>
    <w:rsid w:val="00C36418"/>
    <w:rsid w:val="00C365B9"/>
    <w:rsid w:val="00C36791"/>
    <w:rsid w:val="00C36B9B"/>
    <w:rsid w:val="00C36D8F"/>
    <w:rsid w:val="00C36E46"/>
    <w:rsid w:val="00C37B22"/>
    <w:rsid w:val="00C37FCA"/>
    <w:rsid w:val="00C40789"/>
    <w:rsid w:val="00C40D57"/>
    <w:rsid w:val="00C40DFB"/>
    <w:rsid w:val="00C4108F"/>
    <w:rsid w:val="00C41369"/>
    <w:rsid w:val="00C41AFE"/>
    <w:rsid w:val="00C41FFF"/>
    <w:rsid w:val="00C42293"/>
    <w:rsid w:val="00C42373"/>
    <w:rsid w:val="00C42843"/>
    <w:rsid w:val="00C42D92"/>
    <w:rsid w:val="00C4362E"/>
    <w:rsid w:val="00C43A93"/>
    <w:rsid w:val="00C443ED"/>
    <w:rsid w:val="00C44D57"/>
    <w:rsid w:val="00C44F8C"/>
    <w:rsid w:val="00C44FED"/>
    <w:rsid w:val="00C4507E"/>
    <w:rsid w:val="00C4550F"/>
    <w:rsid w:val="00C456C6"/>
    <w:rsid w:val="00C45861"/>
    <w:rsid w:val="00C459A7"/>
    <w:rsid w:val="00C45FFE"/>
    <w:rsid w:val="00C468DA"/>
    <w:rsid w:val="00C469CB"/>
    <w:rsid w:val="00C46C30"/>
    <w:rsid w:val="00C47374"/>
    <w:rsid w:val="00C4741F"/>
    <w:rsid w:val="00C474D6"/>
    <w:rsid w:val="00C4776F"/>
    <w:rsid w:val="00C477E2"/>
    <w:rsid w:val="00C479CD"/>
    <w:rsid w:val="00C47D31"/>
    <w:rsid w:val="00C47E97"/>
    <w:rsid w:val="00C501BB"/>
    <w:rsid w:val="00C50380"/>
    <w:rsid w:val="00C50895"/>
    <w:rsid w:val="00C508EE"/>
    <w:rsid w:val="00C511BF"/>
    <w:rsid w:val="00C51446"/>
    <w:rsid w:val="00C52760"/>
    <w:rsid w:val="00C52774"/>
    <w:rsid w:val="00C52DEA"/>
    <w:rsid w:val="00C5306F"/>
    <w:rsid w:val="00C5332C"/>
    <w:rsid w:val="00C535B0"/>
    <w:rsid w:val="00C53710"/>
    <w:rsid w:val="00C53956"/>
    <w:rsid w:val="00C53D59"/>
    <w:rsid w:val="00C54D8F"/>
    <w:rsid w:val="00C553A0"/>
    <w:rsid w:val="00C5565A"/>
    <w:rsid w:val="00C55CC4"/>
    <w:rsid w:val="00C55EC5"/>
    <w:rsid w:val="00C568FF"/>
    <w:rsid w:val="00C56AC3"/>
    <w:rsid w:val="00C56F9A"/>
    <w:rsid w:val="00C5765C"/>
    <w:rsid w:val="00C578C0"/>
    <w:rsid w:val="00C57BA3"/>
    <w:rsid w:val="00C609B8"/>
    <w:rsid w:val="00C609D5"/>
    <w:rsid w:val="00C61CA8"/>
    <w:rsid w:val="00C62214"/>
    <w:rsid w:val="00C625D2"/>
    <w:rsid w:val="00C62AA4"/>
    <w:rsid w:val="00C62D3E"/>
    <w:rsid w:val="00C62DB0"/>
    <w:rsid w:val="00C62F50"/>
    <w:rsid w:val="00C635BA"/>
    <w:rsid w:val="00C63B28"/>
    <w:rsid w:val="00C64768"/>
    <w:rsid w:val="00C64C65"/>
    <w:rsid w:val="00C64F2D"/>
    <w:rsid w:val="00C658F5"/>
    <w:rsid w:val="00C65A9C"/>
    <w:rsid w:val="00C65F05"/>
    <w:rsid w:val="00C67770"/>
    <w:rsid w:val="00C67A0A"/>
    <w:rsid w:val="00C70381"/>
    <w:rsid w:val="00C710F2"/>
    <w:rsid w:val="00C71349"/>
    <w:rsid w:val="00C71C4E"/>
    <w:rsid w:val="00C71DDC"/>
    <w:rsid w:val="00C71F95"/>
    <w:rsid w:val="00C71FC9"/>
    <w:rsid w:val="00C7206A"/>
    <w:rsid w:val="00C72276"/>
    <w:rsid w:val="00C72494"/>
    <w:rsid w:val="00C7269D"/>
    <w:rsid w:val="00C72F55"/>
    <w:rsid w:val="00C730F9"/>
    <w:rsid w:val="00C73122"/>
    <w:rsid w:val="00C731B3"/>
    <w:rsid w:val="00C738F1"/>
    <w:rsid w:val="00C73ABC"/>
    <w:rsid w:val="00C740A3"/>
    <w:rsid w:val="00C74AB1"/>
    <w:rsid w:val="00C74CD6"/>
    <w:rsid w:val="00C74D85"/>
    <w:rsid w:val="00C752CF"/>
    <w:rsid w:val="00C7536C"/>
    <w:rsid w:val="00C758F1"/>
    <w:rsid w:val="00C7604B"/>
    <w:rsid w:val="00C7633C"/>
    <w:rsid w:val="00C7636E"/>
    <w:rsid w:val="00C76765"/>
    <w:rsid w:val="00C76D3A"/>
    <w:rsid w:val="00C7769A"/>
    <w:rsid w:val="00C77FBF"/>
    <w:rsid w:val="00C8024D"/>
    <w:rsid w:val="00C80984"/>
    <w:rsid w:val="00C80DB7"/>
    <w:rsid w:val="00C80DC6"/>
    <w:rsid w:val="00C81B99"/>
    <w:rsid w:val="00C81CF0"/>
    <w:rsid w:val="00C81DFC"/>
    <w:rsid w:val="00C81FA4"/>
    <w:rsid w:val="00C82443"/>
    <w:rsid w:val="00C827A9"/>
    <w:rsid w:val="00C827DB"/>
    <w:rsid w:val="00C82DA0"/>
    <w:rsid w:val="00C8398F"/>
    <w:rsid w:val="00C83D52"/>
    <w:rsid w:val="00C849BF"/>
    <w:rsid w:val="00C84A31"/>
    <w:rsid w:val="00C85556"/>
    <w:rsid w:val="00C863CD"/>
    <w:rsid w:val="00C86527"/>
    <w:rsid w:val="00C8712B"/>
    <w:rsid w:val="00C87552"/>
    <w:rsid w:val="00C875C4"/>
    <w:rsid w:val="00C901DF"/>
    <w:rsid w:val="00C90419"/>
    <w:rsid w:val="00C907E6"/>
    <w:rsid w:val="00C90EC7"/>
    <w:rsid w:val="00C9133E"/>
    <w:rsid w:val="00C915F6"/>
    <w:rsid w:val="00C916B6"/>
    <w:rsid w:val="00C91EDF"/>
    <w:rsid w:val="00C92087"/>
    <w:rsid w:val="00C924FA"/>
    <w:rsid w:val="00C92C60"/>
    <w:rsid w:val="00C92D74"/>
    <w:rsid w:val="00C92EED"/>
    <w:rsid w:val="00C93446"/>
    <w:rsid w:val="00C93BA6"/>
    <w:rsid w:val="00C93CB2"/>
    <w:rsid w:val="00C93E79"/>
    <w:rsid w:val="00C94304"/>
    <w:rsid w:val="00C944C4"/>
    <w:rsid w:val="00C94AB7"/>
    <w:rsid w:val="00C94C75"/>
    <w:rsid w:val="00C95346"/>
    <w:rsid w:val="00C968FE"/>
    <w:rsid w:val="00C969BC"/>
    <w:rsid w:val="00C96DDF"/>
    <w:rsid w:val="00C974EF"/>
    <w:rsid w:val="00C97A03"/>
    <w:rsid w:val="00C97B08"/>
    <w:rsid w:val="00CA0164"/>
    <w:rsid w:val="00CA02DC"/>
    <w:rsid w:val="00CA0D4C"/>
    <w:rsid w:val="00CA0F41"/>
    <w:rsid w:val="00CA1320"/>
    <w:rsid w:val="00CA151D"/>
    <w:rsid w:val="00CA1E97"/>
    <w:rsid w:val="00CA2169"/>
    <w:rsid w:val="00CA298C"/>
    <w:rsid w:val="00CA2DB4"/>
    <w:rsid w:val="00CA3ECE"/>
    <w:rsid w:val="00CA3F78"/>
    <w:rsid w:val="00CA3FC4"/>
    <w:rsid w:val="00CA4BE2"/>
    <w:rsid w:val="00CA4F7B"/>
    <w:rsid w:val="00CA536A"/>
    <w:rsid w:val="00CA5757"/>
    <w:rsid w:val="00CA589D"/>
    <w:rsid w:val="00CA58E6"/>
    <w:rsid w:val="00CA5FE5"/>
    <w:rsid w:val="00CA6082"/>
    <w:rsid w:val="00CA6112"/>
    <w:rsid w:val="00CA6713"/>
    <w:rsid w:val="00CA6C14"/>
    <w:rsid w:val="00CA6FB6"/>
    <w:rsid w:val="00CA70F7"/>
    <w:rsid w:val="00CA766C"/>
    <w:rsid w:val="00CA7ADB"/>
    <w:rsid w:val="00CA7B12"/>
    <w:rsid w:val="00CA7E25"/>
    <w:rsid w:val="00CA7F90"/>
    <w:rsid w:val="00CB0072"/>
    <w:rsid w:val="00CB1154"/>
    <w:rsid w:val="00CB1681"/>
    <w:rsid w:val="00CB1E7F"/>
    <w:rsid w:val="00CB21B9"/>
    <w:rsid w:val="00CB295D"/>
    <w:rsid w:val="00CB32A6"/>
    <w:rsid w:val="00CB3474"/>
    <w:rsid w:val="00CB3571"/>
    <w:rsid w:val="00CB3B69"/>
    <w:rsid w:val="00CB3B6A"/>
    <w:rsid w:val="00CB4503"/>
    <w:rsid w:val="00CB4D7E"/>
    <w:rsid w:val="00CB5687"/>
    <w:rsid w:val="00CB572C"/>
    <w:rsid w:val="00CB58E7"/>
    <w:rsid w:val="00CB5E4B"/>
    <w:rsid w:val="00CB64E3"/>
    <w:rsid w:val="00CB6A0B"/>
    <w:rsid w:val="00CB6D54"/>
    <w:rsid w:val="00CB6D9E"/>
    <w:rsid w:val="00CB7297"/>
    <w:rsid w:val="00CB7318"/>
    <w:rsid w:val="00CB7603"/>
    <w:rsid w:val="00CB7B7A"/>
    <w:rsid w:val="00CC06E1"/>
    <w:rsid w:val="00CC0A90"/>
    <w:rsid w:val="00CC0C4F"/>
    <w:rsid w:val="00CC135E"/>
    <w:rsid w:val="00CC148D"/>
    <w:rsid w:val="00CC1643"/>
    <w:rsid w:val="00CC2130"/>
    <w:rsid w:val="00CC2BE2"/>
    <w:rsid w:val="00CC34A5"/>
    <w:rsid w:val="00CC34B7"/>
    <w:rsid w:val="00CC4547"/>
    <w:rsid w:val="00CC4574"/>
    <w:rsid w:val="00CC4933"/>
    <w:rsid w:val="00CC4DB1"/>
    <w:rsid w:val="00CC5767"/>
    <w:rsid w:val="00CC63B2"/>
    <w:rsid w:val="00CC6BE0"/>
    <w:rsid w:val="00CC6D4F"/>
    <w:rsid w:val="00CC7B98"/>
    <w:rsid w:val="00CC7E45"/>
    <w:rsid w:val="00CC7FB2"/>
    <w:rsid w:val="00CD0123"/>
    <w:rsid w:val="00CD0189"/>
    <w:rsid w:val="00CD0F0E"/>
    <w:rsid w:val="00CD146A"/>
    <w:rsid w:val="00CD1843"/>
    <w:rsid w:val="00CD18E3"/>
    <w:rsid w:val="00CD1944"/>
    <w:rsid w:val="00CD19C0"/>
    <w:rsid w:val="00CD1AB6"/>
    <w:rsid w:val="00CD1E2F"/>
    <w:rsid w:val="00CD1EDB"/>
    <w:rsid w:val="00CD2118"/>
    <w:rsid w:val="00CD2476"/>
    <w:rsid w:val="00CD2660"/>
    <w:rsid w:val="00CD2951"/>
    <w:rsid w:val="00CD29FC"/>
    <w:rsid w:val="00CD2C39"/>
    <w:rsid w:val="00CD3248"/>
    <w:rsid w:val="00CD3761"/>
    <w:rsid w:val="00CD49FF"/>
    <w:rsid w:val="00CD5984"/>
    <w:rsid w:val="00CD60CC"/>
    <w:rsid w:val="00CD676A"/>
    <w:rsid w:val="00CD6E14"/>
    <w:rsid w:val="00CD6E4F"/>
    <w:rsid w:val="00CD6EC2"/>
    <w:rsid w:val="00CD70DD"/>
    <w:rsid w:val="00CE0255"/>
    <w:rsid w:val="00CE04AC"/>
    <w:rsid w:val="00CE08D7"/>
    <w:rsid w:val="00CE09E1"/>
    <w:rsid w:val="00CE0DDB"/>
    <w:rsid w:val="00CE1621"/>
    <w:rsid w:val="00CE1F10"/>
    <w:rsid w:val="00CE1F1D"/>
    <w:rsid w:val="00CE2B17"/>
    <w:rsid w:val="00CE2B81"/>
    <w:rsid w:val="00CE2E60"/>
    <w:rsid w:val="00CE32D4"/>
    <w:rsid w:val="00CE3A2E"/>
    <w:rsid w:val="00CE4021"/>
    <w:rsid w:val="00CE4298"/>
    <w:rsid w:val="00CE4305"/>
    <w:rsid w:val="00CE4B05"/>
    <w:rsid w:val="00CE5B6D"/>
    <w:rsid w:val="00CE5CC5"/>
    <w:rsid w:val="00CE65B7"/>
    <w:rsid w:val="00CE6832"/>
    <w:rsid w:val="00CE6EE0"/>
    <w:rsid w:val="00CE774A"/>
    <w:rsid w:val="00CF0091"/>
    <w:rsid w:val="00CF02EE"/>
    <w:rsid w:val="00CF034D"/>
    <w:rsid w:val="00CF03BE"/>
    <w:rsid w:val="00CF0A91"/>
    <w:rsid w:val="00CF1A05"/>
    <w:rsid w:val="00CF1C6F"/>
    <w:rsid w:val="00CF22DC"/>
    <w:rsid w:val="00CF2580"/>
    <w:rsid w:val="00CF25B7"/>
    <w:rsid w:val="00CF273B"/>
    <w:rsid w:val="00CF2A6D"/>
    <w:rsid w:val="00CF2D7E"/>
    <w:rsid w:val="00CF405E"/>
    <w:rsid w:val="00CF419C"/>
    <w:rsid w:val="00CF4DDC"/>
    <w:rsid w:val="00CF573E"/>
    <w:rsid w:val="00CF5B48"/>
    <w:rsid w:val="00CF5B85"/>
    <w:rsid w:val="00CF6A42"/>
    <w:rsid w:val="00CF6D8D"/>
    <w:rsid w:val="00CF73D2"/>
    <w:rsid w:val="00CF7655"/>
    <w:rsid w:val="00D003D0"/>
    <w:rsid w:val="00D00AE3"/>
    <w:rsid w:val="00D00BEF"/>
    <w:rsid w:val="00D014FC"/>
    <w:rsid w:val="00D016A0"/>
    <w:rsid w:val="00D025F0"/>
    <w:rsid w:val="00D04084"/>
    <w:rsid w:val="00D043D7"/>
    <w:rsid w:val="00D047F4"/>
    <w:rsid w:val="00D0496B"/>
    <w:rsid w:val="00D04991"/>
    <w:rsid w:val="00D05E42"/>
    <w:rsid w:val="00D05E79"/>
    <w:rsid w:val="00D0606B"/>
    <w:rsid w:val="00D0624E"/>
    <w:rsid w:val="00D063B8"/>
    <w:rsid w:val="00D06AE0"/>
    <w:rsid w:val="00D06CCC"/>
    <w:rsid w:val="00D06DD8"/>
    <w:rsid w:val="00D06F12"/>
    <w:rsid w:val="00D072CD"/>
    <w:rsid w:val="00D07618"/>
    <w:rsid w:val="00D0783B"/>
    <w:rsid w:val="00D0787B"/>
    <w:rsid w:val="00D07901"/>
    <w:rsid w:val="00D07A86"/>
    <w:rsid w:val="00D10265"/>
    <w:rsid w:val="00D106D8"/>
    <w:rsid w:val="00D10E6A"/>
    <w:rsid w:val="00D1193E"/>
    <w:rsid w:val="00D11ABA"/>
    <w:rsid w:val="00D11AC8"/>
    <w:rsid w:val="00D12060"/>
    <w:rsid w:val="00D121A3"/>
    <w:rsid w:val="00D12A15"/>
    <w:rsid w:val="00D12CCE"/>
    <w:rsid w:val="00D12E65"/>
    <w:rsid w:val="00D1335B"/>
    <w:rsid w:val="00D13649"/>
    <w:rsid w:val="00D13889"/>
    <w:rsid w:val="00D14113"/>
    <w:rsid w:val="00D14141"/>
    <w:rsid w:val="00D14AC5"/>
    <w:rsid w:val="00D14ACF"/>
    <w:rsid w:val="00D14B8F"/>
    <w:rsid w:val="00D14E5A"/>
    <w:rsid w:val="00D14F36"/>
    <w:rsid w:val="00D1595D"/>
    <w:rsid w:val="00D159F6"/>
    <w:rsid w:val="00D1643C"/>
    <w:rsid w:val="00D1653B"/>
    <w:rsid w:val="00D1757A"/>
    <w:rsid w:val="00D175CE"/>
    <w:rsid w:val="00D17B85"/>
    <w:rsid w:val="00D17D37"/>
    <w:rsid w:val="00D20515"/>
    <w:rsid w:val="00D2082F"/>
    <w:rsid w:val="00D20A83"/>
    <w:rsid w:val="00D21140"/>
    <w:rsid w:val="00D214D2"/>
    <w:rsid w:val="00D22737"/>
    <w:rsid w:val="00D22AB6"/>
    <w:rsid w:val="00D22DD6"/>
    <w:rsid w:val="00D22F5E"/>
    <w:rsid w:val="00D234DA"/>
    <w:rsid w:val="00D24A27"/>
    <w:rsid w:val="00D24B9B"/>
    <w:rsid w:val="00D251CA"/>
    <w:rsid w:val="00D25601"/>
    <w:rsid w:val="00D25955"/>
    <w:rsid w:val="00D261A4"/>
    <w:rsid w:val="00D268C2"/>
    <w:rsid w:val="00D26BA9"/>
    <w:rsid w:val="00D2724B"/>
    <w:rsid w:val="00D279E9"/>
    <w:rsid w:val="00D30162"/>
    <w:rsid w:val="00D30DE1"/>
    <w:rsid w:val="00D30ED8"/>
    <w:rsid w:val="00D3174A"/>
    <w:rsid w:val="00D31802"/>
    <w:rsid w:val="00D31B46"/>
    <w:rsid w:val="00D32246"/>
    <w:rsid w:val="00D32371"/>
    <w:rsid w:val="00D3265A"/>
    <w:rsid w:val="00D32B15"/>
    <w:rsid w:val="00D32E28"/>
    <w:rsid w:val="00D334FE"/>
    <w:rsid w:val="00D33B86"/>
    <w:rsid w:val="00D33D2A"/>
    <w:rsid w:val="00D33E54"/>
    <w:rsid w:val="00D34C8B"/>
    <w:rsid w:val="00D353A2"/>
    <w:rsid w:val="00D356D1"/>
    <w:rsid w:val="00D35CEB"/>
    <w:rsid w:val="00D35DBA"/>
    <w:rsid w:val="00D3617B"/>
    <w:rsid w:val="00D368B5"/>
    <w:rsid w:val="00D36DC8"/>
    <w:rsid w:val="00D36F18"/>
    <w:rsid w:val="00D37707"/>
    <w:rsid w:val="00D377D3"/>
    <w:rsid w:val="00D37A71"/>
    <w:rsid w:val="00D40215"/>
    <w:rsid w:val="00D40A32"/>
    <w:rsid w:val="00D411EB"/>
    <w:rsid w:val="00D413AA"/>
    <w:rsid w:val="00D4153C"/>
    <w:rsid w:val="00D41A66"/>
    <w:rsid w:val="00D41D02"/>
    <w:rsid w:val="00D41E7C"/>
    <w:rsid w:val="00D422BD"/>
    <w:rsid w:val="00D4372F"/>
    <w:rsid w:val="00D43BD2"/>
    <w:rsid w:val="00D43FD4"/>
    <w:rsid w:val="00D44371"/>
    <w:rsid w:val="00D445A7"/>
    <w:rsid w:val="00D4529C"/>
    <w:rsid w:val="00D4582D"/>
    <w:rsid w:val="00D4593B"/>
    <w:rsid w:val="00D45BC7"/>
    <w:rsid w:val="00D45C6D"/>
    <w:rsid w:val="00D45C93"/>
    <w:rsid w:val="00D45D2A"/>
    <w:rsid w:val="00D45E93"/>
    <w:rsid w:val="00D45EB5"/>
    <w:rsid w:val="00D45F66"/>
    <w:rsid w:val="00D46B53"/>
    <w:rsid w:val="00D4727E"/>
    <w:rsid w:val="00D50ACE"/>
    <w:rsid w:val="00D515C0"/>
    <w:rsid w:val="00D518C0"/>
    <w:rsid w:val="00D51984"/>
    <w:rsid w:val="00D519B5"/>
    <w:rsid w:val="00D519BB"/>
    <w:rsid w:val="00D51DDA"/>
    <w:rsid w:val="00D52050"/>
    <w:rsid w:val="00D52382"/>
    <w:rsid w:val="00D523C1"/>
    <w:rsid w:val="00D52821"/>
    <w:rsid w:val="00D53932"/>
    <w:rsid w:val="00D53960"/>
    <w:rsid w:val="00D546AC"/>
    <w:rsid w:val="00D54978"/>
    <w:rsid w:val="00D54B55"/>
    <w:rsid w:val="00D559F1"/>
    <w:rsid w:val="00D564B5"/>
    <w:rsid w:val="00D568A2"/>
    <w:rsid w:val="00D56F51"/>
    <w:rsid w:val="00D57562"/>
    <w:rsid w:val="00D5760E"/>
    <w:rsid w:val="00D57B47"/>
    <w:rsid w:val="00D60031"/>
    <w:rsid w:val="00D603A7"/>
    <w:rsid w:val="00D6050E"/>
    <w:rsid w:val="00D60ADF"/>
    <w:rsid w:val="00D61324"/>
    <w:rsid w:val="00D61962"/>
    <w:rsid w:val="00D621DE"/>
    <w:rsid w:val="00D62800"/>
    <w:rsid w:val="00D6290D"/>
    <w:rsid w:val="00D634AF"/>
    <w:rsid w:val="00D634BA"/>
    <w:rsid w:val="00D6357E"/>
    <w:rsid w:val="00D63EFB"/>
    <w:rsid w:val="00D64340"/>
    <w:rsid w:val="00D648FB"/>
    <w:rsid w:val="00D64ED0"/>
    <w:rsid w:val="00D6516C"/>
    <w:rsid w:val="00D65370"/>
    <w:rsid w:val="00D6615B"/>
    <w:rsid w:val="00D6695C"/>
    <w:rsid w:val="00D669A7"/>
    <w:rsid w:val="00D66EC5"/>
    <w:rsid w:val="00D66F23"/>
    <w:rsid w:val="00D6757B"/>
    <w:rsid w:val="00D6782D"/>
    <w:rsid w:val="00D67F9D"/>
    <w:rsid w:val="00D71732"/>
    <w:rsid w:val="00D71864"/>
    <w:rsid w:val="00D71A2D"/>
    <w:rsid w:val="00D71DA6"/>
    <w:rsid w:val="00D71EB6"/>
    <w:rsid w:val="00D720D7"/>
    <w:rsid w:val="00D72576"/>
    <w:rsid w:val="00D72580"/>
    <w:rsid w:val="00D725ED"/>
    <w:rsid w:val="00D728C7"/>
    <w:rsid w:val="00D728F0"/>
    <w:rsid w:val="00D73E35"/>
    <w:rsid w:val="00D73F93"/>
    <w:rsid w:val="00D7414A"/>
    <w:rsid w:val="00D7423A"/>
    <w:rsid w:val="00D74856"/>
    <w:rsid w:val="00D7493B"/>
    <w:rsid w:val="00D74D4F"/>
    <w:rsid w:val="00D74DFD"/>
    <w:rsid w:val="00D74E3B"/>
    <w:rsid w:val="00D74F66"/>
    <w:rsid w:val="00D74F9D"/>
    <w:rsid w:val="00D750ED"/>
    <w:rsid w:val="00D7541D"/>
    <w:rsid w:val="00D75605"/>
    <w:rsid w:val="00D75B36"/>
    <w:rsid w:val="00D75C06"/>
    <w:rsid w:val="00D7624E"/>
    <w:rsid w:val="00D76256"/>
    <w:rsid w:val="00D7629E"/>
    <w:rsid w:val="00D76A97"/>
    <w:rsid w:val="00D76F1C"/>
    <w:rsid w:val="00D77364"/>
    <w:rsid w:val="00D77439"/>
    <w:rsid w:val="00D77471"/>
    <w:rsid w:val="00D77E6A"/>
    <w:rsid w:val="00D80165"/>
    <w:rsid w:val="00D803C4"/>
    <w:rsid w:val="00D80AF7"/>
    <w:rsid w:val="00D80B1F"/>
    <w:rsid w:val="00D81596"/>
    <w:rsid w:val="00D81EE1"/>
    <w:rsid w:val="00D8213F"/>
    <w:rsid w:val="00D8233B"/>
    <w:rsid w:val="00D82446"/>
    <w:rsid w:val="00D826C9"/>
    <w:rsid w:val="00D826D6"/>
    <w:rsid w:val="00D83378"/>
    <w:rsid w:val="00D833B9"/>
    <w:rsid w:val="00D83747"/>
    <w:rsid w:val="00D84212"/>
    <w:rsid w:val="00D84394"/>
    <w:rsid w:val="00D84A3D"/>
    <w:rsid w:val="00D84EC5"/>
    <w:rsid w:val="00D85273"/>
    <w:rsid w:val="00D854F3"/>
    <w:rsid w:val="00D85DDE"/>
    <w:rsid w:val="00D86238"/>
    <w:rsid w:val="00D86486"/>
    <w:rsid w:val="00D86CF2"/>
    <w:rsid w:val="00D876ED"/>
    <w:rsid w:val="00D87AB8"/>
    <w:rsid w:val="00D9020C"/>
    <w:rsid w:val="00D905E6"/>
    <w:rsid w:val="00D90C6B"/>
    <w:rsid w:val="00D911E3"/>
    <w:rsid w:val="00D91667"/>
    <w:rsid w:val="00D918FB"/>
    <w:rsid w:val="00D920D8"/>
    <w:rsid w:val="00D92362"/>
    <w:rsid w:val="00D92B38"/>
    <w:rsid w:val="00D93F99"/>
    <w:rsid w:val="00D947B7"/>
    <w:rsid w:val="00D94BF4"/>
    <w:rsid w:val="00D94CAB"/>
    <w:rsid w:val="00D94F71"/>
    <w:rsid w:val="00D95243"/>
    <w:rsid w:val="00D95670"/>
    <w:rsid w:val="00D956BE"/>
    <w:rsid w:val="00D956BF"/>
    <w:rsid w:val="00D95CB4"/>
    <w:rsid w:val="00D95EA9"/>
    <w:rsid w:val="00D96383"/>
    <w:rsid w:val="00D9643D"/>
    <w:rsid w:val="00D97180"/>
    <w:rsid w:val="00D974C8"/>
    <w:rsid w:val="00D97FE4"/>
    <w:rsid w:val="00DA00FA"/>
    <w:rsid w:val="00DA0C1E"/>
    <w:rsid w:val="00DA119E"/>
    <w:rsid w:val="00DA13D8"/>
    <w:rsid w:val="00DA1502"/>
    <w:rsid w:val="00DA1C62"/>
    <w:rsid w:val="00DA1D50"/>
    <w:rsid w:val="00DA1E01"/>
    <w:rsid w:val="00DA2161"/>
    <w:rsid w:val="00DA234E"/>
    <w:rsid w:val="00DA2856"/>
    <w:rsid w:val="00DA2A9F"/>
    <w:rsid w:val="00DA2C43"/>
    <w:rsid w:val="00DA30C7"/>
    <w:rsid w:val="00DA3BF4"/>
    <w:rsid w:val="00DA3CC0"/>
    <w:rsid w:val="00DA3D28"/>
    <w:rsid w:val="00DA40F2"/>
    <w:rsid w:val="00DA437B"/>
    <w:rsid w:val="00DA499B"/>
    <w:rsid w:val="00DA4C7A"/>
    <w:rsid w:val="00DA5427"/>
    <w:rsid w:val="00DA55C4"/>
    <w:rsid w:val="00DA5F4B"/>
    <w:rsid w:val="00DA625C"/>
    <w:rsid w:val="00DA6594"/>
    <w:rsid w:val="00DA65B2"/>
    <w:rsid w:val="00DA6F17"/>
    <w:rsid w:val="00DA710C"/>
    <w:rsid w:val="00DA7680"/>
    <w:rsid w:val="00DA77C9"/>
    <w:rsid w:val="00DA77FD"/>
    <w:rsid w:val="00DA7DB1"/>
    <w:rsid w:val="00DB0505"/>
    <w:rsid w:val="00DB08EE"/>
    <w:rsid w:val="00DB0B93"/>
    <w:rsid w:val="00DB0BD1"/>
    <w:rsid w:val="00DB12DB"/>
    <w:rsid w:val="00DB1C3F"/>
    <w:rsid w:val="00DB2FB0"/>
    <w:rsid w:val="00DB300F"/>
    <w:rsid w:val="00DB3100"/>
    <w:rsid w:val="00DB3395"/>
    <w:rsid w:val="00DB40C2"/>
    <w:rsid w:val="00DB459B"/>
    <w:rsid w:val="00DB5513"/>
    <w:rsid w:val="00DB5559"/>
    <w:rsid w:val="00DB5761"/>
    <w:rsid w:val="00DB5FAE"/>
    <w:rsid w:val="00DB6CAB"/>
    <w:rsid w:val="00DB742D"/>
    <w:rsid w:val="00DB7529"/>
    <w:rsid w:val="00DB7585"/>
    <w:rsid w:val="00DB795A"/>
    <w:rsid w:val="00DB7B66"/>
    <w:rsid w:val="00DB7C17"/>
    <w:rsid w:val="00DB7DDB"/>
    <w:rsid w:val="00DC0CD7"/>
    <w:rsid w:val="00DC0F8A"/>
    <w:rsid w:val="00DC0F94"/>
    <w:rsid w:val="00DC1B23"/>
    <w:rsid w:val="00DC2560"/>
    <w:rsid w:val="00DC2DC3"/>
    <w:rsid w:val="00DC3253"/>
    <w:rsid w:val="00DC34CA"/>
    <w:rsid w:val="00DC34F8"/>
    <w:rsid w:val="00DC3545"/>
    <w:rsid w:val="00DC36BB"/>
    <w:rsid w:val="00DC3C68"/>
    <w:rsid w:val="00DC3D72"/>
    <w:rsid w:val="00DC3E62"/>
    <w:rsid w:val="00DC490E"/>
    <w:rsid w:val="00DC4995"/>
    <w:rsid w:val="00DC4BE5"/>
    <w:rsid w:val="00DC52E4"/>
    <w:rsid w:val="00DC5632"/>
    <w:rsid w:val="00DC58F4"/>
    <w:rsid w:val="00DC5D59"/>
    <w:rsid w:val="00DC64E1"/>
    <w:rsid w:val="00DC65DE"/>
    <w:rsid w:val="00DC66F2"/>
    <w:rsid w:val="00DC69E2"/>
    <w:rsid w:val="00DC6D0C"/>
    <w:rsid w:val="00DC6D3A"/>
    <w:rsid w:val="00DC73A3"/>
    <w:rsid w:val="00DD0AF6"/>
    <w:rsid w:val="00DD106B"/>
    <w:rsid w:val="00DD1D37"/>
    <w:rsid w:val="00DD2846"/>
    <w:rsid w:val="00DD28F1"/>
    <w:rsid w:val="00DD2AC3"/>
    <w:rsid w:val="00DD2D5F"/>
    <w:rsid w:val="00DD2DB1"/>
    <w:rsid w:val="00DD3B0B"/>
    <w:rsid w:val="00DD3DF0"/>
    <w:rsid w:val="00DD42FC"/>
    <w:rsid w:val="00DD4B99"/>
    <w:rsid w:val="00DD5193"/>
    <w:rsid w:val="00DD5B67"/>
    <w:rsid w:val="00DD5E58"/>
    <w:rsid w:val="00DD665A"/>
    <w:rsid w:val="00DD6876"/>
    <w:rsid w:val="00DD69AA"/>
    <w:rsid w:val="00DD6CC5"/>
    <w:rsid w:val="00DD6DAA"/>
    <w:rsid w:val="00DD7480"/>
    <w:rsid w:val="00DD7E22"/>
    <w:rsid w:val="00DE063E"/>
    <w:rsid w:val="00DE0997"/>
    <w:rsid w:val="00DE0AE7"/>
    <w:rsid w:val="00DE0F2D"/>
    <w:rsid w:val="00DE109C"/>
    <w:rsid w:val="00DE1497"/>
    <w:rsid w:val="00DE19E3"/>
    <w:rsid w:val="00DE1E49"/>
    <w:rsid w:val="00DE220F"/>
    <w:rsid w:val="00DE2630"/>
    <w:rsid w:val="00DE2A36"/>
    <w:rsid w:val="00DE368A"/>
    <w:rsid w:val="00DE40E6"/>
    <w:rsid w:val="00DE4467"/>
    <w:rsid w:val="00DE4743"/>
    <w:rsid w:val="00DE4C55"/>
    <w:rsid w:val="00DE4DFB"/>
    <w:rsid w:val="00DE5065"/>
    <w:rsid w:val="00DE518F"/>
    <w:rsid w:val="00DE532A"/>
    <w:rsid w:val="00DE5A51"/>
    <w:rsid w:val="00DE5E46"/>
    <w:rsid w:val="00DE6062"/>
    <w:rsid w:val="00DE6389"/>
    <w:rsid w:val="00DE66B0"/>
    <w:rsid w:val="00DE68CC"/>
    <w:rsid w:val="00DE76C8"/>
    <w:rsid w:val="00DE7AA8"/>
    <w:rsid w:val="00DE7ADB"/>
    <w:rsid w:val="00DE7B31"/>
    <w:rsid w:val="00DE7CFC"/>
    <w:rsid w:val="00DF075B"/>
    <w:rsid w:val="00DF0A83"/>
    <w:rsid w:val="00DF0DC6"/>
    <w:rsid w:val="00DF1B99"/>
    <w:rsid w:val="00DF1D78"/>
    <w:rsid w:val="00DF21BD"/>
    <w:rsid w:val="00DF2534"/>
    <w:rsid w:val="00DF33EF"/>
    <w:rsid w:val="00DF349A"/>
    <w:rsid w:val="00DF35EE"/>
    <w:rsid w:val="00DF38D9"/>
    <w:rsid w:val="00DF3A35"/>
    <w:rsid w:val="00DF3C09"/>
    <w:rsid w:val="00DF4223"/>
    <w:rsid w:val="00DF4449"/>
    <w:rsid w:val="00DF457B"/>
    <w:rsid w:val="00DF4F24"/>
    <w:rsid w:val="00DF4F80"/>
    <w:rsid w:val="00DF4FB2"/>
    <w:rsid w:val="00DF63CC"/>
    <w:rsid w:val="00DF68E4"/>
    <w:rsid w:val="00DF6975"/>
    <w:rsid w:val="00DF6D61"/>
    <w:rsid w:val="00DF72DA"/>
    <w:rsid w:val="00E00742"/>
    <w:rsid w:val="00E009B1"/>
    <w:rsid w:val="00E00CAD"/>
    <w:rsid w:val="00E014D3"/>
    <w:rsid w:val="00E0238D"/>
    <w:rsid w:val="00E02C15"/>
    <w:rsid w:val="00E02D31"/>
    <w:rsid w:val="00E034AD"/>
    <w:rsid w:val="00E03DA1"/>
    <w:rsid w:val="00E0400B"/>
    <w:rsid w:val="00E04280"/>
    <w:rsid w:val="00E049EF"/>
    <w:rsid w:val="00E04A35"/>
    <w:rsid w:val="00E04A5E"/>
    <w:rsid w:val="00E050E6"/>
    <w:rsid w:val="00E055C4"/>
    <w:rsid w:val="00E0562F"/>
    <w:rsid w:val="00E05B2B"/>
    <w:rsid w:val="00E06916"/>
    <w:rsid w:val="00E07FAE"/>
    <w:rsid w:val="00E10609"/>
    <w:rsid w:val="00E10626"/>
    <w:rsid w:val="00E107AB"/>
    <w:rsid w:val="00E108BE"/>
    <w:rsid w:val="00E10BDD"/>
    <w:rsid w:val="00E1102F"/>
    <w:rsid w:val="00E117CD"/>
    <w:rsid w:val="00E123F0"/>
    <w:rsid w:val="00E12401"/>
    <w:rsid w:val="00E12F9B"/>
    <w:rsid w:val="00E13164"/>
    <w:rsid w:val="00E1337D"/>
    <w:rsid w:val="00E135B1"/>
    <w:rsid w:val="00E13E69"/>
    <w:rsid w:val="00E14140"/>
    <w:rsid w:val="00E1466E"/>
    <w:rsid w:val="00E14AA9"/>
    <w:rsid w:val="00E14D03"/>
    <w:rsid w:val="00E156AF"/>
    <w:rsid w:val="00E164D7"/>
    <w:rsid w:val="00E16E89"/>
    <w:rsid w:val="00E17309"/>
    <w:rsid w:val="00E1751F"/>
    <w:rsid w:val="00E1755A"/>
    <w:rsid w:val="00E17675"/>
    <w:rsid w:val="00E17B95"/>
    <w:rsid w:val="00E20077"/>
    <w:rsid w:val="00E201C9"/>
    <w:rsid w:val="00E20257"/>
    <w:rsid w:val="00E2123C"/>
    <w:rsid w:val="00E212A5"/>
    <w:rsid w:val="00E22234"/>
    <w:rsid w:val="00E22374"/>
    <w:rsid w:val="00E22DCE"/>
    <w:rsid w:val="00E23974"/>
    <w:rsid w:val="00E23C99"/>
    <w:rsid w:val="00E242C7"/>
    <w:rsid w:val="00E24406"/>
    <w:rsid w:val="00E2498A"/>
    <w:rsid w:val="00E24BF2"/>
    <w:rsid w:val="00E24E9C"/>
    <w:rsid w:val="00E24F86"/>
    <w:rsid w:val="00E25401"/>
    <w:rsid w:val="00E256DB"/>
    <w:rsid w:val="00E25977"/>
    <w:rsid w:val="00E25A8D"/>
    <w:rsid w:val="00E25AE2"/>
    <w:rsid w:val="00E26390"/>
    <w:rsid w:val="00E265E6"/>
    <w:rsid w:val="00E26652"/>
    <w:rsid w:val="00E269B0"/>
    <w:rsid w:val="00E26B0F"/>
    <w:rsid w:val="00E26BF1"/>
    <w:rsid w:val="00E26D6C"/>
    <w:rsid w:val="00E26FC9"/>
    <w:rsid w:val="00E278EF"/>
    <w:rsid w:val="00E27996"/>
    <w:rsid w:val="00E305E4"/>
    <w:rsid w:val="00E30954"/>
    <w:rsid w:val="00E30D2A"/>
    <w:rsid w:val="00E30DBB"/>
    <w:rsid w:val="00E3117A"/>
    <w:rsid w:val="00E313C2"/>
    <w:rsid w:val="00E3170F"/>
    <w:rsid w:val="00E318BE"/>
    <w:rsid w:val="00E31A0B"/>
    <w:rsid w:val="00E31FC4"/>
    <w:rsid w:val="00E32511"/>
    <w:rsid w:val="00E325AB"/>
    <w:rsid w:val="00E32663"/>
    <w:rsid w:val="00E32899"/>
    <w:rsid w:val="00E32B44"/>
    <w:rsid w:val="00E33A92"/>
    <w:rsid w:val="00E33A9A"/>
    <w:rsid w:val="00E33D40"/>
    <w:rsid w:val="00E33EE5"/>
    <w:rsid w:val="00E33F00"/>
    <w:rsid w:val="00E33F19"/>
    <w:rsid w:val="00E34375"/>
    <w:rsid w:val="00E343E1"/>
    <w:rsid w:val="00E34917"/>
    <w:rsid w:val="00E3496E"/>
    <w:rsid w:val="00E34A68"/>
    <w:rsid w:val="00E34B4D"/>
    <w:rsid w:val="00E3502B"/>
    <w:rsid w:val="00E35139"/>
    <w:rsid w:val="00E35FF8"/>
    <w:rsid w:val="00E37A97"/>
    <w:rsid w:val="00E37D9D"/>
    <w:rsid w:val="00E37DCF"/>
    <w:rsid w:val="00E40BC5"/>
    <w:rsid w:val="00E40BD4"/>
    <w:rsid w:val="00E4105D"/>
    <w:rsid w:val="00E4140D"/>
    <w:rsid w:val="00E416B5"/>
    <w:rsid w:val="00E41752"/>
    <w:rsid w:val="00E41BA2"/>
    <w:rsid w:val="00E4210C"/>
    <w:rsid w:val="00E421B9"/>
    <w:rsid w:val="00E42510"/>
    <w:rsid w:val="00E42528"/>
    <w:rsid w:val="00E425B5"/>
    <w:rsid w:val="00E42F19"/>
    <w:rsid w:val="00E4313F"/>
    <w:rsid w:val="00E4351D"/>
    <w:rsid w:val="00E43AAF"/>
    <w:rsid w:val="00E44368"/>
    <w:rsid w:val="00E44857"/>
    <w:rsid w:val="00E45553"/>
    <w:rsid w:val="00E457D0"/>
    <w:rsid w:val="00E458B9"/>
    <w:rsid w:val="00E45BD8"/>
    <w:rsid w:val="00E46168"/>
    <w:rsid w:val="00E46A56"/>
    <w:rsid w:val="00E470A7"/>
    <w:rsid w:val="00E47421"/>
    <w:rsid w:val="00E4743F"/>
    <w:rsid w:val="00E47DF0"/>
    <w:rsid w:val="00E501B8"/>
    <w:rsid w:val="00E50CF7"/>
    <w:rsid w:val="00E515DA"/>
    <w:rsid w:val="00E516D3"/>
    <w:rsid w:val="00E5187C"/>
    <w:rsid w:val="00E51AC1"/>
    <w:rsid w:val="00E520B5"/>
    <w:rsid w:val="00E52A92"/>
    <w:rsid w:val="00E52E0E"/>
    <w:rsid w:val="00E52EF5"/>
    <w:rsid w:val="00E532C5"/>
    <w:rsid w:val="00E5380B"/>
    <w:rsid w:val="00E54177"/>
    <w:rsid w:val="00E546D8"/>
    <w:rsid w:val="00E54868"/>
    <w:rsid w:val="00E54990"/>
    <w:rsid w:val="00E54D21"/>
    <w:rsid w:val="00E5570F"/>
    <w:rsid w:val="00E56108"/>
    <w:rsid w:val="00E562D5"/>
    <w:rsid w:val="00E56438"/>
    <w:rsid w:val="00E56A50"/>
    <w:rsid w:val="00E573DF"/>
    <w:rsid w:val="00E57564"/>
    <w:rsid w:val="00E575BA"/>
    <w:rsid w:val="00E60871"/>
    <w:rsid w:val="00E60A14"/>
    <w:rsid w:val="00E60D28"/>
    <w:rsid w:val="00E61C11"/>
    <w:rsid w:val="00E6209A"/>
    <w:rsid w:val="00E62B2C"/>
    <w:rsid w:val="00E62ECD"/>
    <w:rsid w:val="00E62EF4"/>
    <w:rsid w:val="00E63177"/>
    <w:rsid w:val="00E6337D"/>
    <w:rsid w:val="00E63828"/>
    <w:rsid w:val="00E63F6A"/>
    <w:rsid w:val="00E644BE"/>
    <w:rsid w:val="00E649E6"/>
    <w:rsid w:val="00E64DB9"/>
    <w:rsid w:val="00E65C6E"/>
    <w:rsid w:val="00E66653"/>
    <w:rsid w:val="00E66D82"/>
    <w:rsid w:val="00E676E9"/>
    <w:rsid w:val="00E67A38"/>
    <w:rsid w:val="00E70716"/>
    <w:rsid w:val="00E707FE"/>
    <w:rsid w:val="00E70FA9"/>
    <w:rsid w:val="00E71070"/>
    <w:rsid w:val="00E71318"/>
    <w:rsid w:val="00E71DE6"/>
    <w:rsid w:val="00E7209F"/>
    <w:rsid w:val="00E72143"/>
    <w:rsid w:val="00E72240"/>
    <w:rsid w:val="00E724F7"/>
    <w:rsid w:val="00E725D1"/>
    <w:rsid w:val="00E72C7D"/>
    <w:rsid w:val="00E73235"/>
    <w:rsid w:val="00E74185"/>
    <w:rsid w:val="00E74F07"/>
    <w:rsid w:val="00E75CA1"/>
    <w:rsid w:val="00E75D90"/>
    <w:rsid w:val="00E767B6"/>
    <w:rsid w:val="00E774F0"/>
    <w:rsid w:val="00E7753F"/>
    <w:rsid w:val="00E77565"/>
    <w:rsid w:val="00E77850"/>
    <w:rsid w:val="00E77940"/>
    <w:rsid w:val="00E77A60"/>
    <w:rsid w:val="00E801B6"/>
    <w:rsid w:val="00E8029F"/>
    <w:rsid w:val="00E80CEE"/>
    <w:rsid w:val="00E810B1"/>
    <w:rsid w:val="00E81193"/>
    <w:rsid w:val="00E8126B"/>
    <w:rsid w:val="00E813E2"/>
    <w:rsid w:val="00E8142E"/>
    <w:rsid w:val="00E81F35"/>
    <w:rsid w:val="00E8207D"/>
    <w:rsid w:val="00E82860"/>
    <w:rsid w:val="00E82E49"/>
    <w:rsid w:val="00E82FEB"/>
    <w:rsid w:val="00E83D0C"/>
    <w:rsid w:val="00E848F6"/>
    <w:rsid w:val="00E84A1F"/>
    <w:rsid w:val="00E85C48"/>
    <w:rsid w:val="00E860DA"/>
    <w:rsid w:val="00E860E2"/>
    <w:rsid w:val="00E86F79"/>
    <w:rsid w:val="00E87719"/>
    <w:rsid w:val="00E878CA"/>
    <w:rsid w:val="00E87991"/>
    <w:rsid w:val="00E87BB6"/>
    <w:rsid w:val="00E87BF3"/>
    <w:rsid w:val="00E87E36"/>
    <w:rsid w:val="00E90131"/>
    <w:rsid w:val="00E906A5"/>
    <w:rsid w:val="00E916F7"/>
    <w:rsid w:val="00E91D85"/>
    <w:rsid w:val="00E928D0"/>
    <w:rsid w:val="00E93227"/>
    <w:rsid w:val="00E932A3"/>
    <w:rsid w:val="00E93835"/>
    <w:rsid w:val="00E94254"/>
    <w:rsid w:val="00E9476E"/>
    <w:rsid w:val="00E94A12"/>
    <w:rsid w:val="00E957DE"/>
    <w:rsid w:val="00E959C5"/>
    <w:rsid w:val="00E95A17"/>
    <w:rsid w:val="00E96947"/>
    <w:rsid w:val="00E9733B"/>
    <w:rsid w:val="00E978C5"/>
    <w:rsid w:val="00E97CF5"/>
    <w:rsid w:val="00E97E58"/>
    <w:rsid w:val="00EA02E9"/>
    <w:rsid w:val="00EA0A6A"/>
    <w:rsid w:val="00EA1141"/>
    <w:rsid w:val="00EA1525"/>
    <w:rsid w:val="00EA17A8"/>
    <w:rsid w:val="00EA24F8"/>
    <w:rsid w:val="00EA2BE1"/>
    <w:rsid w:val="00EA2C1D"/>
    <w:rsid w:val="00EA2C2A"/>
    <w:rsid w:val="00EA2C60"/>
    <w:rsid w:val="00EA31F2"/>
    <w:rsid w:val="00EA3678"/>
    <w:rsid w:val="00EA39D0"/>
    <w:rsid w:val="00EA3BD9"/>
    <w:rsid w:val="00EA411A"/>
    <w:rsid w:val="00EA451C"/>
    <w:rsid w:val="00EA4D92"/>
    <w:rsid w:val="00EA4E0E"/>
    <w:rsid w:val="00EA50B5"/>
    <w:rsid w:val="00EA5307"/>
    <w:rsid w:val="00EA5FB7"/>
    <w:rsid w:val="00EA6FB8"/>
    <w:rsid w:val="00EA719C"/>
    <w:rsid w:val="00EA72AD"/>
    <w:rsid w:val="00EA7CB7"/>
    <w:rsid w:val="00EA7E37"/>
    <w:rsid w:val="00EA7FA7"/>
    <w:rsid w:val="00EA7FDD"/>
    <w:rsid w:val="00EB028B"/>
    <w:rsid w:val="00EB15D9"/>
    <w:rsid w:val="00EB16E4"/>
    <w:rsid w:val="00EB1853"/>
    <w:rsid w:val="00EB1C76"/>
    <w:rsid w:val="00EB23C8"/>
    <w:rsid w:val="00EB2E15"/>
    <w:rsid w:val="00EB2FD2"/>
    <w:rsid w:val="00EB3378"/>
    <w:rsid w:val="00EB34FC"/>
    <w:rsid w:val="00EB35F2"/>
    <w:rsid w:val="00EB37A9"/>
    <w:rsid w:val="00EB405E"/>
    <w:rsid w:val="00EB45BE"/>
    <w:rsid w:val="00EB4CD5"/>
    <w:rsid w:val="00EB4FCF"/>
    <w:rsid w:val="00EB5219"/>
    <w:rsid w:val="00EB52EC"/>
    <w:rsid w:val="00EB54B2"/>
    <w:rsid w:val="00EB5546"/>
    <w:rsid w:val="00EB56AE"/>
    <w:rsid w:val="00EB56E0"/>
    <w:rsid w:val="00EB5F2B"/>
    <w:rsid w:val="00EB609F"/>
    <w:rsid w:val="00EB67D7"/>
    <w:rsid w:val="00EB6C6B"/>
    <w:rsid w:val="00EB6D69"/>
    <w:rsid w:val="00EC0259"/>
    <w:rsid w:val="00EC0837"/>
    <w:rsid w:val="00EC0E59"/>
    <w:rsid w:val="00EC13D1"/>
    <w:rsid w:val="00EC141C"/>
    <w:rsid w:val="00EC1585"/>
    <w:rsid w:val="00EC15C5"/>
    <w:rsid w:val="00EC1A4D"/>
    <w:rsid w:val="00EC1AF7"/>
    <w:rsid w:val="00EC1C0D"/>
    <w:rsid w:val="00EC1C1B"/>
    <w:rsid w:val="00EC2162"/>
    <w:rsid w:val="00EC23CB"/>
    <w:rsid w:val="00EC2487"/>
    <w:rsid w:val="00EC295B"/>
    <w:rsid w:val="00EC2C55"/>
    <w:rsid w:val="00EC3416"/>
    <w:rsid w:val="00EC444A"/>
    <w:rsid w:val="00EC4F33"/>
    <w:rsid w:val="00EC5799"/>
    <w:rsid w:val="00EC5D01"/>
    <w:rsid w:val="00EC5EFC"/>
    <w:rsid w:val="00EC603E"/>
    <w:rsid w:val="00EC61B9"/>
    <w:rsid w:val="00EC6913"/>
    <w:rsid w:val="00EC69DB"/>
    <w:rsid w:val="00EC6EEC"/>
    <w:rsid w:val="00EC6F11"/>
    <w:rsid w:val="00EC743B"/>
    <w:rsid w:val="00EC74EA"/>
    <w:rsid w:val="00EC7829"/>
    <w:rsid w:val="00EC7A73"/>
    <w:rsid w:val="00EC7A8B"/>
    <w:rsid w:val="00EC7B87"/>
    <w:rsid w:val="00EC7BA7"/>
    <w:rsid w:val="00EC7DDB"/>
    <w:rsid w:val="00EC7EC8"/>
    <w:rsid w:val="00ED073F"/>
    <w:rsid w:val="00ED09B5"/>
    <w:rsid w:val="00ED0EB0"/>
    <w:rsid w:val="00ED0F4B"/>
    <w:rsid w:val="00ED140B"/>
    <w:rsid w:val="00ED1714"/>
    <w:rsid w:val="00ED307A"/>
    <w:rsid w:val="00ED3F45"/>
    <w:rsid w:val="00ED4B0A"/>
    <w:rsid w:val="00ED4B66"/>
    <w:rsid w:val="00ED5E4E"/>
    <w:rsid w:val="00ED63F5"/>
    <w:rsid w:val="00ED6623"/>
    <w:rsid w:val="00ED6B52"/>
    <w:rsid w:val="00ED6C30"/>
    <w:rsid w:val="00ED6D2E"/>
    <w:rsid w:val="00ED71A8"/>
    <w:rsid w:val="00ED74CE"/>
    <w:rsid w:val="00ED77BC"/>
    <w:rsid w:val="00ED7A5B"/>
    <w:rsid w:val="00ED7B53"/>
    <w:rsid w:val="00ED7DE2"/>
    <w:rsid w:val="00EE24E9"/>
    <w:rsid w:val="00EE254A"/>
    <w:rsid w:val="00EE2F92"/>
    <w:rsid w:val="00EE2FD9"/>
    <w:rsid w:val="00EE345F"/>
    <w:rsid w:val="00EE366E"/>
    <w:rsid w:val="00EE410D"/>
    <w:rsid w:val="00EE4322"/>
    <w:rsid w:val="00EE441D"/>
    <w:rsid w:val="00EE52D8"/>
    <w:rsid w:val="00EE58ED"/>
    <w:rsid w:val="00EE5AF1"/>
    <w:rsid w:val="00EE5B23"/>
    <w:rsid w:val="00EE5DEB"/>
    <w:rsid w:val="00EE5F72"/>
    <w:rsid w:val="00EE6868"/>
    <w:rsid w:val="00EE6B4A"/>
    <w:rsid w:val="00EE6CA8"/>
    <w:rsid w:val="00EE742D"/>
    <w:rsid w:val="00EE783B"/>
    <w:rsid w:val="00EE79B1"/>
    <w:rsid w:val="00EF021B"/>
    <w:rsid w:val="00EF0CBA"/>
    <w:rsid w:val="00EF1298"/>
    <w:rsid w:val="00EF1524"/>
    <w:rsid w:val="00EF174F"/>
    <w:rsid w:val="00EF18E2"/>
    <w:rsid w:val="00EF1AA7"/>
    <w:rsid w:val="00EF1B49"/>
    <w:rsid w:val="00EF1FDC"/>
    <w:rsid w:val="00EF250A"/>
    <w:rsid w:val="00EF25C7"/>
    <w:rsid w:val="00EF3C60"/>
    <w:rsid w:val="00EF3F12"/>
    <w:rsid w:val="00EF4881"/>
    <w:rsid w:val="00EF5B2D"/>
    <w:rsid w:val="00EF5E36"/>
    <w:rsid w:val="00EF5E8C"/>
    <w:rsid w:val="00EF607E"/>
    <w:rsid w:val="00EF60B1"/>
    <w:rsid w:val="00EF69D1"/>
    <w:rsid w:val="00EF6B4C"/>
    <w:rsid w:val="00EF6D44"/>
    <w:rsid w:val="00EF7467"/>
    <w:rsid w:val="00F00ACF"/>
    <w:rsid w:val="00F0179E"/>
    <w:rsid w:val="00F01AB3"/>
    <w:rsid w:val="00F020B9"/>
    <w:rsid w:val="00F0305C"/>
    <w:rsid w:val="00F04A10"/>
    <w:rsid w:val="00F04C8E"/>
    <w:rsid w:val="00F04D24"/>
    <w:rsid w:val="00F04D3A"/>
    <w:rsid w:val="00F057F7"/>
    <w:rsid w:val="00F05C0F"/>
    <w:rsid w:val="00F06268"/>
    <w:rsid w:val="00F0649F"/>
    <w:rsid w:val="00F066E0"/>
    <w:rsid w:val="00F06AE7"/>
    <w:rsid w:val="00F07397"/>
    <w:rsid w:val="00F074B6"/>
    <w:rsid w:val="00F0767F"/>
    <w:rsid w:val="00F07B0D"/>
    <w:rsid w:val="00F07CE1"/>
    <w:rsid w:val="00F07D06"/>
    <w:rsid w:val="00F07F25"/>
    <w:rsid w:val="00F07F27"/>
    <w:rsid w:val="00F115B8"/>
    <w:rsid w:val="00F116F8"/>
    <w:rsid w:val="00F11B79"/>
    <w:rsid w:val="00F11D01"/>
    <w:rsid w:val="00F12D91"/>
    <w:rsid w:val="00F12FD9"/>
    <w:rsid w:val="00F1303C"/>
    <w:rsid w:val="00F13681"/>
    <w:rsid w:val="00F13B33"/>
    <w:rsid w:val="00F13DDC"/>
    <w:rsid w:val="00F146BF"/>
    <w:rsid w:val="00F14E81"/>
    <w:rsid w:val="00F150CE"/>
    <w:rsid w:val="00F1569A"/>
    <w:rsid w:val="00F15B75"/>
    <w:rsid w:val="00F16033"/>
    <w:rsid w:val="00F16303"/>
    <w:rsid w:val="00F16681"/>
    <w:rsid w:val="00F16A44"/>
    <w:rsid w:val="00F16D47"/>
    <w:rsid w:val="00F16FAD"/>
    <w:rsid w:val="00F17264"/>
    <w:rsid w:val="00F172FC"/>
    <w:rsid w:val="00F17440"/>
    <w:rsid w:val="00F17452"/>
    <w:rsid w:val="00F17930"/>
    <w:rsid w:val="00F17D14"/>
    <w:rsid w:val="00F2040D"/>
    <w:rsid w:val="00F2077C"/>
    <w:rsid w:val="00F21697"/>
    <w:rsid w:val="00F21C78"/>
    <w:rsid w:val="00F21EB9"/>
    <w:rsid w:val="00F225B4"/>
    <w:rsid w:val="00F22890"/>
    <w:rsid w:val="00F22B3B"/>
    <w:rsid w:val="00F22BE7"/>
    <w:rsid w:val="00F22C45"/>
    <w:rsid w:val="00F22D00"/>
    <w:rsid w:val="00F22EFD"/>
    <w:rsid w:val="00F23BEE"/>
    <w:rsid w:val="00F24085"/>
    <w:rsid w:val="00F242E8"/>
    <w:rsid w:val="00F243CE"/>
    <w:rsid w:val="00F2486E"/>
    <w:rsid w:val="00F24900"/>
    <w:rsid w:val="00F24988"/>
    <w:rsid w:val="00F24D59"/>
    <w:rsid w:val="00F25459"/>
    <w:rsid w:val="00F25A11"/>
    <w:rsid w:val="00F25A71"/>
    <w:rsid w:val="00F262A7"/>
    <w:rsid w:val="00F2669A"/>
    <w:rsid w:val="00F26EFF"/>
    <w:rsid w:val="00F26F51"/>
    <w:rsid w:val="00F27036"/>
    <w:rsid w:val="00F27DF7"/>
    <w:rsid w:val="00F30406"/>
    <w:rsid w:val="00F30412"/>
    <w:rsid w:val="00F304F6"/>
    <w:rsid w:val="00F308FB"/>
    <w:rsid w:val="00F30D3C"/>
    <w:rsid w:val="00F32CD4"/>
    <w:rsid w:val="00F33072"/>
    <w:rsid w:val="00F33340"/>
    <w:rsid w:val="00F33574"/>
    <w:rsid w:val="00F33E66"/>
    <w:rsid w:val="00F340CC"/>
    <w:rsid w:val="00F34317"/>
    <w:rsid w:val="00F3456B"/>
    <w:rsid w:val="00F3469F"/>
    <w:rsid w:val="00F34803"/>
    <w:rsid w:val="00F348B9"/>
    <w:rsid w:val="00F34D29"/>
    <w:rsid w:val="00F3578B"/>
    <w:rsid w:val="00F3640F"/>
    <w:rsid w:val="00F36601"/>
    <w:rsid w:val="00F376DC"/>
    <w:rsid w:val="00F404DC"/>
    <w:rsid w:val="00F40821"/>
    <w:rsid w:val="00F40AB6"/>
    <w:rsid w:val="00F41029"/>
    <w:rsid w:val="00F410F7"/>
    <w:rsid w:val="00F4188D"/>
    <w:rsid w:val="00F420AF"/>
    <w:rsid w:val="00F4231D"/>
    <w:rsid w:val="00F424FD"/>
    <w:rsid w:val="00F4292C"/>
    <w:rsid w:val="00F43C59"/>
    <w:rsid w:val="00F43DE7"/>
    <w:rsid w:val="00F43FDA"/>
    <w:rsid w:val="00F445A2"/>
    <w:rsid w:val="00F44E07"/>
    <w:rsid w:val="00F450D8"/>
    <w:rsid w:val="00F4516D"/>
    <w:rsid w:val="00F45426"/>
    <w:rsid w:val="00F45550"/>
    <w:rsid w:val="00F459A9"/>
    <w:rsid w:val="00F45ADC"/>
    <w:rsid w:val="00F466F5"/>
    <w:rsid w:val="00F46973"/>
    <w:rsid w:val="00F46AD7"/>
    <w:rsid w:val="00F47678"/>
    <w:rsid w:val="00F476F5"/>
    <w:rsid w:val="00F47FAB"/>
    <w:rsid w:val="00F502ED"/>
    <w:rsid w:val="00F50559"/>
    <w:rsid w:val="00F507B3"/>
    <w:rsid w:val="00F5094A"/>
    <w:rsid w:val="00F510A3"/>
    <w:rsid w:val="00F51287"/>
    <w:rsid w:val="00F52427"/>
    <w:rsid w:val="00F534AC"/>
    <w:rsid w:val="00F535D9"/>
    <w:rsid w:val="00F540A6"/>
    <w:rsid w:val="00F545FB"/>
    <w:rsid w:val="00F54DC8"/>
    <w:rsid w:val="00F54F6F"/>
    <w:rsid w:val="00F553C0"/>
    <w:rsid w:val="00F553E9"/>
    <w:rsid w:val="00F55815"/>
    <w:rsid w:val="00F55AEA"/>
    <w:rsid w:val="00F55F56"/>
    <w:rsid w:val="00F55FD3"/>
    <w:rsid w:val="00F56066"/>
    <w:rsid w:val="00F56AC2"/>
    <w:rsid w:val="00F56DF5"/>
    <w:rsid w:val="00F57038"/>
    <w:rsid w:val="00F57651"/>
    <w:rsid w:val="00F60132"/>
    <w:rsid w:val="00F60A66"/>
    <w:rsid w:val="00F619C7"/>
    <w:rsid w:val="00F61EEC"/>
    <w:rsid w:val="00F62349"/>
    <w:rsid w:val="00F629E8"/>
    <w:rsid w:val="00F62B8F"/>
    <w:rsid w:val="00F62F2C"/>
    <w:rsid w:val="00F631D7"/>
    <w:rsid w:val="00F635B9"/>
    <w:rsid w:val="00F63870"/>
    <w:rsid w:val="00F63930"/>
    <w:rsid w:val="00F63A33"/>
    <w:rsid w:val="00F63ADB"/>
    <w:rsid w:val="00F63ADC"/>
    <w:rsid w:val="00F64A8E"/>
    <w:rsid w:val="00F64B81"/>
    <w:rsid w:val="00F653CD"/>
    <w:rsid w:val="00F65858"/>
    <w:rsid w:val="00F658CA"/>
    <w:rsid w:val="00F660A6"/>
    <w:rsid w:val="00F66709"/>
    <w:rsid w:val="00F6724C"/>
    <w:rsid w:val="00F675EE"/>
    <w:rsid w:val="00F675F1"/>
    <w:rsid w:val="00F67C01"/>
    <w:rsid w:val="00F67EEE"/>
    <w:rsid w:val="00F7094D"/>
    <w:rsid w:val="00F716FA"/>
    <w:rsid w:val="00F72E36"/>
    <w:rsid w:val="00F731F8"/>
    <w:rsid w:val="00F73F9D"/>
    <w:rsid w:val="00F74152"/>
    <w:rsid w:val="00F74A60"/>
    <w:rsid w:val="00F75286"/>
    <w:rsid w:val="00F752F1"/>
    <w:rsid w:val="00F75306"/>
    <w:rsid w:val="00F754F8"/>
    <w:rsid w:val="00F7611F"/>
    <w:rsid w:val="00F766E1"/>
    <w:rsid w:val="00F76B26"/>
    <w:rsid w:val="00F76DE9"/>
    <w:rsid w:val="00F7773E"/>
    <w:rsid w:val="00F77E43"/>
    <w:rsid w:val="00F77F85"/>
    <w:rsid w:val="00F80576"/>
    <w:rsid w:val="00F80A9C"/>
    <w:rsid w:val="00F80EC5"/>
    <w:rsid w:val="00F80F84"/>
    <w:rsid w:val="00F80FBD"/>
    <w:rsid w:val="00F8103A"/>
    <w:rsid w:val="00F8127A"/>
    <w:rsid w:val="00F81383"/>
    <w:rsid w:val="00F8156E"/>
    <w:rsid w:val="00F8165A"/>
    <w:rsid w:val="00F81E0A"/>
    <w:rsid w:val="00F81F49"/>
    <w:rsid w:val="00F824B6"/>
    <w:rsid w:val="00F827C4"/>
    <w:rsid w:val="00F82B11"/>
    <w:rsid w:val="00F82DC0"/>
    <w:rsid w:val="00F830CF"/>
    <w:rsid w:val="00F83C04"/>
    <w:rsid w:val="00F83C0E"/>
    <w:rsid w:val="00F83D8A"/>
    <w:rsid w:val="00F842CE"/>
    <w:rsid w:val="00F84795"/>
    <w:rsid w:val="00F84C89"/>
    <w:rsid w:val="00F85376"/>
    <w:rsid w:val="00F857D2"/>
    <w:rsid w:val="00F858AB"/>
    <w:rsid w:val="00F8592A"/>
    <w:rsid w:val="00F86EF8"/>
    <w:rsid w:val="00F87E03"/>
    <w:rsid w:val="00F9026E"/>
    <w:rsid w:val="00F90757"/>
    <w:rsid w:val="00F91834"/>
    <w:rsid w:val="00F91905"/>
    <w:rsid w:val="00F91922"/>
    <w:rsid w:val="00F91ABA"/>
    <w:rsid w:val="00F923E2"/>
    <w:rsid w:val="00F924F5"/>
    <w:rsid w:val="00F928F1"/>
    <w:rsid w:val="00F92E2B"/>
    <w:rsid w:val="00F942EC"/>
    <w:rsid w:val="00F9475C"/>
    <w:rsid w:val="00F94805"/>
    <w:rsid w:val="00F94CA3"/>
    <w:rsid w:val="00F95362"/>
    <w:rsid w:val="00F956AC"/>
    <w:rsid w:val="00F96F1F"/>
    <w:rsid w:val="00F971CF"/>
    <w:rsid w:val="00F9744E"/>
    <w:rsid w:val="00F977AC"/>
    <w:rsid w:val="00F97D20"/>
    <w:rsid w:val="00F97EED"/>
    <w:rsid w:val="00FA09B2"/>
    <w:rsid w:val="00FA0D6A"/>
    <w:rsid w:val="00FA2255"/>
    <w:rsid w:val="00FA2659"/>
    <w:rsid w:val="00FA2ACA"/>
    <w:rsid w:val="00FA2C02"/>
    <w:rsid w:val="00FA2F1B"/>
    <w:rsid w:val="00FA2FF9"/>
    <w:rsid w:val="00FA301F"/>
    <w:rsid w:val="00FA3096"/>
    <w:rsid w:val="00FA3207"/>
    <w:rsid w:val="00FA372D"/>
    <w:rsid w:val="00FA3C14"/>
    <w:rsid w:val="00FA4CF1"/>
    <w:rsid w:val="00FA547A"/>
    <w:rsid w:val="00FA5CC1"/>
    <w:rsid w:val="00FA5DA4"/>
    <w:rsid w:val="00FA6673"/>
    <w:rsid w:val="00FA6881"/>
    <w:rsid w:val="00FA6CD9"/>
    <w:rsid w:val="00FA704A"/>
    <w:rsid w:val="00FA76AD"/>
    <w:rsid w:val="00FA7E9F"/>
    <w:rsid w:val="00FB0648"/>
    <w:rsid w:val="00FB0715"/>
    <w:rsid w:val="00FB07A1"/>
    <w:rsid w:val="00FB0921"/>
    <w:rsid w:val="00FB0CF1"/>
    <w:rsid w:val="00FB23F1"/>
    <w:rsid w:val="00FB2C39"/>
    <w:rsid w:val="00FB3425"/>
    <w:rsid w:val="00FB3636"/>
    <w:rsid w:val="00FB4442"/>
    <w:rsid w:val="00FB478D"/>
    <w:rsid w:val="00FB4893"/>
    <w:rsid w:val="00FB5139"/>
    <w:rsid w:val="00FB5618"/>
    <w:rsid w:val="00FB56E6"/>
    <w:rsid w:val="00FB574F"/>
    <w:rsid w:val="00FB6257"/>
    <w:rsid w:val="00FB6573"/>
    <w:rsid w:val="00FB66D4"/>
    <w:rsid w:val="00FB6779"/>
    <w:rsid w:val="00FB7173"/>
    <w:rsid w:val="00FB7279"/>
    <w:rsid w:val="00FB744A"/>
    <w:rsid w:val="00FB79FD"/>
    <w:rsid w:val="00FC06D2"/>
    <w:rsid w:val="00FC0A76"/>
    <w:rsid w:val="00FC0E3F"/>
    <w:rsid w:val="00FC1502"/>
    <w:rsid w:val="00FC1915"/>
    <w:rsid w:val="00FC2357"/>
    <w:rsid w:val="00FC241A"/>
    <w:rsid w:val="00FC2607"/>
    <w:rsid w:val="00FC30CB"/>
    <w:rsid w:val="00FC457B"/>
    <w:rsid w:val="00FC4E3A"/>
    <w:rsid w:val="00FC520C"/>
    <w:rsid w:val="00FC6092"/>
    <w:rsid w:val="00FC6199"/>
    <w:rsid w:val="00FC6A6A"/>
    <w:rsid w:val="00FC6CF4"/>
    <w:rsid w:val="00FC75EE"/>
    <w:rsid w:val="00FC7707"/>
    <w:rsid w:val="00FC7C73"/>
    <w:rsid w:val="00FD0AEB"/>
    <w:rsid w:val="00FD16C3"/>
    <w:rsid w:val="00FD1C36"/>
    <w:rsid w:val="00FD3042"/>
    <w:rsid w:val="00FD3362"/>
    <w:rsid w:val="00FD3628"/>
    <w:rsid w:val="00FD377F"/>
    <w:rsid w:val="00FD3CBF"/>
    <w:rsid w:val="00FD45A6"/>
    <w:rsid w:val="00FD4AC0"/>
    <w:rsid w:val="00FD4B07"/>
    <w:rsid w:val="00FD4F29"/>
    <w:rsid w:val="00FD55A4"/>
    <w:rsid w:val="00FD5ABD"/>
    <w:rsid w:val="00FD62DF"/>
    <w:rsid w:val="00FD6879"/>
    <w:rsid w:val="00FD6898"/>
    <w:rsid w:val="00FD6D33"/>
    <w:rsid w:val="00FD6FC5"/>
    <w:rsid w:val="00FD7726"/>
    <w:rsid w:val="00FD7D3B"/>
    <w:rsid w:val="00FE01A8"/>
    <w:rsid w:val="00FE01E0"/>
    <w:rsid w:val="00FE0204"/>
    <w:rsid w:val="00FE02A1"/>
    <w:rsid w:val="00FE0AE3"/>
    <w:rsid w:val="00FE0F64"/>
    <w:rsid w:val="00FE152E"/>
    <w:rsid w:val="00FE2690"/>
    <w:rsid w:val="00FE2778"/>
    <w:rsid w:val="00FE2F8A"/>
    <w:rsid w:val="00FE3E70"/>
    <w:rsid w:val="00FE47D5"/>
    <w:rsid w:val="00FE4BAF"/>
    <w:rsid w:val="00FE56DF"/>
    <w:rsid w:val="00FE590F"/>
    <w:rsid w:val="00FE69F3"/>
    <w:rsid w:val="00FE6BA5"/>
    <w:rsid w:val="00FE6E45"/>
    <w:rsid w:val="00FE6F8C"/>
    <w:rsid w:val="00FE733E"/>
    <w:rsid w:val="00FE7C5D"/>
    <w:rsid w:val="00FF00FD"/>
    <w:rsid w:val="00FF0B10"/>
    <w:rsid w:val="00FF127E"/>
    <w:rsid w:val="00FF1438"/>
    <w:rsid w:val="00FF1B83"/>
    <w:rsid w:val="00FF1CB6"/>
    <w:rsid w:val="00FF2884"/>
    <w:rsid w:val="00FF37B6"/>
    <w:rsid w:val="00FF420C"/>
    <w:rsid w:val="00FF495D"/>
    <w:rsid w:val="00FF4A96"/>
    <w:rsid w:val="00FF4ABC"/>
    <w:rsid w:val="00FF540B"/>
    <w:rsid w:val="00FF5687"/>
    <w:rsid w:val="00FF5797"/>
    <w:rsid w:val="00FF59AD"/>
    <w:rsid w:val="00FF681F"/>
    <w:rsid w:val="00FF6AD6"/>
    <w:rsid w:val="00FF7333"/>
    <w:rsid w:val="00FF7738"/>
    <w:rsid w:val="00FF79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6401B"/>
  <w15:chartTrackingRefBased/>
  <w15:docId w15:val="{2351DF6E-E99E-4CB6-B61A-DEA8104D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8F4"/>
    <w:rPr>
      <w:sz w:val="24"/>
      <w:szCs w:val="24"/>
    </w:rPr>
  </w:style>
  <w:style w:type="paragraph" w:styleId="Ttulo1">
    <w:name w:val="heading 1"/>
    <w:basedOn w:val="Normal"/>
    <w:next w:val="Normal"/>
    <w:qFormat/>
    <w:rsid w:val="00DC58F4"/>
    <w:pPr>
      <w:keepNext/>
      <w:tabs>
        <w:tab w:val="left" w:pos="1418"/>
      </w:tabs>
      <w:ind w:right="-143"/>
      <w:jc w:val="center"/>
      <w:outlineLvl w:val="0"/>
    </w:pPr>
    <w:rPr>
      <w:rFonts w:ascii="Tahoma" w:hAnsi="Tahoma"/>
      <w:b/>
      <w:sz w:val="22"/>
      <w:szCs w:val="20"/>
    </w:rPr>
  </w:style>
  <w:style w:type="paragraph" w:styleId="Ttulo2">
    <w:name w:val="heading 2"/>
    <w:basedOn w:val="Normal"/>
    <w:next w:val="Normal"/>
    <w:qFormat/>
    <w:rsid w:val="00DC58F4"/>
    <w:pPr>
      <w:keepNext/>
      <w:spacing w:line="312" w:lineRule="auto"/>
      <w:ind w:right="-142"/>
      <w:outlineLvl w:val="1"/>
    </w:pPr>
    <w:rPr>
      <w:rFonts w:ascii="Arial" w:hAnsi="Arial" w:cs="Arial"/>
      <w:b/>
      <w:bCs/>
      <w:sz w:val="20"/>
    </w:rPr>
  </w:style>
  <w:style w:type="paragraph" w:styleId="Ttulo3">
    <w:name w:val="heading 3"/>
    <w:basedOn w:val="Normal"/>
    <w:next w:val="Normal"/>
    <w:qFormat/>
    <w:rsid w:val="00DC58F4"/>
    <w:pPr>
      <w:keepNext/>
      <w:spacing w:line="312" w:lineRule="auto"/>
      <w:ind w:right="-142"/>
      <w:jc w:val="both"/>
      <w:outlineLvl w:val="2"/>
    </w:pPr>
    <w:rPr>
      <w:b/>
      <w:bCs/>
    </w:rPr>
  </w:style>
  <w:style w:type="paragraph" w:styleId="Ttulo4">
    <w:name w:val="heading 4"/>
    <w:basedOn w:val="Normal"/>
    <w:next w:val="Normal"/>
    <w:qFormat/>
    <w:rsid w:val="00DC58F4"/>
    <w:pPr>
      <w:keepNext/>
      <w:spacing w:line="312" w:lineRule="auto"/>
      <w:ind w:right="-142"/>
      <w:jc w:val="both"/>
      <w:outlineLvl w:val="3"/>
    </w:pPr>
    <w:rPr>
      <w:rFonts w:ascii="Tahoma" w:hAnsi="Tahoma"/>
      <w:b/>
      <w:bCs/>
      <w:sz w:val="20"/>
      <w:szCs w:val="20"/>
    </w:rPr>
  </w:style>
  <w:style w:type="paragraph" w:styleId="Ttulo5">
    <w:name w:val="heading 5"/>
    <w:basedOn w:val="Normal"/>
    <w:next w:val="Normal"/>
    <w:qFormat/>
    <w:rsid w:val="00DC58F4"/>
    <w:pPr>
      <w:keepNext/>
      <w:spacing w:line="312" w:lineRule="auto"/>
      <w:ind w:right="-142"/>
      <w:jc w:val="center"/>
      <w:outlineLvl w:val="4"/>
    </w:pPr>
    <w:rPr>
      <w:rFonts w:ascii="Arial" w:hAnsi="Arial"/>
      <w:b/>
      <w:sz w:val="20"/>
      <w:u w:val="single"/>
    </w:rPr>
  </w:style>
  <w:style w:type="paragraph" w:styleId="Ttulo6">
    <w:name w:val="heading 6"/>
    <w:basedOn w:val="Normal"/>
    <w:next w:val="Normal"/>
    <w:qFormat/>
    <w:rsid w:val="00DC58F4"/>
    <w:pPr>
      <w:keepNext/>
      <w:spacing w:line="312" w:lineRule="auto"/>
      <w:ind w:right="-5747"/>
      <w:jc w:val="both"/>
      <w:outlineLvl w:val="5"/>
    </w:pPr>
    <w:rPr>
      <w:rFonts w:ascii="Tahoma" w:hAnsi="Tahoma"/>
      <w:b/>
      <w:bCs/>
      <w:sz w:val="20"/>
      <w:szCs w:val="20"/>
    </w:rPr>
  </w:style>
  <w:style w:type="paragraph" w:styleId="Ttulo7">
    <w:name w:val="heading 7"/>
    <w:basedOn w:val="Normal"/>
    <w:next w:val="Normal"/>
    <w:qFormat/>
    <w:rsid w:val="00DC58F4"/>
    <w:pPr>
      <w:keepNext/>
      <w:spacing w:line="312" w:lineRule="auto"/>
      <w:ind w:right="-142"/>
      <w:jc w:val="center"/>
      <w:outlineLvl w:val="6"/>
    </w:pPr>
    <w:rPr>
      <w:rFonts w:ascii="Tahoma" w:hAnsi="Tahoma"/>
      <w:b/>
      <w:bCs/>
      <w:sz w:val="20"/>
      <w:szCs w:val="20"/>
    </w:rPr>
  </w:style>
  <w:style w:type="paragraph" w:styleId="Ttulo8">
    <w:name w:val="heading 8"/>
    <w:basedOn w:val="Normal"/>
    <w:next w:val="Normal"/>
    <w:qFormat/>
    <w:rsid w:val="00DC58F4"/>
    <w:pPr>
      <w:keepNext/>
      <w:outlineLvl w:val="7"/>
    </w:pPr>
    <w:rPr>
      <w:rFonts w:ascii="Arial" w:hAnsi="Arial" w:cs="Arial"/>
      <w:b/>
      <w:sz w:val="32"/>
    </w:rPr>
  </w:style>
  <w:style w:type="paragraph" w:styleId="Ttulo9">
    <w:name w:val="heading 9"/>
    <w:basedOn w:val="Normal"/>
    <w:next w:val="Normal"/>
    <w:qFormat/>
    <w:rsid w:val="00DC58F4"/>
    <w:pPr>
      <w:keepNext/>
      <w:spacing w:before="100" w:beforeAutospacing="1" w:after="100" w:afterAutospacing="1"/>
      <w:ind w:right="-143"/>
      <w:outlineLvl w:val="8"/>
    </w:pPr>
    <w:rPr>
      <w:rFonts w:ascii="Arial" w:hAnsi="Arial" w:cs="Arial"/>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uiPriority w:val="99"/>
    <w:rsid w:val="00DC58F4"/>
    <w:pPr>
      <w:tabs>
        <w:tab w:val="left" w:pos="0"/>
      </w:tabs>
      <w:spacing w:line="312" w:lineRule="auto"/>
      <w:ind w:left="705" w:right="-142"/>
      <w:jc w:val="both"/>
    </w:pPr>
    <w:rPr>
      <w:rFonts w:ascii="Arial" w:hAnsi="Arial"/>
      <w:bCs/>
      <w:sz w:val="20"/>
      <w:szCs w:val="20"/>
    </w:rPr>
  </w:style>
  <w:style w:type="paragraph" w:styleId="Cabealho">
    <w:name w:val="header"/>
    <w:basedOn w:val="Normal"/>
    <w:link w:val="CabealhoChar"/>
    <w:uiPriority w:val="99"/>
    <w:rsid w:val="00DC58F4"/>
    <w:pPr>
      <w:tabs>
        <w:tab w:val="center" w:pos="4419"/>
        <w:tab w:val="right" w:pos="8838"/>
      </w:tabs>
    </w:pPr>
    <w:rPr>
      <w:sz w:val="20"/>
      <w:szCs w:val="20"/>
    </w:rPr>
  </w:style>
  <w:style w:type="paragraph" w:styleId="Corpodetexto">
    <w:name w:val="Body Text"/>
    <w:basedOn w:val="Normal"/>
    <w:rsid w:val="00DC58F4"/>
    <w:pPr>
      <w:spacing w:line="312" w:lineRule="auto"/>
      <w:ind w:right="-142"/>
      <w:jc w:val="both"/>
    </w:pPr>
    <w:rPr>
      <w:rFonts w:ascii="Arial" w:hAnsi="Arial" w:cs="Arial"/>
      <w:sz w:val="20"/>
    </w:rPr>
  </w:style>
  <w:style w:type="paragraph" w:styleId="Rodap">
    <w:name w:val="footer"/>
    <w:basedOn w:val="Normal"/>
    <w:link w:val="RodapChar"/>
    <w:uiPriority w:val="99"/>
    <w:rsid w:val="00DC58F4"/>
    <w:pPr>
      <w:tabs>
        <w:tab w:val="center" w:pos="4419"/>
        <w:tab w:val="right" w:pos="8838"/>
      </w:tabs>
    </w:pPr>
    <w:rPr>
      <w:lang w:val="x-none" w:eastAsia="x-none"/>
    </w:rPr>
  </w:style>
  <w:style w:type="character" w:styleId="Nmerodepgina">
    <w:name w:val="page number"/>
    <w:basedOn w:val="Fontepargpadro"/>
    <w:rsid w:val="00DC58F4"/>
  </w:style>
  <w:style w:type="paragraph" w:customStyle="1" w:styleId="-PGINA-">
    <w:name w:val="- PÁGINA -"/>
    <w:rsid w:val="00DC58F4"/>
    <w:rPr>
      <w:sz w:val="24"/>
      <w:szCs w:val="24"/>
    </w:rPr>
  </w:style>
  <w:style w:type="paragraph" w:styleId="Ttulo">
    <w:name w:val="Title"/>
    <w:basedOn w:val="Normal"/>
    <w:qFormat/>
    <w:rsid w:val="00DC58F4"/>
    <w:pPr>
      <w:jc w:val="center"/>
    </w:pPr>
    <w:rPr>
      <w:rFonts w:ascii="Arial" w:hAnsi="Arial"/>
      <w:b/>
      <w:i/>
      <w:sz w:val="16"/>
      <w:szCs w:val="20"/>
    </w:rPr>
  </w:style>
  <w:style w:type="paragraph" w:styleId="Corpodetexto2">
    <w:name w:val="Body Text 2"/>
    <w:basedOn w:val="Normal"/>
    <w:rsid w:val="00DC58F4"/>
    <w:pPr>
      <w:spacing w:before="60"/>
      <w:jc w:val="both"/>
    </w:pPr>
    <w:rPr>
      <w:rFonts w:ascii="Arial" w:hAnsi="Arial" w:cs="Arial"/>
      <w:sz w:val="20"/>
    </w:rPr>
  </w:style>
  <w:style w:type="paragraph" w:styleId="Corpodetexto3">
    <w:name w:val="Body Text 3"/>
    <w:basedOn w:val="Normal"/>
    <w:rsid w:val="00DC58F4"/>
    <w:pPr>
      <w:jc w:val="right"/>
    </w:pPr>
    <w:rPr>
      <w:rFonts w:ascii="Arial" w:hAnsi="Arial" w:cs="Arial"/>
      <w:sz w:val="20"/>
    </w:rPr>
  </w:style>
  <w:style w:type="paragraph" w:styleId="Recuodecorpodetexto">
    <w:name w:val="Body Text Indent"/>
    <w:basedOn w:val="Normal"/>
    <w:rsid w:val="00AA7812"/>
    <w:pPr>
      <w:spacing w:after="120"/>
      <w:ind w:left="283"/>
    </w:pPr>
  </w:style>
  <w:style w:type="paragraph" w:styleId="Recuodecorpodetexto2">
    <w:name w:val="Body Text Indent 2"/>
    <w:basedOn w:val="Normal"/>
    <w:rsid w:val="00AA7812"/>
    <w:pPr>
      <w:spacing w:after="120" w:line="480" w:lineRule="auto"/>
      <w:ind w:left="283"/>
    </w:pPr>
    <w:rPr>
      <w:rFonts w:ascii="Arial" w:hAnsi="Arial"/>
    </w:rPr>
  </w:style>
  <w:style w:type="paragraph" w:styleId="Recuodecorpodetexto3">
    <w:name w:val="Body Text Indent 3"/>
    <w:basedOn w:val="Normal"/>
    <w:rsid w:val="00AA7812"/>
    <w:pPr>
      <w:spacing w:after="120"/>
      <w:ind w:left="283"/>
    </w:pPr>
    <w:rPr>
      <w:rFonts w:ascii="Arial" w:hAnsi="Arial"/>
      <w:sz w:val="16"/>
      <w:szCs w:val="16"/>
    </w:rPr>
  </w:style>
  <w:style w:type="table" w:styleId="Tabelacomgrade">
    <w:name w:val="Table Grid"/>
    <w:basedOn w:val="Tabelanormal"/>
    <w:uiPriority w:val="39"/>
    <w:rsid w:val="002A2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A43977"/>
    <w:rPr>
      <w:rFonts w:ascii="Tahoma" w:hAnsi="Tahoma" w:cs="Tahoma"/>
      <w:sz w:val="16"/>
      <w:szCs w:val="16"/>
    </w:rPr>
  </w:style>
  <w:style w:type="paragraph" w:styleId="NormalWeb">
    <w:name w:val="Normal (Web)"/>
    <w:basedOn w:val="Normal"/>
    <w:uiPriority w:val="99"/>
    <w:unhideWhenUsed/>
    <w:rsid w:val="004C6E14"/>
    <w:pPr>
      <w:spacing w:before="100" w:beforeAutospacing="1" w:after="100" w:afterAutospacing="1"/>
    </w:pPr>
  </w:style>
  <w:style w:type="character" w:customStyle="1" w:styleId="RodapChar">
    <w:name w:val="Rodapé Char"/>
    <w:link w:val="Rodap"/>
    <w:uiPriority w:val="99"/>
    <w:rsid w:val="00910D8F"/>
    <w:rPr>
      <w:sz w:val="24"/>
      <w:szCs w:val="24"/>
    </w:rPr>
  </w:style>
  <w:style w:type="character" w:customStyle="1" w:styleId="CabealhoChar">
    <w:name w:val="Cabeçalho Char"/>
    <w:link w:val="Cabealho"/>
    <w:uiPriority w:val="99"/>
    <w:rsid w:val="00910D8F"/>
  </w:style>
  <w:style w:type="paragraph" w:styleId="PargrafodaLista">
    <w:name w:val="List Paragraph"/>
    <w:aliases w:val="Título Médio"/>
    <w:basedOn w:val="Normal"/>
    <w:link w:val="PargrafodaListaChar"/>
    <w:uiPriority w:val="34"/>
    <w:qFormat/>
    <w:rsid w:val="00377FE8"/>
    <w:pPr>
      <w:ind w:left="708"/>
    </w:pPr>
  </w:style>
  <w:style w:type="character" w:styleId="Forte">
    <w:name w:val="Strong"/>
    <w:uiPriority w:val="22"/>
    <w:qFormat/>
    <w:rsid w:val="003772E3"/>
    <w:rPr>
      <w:b/>
      <w:bCs/>
    </w:rPr>
  </w:style>
  <w:style w:type="table" w:styleId="Tabelacomgrade1">
    <w:name w:val="Table Grid 1"/>
    <w:basedOn w:val="Tabelanormal"/>
    <w:rsid w:val="005D73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rio">
    <w:name w:val="annotation reference"/>
    <w:rsid w:val="007C3C80"/>
    <w:rPr>
      <w:sz w:val="16"/>
      <w:szCs w:val="16"/>
    </w:rPr>
  </w:style>
  <w:style w:type="paragraph" w:styleId="Textodecomentrio">
    <w:name w:val="annotation text"/>
    <w:basedOn w:val="Normal"/>
    <w:link w:val="TextodecomentrioChar"/>
    <w:rsid w:val="007C3C80"/>
    <w:rPr>
      <w:sz w:val="20"/>
      <w:szCs w:val="20"/>
    </w:rPr>
  </w:style>
  <w:style w:type="character" w:customStyle="1" w:styleId="TextodecomentrioChar">
    <w:name w:val="Texto de comentário Char"/>
    <w:basedOn w:val="Fontepargpadro"/>
    <w:link w:val="Textodecomentrio"/>
    <w:rsid w:val="007C3C80"/>
  </w:style>
  <w:style w:type="paragraph" w:styleId="Assuntodocomentrio">
    <w:name w:val="annotation subject"/>
    <w:basedOn w:val="Textodecomentrio"/>
    <w:next w:val="Textodecomentrio"/>
    <w:link w:val="AssuntodocomentrioChar"/>
    <w:rsid w:val="007C3C80"/>
    <w:rPr>
      <w:b/>
      <w:bCs/>
      <w:lang w:val="x-none" w:eastAsia="x-none"/>
    </w:rPr>
  </w:style>
  <w:style w:type="character" w:customStyle="1" w:styleId="AssuntodocomentrioChar">
    <w:name w:val="Assunto do comentário Char"/>
    <w:link w:val="Assuntodocomentrio"/>
    <w:rsid w:val="007C3C80"/>
    <w:rPr>
      <w:b/>
      <w:bCs/>
    </w:rPr>
  </w:style>
  <w:style w:type="table" w:styleId="Tabelacomgrade2">
    <w:name w:val="Table Grid 2"/>
    <w:basedOn w:val="Tabelanormal"/>
    <w:rsid w:val="004D317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Reviso">
    <w:name w:val="Revision"/>
    <w:hidden/>
    <w:uiPriority w:val="99"/>
    <w:semiHidden/>
    <w:rsid w:val="00296D1E"/>
    <w:rPr>
      <w:sz w:val="24"/>
      <w:szCs w:val="24"/>
    </w:rPr>
  </w:style>
  <w:style w:type="paragraph" w:customStyle="1" w:styleId="full">
    <w:name w:val="full"/>
    <w:basedOn w:val="Normal"/>
    <w:rsid w:val="0049122B"/>
    <w:pPr>
      <w:spacing w:before="100" w:beforeAutospacing="1" w:after="100" w:afterAutospacing="1"/>
    </w:pPr>
  </w:style>
  <w:style w:type="paragraph" w:customStyle="1" w:styleId="Default">
    <w:name w:val="Default"/>
    <w:rsid w:val="00A03EC9"/>
    <w:pPr>
      <w:autoSpaceDE w:val="0"/>
      <w:autoSpaceDN w:val="0"/>
      <w:adjustRightInd w:val="0"/>
    </w:pPr>
    <w:rPr>
      <w:rFonts w:ascii="Verdana" w:hAnsi="Verdana" w:cs="Verdana"/>
      <w:color w:val="000000"/>
      <w:sz w:val="24"/>
      <w:szCs w:val="24"/>
    </w:rPr>
  </w:style>
  <w:style w:type="character" w:customStyle="1" w:styleId="PargrafodaListaChar">
    <w:name w:val="Parágrafo da Lista Char"/>
    <w:aliases w:val="Título Médio Char"/>
    <w:link w:val="PargrafodaLista"/>
    <w:uiPriority w:val="34"/>
    <w:rsid w:val="00CC7FB2"/>
    <w:rPr>
      <w:sz w:val="24"/>
      <w:szCs w:val="24"/>
    </w:rPr>
  </w:style>
  <w:style w:type="paragraph" w:customStyle="1" w:styleId="textojustificadorecuoprimeiralinha">
    <w:name w:val="texto_justificado_recuo_primeira_linha"/>
    <w:basedOn w:val="Normal"/>
    <w:rsid w:val="00B7580D"/>
    <w:pPr>
      <w:spacing w:before="100" w:beforeAutospacing="1" w:after="100" w:afterAutospacing="1"/>
    </w:pPr>
  </w:style>
  <w:style w:type="paragraph" w:customStyle="1" w:styleId="paragrafonumeradonivel3">
    <w:name w:val="paragrafo_numerado_nivel3"/>
    <w:basedOn w:val="Normal"/>
    <w:rsid w:val="00337667"/>
    <w:pPr>
      <w:spacing w:before="100" w:beforeAutospacing="1" w:after="100" w:afterAutospacing="1"/>
    </w:pPr>
  </w:style>
  <w:style w:type="character" w:styleId="nfase">
    <w:name w:val="Emphasis"/>
    <w:uiPriority w:val="20"/>
    <w:qFormat/>
    <w:rsid w:val="00337667"/>
    <w:rPr>
      <w:i/>
      <w:iCs/>
    </w:rPr>
  </w:style>
  <w:style w:type="paragraph" w:customStyle="1" w:styleId="paragrafonumeradonivel1">
    <w:name w:val="paragrafo_numerado_nivel1"/>
    <w:basedOn w:val="Normal"/>
    <w:rsid w:val="005D7B2E"/>
    <w:pPr>
      <w:spacing w:before="100" w:beforeAutospacing="1" w:after="100" w:afterAutospacing="1"/>
    </w:pPr>
  </w:style>
  <w:style w:type="paragraph" w:customStyle="1" w:styleId="Pa0">
    <w:name w:val="Pa0"/>
    <w:basedOn w:val="Normal"/>
    <w:next w:val="Normal"/>
    <w:uiPriority w:val="99"/>
    <w:rsid w:val="00F75286"/>
    <w:pPr>
      <w:autoSpaceDE w:val="0"/>
      <w:autoSpaceDN w:val="0"/>
      <w:adjustRightInd w:val="0"/>
      <w:spacing w:line="241" w:lineRule="atLeast"/>
      <w:jc w:val="both"/>
    </w:pPr>
    <w:rPr>
      <w:rFonts w:ascii="Gotham Light" w:eastAsia="Calibri" w:hAnsi="Gotham Light"/>
      <w:lang w:eastAsia="en-US"/>
    </w:rPr>
  </w:style>
  <w:style w:type="paragraph" w:customStyle="1" w:styleId="itemnivel2">
    <w:name w:val="item_nivel2"/>
    <w:basedOn w:val="Normal"/>
    <w:rsid w:val="00114E9F"/>
    <w:pPr>
      <w:spacing w:before="100" w:beforeAutospacing="1" w:after="100" w:afterAutospacing="1"/>
    </w:pPr>
  </w:style>
  <w:style w:type="paragraph" w:customStyle="1" w:styleId="itemincisoromano">
    <w:name w:val="item_inciso_romano"/>
    <w:basedOn w:val="Normal"/>
    <w:rsid w:val="00114E9F"/>
    <w:pPr>
      <w:spacing w:before="100" w:beforeAutospacing="1" w:after="100" w:afterAutospacing="1"/>
    </w:pPr>
  </w:style>
  <w:style w:type="paragraph" w:customStyle="1" w:styleId="tabelatextoalinhadoesquerda">
    <w:name w:val="tabela_texto_alinhado_esquerda"/>
    <w:basedOn w:val="Normal"/>
    <w:rsid w:val="00114E9F"/>
    <w:pPr>
      <w:spacing w:before="100" w:beforeAutospacing="1" w:after="100" w:afterAutospacing="1"/>
    </w:pPr>
  </w:style>
  <w:style w:type="character" w:styleId="Hyperlink">
    <w:name w:val="Hyperlink"/>
    <w:uiPriority w:val="99"/>
    <w:unhideWhenUsed/>
    <w:rsid w:val="00F91905"/>
    <w:rPr>
      <w:color w:val="0000FF"/>
      <w:u w:val="single"/>
    </w:rPr>
  </w:style>
  <w:style w:type="paragraph" w:customStyle="1" w:styleId="textoalinhadoesquerda">
    <w:name w:val="texto_alinhado_esquerda"/>
    <w:basedOn w:val="Normal"/>
    <w:rsid w:val="00F91905"/>
    <w:pPr>
      <w:spacing w:before="100" w:beforeAutospacing="1" w:after="100" w:afterAutospacing="1"/>
    </w:pPr>
  </w:style>
  <w:style w:type="character" w:customStyle="1" w:styleId="TextodebaloChar">
    <w:name w:val="Texto de balão Char"/>
    <w:basedOn w:val="Fontepargpadro"/>
    <w:link w:val="Textodebalo"/>
    <w:uiPriority w:val="99"/>
    <w:semiHidden/>
    <w:rsid w:val="00272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778">
      <w:bodyDiv w:val="1"/>
      <w:marLeft w:val="0"/>
      <w:marRight w:val="0"/>
      <w:marTop w:val="0"/>
      <w:marBottom w:val="0"/>
      <w:divBdr>
        <w:top w:val="none" w:sz="0" w:space="0" w:color="auto"/>
        <w:left w:val="none" w:sz="0" w:space="0" w:color="auto"/>
        <w:bottom w:val="none" w:sz="0" w:space="0" w:color="auto"/>
        <w:right w:val="none" w:sz="0" w:space="0" w:color="auto"/>
      </w:divBdr>
    </w:div>
    <w:div w:id="6909315">
      <w:bodyDiv w:val="1"/>
      <w:marLeft w:val="0"/>
      <w:marRight w:val="0"/>
      <w:marTop w:val="0"/>
      <w:marBottom w:val="0"/>
      <w:divBdr>
        <w:top w:val="none" w:sz="0" w:space="0" w:color="auto"/>
        <w:left w:val="none" w:sz="0" w:space="0" w:color="auto"/>
        <w:bottom w:val="none" w:sz="0" w:space="0" w:color="auto"/>
        <w:right w:val="none" w:sz="0" w:space="0" w:color="auto"/>
      </w:divBdr>
    </w:div>
    <w:div w:id="9069859">
      <w:bodyDiv w:val="1"/>
      <w:marLeft w:val="0"/>
      <w:marRight w:val="0"/>
      <w:marTop w:val="0"/>
      <w:marBottom w:val="0"/>
      <w:divBdr>
        <w:top w:val="none" w:sz="0" w:space="0" w:color="auto"/>
        <w:left w:val="none" w:sz="0" w:space="0" w:color="auto"/>
        <w:bottom w:val="none" w:sz="0" w:space="0" w:color="auto"/>
        <w:right w:val="none" w:sz="0" w:space="0" w:color="auto"/>
      </w:divBdr>
    </w:div>
    <w:div w:id="15008068">
      <w:bodyDiv w:val="1"/>
      <w:marLeft w:val="0"/>
      <w:marRight w:val="0"/>
      <w:marTop w:val="0"/>
      <w:marBottom w:val="0"/>
      <w:divBdr>
        <w:top w:val="none" w:sz="0" w:space="0" w:color="auto"/>
        <w:left w:val="none" w:sz="0" w:space="0" w:color="auto"/>
        <w:bottom w:val="none" w:sz="0" w:space="0" w:color="auto"/>
        <w:right w:val="none" w:sz="0" w:space="0" w:color="auto"/>
      </w:divBdr>
    </w:div>
    <w:div w:id="15008259">
      <w:bodyDiv w:val="1"/>
      <w:marLeft w:val="0"/>
      <w:marRight w:val="0"/>
      <w:marTop w:val="0"/>
      <w:marBottom w:val="0"/>
      <w:divBdr>
        <w:top w:val="none" w:sz="0" w:space="0" w:color="auto"/>
        <w:left w:val="none" w:sz="0" w:space="0" w:color="auto"/>
        <w:bottom w:val="none" w:sz="0" w:space="0" w:color="auto"/>
        <w:right w:val="none" w:sz="0" w:space="0" w:color="auto"/>
      </w:divBdr>
    </w:div>
    <w:div w:id="15279478">
      <w:bodyDiv w:val="1"/>
      <w:marLeft w:val="0"/>
      <w:marRight w:val="0"/>
      <w:marTop w:val="0"/>
      <w:marBottom w:val="0"/>
      <w:divBdr>
        <w:top w:val="none" w:sz="0" w:space="0" w:color="auto"/>
        <w:left w:val="none" w:sz="0" w:space="0" w:color="auto"/>
        <w:bottom w:val="none" w:sz="0" w:space="0" w:color="auto"/>
        <w:right w:val="none" w:sz="0" w:space="0" w:color="auto"/>
      </w:divBdr>
    </w:div>
    <w:div w:id="15817100">
      <w:bodyDiv w:val="1"/>
      <w:marLeft w:val="0"/>
      <w:marRight w:val="0"/>
      <w:marTop w:val="0"/>
      <w:marBottom w:val="0"/>
      <w:divBdr>
        <w:top w:val="none" w:sz="0" w:space="0" w:color="auto"/>
        <w:left w:val="none" w:sz="0" w:space="0" w:color="auto"/>
        <w:bottom w:val="none" w:sz="0" w:space="0" w:color="auto"/>
        <w:right w:val="none" w:sz="0" w:space="0" w:color="auto"/>
      </w:divBdr>
    </w:div>
    <w:div w:id="16197002">
      <w:bodyDiv w:val="1"/>
      <w:marLeft w:val="0"/>
      <w:marRight w:val="0"/>
      <w:marTop w:val="0"/>
      <w:marBottom w:val="0"/>
      <w:divBdr>
        <w:top w:val="none" w:sz="0" w:space="0" w:color="auto"/>
        <w:left w:val="none" w:sz="0" w:space="0" w:color="auto"/>
        <w:bottom w:val="none" w:sz="0" w:space="0" w:color="auto"/>
        <w:right w:val="none" w:sz="0" w:space="0" w:color="auto"/>
      </w:divBdr>
    </w:div>
    <w:div w:id="18164600">
      <w:bodyDiv w:val="1"/>
      <w:marLeft w:val="0"/>
      <w:marRight w:val="0"/>
      <w:marTop w:val="0"/>
      <w:marBottom w:val="0"/>
      <w:divBdr>
        <w:top w:val="none" w:sz="0" w:space="0" w:color="auto"/>
        <w:left w:val="none" w:sz="0" w:space="0" w:color="auto"/>
        <w:bottom w:val="none" w:sz="0" w:space="0" w:color="auto"/>
        <w:right w:val="none" w:sz="0" w:space="0" w:color="auto"/>
      </w:divBdr>
    </w:div>
    <w:div w:id="21711347">
      <w:bodyDiv w:val="1"/>
      <w:marLeft w:val="0"/>
      <w:marRight w:val="0"/>
      <w:marTop w:val="0"/>
      <w:marBottom w:val="0"/>
      <w:divBdr>
        <w:top w:val="none" w:sz="0" w:space="0" w:color="auto"/>
        <w:left w:val="none" w:sz="0" w:space="0" w:color="auto"/>
        <w:bottom w:val="none" w:sz="0" w:space="0" w:color="auto"/>
        <w:right w:val="none" w:sz="0" w:space="0" w:color="auto"/>
      </w:divBdr>
    </w:div>
    <w:div w:id="23596824">
      <w:bodyDiv w:val="1"/>
      <w:marLeft w:val="0"/>
      <w:marRight w:val="0"/>
      <w:marTop w:val="0"/>
      <w:marBottom w:val="0"/>
      <w:divBdr>
        <w:top w:val="none" w:sz="0" w:space="0" w:color="auto"/>
        <w:left w:val="none" w:sz="0" w:space="0" w:color="auto"/>
        <w:bottom w:val="none" w:sz="0" w:space="0" w:color="auto"/>
        <w:right w:val="none" w:sz="0" w:space="0" w:color="auto"/>
      </w:divBdr>
    </w:div>
    <w:div w:id="24644205">
      <w:bodyDiv w:val="1"/>
      <w:marLeft w:val="0"/>
      <w:marRight w:val="0"/>
      <w:marTop w:val="0"/>
      <w:marBottom w:val="0"/>
      <w:divBdr>
        <w:top w:val="none" w:sz="0" w:space="0" w:color="auto"/>
        <w:left w:val="none" w:sz="0" w:space="0" w:color="auto"/>
        <w:bottom w:val="none" w:sz="0" w:space="0" w:color="auto"/>
        <w:right w:val="none" w:sz="0" w:space="0" w:color="auto"/>
      </w:divBdr>
    </w:div>
    <w:div w:id="35735907">
      <w:bodyDiv w:val="1"/>
      <w:marLeft w:val="0"/>
      <w:marRight w:val="0"/>
      <w:marTop w:val="0"/>
      <w:marBottom w:val="0"/>
      <w:divBdr>
        <w:top w:val="none" w:sz="0" w:space="0" w:color="auto"/>
        <w:left w:val="none" w:sz="0" w:space="0" w:color="auto"/>
        <w:bottom w:val="none" w:sz="0" w:space="0" w:color="auto"/>
        <w:right w:val="none" w:sz="0" w:space="0" w:color="auto"/>
      </w:divBdr>
    </w:div>
    <w:div w:id="37702384">
      <w:bodyDiv w:val="1"/>
      <w:marLeft w:val="0"/>
      <w:marRight w:val="0"/>
      <w:marTop w:val="0"/>
      <w:marBottom w:val="0"/>
      <w:divBdr>
        <w:top w:val="none" w:sz="0" w:space="0" w:color="auto"/>
        <w:left w:val="none" w:sz="0" w:space="0" w:color="auto"/>
        <w:bottom w:val="none" w:sz="0" w:space="0" w:color="auto"/>
        <w:right w:val="none" w:sz="0" w:space="0" w:color="auto"/>
      </w:divBdr>
    </w:div>
    <w:div w:id="37824912">
      <w:bodyDiv w:val="1"/>
      <w:marLeft w:val="0"/>
      <w:marRight w:val="0"/>
      <w:marTop w:val="0"/>
      <w:marBottom w:val="0"/>
      <w:divBdr>
        <w:top w:val="none" w:sz="0" w:space="0" w:color="auto"/>
        <w:left w:val="none" w:sz="0" w:space="0" w:color="auto"/>
        <w:bottom w:val="none" w:sz="0" w:space="0" w:color="auto"/>
        <w:right w:val="none" w:sz="0" w:space="0" w:color="auto"/>
      </w:divBdr>
    </w:div>
    <w:div w:id="38361789">
      <w:bodyDiv w:val="1"/>
      <w:marLeft w:val="0"/>
      <w:marRight w:val="0"/>
      <w:marTop w:val="0"/>
      <w:marBottom w:val="0"/>
      <w:divBdr>
        <w:top w:val="none" w:sz="0" w:space="0" w:color="auto"/>
        <w:left w:val="none" w:sz="0" w:space="0" w:color="auto"/>
        <w:bottom w:val="none" w:sz="0" w:space="0" w:color="auto"/>
        <w:right w:val="none" w:sz="0" w:space="0" w:color="auto"/>
      </w:divBdr>
    </w:div>
    <w:div w:id="42413398">
      <w:bodyDiv w:val="1"/>
      <w:marLeft w:val="0"/>
      <w:marRight w:val="0"/>
      <w:marTop w:val="0"/>
      <w:marBottom w:val="0"/>
      <w:divBdr>
        <w:top w:val="none" w:sz="0" w:space="0" w:color="auto"/>
        <w:left w:val="none" w:sz="0" w:space="0" w:color="auto"/>
        <w:bottom w:val="none" w:sz="0" w:space="0" w:color="auto"/>
        <w:right w:val="none" w:sz="0" w:space="0" w:color="auto"/>
      </w:divBdr>
    </w:div>
    <w:div w:id="43725322">
      <w:bodyDiv w:val="1"/>
      <w:marLeft w:val="0"/>
      <w:marRight w:val="0"/>
      <w:marTop w:val="0"/>
      <w:marBottom w:val="0"/>
      <w:divBdr>
        <w:top w:val="none" w:sz="0" w:space="0" w:color="auto"/>
        <w:left w:val="none" w:sz="0" w:space="0" w:color="auto"/>
        <w:bottom w:val="none" w:sz="0" w:space="0" w:color="auto"/>
        <w:right w:val="none" w:sz="0" w:space="0" w:color="auto"/>
      </w:divBdr>
    </w:div>
    <w:div w:id="43801783">
      <w:bodyDiv w:val="1"/>
      <w:marLeft w:val="0"/>
      <w:marRight w:val="0"/>
      <w:marTop w:val="0"/>
      <w:marBottom w:val="0"/>
      <w:divBdr>
        <w:top w:val="none" w:sz="0" w:space="0" w:color="auto"/>
        <w:left w:val="none" w:sz="0" w:space="0" w:color="auto"/>
        <w:bottom w:val="none" w:sz="0" w:space="0" w:color="auto"/>
        <w:right w:val="none" w:sz="0" w:space="0" w:color="auto"/>
      </w:divBdr>
    </w:div>
    <w:div w:id="45493811">
      <w:bodyDiv w:val="1"/>
      <w:marLeft w:val="0"/>
      <w:marRight w:val="0"/>
      <w:marTop w:val="0"/>
      <w:marBottom w:val="0"/>
      <w:divBdr>
        <w:top w:val="none" w:sz="0" w:space="0" w:color="auto"/>
        <w:left w:val="none" w:sz="0" w:space="0" w:color="auto"/>
        <w:bottom w:val="none" w:sz="0" w:space="0" w:color="auto"/>
        <w:right w:val="none" w:sz="0" w:space="0" w:color="auto"/>
      </w:divBdr>
    </w:div>
    <w:div w:id="46493597">
      <w:bodyDiv w:val="1"/>
      <w:marLeft w:val="0"/>
      <w:marRight w:val="0"/>
      <w:marTop w:val="0"/>
      <w:marBottom w:val="0"/>
      <w:divBdr>
        <w:top w:val="none" w:sz="0" w:space="0" w:color="auto"/>
        <w:left w:val="none" w:sz="0" w:space="0" w:color="auto"/>
        <w:bottom w:val="none" w:sz="0" w:space="0" w:color="auto"/>
        <w:right w:val="none" w:sz="0" w:space="0" w:color="auto"/>
      </w:divBdr>
    </w:div>
    <w:div w:id="50158611">
      <w:bodyDiv w:val="1"/>
      <w:marLeft w:val="0"/>
      <w:marRight w:val="0"/>
      <w:marTop w:val="0"/>
      <w:marBottom w:val="0"/>
      <w:divBdr>
        <w:top w:val="none" w:sz="0" w:space="0" w:color="auto"/>
        <w:left w:val="none" w:sz="0" w:space="0" w:color="auto"/>
        <w:bottom w:val="none" w:sz="0" w:space="0" w:color="auto"/>
        <w:right w:val="none" w:sz="0" w:space="0" w:color="auto"/>
      </w:divBdr>
    </w:div>
    <w:div w:id="54209687">
      <w:bodyDiv w:val="1"/>
      <w:marLeft w:val="0"/>
      <w:marRight w:val="0"/>
      <w:marTop w:val="0"/>
      <w:marBottom w:val="0"/>
      <w:divBdr>
        <w:top w:val="none" w:sz="0" w:space="0" w:color="auto"/>
        <w:left w:val="none" w:sz="0" w:space="0" w:color="auto"/>
        <w:bottom w:val="none" w:sz="0" w:space="0" w:color="auto"/>
        <w:right w:val="none" w:sz="0" w:space="0" w:color="auto"/>
      </w:divBdr>
    </w:div>
    <w:div w:id="56906339">
      <w:bodyDiv w:val="1"/>
      <w:marLeft w:val="0"/>
      <w:marRight w:val="0"/>
      <w:marTop w:val="0"/>
      <w:marBottom w:val="0"/>
      <w:divBdr>
        <w:top w:val="none" w:sz="0" w:space="0" w:color="auto"/>
        <w:left w:val="none" w:sz="0" w:space="0" w:color="auto"/>
        <w:bottom w:val="none" w:sz="0" w:space="0" w:color="auto"/>
        <w:right w:val="none" w:sz="0" w:space="0" w:color="auto"/>
      </w:divBdr>
    </w:div>
    <w:div w:id="59984088">
      <w:bodyDiv w:val="1"/>
      <w:marLeft w:val="0"/>
      <w:marRight w:val="0"/>
      <w:marTop w:val="0"/>
      <w:marBottom w:val="0"/>
      <w:divBdr>
        <w:top w:val="none" w:sz="0" w:space="0" w:color="auto"/>
        <w:left w:val="none" w:sz="0" w:space="0" w:color="auto"/>
        <w:bottom w:val="none" w:sz="0" w:space="0" w:color="auto"/>
        <w:right w:val="none" w:sz="0" w:space="0" w:color="auto"/>
      </w:divBdr>
    </w:div>
    <w:div w:id="60754224">
      <w:bodyDiv w:val="1"/>
      <w:marLeft w:val="0"/>
      <w:marRight w:val="0"/>
      <w:marTop w:val="0"/>
      <w:marBottom w:val="0"/>
      <w:divBdr>
        <w:top w:val="none" w:sz="0" w:space="0" w:color="auto"/>
        <w:left w:val="none" w:sz="0" w:space="0" w:color="auto"/>
        <w:bottom w:val="none" w:sz="0" w:space="0" w:color="auto"/>
        <w:right w:val="none" w:sz="0" w:space="0" w:color="auto"/>
      </w:divBdr>
    </w:div>
    <w:div w:id="61028545">
      <w:bodyDiv w:val="1"/>
      <w:marLeft w:val="0"/>
      <w:marRight w:val="0"/>
      <w:marTop w:val="0"/>
      <w:marBottom w:val="0"/>
      <w:divBdr>
        <w:top w:val="none" w:sz="0" w:space="0" w:color="auto"/>
        <w:left w:val="none" w:sz="0" w:space="0" w:color="auto"/>
        <w:bottom w:val="none" w:sz="0" w:space="0" w:color="auto"/>
        <w:right w:val="none" w:sz="0" w:space="0" w:color="auto"/>
      </w:divBdr>
    </w:div>
    <w:div w:id="66852842">
      <w:bodyDiv w:val="1"/>
      <w:marLeft w:val="0"/>
      <w:marRight w:val="0"/>
      <w:marTop w:val="0"/>
      <w:marBottom w:val="0"/>
      <w:divBdr>
        <w:top w:val="none" w:sz="0" w:space="0" w:color="auto"/>
        <w:left w:val="none" w:sz="0" w:space="0" w:color="auto"/>
        <w:bottom w:val="none" w:sz="0" w:space="0" w:color="auto"/>
        <w:right w:val="none" w:sz="0" w:space="0" w:color="auto"/>
      </w:divBdr>
    </w:div>
    <w:div w:id="69036995">
      <w:bodyDiv w:val="1"/>
      <w:marLeft w:val="0"/>
      <w:marRight w:val="0"/>
      <w:marTop w:val="0"/>
      <w:marBottom w:val="0"/>
      <w:divBdr>
        <w:top w:val="none" w:sz="0" w:space="0" w:color="auto"/>
        <w:left w:val="none" w:sz="0" w:space="0" w:color="auto"/>
        <w:bottom w:val="none" w:sz="0" w:space="0" w:color="auto"/>
        <w:right w:val="none" w:sz="0" w:space="0" w:color="auto"/>
      </w:divBdr>
    </w:div>
    <w:div w:id="69934741">
      <w:bodyDiv w:val="1"/>
      <w:marLeft w:val="0"/>
      <w:marRight w:val="0"/>
      <w:marTop w:val="0"/>
      <w:marBottom w:val="0"/>
      <w:divBdr>
        <w:top w:val="none" w:sz="0" w:space="0" w:color="auto"/>
        <w:left w:val="none" w:sz="0" w:space="0" w:color="auto"/>
        <w:bottom w:val="none" w:sz="0" w:space="0" w:color="auto"/>
        <w:right w:val="none" w:sz="0" w:space="0" w:color="auto"/>
      </w:divBdr>
    </w:div>
    <w:div w:id="70587782">
      <w:bodyDiv w:val="1"/>
      <w:marLeft w:val="0"/>
      <w:marRight w:val="0"/>
      <w:marTop w:val="0"/>
      <w:marBottom w:val="0"/>
      <w:divBdr>
        <w:top w:val="none" w:sz="0" w:space="0" w:color="auto"/>
        <w:left w:val="none" w:sz="0" w:space="0" w:color="auto"/>
        <w:bottom w:val="none" w:sz="0" w:space="0" w:color="auto"/>
        <w:right w:val="none" w:sz="0" w:space="0" w:color="auto"/>
      </w:divBdr>
    </w:div>
    <w:div w:id="71856878">
      <w:bodyDiv w:val="1"/>
      <w:marLeft w:val="0"/>
      <w:marRight w:val="0"/>
      <w:marTop w:val="0"/>
      <w:marBottom w:val="0"/>
      <w:divBdr>
        <w:top w:val="none" w:sz="0" w:space="0" w:color="auto"/>
        <w:left w:val="none" w:sz="0" w:space="0" w:color="auto"/>
        <w:bottom w:val="none" w:sz="0" w:space="0" w:color="auto"/>
        <w:right w:val="none" w:sz="0" w:space="0" w:color="auto"/>
      </w:divBdr>
    </w:div>
    <w:div w:id="76829017">
      <w:bodyDiv w:val="1"/>
      <w:marLeft w:val="0"/>
      <w:marRight w:val="0"/>
      <w:marTop w:val="0"/>
      <w:marBottom w:val="0"/>
      <w:divBdr>
        <w:top w:val="none" w:sz="0" w:space="0" w:color="auto"/>
        <w:left w:val="none" w:sz="0" w:space="0" w:color="auto"/>
        <w:bottom w:val="none" w:sz="0" w:space="0" w:color="auto"/>
        <w:right w:val="none" w:sz="0" w:space="0" w:color="auto"/>
      </w:divBdr>
    </w:div>
    <w:div w:id="77757200">
      <w:bodyDiv w:val="1"/>
      <w:marLeft w:val="0"/>
      <w:marRight w:val="0"/>
      <w:marTop w:val="0"/>
      <w:marBottom w:val="0"/>
      <w:divBdr>
        <w:top w:val="none" w:sz="0" w:space="0" w:color="auto"/>
        <w:left w:val="none" w:sz="0" w:space="0" w:color="auto"/>
        <w:bottom w:val="none" w:sz="0" w:space="0" w:color="auto"/>
        <w:right w:val="none" w:sz="0" w:space="0" w:color="auto"/>
      </w:divBdr>
    </w:div>
    <w:div w:id="78135860">
      <w:bodyDiv w:val="1"/>
      <w:marLeft w:val="0"/>
      <w:marRight w:val="0"/>
      <w:marTop w:val="0"/>
      <w:marBottom w:val="0"/>
      <w:divBdr>
        <w:top w:val="none" w:sz="0" w:space="0" w:color="auto"/>
        <w:left w:val="none" w:sz="0" w:space="0" w:color="auto"/>
        <w:bottom w:val="none" w:sz="0" w:space="0" w:color="auto"/>
        <w:right w:val="none" w:sz="0" w:space="0" w:color="auto"/>
      </w:divBdr>
    </w:div>
    <w:div w:id="80955644">
      <w:bodyDiv w:val="1"/>
      <w:marLeft w:val="0"/>
      <w:marRight w:val="0"/>
      <w:marTop w:val="0"/>
      <w:marBottom w:val="0"/>
      <w:divBdr>
        <w:top w:val="none" w:sz="0" w:space="0" w:color="auto"/>
        <w:left w:val="none" w:sz="0" w:space="0" w:color="auto"/>
        <w:bottom w:val="none" w:sz="0" w:space="0" w:color="auto"/>
        <w:right w:val="none" w:sz="0" w:space="0" w:color="auto"/>
      </w:divBdr>
    </w:div>
    <w:div w:id="84305717">
      <w:bodyDiv w:val="1"/>
      <w:marLeft w:val="0"/>
      <w:marRight w:val="0"/>
      <w:marTop w:val="0"/>
      <w:marBottom w:val="0"/>
      <w:divBdr>
        <w:top w:val="none" w:sz="0" w:space="0" w:color="auto"/>
        <w:left w:val="none" w:sz="0" w:space="0" w:color="auto"/>
        <w:bottom w:val="none" w:sz="0" w:space="0" w:color="auto"/>
        <w:right w:val="none" w:sz="0" w:space="0" w:color="auto"/>
      </w:divBdr>
    </w:div>
    <w:div w:id="85225327">
      <w:bodyDiv w:val="1"/>
      <w:marLeft w:val="0"/>
      <w:marRight w:val="0"/>
      <w:marTop w:val="0"/>
      <w:marBottom w:val="0"/>
      <w:divBdr>
        <w:top w:val="none" w:sz="0" w:space="0" w:color="auto"/>
        <w:left w:val="none" w:sz="0" w:space="0" w:color="auto"/>
        <w:bottom w:val="none" w:sz="0" w:space="0" w:color="auto"/>
        <w:right w:val="none" w:sz="0" w:space="0" w:color="auto"/>
      </w:divBdr>
    </w:div>
    <w:div w:id="87311751">
      <w:bodyDiv w:val="1"/>
      <w:marLeft w:val="0"/>
      <w:marRight w:val="0"/>
      <w:marTop w:val="0"/>
      <w:marBottom w:val="0"/>
      <w:divBdr>
        <w:top w:val="none" w:sz="0" w:space="0" w:color="auto"/>
        <w:left w:val="none" w:sz="0" w:space="0" w:color="auto"/>
        <w:bottom w:val="none" w:sz="0" w:space="0" w:color="auto"/>
        <w:right w:val="none" w:sz="0" w:space="0" w:color="auto"/>
      </w:divBdr>
    </w:div>
    <w:div w:id="89352366">
      <w:bodyDiv w:val="1"/>
      <w:marLeft w:val="0"/>
      <w:marRight w:val="0"/>
      <w:marTop w:val="0"/>
      <w:marBottom w:val="0"/>
      <w:divBdr>
        <w:top w:val="none" w:sz="0" w:space="0" w:color="auto"/>
        <w:left w:val="none" w:sz="0" w:space="0" w:color="auto"/>
        <w:bottom w:val="none" w:sz="0" w:space="0" w:color="auto"/>
        <w:right w:val="none" w:sz="0" w:space="0" w:color="auto"/>
      </w:divBdr>
    </w:div>
    <w:div w:id="92091426">
      <w:bodyDiv w:val="1"/>
      <w:marLeft w:val="0"/>
      <w:marRight w:val="0"/>
      <w:marTop w:val="0"/>
      <w:marBottom w:val="0"/>
      <w:divBdr>
        <w:top w:val="none" w:sz="0" w:space="0" w:color="auto"/>
        <w:left w:val="none" w:sz="0" w:space="0" w:color="auto"/>
        <w:bottom w:val="none" w:sz="0" w:space="0" w:color="auto"/>
        <w:right w:val="none" w:sz="0" w:space="0" w:color="auto"/>
      </w:divBdr>
    </w:div>
    <w:div w:id="96565751">
      <w:bodyDiv w:val="1"/>
      <w:marLeft w:val="0"/>
      <w:marRight w:val="0"/>
      <w:marTop w:val="0"/>
      <w:marBottom w:val="0"/>
      <w:divBdr>
        <w:top w:val="none" w:sz="0" w:space="0" w:color="auto"/>
        <w:left w:val="none" w:sz="0" w:space="0" w:color="auto"/>
        <w:bottom w:val="none" w:sz="0" w:space="0" w:color="auto"/>
        <w:right w:val="none" w:sz="0" w:space="0" w:color="auto"/>
      </w:divBdr>
    </w:div>
    <w:div w:id="99301331">
      <w:bodyDiv w:val="1"/>
      <w:marLeft w:val="0"/>
      <w:marRight w:val="0"/>
      <w:marTop w:val="0"/>
      <w:marBottom w:val="0"/>
      <w:divBdr>
        <w:top w:val="none" w:sz="0" w:space="0" w:color="auto"/>
        <w:left w:val="none" w:sz="0" w:space="0" w:color="auto"/>
        <w:bottom w:val="none" w:sz="0" w:space="0" w:color="auto"/>
        <w:right w:val="none" w:sz="0" w:space="0" w:color="auto"/>
      </w:divBdr>
    </w:div>
    <w:div w:id="104429875">
      <w:bodyDiv w:val="1"/>
      <w:marLeft w:val="0"/>
      <w:marRight w:val="0"/>
      <w:marTop w:val="0"/>
      <w:marBottom w:val="0"/>
      <w:divBdr>
        <w:top w:val="none" w:sz="0" w:space="0" w:color="auto"/>
        <w:left w:val="none" w:sz="0" w:space="0" w:color="auto"/>
        <w:bottom w:val="none" w:sz="0" w:space="0" w:color="auto"/>
        <w:right w:val="none" w:sz="0" w:space="0" w:color="auto"/>
      </w:divBdr>
    </w:div>
    <w:div w:id="106393598">
      <w:bodyDiv w:val="1"/>
      <w:marLeft w:val="0"/>
      <w:marRight w:val="0"/>
      <w:marTop w:val="0"/>
      <w:marBottom w:val="0"/>
      <w:divBdr>
        <w:top w:val="none" w:sz="0" w:space="0" w:color="auto"/>
        <w:left w:val="none" w:sz="0" w:space="0" w:color="auto"/>
        <w:bottom w:val="none" w:sz="0" w:space="0" w:color="auto"/>
        <w:right w:val="none" w:sz="0" w:space="0" w:color="auto"/>
      </w:divBdr>
    </w:div>
    <w:div w:id="107551756">
      <w:bodyDiv w:val="1"/>
      <w:marLeft w:val="0"/>
      <w:marRight w:val="0"/>
      <w:marTop w:val="0"/>
      <w:marBottom w:val="0"/>
      <w:divBdr>
        <w:top w:val="none" w:sz="0" w:space="0" w:color="auto"/>
        <w:left w:val="none" w:sz="0" w:space="0" w:color="auto"/>
        <w:bottom w:val="none" w:sz="0" w:space="0" w:color="auto"/>
        <w:right w:val="none" w:sz="0" w:space="0" w:color="auto"/>
      </w:divBdr>
    </w:div>
    <w:div w:id="110706772">
      <w:bodyDiv w:val="1"/>
      <w:marLeft w:val="0"/>
      <w:marRight w:val="0"/>
      <w:marTop w:val="0"/>
      <w:marBottom w:val="0"/>
      <w:divBdr>
        <w:top w:val="none" w:sz="0" w:space="0" w:color="auto"/>
        <w:left w:val="none" w:sz="0" w:space="0" w:color="auto"/>
        <w:bottom w:val="none" w:sz="0" w:space="0" w:color="auto"/>
        <w:right w:val="none" w:sz="0" w:space="0" w:color="auto"/>
      </w:divBdr>
    </w:div>
    <w:div w:id="114833042">
      <w:bodyDiv w:val="1"/>
      <w:marLeft w:val="0"/>
      <w:marRight w:val="0"/>
      <w:marTop w:val="0"/>
      <w:marBottom w:val="0"/>
      <w:divBdr>
        <w:top w:val="none" w:sz="0" w:space="0" w:color="auto"/>
        <w:left w:val="none" w:sz="0" w:space="0" w:color="auto"/>
        <w:bottom w:val="none" w:sz="0" w:space="0" w:color="auto"/>
        <w:right w:val="none" w:sz="0" w:space="0" w:color="auto"/>
      </w:divBdr>
    </w:div>
    <w:div w:id="115178995">
      <w:bodyDiv w:val="1"/>
      <w:marLeft w:val="0"/>
      <w:marRight w:val="0"/>
      <w:marTop w:val="0"/>
      <w:marBottom w:val="0"/>
      <w:divBdr>
        <w:top w:val="none" w:sz="0" w:space="0" w:color="auto"/>
        <w:left w:val="none" w:sz="0" w:space="0" w:color="auto"/>
        <w:bottom w:val="none" w:sz="0" w:space="0" w:color="auto"/>
        <w:right w:val="none" w:sz="0" w:space="0" w:color="auto"/>
      </w:divBdr>
    </w:div>
    <w:div w:id="120156841">
      <w:bodyDiv w:val="1"/>
      <w:marLeft w:val="0"/>
      <w:marRight w:val="0"/>
      <w:marTop w:val="0"/>
      <w:marBottom w:val="0"/>
      <w:divBdr>
        <w:top w:val="none" w:sz="0" w:space="0" w:color="auto"/>
        <w:left w:val="none" w:sz="0" w:space="0" w:color="auto"/>
        <w:bottom w:val="none" w:sz="0" w:space="0" w:color="auto"/>
        <w:right w:val="none" w:sz="0" w:space="0" w:color="auto"/>
      </w:divBdr>
    </w:div>
    <w:div w:id="121655441">
      <w:bodyDiv w:val="1"/>
      <w:marLeft w:val="0"/>
      <w:marRight w:val="0"/>
      <w:marTop w:val="0"/>
      <w:marBottom w:val="0"/>
      <w:divBdr>
        <w:top w:val="none" w:sz="0" w:space="0" w:color="auto"/>
        <w:left w:val="none" w:sz="0" w:space="0" w:color="auto"/>
        <w:bottom w:val="none" w:sz="0" w:space="0" w:color="auto"/>
        <w:right w:val="none" w:sz="0" w:space="0" w:color="auto"/>
      </w:divBdr>
    </w:div>
    <w:div w:id="123619131">
      <w:bodyDiv w:val="1"/>
      <w:marLeft w:val="0"/>
      <w:marRight w:val="0"/>
      <w:marTop w:val="0"/>
      <w:marBottom w:val="0"/>
      <w:divBdr>
        <w:top w:val="none" w:sz="0" w:space="0" w:color="auto"/>
        <w:left w:val="none" w:sz="0" w:space="0" w:color="auto"/>
        <w:bottom w:val="none" w:sz="0" w:space="0" w:color="auto"/>
        <w:right w:val="none" w:sz="0" w:space="0" w:color="auto"/>
      </w:divBdr>
    </w:div>
    <w:div w:id="124087420">
      <w:bodyDiv w:val="1"/>
      <w:marLeft w:val="0"/>
      <w:marRight w:val="0"/>
      <w:marTop w:val="0"/>
      <w:marBottom w:val="0"/>
      <w:divBdr>
        <w:top w:val="none" w:sz="0" w:space="0" w:color="auto"/>
        <w:left w:val="none" w:sz="0" w:space="0" w:color="auto"/>
        <w:bottom w:val="none" w:sz="0" w:space="0" w:color="auto"/>
        <w:right w:val="none" w:sz="0" w:space="0" w:color="auto"/>
      </w:divBdr>
    </w:div>
    <w:div w:id="128403254">
      <w:bodyDiv w:val="1"/>
      <w:marLeft w:val="0"/>
      <w:marRight w:val="0"/>
      <w:marTop w:val="0"/>
      <w:marBottom w:val="0"/>
      <w:divBdr>
        <w:top w:val="none" w:sz="0" w:space="0" w:color="auto"/>
        <w:left w:val="none" w:sz="0" w:space="0" w:color="auto"/>
        <w:bottom w:val="none" w:sz="0" w:space="0" w:color="auto"/>
        <w:right w:val="none" w:sz="0" w:space="0" w:color="auto"/>
      </w:divBdr>
    </w:div>
    <w:div w:id="131411280">
      <w:bodyDiv w:val="1"/>
      <w:marLeft w:val="0"/>
      <w:marRight w:val="0"/>
      <w:marTop w:val="0"/>
      <w:marBottom w:val="0"/>
      <w:divBdr>
        <w:top w:val="none" w:sz="0" w:space="0" w:color="auto"/>
        <w:left w:val="none" w:sz="0" w:space="0" w:color="auto"/>
        <w:bottom w:val="none" w:sz="0" w:space="0" w:color="auto"/>
        <w:right w:val="none" w:sz="0" w:space="0" w:color="auto"/>
      </w:divBdr>
    </w:div>
    <w:div w:id="131557522">
      <w:bodyDiv w:val="1"/>
      <w:marLeft w:val="0"/>
      <w:marRight w:val="0"/>
      <w:marTop w:val="0"/>
      <w:marBottom w:val="0"/>
      <w:divBdr>
        <w:top w:val="none" w:sz="0" w:space="0" w:color="auto"/>
        <w:left w:val="none" w:sz="0" w:space="0" w:color="auto"/>
        <w:bottom w:val="none" w:sz="0" w:space="0" w:color="auto"/>
        <w:right w:val="none" w:sz="0" w:space="0" w:color="auto"/>
      </w:divBdr>
    </w:div>
    <w:div w:id="132211917">
      <w:bodyDiv w:val="1"/>
      <w:marLeft w:val="0"/>
      <w:marRight w:val="0"/>
      <w:marTop w:val="0"/>
      <w:marBottom w:val="0"/>
      <w:divBdr>
        <w:top w:val="none" w:sz="0" w:space="0" w:color="auto"/>
        <w:left w:val="none" w:sz="0" w:space="0" w:color="auto"/>
        <w:bottom w:val="none" w:sz="0" w:space="0" w:color="auto"/>
        <w:right w:val="none" w:sz="0" w:space="0" w:color="auto"/>
      </w:divBdr>
    </w:div>
    <w:div w:id="132719323">
      <w:bodyDiv w:val="1"/>
      <w:marLeft w:val="0"/>
      <w:marRight w:val="0"/>
      <w:marTop w:val="0"/>
      <w:marBottom w:val="0"/>
      <w:divBdr>
        <w:top w:val="none" w:sz="0" w:space="0" w:color="auto"/>
        <w:left w:val="none" w:sz="0" w:space="0" w:color="auto"/>
        <w:bottom w:val="none" w:sz="0" w:space="0" w:color="auto"/>
        <w:right w:val="none" w:sz="0" w:space="0" w:color="auto"/>
      </w:divBdr>
    </w:div>
    <w:div w:id="133834575">
      <w:bodyDiv w:val="1"/>
      <w:marLeft w:val="0"/>
      <w:marRight w:val="0"/>
      <w:marTop w:val="0"/>
      <w:marBottom w:val="0"/>
      <w:divBdr>
        <w:top w:val="none" w:sz="0" w:space="0" w:color="auto"/>
        <w:left w:val="none" w:sz="0" w:space="0" w:color="auto"/>
        <w:bottom w:val="none" w:sz="0" w:space="0" w:color="auto"/>
        <w:right w:val="none" w:sz="0" w:space="0" w:color="auto"/>
      </w:divBdr>
    </w:div>
    <w:div w:id="139612156">
      <w:bodyDiv w:val="1"/>
      <w:marLeft w:val="0"/>
      <w:marRight w:val="0"/>
      <w:marTop w:val="0"/>
      <w:marBottom w:val="0"/>
      <w:divBdr>
        <w:top w:val="none" w:sz="0" w:space="0" w:color="auto"/>
        <w:left w:val="none" w:sz="0" w:space="0" w:color="auto"/>
        <w:bottom w:val="none" w:sz="0" w:space="0" w:color="auto"/>
        <w:right w:val="none" w:sz="0" w:space="0" w:color="auto"/>
      </w:divBdr>
    </w:div>
    <w:div w:id="142082423">
      <w:bodyDiv w:val="1"/>
      <w:marLeft w:val="0"/>
      <w:marRight w:val="0"/>
      <w:marTop w:val="0"/>
      <w:marBottom w:val="0"/>
      <w:divBdr>
        <w:top w:val="none" w:sz="0" w:space="0" w:color="auto"/>
        <w:left w:val="none" w:sz="0" w:space="0" w:color="auto"/>
        <w:bottom w:val="none" w:sz="0" w:space="0" w:color="auto"/>
        <w:right w:val="none" w:sz="0" w:space="0" w:color="auto"/>
      </w:divBdr>
    </w:div>
    <w:div w:id="142893239">
      <w:bodyDiv w:val="1"/>
      <w:marLeft w:val="0"/>
      <w:marRight w:val="0"/>
      <w:marTop w:val="0"/>
      <w:marBottom w:val="0"/>
      <w:divBdr>
        <w:top w:val="none" w:sz="0" w:space="0" w:color="auto"/>
        <w:left w:val="none" w:sz="0" w:space="0" w:color="auto"/>
        <w:bottom w:val="none" w:sz="0" w:space="0" w:color="auto"/>
        <w:right w:val="none" w:sz="0" w:space="0" w:color="auto"/>
      </w:divBdr>
    </w:div>
    <w:div w:id="155389918">
      <w:bodyDiv w:val="1"/>
      <w:marLeft w:val="0"/>
      <w:marRight w:val="0"/>
      <w:marTop w:val="0"/>
      <w:marBottom w:val="0"/>
      <w:divBdr>
        <w:top w:val="none" w:sz="0" w:space="0" w:color="auto"/>
        <w:left w:val="none" w:sz="0" w:space="0" w:color="auto"/>
        <w:bottom w:val="none" w:sz="0" w:space="0" w:color="auto"/>
        <w:right w:val="none" w:sz="0" w:space="0" w:color="auto"/>
      </w:divBdr>
    </w:div>
    <w:div w:id="156043675">
      <w:bodyDiv w:val="1"/>
      <w:marLeft w:val="0"/>
      <w:marRight w:val="0"/>
      <w:marTop w:val="0"/>
      <w:marBottom w:val="0"/>
      <w:divBdr>
        <w:top w:val="none" w:sz="0" w:space="0" w:color="auto"/>
        <w:left w:val="none" w:sz="0" w:space="0" w:color="auto"/>
        <w:bottom w:val="none" w:sz="0" w:space="0" w:color="auto"/>
        <w:right w:val="none" w:sz="0" w:space="0" w:color="auto"/>
      </w:divBdr>
    </w:div>
    <w:div w:id="159152523">
      <w:bodyDiv w:val="1"/>
      <w:marLeft w:val="0"/>
      <w:marRight w:val="0"/>
      <w:marTop w:val="0"/>
      <w:marBottom w:val="0"/>
      <w:divBdr>
        <w:top w:val="none" w:sz="0" w:space="0" w:color="auto"/>
        <w:left w:val="none" w:sz="0" w:space="0" w:color="auto"/>
        <w:bottom w:val="none" w:sz="0" w:space="0" w:color="auto"/>
        <w:right w:val="none" w:sz="0" w:space="0" w:color="auto"/>
      </w:divBdr>
    </w:div>
    <w:div w:id="159735202">
      <w:bodyDiv w:val="1"/>
      <w:marLeft w:val="0"/>
      <w:marRight w:val="0"/>
      <w:marTop w:val="0"/>
      <w:marBottom w:val="0"/>
      <w:divBdr>
        <w:top w:val="none" w:sz="0" w:space="0" w:color="auto"/>
        <w:left w:val="none" w:sz="0" w:space="0" w:color="auto"/>
        <w:bottom w:val="none" w:sz="0" w:space="0" w:color="auto"/>
        <w:right w:val="none" w:sz="0" w:space="0" w:color="auto"/>
      </w:divBdr>
    </w:div>
    <w:div w:id="160507668">
      <w:bodyDiv w:val="1"/>
      <w:marLeft w:val="0"/>
      <w:marRight w:val="0"/>
      <w:marTop w:val="0"/>
      <w:marBottom w:val="0"/>
      <w:divBdr>
        <w:top w:val="none" w:sz="0" w:space="0" w:color="auto"/>
        <w:left w:val="none" w:sz="0" w:space="0" w:color="auto"/>
        <w:bottom w:val="none" w:sz="0" w:space="0" w:color="auto"/>
        <w:right w:val="none" w:sz="0" w:space="0" w:color="auto"/>
      </w:divBdr>
    </w:div>
    <w:div w:id="171339332">
      <w:bodyDiv w:val="1"/>
      <w:marLeft w:val="0"/>
      <w:marRight w:val="0"/>
      <w:marTop w:val="0"/>
      <w:marBottom w:val="0"/>
      <w:divBdr>
        <w:top w:val="none" w:sz="0" w:space="0" w:color="auto"/>
        <w:left w:val="none" w:sz="0" w:space="0" w:color="auto"/>
        <w:bottom w:val="none" w:sz="0" w:space="0" w:color="auto"/>
        <w:right w:val="none" w:sz="0" w:space="0" w:color="auto"/>
      </w:divBdr>
    </w:div>
    <w:div w:id="173499311">
      <w:bodyDiv w:val="1"/>
      <w:marLeft w:val="0"/>
      <w:marRight w:val="0"/>
      <w:marTop w:val="0"/>
      <w:marBottom w:val="0"/>
      <w:divBdr>
        <w:top w:val="none" w:sz="0" w:space="0" w:color="auto"/>
        <w:left w:val="none" w:sz="0" w:space="0" w:color="auto"/>
        <w:bottom w:val="none" w:sz="0" w:space="0" w:color="auto"/>
        <w:right w:val="none" w:sz="0" w:space="0" w:color="auto"/>
      </w:divBdr>
    </w:div>
    <w:div w:id="177699900">
      <w:bodyDiv w:val="1"/>
      <w:marLeft w:val="0"/>
      <w:marRight w:val="0"/>
      <w:marTop w:val="0"/>
      <w:marBottom w:val="0"/>
      <w:divBdr>
        <w:top w:val="none" w:sz="0" w:space="0" w:color="auto"/>
        <w:left w:val="none" w:sz="0" w:space="0" w:color="auto"/>
        <w:bottom w:val="none" w:sz="0" w:space="0" w:color="auto"/>
        <w:right w:val="none" w:sz="0" w:space="0" w:color="auto"/>
      </w:divBdr>
    </w:div>
    <w:div w:id="186676965">
      <w:bodyDiv w:val="1"/>
      <w:marLeft w:val="0"/>
      <w:marRight w:val="0"/>
      <w:marTop w:val="0"/>
      <w:marBottom w:val="0"/>
      <w:divBdr>
        <w:top w:val="none" w:sz="0" w:space="0" w:color="auto"/>
        <w:left w:val="none" w:sz="0" w:space="0" w:color="auto"/>
        <w:bottom w:val="none" w:sz="0" w:space="0" w:color="auto"/>
        <w:right w:val="none" w:sz="0" w:space="0" w:color="auto"/>
      </w:divBdr>
    </w:div>
    <w:div w:id="191263924">
      <w:bodyDiv w:val="1"/>
      <w:marLeft w:val="0"/>
      <w:marRight w:val="0"/>
      <w:marTop w:val="0"/>
      <w:marBottom w:val="0"/>
      <w:divBdr>
        <w:top w:val="none" w:sz="0" w:space="0" w:color="auto"/>
        <w:left w:val="none" w:sz="0" w:space="0" w:color="auto"/>
        <w:bottom w:val="none" w:sz="0" w:space="0" w:color="auto"/>
        <w:right w:val="none" w:sz="0" w:space="0" w:color="auto"/>
      </w:divBdr>
    </w:div>
    <w:div w:id="194083316">
      <w:bodyDiv w:val="1"/>
      <w:marLeft w:val="0"/>
      <w:marRight w:val="0"/>
      <w:marTop w:val="0"/>
      <w:marBottom w:val="0"/>
      <w:divBdr>
        <w:top w:val="none" w:sz="0" w:space="0" w:color="auto"/>
        <w:left w:val="none" w:sz="0" w:space="0" w:color="auto"/>
        <w:bottom w:val="none" w:sz="0" w:space="0" w:color="auto"/>
        <w:right w:val="none" w:sz="0" w:space="0" w:color="auto"/>
      </w:divBdr>
    </w:div>
    <w:div w:id="194975526">
      <w:bodyDiv w:val="1"/>
      <w:marLeft w:val="0"/>
      <w:marRight w:val="0"/>
      <w:marTop w:val="0"/>
      <w:marBottom w:val="0"/>
      <w:divBdr>
        <w:top w:val="none" w:sz="0" w:space="0" w:color="auto"/>
        <w:left w:val="none" w:sz="0" w:space="0" w:color="auto"/>
        <w:bottom w:val="none" w:sz="0" w:space="0" w:color="auto"/>
        <w:right w:val="none" w:sz="0" w:space="0" w:color="auto"/>
      </w:divBdr>
    </w:div>
    <w:div w:id="196745479">
      <w:bodyDiv w:val="1"/>
      <w:marLeft w:val="0"/>
      <w:marRight w:val="0"/>
      <w:marTop w:val="0"/>
      <w:marBottom w:val="0"/>
      <w:divBdr>
        <w:top w:val="none" w:sz="0" w:space="0" w:color="auto"/>
        <w:left w:val="none" w:sz="0" w:space="0" w:color="auto"/>
        <w:bottom w:val="none" w:sz="0" w:space="0" w:color="auto"/>
        <w:right w:val="none" w:sz="0" w:space="0" w:color="auto"/>
      </w:divBdr>
    </w:div>
    <w:div w:id="199634224">
      <w:bodyDiv w:val="1"/>
      <w:marLeft w:val="0"/>
      <w:marRight w:val="0"/>
      <w:marTop w:val="0"/>
      <w:marBottom w:val="0"/>
      <w:divBdr>
        <w:top w:val="none" w:sz="0" w:space="0" w:color="auto"/>
        <w:left w:val="none" w:sz="0" w:space="0" w:color="auto"/>
        <w:bottom w:val="none" w:sz="0" w:space="0" w:color="auto"/>
        <w:right w:val="none" w:sz="0" w:space="0" w:color="auto"/>
      </w:divBdr>
    </w:div>
    <w:div w:id="202182930">
      <w:bodyDiv w:val="1"/>
      <w:marLeft w:val="0"/>
      <w:marRight w:val="0"/>
      <w:marTop w:val="0"/>
      <w:marBottom w:val="0"/>
      <w:divBdr>
        <w:top w:val="none" w:sz="0" w:space="0" w:color="auto"/>
        <w:left w:val="none" w:sz="0" w:space="0" w:color="auto"/>
        <w:bottom w:val="none" w:sz="0" w:space="0" w:color="auto"/>
        <w:right w:val="none" w:sz="0" w:space="0" w:color="auto"/>
      </w:divBdr>
    </w:div>
    <w:div w:id="208493699">
      <w:bodyDiv w:val="1"/>
      <w:marLeft w:val="0"/>
      <w:marRight w:val="0"/>
      <w:marTop w:val="0"/>
      <w:marBottom w:val="0"/>
      <w:divBdr>
        <w:top w:val="none" w:sz="0" w:space="0" w:color="auto"/>
        <w:left w:val="none" w:sz="0" w:space="0" w:color="auto"/>
        <w:bottom w:val="none" w:sz="0" w:space="0" w:color="auto"/>
        <w:right w:val="none" w:sz="0" w:space="0" w:color="auto"/>
      </w:divBdr>
    </w:div>
    <w:div w:id="209541943">
      <w:bodyDiv w:val="1"/>
      <w:marLeft w:val="0"/>
      <w:marRight w:val="0"/>
      <w:marTop w:val="0"/>
      <w:marBottom w:val="0"/>
      <w:divBdr>
        <w:top w:val="none" w:sz="0" w:space="0" w:color="auto"/>
        <w:left w:val="none" w:sz="0" w:space="0" w:color="auto"/>
        <w:bottom w:val="none" w:sz="0" w:space="0" w:color="auto"/>
        <w:right w:val="none" w:sz="0" w:space="0" w:color="auto"/>
      </w:divBdr>
    </w:div>
    <w:div w:id="211308709">
      <w:bodyDiv w:val="1"/>
      <w:marLeft w:val="0"/>
      <w:marRight w:val="0"/>
      <w:marTop w:val="0"/>
      <w:marBottom w:val="0"/>
      <w:divBdr>
        <w:top w:val="none" w:sz="0" w:space="0" w:color="auto"/>
        <w:left w:val="none" w:sz="0" w:space="0" w:color="auto"/>
        <w:bottom w:val="none" w:sz="0" w:space="0" w:color="auto"/>
        <w:right w:val="none" w:sz="0" w:space="0" w:color="auto"/>
      </w:divBdr>
    </w:div>
    <w:div w:id="213154954">
      <w:bodyDiv w:val="1"/>
      <w:marLeft w:val="0"/>
      <w:marRight w:val="0"/>
      <w:marTop w:val="0"/>
      <w:marBottom w:val="0"/>
      <w:divBdr>
        <w:top w:val="none" w:sz="0" w:space="0" w:color="auto"/>
        <w:left w:val="none" w:sz="0" w:space="0" w:color="auto"/>
        <w:bottom w:val="none" w:sz="0" w:space="0" w:color="auto"/>
        <w:right w:val="none" w:sz="0" w:space="0" w:color="auto"/>
      </w:divBdr>
    </w:div>
    <w:div w:id="215699159">
      <w:bodyDiv w:val="1"/>
      <w:marLeft w:val="0"/>
      <w:marRight w:val="0"/>
      <w:marTop w:val="0"/>
      <w:marBottom w:val="0"/>
      <w:divBdr>
        <w:top w:val="none" w:sz="0" w:space="0" w:color="auto"/>
        <w:left w:val="none" w:sz="0" w:space="0" w:color="auto"/>
        <w:bottom w:val="none" w:sz="0" w:space="0" w:color="auto"/>
        <w:right w:val="none" w:sz="0" w:space="0" w:color="auto"/>
      </w:divBdr>
    </w:div>
    <w:div w:id="216745225">
      <w:bodyDiv w:val="1"/>
      <w:marLeft w:val="0"/>
      <w:marRight w:val="0"/>
      <w:marTop w:val="0"/>
      <w:marBottom w:val="0"/>
      <w:divBdr>
        <w:top w:val="none" w:sz="0" w:space="0" w:color="auto"/>
        <w:left w:val="none" w:sz="0" w:space="0" w:color="auto"/>
        <w:bottom w:val="none" w:sz="0" w:space="0" w:color="auto"/>
        <w:right w:val="none" w:sz="0" w:space="0" w:color="auto"/>
      </w:divBdr>
    </w:div>
    <w:div w:id="217859131">
      <w:bodyDiv w:val="1"/>
      <w:marLeft w:val="0"/>
      <w:marRight w:val="0"/>
      <w:marTop w:val="0"/>
      <w:marBottom w:val="0"/>
      <w:divBdr>
        <w:top w:val="none" w:sz="0" w:space="0" w:color="auto"/>
        <w:left w:val="none" w:sz="0" w:space="0" w:color="auto"/>
        <w:bottom w:val="none" w:sz="0" w:space="0" w:color="auto"/>
        <w:right w:val="none" w:sz="0" w:space="0" w:color="auto"/>
      </w:divBdr>
    </w:div>
    <w:div w:id="218634960">
      <w:bodyDiv w:val="1"/>
      <w:marLeft w:val="0"/>
      <w:marRight w:val="0"/>
      <w:marTop w:val="0"/>
      <w:marBottom w:val="0"/>
      <w:divBdr>
        <w:top w:val="none" w:sz="0" w:space="0" w:color="auto"/>
        <w:left w:val="none" w:sz="0" w:space="0" w:color="auto"/>
        <w:bottom w:val="none" w:sz="0" w:space="0" w:color="auto"/>
        <w:right w:val="none" w:sz="0" w:space="0" w:color="auto"/>
      </w:divBdr>
    </w:div>
    <w:div w:id="220488338">
      <w:bodyDiv w:val="1"/>
      <w:marLeft w:val="0"/>
      <w:marRight w:val="0"/>
      <w:marTop w:val="0"/>
      <w:marBottom w:val="0"/>
      <w:divBdr>
        <w:top w:val="none" w:sz="0" w:space="0" w:color="auto"/>
        <w:left w:val="none" w:sz="0" w:space="0" w:color="auto"/>
        <w:bottom w:val="none" w:sz="0" w:space="0" w:color="auto"/>
        <w:right w:val="none" w:sz="0" w:space="0" w:color="auto"/>
      </w:divBdr>
    </w:div>
    <w:div w:id="222955218">
      <w:bodyDiv w:val="1"/>
      <w:marLeft w:val="0"/>
      <w:marRight w:val="0"/>
      <w:marTop w:val="0"/>
      <w:marBottom w:val="0"/>
      <w:divBdr>
        <w:top w:val="none" w:sz="0" w:space="0" w:color="auto"/>
        <w:left w:val="none" w:sz="0" w:space="0" w:color="auto"/>
        <w:bottom w:val="none" w:sz="0" w:space="0" w:color="auto"/>
        <w:right w:val="none" w:sz="0" w:space="0" w:color="auto"/>
      </w:divBdr>
    </w:div>
    <w:div w:id="225652628">
      <w:bodyDiv w:val="1"/>
      <w:marLeft w:val="0"/>
      <w:marRight w:val="0"/>
      <w:marTop w:val="0"/>
      <w:marBottom w:val="0"/>
      <w:divBdr>
        <w:top w:val="none" w:sz="0" w:space="0" w:color="auto"/>
        <w:left w:val="none" w:sz="0" w:space="0" w:color="auto"/>
        <w:bottom w:val="none" w:sz="0" w:space="0" w:color="auto"/>
        <w:right w:val="none" w:sz="0" w:space="0" w:color="auto"/>
      </w:divBdr>
    </w:div>
    <w:div w:id="227301924">
      <w:bodyDiv w:val="1"/>
      <w:marLeft w:val="0"/>
      <w:marRight w:val="0"/>
      <w:marTop w:val="0"/>
      <w:marBottom w:val="0"/>
      <w:divBdr>
        <w:top w:val="none" w:sz="0" w:space="0" w:color="auto"/>
        <w:left w:val="none" w:sz="0" w:space="0" w:color="auto"/>
        <w:bottom w:val="none" w:sz="0" w:space="0" w:color="auto"/>
        <w:right w:val="none" w:sz="0" w:space="0" w:color="auto"/>
      </w:divBdr>
    </w:div>
    <w:div w:id="240456655">
      <w:bodyDiv w:val="1"/>
      <w:marLeft w:val="0"/>
      <w:marRight w:val="0"/>
      <w:marTop w:val="0"/>
      <w:marBottom w:val="0"/>
      <w:divBdr>
        <w:top w:val="none" w:sz="0" w:space="0" w:color="auto"/>
        <w:left w:val="none" w:sz="0" w:space="0" w:color="auto"/>
        <w:bottom w:val="none" w:sz="0" w:space="0" w:color="auto"/>
        <w:right w:val="none" w:sz="0" w:space="0" w:color="auto"/>
      </w:divBdr>
    </w:div>
    <w:div w:id="245454329">
      <w:bodyDiv w:val="1"/>
      <w:marLeft w:val="0"/>
      <w:marRight w:val="0"/>
      <w:marTop w:val="0"/>
      <w:marBottom w:val="0"/>
      <w:divBdr>
        <w:top w:val="none" w:sz="0" w:space="0" w:color="auto"/>
        <w:left w:val="none" w:sz="0" w:space="0" w:color="auto"/>
        <w:bottom w:val="none" w:sz="0" w:space="0" w:color="auto"/>
        <w:right w:val="none" w:sz="0" w:space="0" w:color="auto"/>
      </w:divBdr>
    </w:div>
    <w:div w:id="250162018">
      <w:bodyDiv w:val="1"/>
      <w:marLeft w:val="0"/>
      <w:marRight w:val="0"/>
      <w:marTop w:val="0"/>
      <w:marBottom w:val="0"/>
      <w:divBdr>
        <w:top w:val="none" w:sz="0" w:space="0" w:color="auto"/>
        <w:left w:val="none" w:sz="0" w:space="0" w:color="auto"/>
        <w:bottom w:val="none" w:sz="0" w:space="0" w:color="auto"/>
        <w:right w:val="none" w:sz="0" w:space="0" w:color="auto"/>
      </w:divBdr>
    </w:div>
    <w:div w:id="252054185">
      <w:bodyDiv w:val="1"/>
      <w:marLeft w:val="0"/>
      <w:marRight w:val="0"/>
      <w:marTop w:val="0"/>
      <w:marBottom w:val="0"/>
      <w:divBdr>
        <w:top w:val="none" w:sz="0" w:space="0" w:color="auto"/>
        <w:left w:val="none" w:sz="0" w:space="0" w:color="auto"/>
        <w:bottom w:val="none" w:sz="0" w:space="0" w:color="auto"/>
        <w:right w:val="none" w:sz="0" w:space="0" w:color="auto"/>
      </w:divBdr>
    </w:div>
    <w:div w:id="255751190">
      <w:bodyDiv w:val="1"/>
      <w:marLeft w:val="0"/>
      <w:marRight w:val="0"/>
      <w:marTop w:val="0"/>
      <w:marBottom w:val="0"/>
      <w:divBdr>
        <w:top w:val="none" w:sz="0" w:space="0" w:color="auto"/>
        <w:left w:val="none" w:sz="0" w:space="0" w:color="auto"/>
        <w:bottom w:val="none" w:sz="0" w:space="0" w:color="auto"/>
        <w:right w:val="none" w:sz="0" w:space="0" w:color="auto"/>
      </w:divBdr>
    </w:div>
    <w:div w:id="256524395">
      <w:bodyDiv w:val="1"/>
      <w:marLeft w:val="0"/>
      <w:marRight w:val="0"/>
      <w:marTop w:val="0"/>
      <w:marBottom w:val="0"/>
      <w:divBdr>
        <w:top w:val="none" w:sz="0" w:space="0" w:color="auto"/>
        <w:left w:val="none" w:sz="0" w:space="0" w:color="auto"/>
        <w:bottom w:val="none" w:sz="0" w:space="0" w:color="auto"/>
        <w:right w:val="none" w:sz="0" w:space="0" w:color="auto"/>
      </w:divBdr>
    </w:div>
    <w:div w:id="257829136">
      <w:bodyDiv w:val="1"/>
      <w:marLeft w:val="0"/>
      <w:marRight w:val="0"/>
      <w:marTop w:val="0"/>
      <w:marBottom w:val="0"/>
      <w:divBdr>
        <w:top w:val="none" w:sz="0" w:space="0" w:color="auto"/>
        <w:left w:val="none" w:sz="0" w:space="0" w:color="auto"/>
        <w:bottom w:val="none" w:sz="0" w:space="0" w:color="auto"/>
        <w:right w:val="none" w:sz="0" w:space="0" w:color="auto"/>
      </w:divBdr>
    </w:div>
    <w:div w:id="260912588">
      <w:bodyDiv w:val="1"/>
      <w:marLeft w:val="0"/>
      <w:marRight w:val="0"/>
      <w:marTop w:val="0"/>
      <w:marBottom w:val="0"/>
      <w:divBdr>
        <w:top w:val="none" w:sz="0" w:space="0" w:color="auto"/>
        <w:left w:val="none" w:sz="0" w:space="0" w:color="auto"/>
        <w:bottom w:val="none" w:sz="0" w:space="0" w:color="auto"/>
        <w:right w:val="none" w:sz="0" w:space="0" w:color="auto"/>
      </w:divBdr>
    </w:div>
    <w:div w:id="264656641">
      <w:bodyDiv w:val="1"/>
      <w:marLeft w:val="0"/>
      <w:marRight w:val="0"/>
      <w:marTop w:val="0"/>
      <w:marBottom w:val="0"/>
      <w:divBdr>
        <w:top w:val="none" w:sz="0" w:space="0" w:color="auto"/>
        <w:left w:val="none" w:sz="0" w:space="0" w:color="auto"/>
        <w:bottom w:val="none" w:sz="0" w:space="0" w:color="auto"/>
        <w:right w:val="none" w:sz="0" w:space="0" w:color="auto"/>
      </w:divBdr>
    </w:div>
    <w:div w:id="266930786">
      <w:bodyDiv w:val="1"/>
      <w:marLeft w:val="0"/>
      <w:marRight w:val="0"/>
      <w:marTop w:val="0"/>
      <w:marBottom w:val="0"/>
      <w:divBdr>
        <w:top w:val="none" w:sz="0" w:space="0" w:color="auto"/>
        <w:left w:val="none" w:sz="0" w:space="0" w:color="auto"/>
        <w:bottom w:val="none" w:sz="0" w:space="0" w:color="auto"/>
        <w:right w:val="none" w:sz="0" w:space="0" w:color="auto"/>
      </w:divBdr>
    </w:div>
    <w:div w:id="268129881">
      <w:bodyDiv w:val="1"/>
      <w:marLeft w:val="0"/>
      <w:marRight w:val="0"/>
      <w:marTop w:val="0"/>
      <w:marBottom w:val="0"/>
      <w:divBdr>
        <w:top w:val="none" w:sz="0" w:space="0" w:color="auto"/>
        <w:left w:val="none" w:sz="0" w:space="0" w:color="auto"/>
        <w:bottom w:val="none" w:sz="0" w:space="0" w:color="auto"/>
        <w:right w:val="none" w:sz="0" w:space="0" w:color="auto"/>
      </w:divBdr>
    </w:div>
    <w:div w:id="273638098">
      <w:bodyDiv w:val="1"/>
      <w:marLeft w:val="0"/>
      <w:marRight w:val="0"/>
      <w:marTop w:val="0"/>
      <w:marBottom w:val="0"/>
      <w:divBdr>
        <w:top w:val="none" w:sz="0" w:space="0" w:color="auto"/>
        <w:left w:val="none" w:sz="0" w:space="0" w:color="auto"/>
        <w:bottom w:val="none" w:sz="0" w:space="0" w:color="auto"/>
        <w:right w:val="none" w:sz="0" w:space="0" w:color="auto"/>
      </w:divBdr>
    </w:div>
    <w:div w:id="273905152">
      <w:bodyDiv w:val="1"/>
      <w:marLeft w:val="0"/>
      <w:marRight w:val="0"/>
      <w:marTop w:val="0"/>
      <w:marBottom w:val="0"/>
      <w:divBdr>
        <w:top w:val="none" w:sz="0" w:space="0" w:color="auto"/>
        <w:left w:val="none" w:sz="0" w:space="0" w:color="auto"/>
        <w:bottom w:val="none" w:sz="0" w:space="0" w:color="auto"/>
        <w:right w:val="none" w:sz="0" w:space="0" w:color="auto"/>
      </w:divBdr>
    </w:div>
    <w:div w:id="274873861">
      <w:bodyDiv w:val="1"/>
      <w:marLeft w:val="0"/>
      <w:marRight w:val="0"/>
      <w:marTop w:val="0"/>
      <w:marBottom w:val="0"/>
      <w:divBdr>
        <w:top w:val="none" w:sz="0" w:space="0" w:color="auto"/>
        <w:left w:val="none" w:sz="0" w:space="0" w:color="auto"/>
        <w:bottom w:val="none" w:sz="0" w:space="0" w:color="auto"/>
        <w:right w:val="none" w:sz="0" w:space="0" w:color="auto"/>
      </w:divBdr>
    </w:div>
    <w:div w:id="276059076">
      <w:bodyDiv w:val="1"/>
      <w:marLeft w:val="0"/>
      <w:marRight w:val="0"/>
      <w:marTop w:val="0"/>
      <w:marBottom w:val="0"/>
      <w:divBdr>
        <w:top w:val="none" w:sz="0" w:space="0" w:color="auto"/>
        <w:left w:val="none" w:sz="0" w:space="0" w:color="auto"/>
        <w:bottom w:val="none" w:sz="0" w:space="0" w:color="auto"/>
        <w:right w:val="none" w:sz="0" w:space="0" w:color="auto"/>
      </w:divBdr>
    </w:div>
    <w:div w:id="280113203">
      <w:bodyDiv w:val="1"/>
      <w:marLeft w:val="0"/>
      <w:marRight w:val="0"/>
      <w:marTop w:val="0"/>
      <w:marBottom w:val="0"/>
      <w:divBdr>
        <w:top w:val="none" w:sz="0" w:space="0" w:color="auto"/>
        <w:left w:val="none" w:sz="0" w:space="0" w:color="auto"/>
        <w:bottom w:val="none" w:sz="0" w:space="0" w:color="auto"/>
        <w:right w:val="none" w:sz="0" w:space="0" w:color="auto"/>
      </w:divBdr>
    </w:div>
    <w:div w:id="282001647">
      <w:bodyDiv w:val="1"/>
      <w:marLeft w:val="0"/>
      <w:marRight w:val="0"/>
      <w:marTop w:val="0"/>
      <w:marBottom w:val="0"/>
      <w:divBdr>
        <w:top w:val="none" w:sz="0" w:space="0" w:color="auto"/>
        <w:left w:val="none" w:sz="0" w:space="0" w:color="auto"/>
        <w:bottom w:val="none" w:sz="0" w:space="0" w:color="auto"/>
        <w:right w:val="none" w:sz="0" w:space="0" w:color="auto"/>
      </w:divBdr>
    </w:div>
    <w:div w:id="284849421">
      <w:bodyDiv w:val="1"/>
      <w:marLeft w:val="0"/>
      <w:marRight w:val="0"/>
      <w:marTop w:val="0"/>
      <w:marBottom w:val="0"/>
      <w:divBdr>
        <w:top w:val="none" w:sz="0" w:space="0" w:color="auto"/>
        <w:left w:val="none" w:sz="0" w:space="0" w:color="auto"/>
        <w:bottom w:val="none" w:sz="0" w:space="0" w:color="auto"/>
        <w:right w:val="none" w:sz="0" w:space="0" w:color="auto"/>
      </w:divBdr>
    </w:div>
    <w:div w:id="286618683">
      <w:bodyDiv w:val="1"/>
      <w:marLeft w:val="0"/>
      <w:marRight w:val="0"/>
      <w:marTop w:val="0"/>
      <w:marBottom w:val="0"/>
      <w:divBdr>
        <w:top w:val="none" w:sz="0" w:space="0" w:color="auto"/>
        <w:left w:val="none" w:sz="0" w:space="0" w:color="auto"/>
        <w:bottom w:val="none" w:sz="0" w:space="0" w:color="auto"/>
        <w:right w:val="none" w:sz="0" w:space="0" w:color="auto"/>
      </w:divBdr>
    </w:div>
    <w:div w:id="289211937">
      <w:bodyDiv w:val="1"/>
      <w:marLeft w:val="0"/>
      <w:marRight w:val="0"/>
      <w:marTop w:val="0"/>
      <w:marBottom w:val="0"/>
      <w:divBdr>
        <w:top w:val="none" w:sz="0" w:space="0" w:color="auto"/>
        <w:left w:val="none" w:sz="0" w:space="0" w:color="auto"/>
        <w:bottom w:val="none" w:sz="0" w:space="0" w:color="auto"/>
        <w:right w:val="none" w:sz="0" w:space="0" w:color="auto"/>
      </w:divBdr>
    </w:div>
    <w:div w:id="293172123">
      <w:bodyDiv w:val="1"/>
      <w:marLeft w:val="0"/>
      <w:marRight w:val="0"/>
      <w:marTop w:val="0"/>
      <w:marBottom w:val="0"/>
      <w:divBdr>
        <w:top w:val="none" w:sz="0" w:space="0" w:color="auto"/>
        <w:left w:val="none" w:sz="0" w:space="0" w:color="auto"/>
        <w:bottom w:val="none" w:sz="0" w:space="0" w:color="auto"/>
        <w:right w:val="none" w:sz="0" w:space="0" w:color="auto"/>
      </w:divBdr>
    </w:div>
    <w:div w:id="294064335">
      <w:bodyDiv w:val="1"/>
      <w:marLeft w:val="0"/>
      <w:marRight w:val="0"/>
      <w:marTop w:val="0"/>
      <w:marBottom w:val="0"/>
      <w:divBdr>
        <w:top w:val="none" w:sz="0" w:space="0" w:color="auto"/>
        <w:left w:val="none" w:sz="0" w:space="0" w:color="auto"/>
        <w:bottom w:val="none" w:sz="0" w:space="0" w:color="auto"/>
        <w:right w:val="none" w:sz="0" w:space="0" w:color="auto"/>
      </w:divBdr>
    </w:div>
    <w:div w:id="304630654">
      <w:bodyDiv w:val="1"/>
      <w:marLeft w:val="0"/>
      <w:marRight w:val="0"/>
      <w:marTop w:val="0"/>
      <w:marBottom w:val="0"/>
      <w:divBdr>
        <w:top w:val="none" w:sz="0" w:space="0" w:color="auto"/>
        <w:left w:val="none" w:sz="0" w:space="0" w:color="auto"/>
        <w:bottom w:val="none" w:sz="0" w:space="0" w:color="auto"/>
        <w:right w:val="none" w:sz="0" w:space="0" w:color="auto"/>
      </w:divBdr>
    </w:div>
    <w:div w:id="306083663">
      <w:bodyDiv w:val="1"/>
      <w:marLeft w:val="0"/>
      <w:marRight w:val="0"/>
      <w:marTop w:val="0"/>
      <w:marBottom w:val="0"/>
      <w:divBdr>
        <w:top w:val="none" w:sz="0" w:space="0" w:color="auto"/>
        <w:left w:val="none" w:sz="0" w:space="0" w:color="auto"/>
        <w:bottom w:val="none" w:sz="0" w:space="0" w:color="auto"/>
        <w:right w:val="none" w:sz="0" w:space="0" w:color="auto"/>
      </w:divBdr>
    </w:div>
    <w:div w:id="306276415">
      <w:bodyDiv w:val="1"/>
      <w:marLeft w:val="0"/>
      <w:marRight w:val="0"/>
      <w:marTop w:val="0"/>
      <w:marBottom w:val="0"/>
      <w:divBdr>
        <w:top w:val="none" w:sz="0" w:space="0" w:color="auto"/>
        <w:left w:val="none" w:sz="0" w:space="0" w:color="auto"/>
        <w:bottom w:val="none" w:sz="0" w:space="0" w:color="auto"/>
        <w:right w:val="none" w:sz="0" w:space="0" w:color="auto"/>
      </w:divBdr>
    </w:div>
    <w:div w:id="307055766">
      <w:bodyDiv w:val="1"/>
      <w:marLeft w:val="0"/>
      <w:marRight w:val="0"/>
      <w:marTop w:val="0"/>
      <w:marBottom w:val="0"/>
      <w:divBdr>
        <w:top w:val="none" w:sz="0" w:space="0" w:color="auto"/>
        <w:left w:val="none" w:sz="0" w:space="0" w:color="auto"/>
        <w:bottom w:val="none" w:sz="0" w:space="0" w:color="auto"/>
        <w:right w:val="none" w:sz="0" w:space="0" w:color="auto"/>
      </w:divBdr>
    </w:div>
    <w:div w:id="309138719">
      <w:bodyDiv w:val="1"/>
      <w:marLeft w:val="0"/>
      <w:marRight w:val="0"/>
      <w:marTop w:val="0"/>
      <w:marBottom w:val="0"/>
      <w:divBdr>
        <w:top w:val="none" w:sz="0" w:space="0" w:color="auto"/>
        <w:left w:val="none" w:sz="0" w:space="0" w:color="auto"/>
        <w:bottom w:val="none" w:sz="0" w:space="0" w:color="auto"/>
        <w:right w:val="none" w:sz="0" w:space="0" w:color="auto"/>
      </w:divBdr>
    </w:div>
    <w:div w:id="309479771">
      <w:bodyDiv w:val="1"/>
      <w:marLeft w:val="0"/>
      <w:marRight w:val="0"/>
      <w:marTop w:val="0"/>
      <w:marBottom w:val="0"/>
      <w:divBdr>
        <w:top w:val="none" w:sz="0" w:space="0" w:color="auto"/>
        <w:left w:val="none" w:sz="0" w:space="0" w:color="auto"/>
        <w:bottom w:val="none" w:sz="0" w:space="0" w:color="auto"/>
        <w:right w:val="none" w:sz="0" w:space="0" w:color="auto"/>
      </w:divBdr>
    </w:div>
    <w:div w:id="310520107">
      <w:bodyDiv w:val="1"/>
      <w:marLeft w:val="0"/>
      <w:marRight w:val="0"/>
      <w:marTop w:val="0"/>
      <w:marBottom w:val="0"/>
      <w:divBdr>
        <w:top w:val="none" w:sz="0" w:space="0" w:color="auto"/>
        <w:left w:val="none" w:sz="0" w:space="0" w:color="auto"/>
        <w:bottom w:val="none" w:sz="0" w:space="0" w:color="auto"/>
        <w:right w:val="none" w:sz="0" w:space="0" w:color="auto"/>
      </w:divBdr>
    </w:div>
    <w:div w:id="310869762">
      <w:bodyDiv w:val="1"/>
      <w:marLeft w:val="0"/>
      <w:marRight w:val="0"/>
      <w:marTop w:val="0"/>
      <w:marBottom w:val="0"/>
      <w:divBdr>
        <w:top w:val="none" w:sz="0" w:space="0" w:color="auto"/>
        <w:left w:val="none" w:sz="0" w:space="0" w:color="auto"/>
        <w:bottom w:val="none" w:sz="0" w:space="0" w:color="auto"/>
        <w:right w:val="none" w:sz="0" w:space="0" w:color="auto"/>
      </w:divBdr>
    </w:div>
    <w:div w:id="314724743">
      <w:bodyDiv w:val="1"/>
      <w:marLeft w:val="0"/>
      <w:marRight w:val="0"/>
      <w:marTop w:val="0"/>
      <w:marBottom w:val="0"/>
      <w:divBdr>
        <w:top w:val="none" w:sz="0" w:space="0" w:color="auto"/>
        <w:left w:val="none" w:sz="0" w:space="0" w:color="auto"/>
        <w:bottom w:val="none" w:sz="0" w:space="0" w:color="auto"/>
        <w:right w:val="none" w:sz="0" w:space="0" w:color="auto"/>
      </w:divBdr>
    </w:div>
    <w:div w:id="318583883">
      <w:bodyDiv w:val="1"/>
      <w:marLeft w:val="0"/>
      <w:marRight w:val="0"/>
      <w:marTop w:val="0"/>
      <w:marBottom w:val="0"/>
      <w:divBdr>
        <w:top w:val="none" w:sz="0" w:space="0" w:color="auto"/>
        <w:left w:val="none" w:sz="0" w:space="0" w:color="auto"/>
        <w:bottom w:val="none" w:sz="0" w:space="0" w:color="auto"/>
        <w:right w:val="none" w:sz="0" w:space="0" w:color="auto"/>
      </w:divBdr>
    </w:div>
    <w:div w:id="324750389">
      <w:bodyDiv w:val="1"/>
      <w:marLeft w:val="0"/>
      <w:marRight w:val="0"/>
      <w:marTop w:val="0"/>
      <w:marBottom w:val="0"/>
      <w:divBdr>
        <w:top w:val="none" w:sz="0" w:space="0" w:color="auto"/>
        <w:left w:val="none" w:sz="0" w:space="0" w:color="auto"/>
        <w:bottom w:val="none" w:sz="0" w:space="0" w:color="auto"/>
        <w:right w:val="none" w:sz="0" w:space="0" w:color="auto"/>
      </w:divBdr>
    </w:div>
    <w:div w:id="328336076">
      <w:bodyDiv w:val="1"/>
      <w:marLeft w:val="0"/>
      <w:marRight w:val="0"/>
      <w:marTop w:val="0"/>
      <w:marBottom w:val="0"/>
      <w:divBdr>
        <w:top w:val="none" w:sz="0" w:space="0" w:color="auto"/>
        <w:left w:val="none" w:sz="0" w:space="0" w:color="auto"/>
        <w:bottom w:val="none" w:sz="0" w:space="0" w:color="auto"/>
        <w:right w:val="none" w:sz="0" w:space="0" w:color="auto"/>
      </w:divBdr>
    </w:div>
    <w:div w:id="331613349">
      <w:bodyDiv w:val="1"/>
      <w:marLeft w:val="0"/>
      <w:marRight w:val="0"/>
      <w:marTop w:val="0"/>
      <w:marBottom w:val="0"/>
      <w:divBdr>
        <w:top w:val="none" w:sz="0" w:space="0" w:color="auto"/>
        <w:left w:val="none" w:sz="0" w:space="0" w:color="auto"/>
        <w:bottom w:val="none" w:sz="0" w:space="0" w:color="auto"/>
        <w:right w:val="none" w:sz="0" w:space="0" w:color="auto"/>
      </w:divBdr>
    </w:div>
    <w:div w:id="335379389">
      <w:bodyDiv w:val="1"/>
      <w:marLeft w:val="0"/>
      <w:marRight w:val="0"/>
      <w:marTop w:val="0"/>
      <w:marBottom w:val="0"/>
      <w:divBdr>
        <w:top w:val="none" w:sz="0" w:space="0" w:color="auto"/>
        <w:left w:val="none" w:sz="0" w:space="0" w:color="auto"/>
        <w:bottom w:val="none" w:sz="0" w:space="0" w:color="auto"/>
        <w:right w:val="none" w:sz="0" w:space="0" w:color="auto"/>
      </w:divBdr>
    </w:div>
    <w:div w:id="337654304">
      <w:bodyDiv w:val="1"/>
      <w:marLeft w:val="0"/>
      <w:marRight w:val="0"/>
      <w:marTop w:val="0"/>
      <w:marBottom w:val="0"/>
      <w:divBdr>
        <w:top w:val="none" w:sz="0" w:space="0" w:color="auto"/>
        <w:left w:val="none" w:sz="0" w:space="0" w:color="auto"/>
        <w:bottom w:val="none" w:sz="0" w:space="0" w:color="auto"/>
        <w:right w:val="none" w:sz="0" w:space="0" w:color="auto"/>
      </w:divBdr>
    </w:div>
    <w:div w:id="338655531">
      <w:bodyDiv w:val="1"/>
      <w:marLeft w:val="0"/>
      <w:marRight w:val="0"/>
      <w:marTop w:val="0"/>
      <w:marBottom w:val="0"/>
      <w:divBdr>
        <w:top w:val="none" w:sz="0" w:space="0" w:color="auto"/>
        <w:left w:val="none" w:sz="0" w:space="0" w:color="auto"/>
        <w:bottom w:val="none" w:sz="0" w:space="0" w:color="auto"/>
        <w:right w:val="none" w:sz="0" w:space="0" w:color="auto"/>
      </w:divBdr>
    </w:div>
    <w:div w:id="340931304">
      <w:bodyDiv w:val="1"/>
      <w:marLeft w:val="0"/>
      <w:marRight w:val="0"/>
      <w:marTop w:val="0"/>
      <w:marBottom w:val="0"/>
      <w:divBdr>
        <w:top w:val="none" w:sz="0" w:space="0" w:color="auto"/>
        <w:left w:val="none" w:sz="0" w:space="0" w:color="auto"/>
        <w:bottom w:val="none" w:sz="0" w:space="0" w:color="auto"/>
        <w:right w:val="none" w:sz="0" w:space="0" w:color="auto"/>
      </w:divBdr>
    </w:div>
    <w:div w:id="342978556">
      <w:bodyDiv w:val="1"/>
      <w:marLeft w:val="0"/>
      <w:marRight w:val="0"/>
      <w:marTop w:val="0"/>
      <w:marBottom w:val="0"/>
      <w:divBdr>
        <w:top w:val="none" w:sz="0" w:space="0" w:color="auto"/>
        <w:left w:val="none" w:sz="0" w:space="0" w:color="auto"/>
        <w:bottom w:val="none" w:sz="0" w:space="0" w:color="auto"/>
        <w:right w:val="none" w:sz="0" w:space="0" w:color="auto"/>
      </w:divBdr>
    </w:div>
    <w:div w:id="347754020">
      <w:bodyDiv w:val="1"/>
      <w:marLeft w:val="0"/>
      <w:marRight w:val="0"/>
      <w:marTop w:val="0"/>
      <w:marBottom w:val="0"/>
      <w:divBdr>
        <w:top w:val="none" w:sz="0" w:space="0" w:color="auto"/>
        <w:left w:val="none" w:sz="0" w:space="0" w:color="auto"/>
        <w:bottom w:val="none" w:sz="0" w:space="0" w:color="auto"/>
        <w:right w:val="none" w:sz="0" w:space="0" w:color="auto"/>
      </w:divBdr>
    </w:div>
    <w:div w:id="350184348">
      <w:bodyDiv w:val="1"/>
      <w:marLeft w:val="0"/>
      <w:marRight w:val="0"/>
      <w:marTop w:val="0"/>
      <w:marBottom w:val="0"/>
      <w:divBdr>
        <w:top w:val="none" w:sz="0" w:space="0" w:color="auto"/>
        <w:left w:val="none" w:sz="0" w:space="0" w:color="auto"/>
        <w:bottom w:val="none" w:sz="0" w:space="0" w:color="auto"/>
        <w:right w:val="none" w:sz="0" w:space="0" w:color="auto"/>
      </w:divBdr>
    </w:div>
    <w:div w:id="357120471">
      <w:bodyDiv w:val="1"/>
      <w:marLeft w:val="0"/>
      <w:marRight w:val="0"/>
      <w:marTop w:val="0"/>
      <w:marBottom w:val="0"/>
      <w:divBdr>
        <w:top w:val="none" w:sz="0" w:space="0" w:color="auto"/>
        <w:left w:val="none" w:sz="0" w:space="0" w:color="auto"/>
        <w:bottom w:val="none" w:sz="0" w:space="0" w:color="auto"/>
        <w:right w:val="none" w:sz="0" w:space="0" w:color="auto"/>
      </w:divBdr>
    </w:div>
    <w:div w:id="359554770">
      <w:bodyDiv w:val="1"/>
      <w:marLeft w:val="0"/>
      <w:marRight w:val="0"/>
      <w:marTop w:val="0"/>
      <w:marBottom w:val="0"/>
      <w:divBdr>
        <w:top w:val="none" w:sz="0" w:space="0" w:color="auto"/>
        <w:left w:val="none" w:sz="0" w:space="0" w:color="auto"/>
        <w:bottom w:val="none" w:sz="0" w:space="0" w:color="auto"/>
        <w:right w:val="none" w:sz="0" w:space="0" w:color="auto"/>
      </w:divBdr>
    </w:div>
    <w:div w:id="366878000">
      <w:bodyDiv w:val="1"/>
      <w:marLeft w:val="0"/>
      <w:marRight w:val="0"/>
      <w:marTop w:val="0"/>
      <w:marBottom w:val="0"/>
      <w:divBdr>
        <w:top w:val="none" w:sz="0" w:space="0" w:color="auto"/>
        <w:left w:val="none" w:sz="0" w:space="0" w:color="auto"/>
        <w:bottom w:val="none" w:sz="0" w:space="0" w:color="auto"/>
        <w:right w:val="none" w:sz="0" w:space="0" w:color="auto"/>
      </w:divBdr>
    </w:div>
    <w:div w:id="370692436">
      <w:bodyDiv w:val="1"/>
      <w:marLeft w:val="0"/>
      <w:marRight w:val="0"/>
      <w:marTop w:val="0"/>
      <w:marBottom w:val="0"/>
      <w:divBdr>
        <w:top w:val="none" w:sz="0" w:space="0" w:color="auto"/>
        <w:left w:val="none" w:sz="0" w:space="0" w:color="auto"/>
        <w:bottom w:val="none" w:sz="0" w:space="0" w:color="auto"/>
        <w:right w:val="none" w:sz="0" w:space="0" w:color="auto"/>
      </w:divBdr>
    </w:div>
    <w:div w:id="377321949">
      <w:bodyDiv w:val="1"/>
      <w:marLeft w:val="0"/>
      <w:marRight w:val="0"/>
      <w:marTop w:val="0"/>
      <w:marBottom w:val="0"/>
      <w:divBdr>
        <w:top w:val="none" w:sz="0" w:space="0" w:color="auto"/>
        <w:left w:val="none" w:sz="0" w:space="0" w:color="auto"/>
        <w:bottom w:val="none" w:sz="0" w:space="0" w:color="auto"/>
        <w:right w:val="none" w:sz="0" w:space="0" w:color="auto"/>
      </w:divBdr>
    </w:div>
    <w:div w:id="378823679">
      <w:bodyDiv w:val="1"/>
      <w:marLeft w:val="0"/>
      <w:marRight w:val="0"/>
      <w:marTop w:val="0"/>
      <w:marBottom w:val="0"/>
      <w:divBdr>
        <w:top w:val="none" w:sz="0" w:space="0" w:color="auto"/>
        <w:left w:val="none" w:sz="0" w:space="0" w:color="auto"/>
        <w:bottom w:val="none" w:sz="0" w:space="0" w:color="auto"/>
        <w:right w:val="none" w:sz="0" w:space="0" w:color="auto"/>
      </w:divBdr>
    </w:div>
    <w:div w:id="379324093">
      <w:bodyDiv w:val="1"/>
      <w:marLeft w:val="0"/>
      <w:marRight w:val="0"/>
      <w:marTop w:val="0"/>
      <w:marBottom w:val="0"/>
      <w:divBdr>
        <w:top w:val="none" w:sz="0" w:space="0" w:color="auto"/>
        <w:left w:val="none" w:sz="0" w:space="0" w:color="auto"/>
        <w:bottom w:val="none" w:sz="0" w:space="0" w:color="auto"/>
        <w:right w:val="none" w:sz="0" w:space="0" w:color="auto"/>
      </w:divBdr>
    </w:div>
    <w:div w:id="383137106">
      <w:bodyDiv w:val="1"/>
      <w:marLeft w:val="0"/>
      <w:marRight w:val="0"/>
      <w:marTop w:val="0"/>
      <w:marBottom w:val="0"/>
      <w:divBdr>
        <w:top w:val="none" w:sz="0" w:space="0" w:color="auto"/>
        <w:left w:val="none" w:sz="0" w:space="0" w:color="auto"/>
        <w:bottom w:val="none" w:sz="0" w:space="0" w:color="auto"/>
        <w:right w:val="none" w:sz="0" w:space="0" w:color="auto"/>
      </w:divBdr>
    </w:div>
    <w:div w:id="385643731">
      <w:bodyDiv w:val="1"/>
      <w:marLeft w:val="0"/>
      <w:marRight w:val="0"/>
      <w:marTop w:val="0"/>
      <w:marBottom w:val="0"/>
      <w:divBdr>
        <w:top w:val="none" w:sz="0" w:space="0" w:color="auto"/>
        <w:left w:val="none" w:sz="0" w:space="0" w:color="auto"/>
        <w:bottom w:val="none" w:sz="0" w:space="0" w:color="auto"/>
        <w:right w:val="none" w:sz="0" w:space="0" w:color="auto"/>
      </w:divBdr>
    </w:div>
    <w:div w:id="389109427">
      <w:bodyDiv w:val="1"/>
      <w:marLeft w:val="0"/>
      <w:marRight w:val="0"/>
      <w:marTop w:val="0"/>
      <w:marBottom w:val="0"/>
      <w:divBdr>
        <w:top w:val="none" w:sz="0" w:space="0" w:color="auto"/>
        <w:left w:val="none" w:sz="0" w:space="0" w:color="auto"/>
        <w:bottom w:val="none" w:sz="0" w:space="0" w:color="auto"/>
        <w:right w:val="none" w:sz="0" w:space="0" w:color="auto"/>
      </w:divBdr>
    </w:div>
    <w:div w:id="395980750">
      <w:bodyDiv w:val="1"/>
      <w:marLeft w:val="0"/>
      <w:marRight w:val="0"/>
      <w:marTop w:val="0"/>
      <w:marBottom w:val="0"/>
      <w:divBdr>
        <w:top w:val="none" w:sz="0" w:space="0" w:color="auto"/>
        <w:left w:val="none" w:sz="0" w:space="0" w:color="auto"/>
        <w:bottom w:val="none" w:sz="0" w:space="0" w:color="auto"/>
        <w:right w:val="none" w:sz="0" w:space="0" w:color="auto"/>
      </w:divBdr>
    </w:div>
    <w:div w:id="398089907">
      <w:bodyDiv w:val="1"/>
      <w:marLeft w:val="0"/>
      <w:marRight w:val="0"/>
      <w:marTop w:val="0"/>
      <w:marBottom w:val="0"/>
      <w:divBdr>
        <w:top w:val="none" w:sz="0" w:space="0" w:color="auto"/>
        <w:left w:val="none" w:sz="0" w:space="0" w:color="auto"/>
        <w:bottom w:val="none" w:sz="0" w:space="0" w:color="auto"/>
        <w:right w:val="none" w:sz="0" w:space="0" w:color="auto"/>
      </w:divBdr>
    </w:div>
    <w:div w:id="400449963">
      <w:bodyDiv w:val="1"/>
      <w:marLeft w:val="0"/>
      <w:marRight w:val="0"/>
      <w:marTop w:val="0"/>
      <w:marBottom w:val="0"/>
      <w:divBdr>
        <w:top w:val="none" w:sz="0" w:space="0" w:color="auto"/>
        <w:left w:val="none" w:sz="0" w:space="0" w:color="auto"/>
        <w:bottom w:val="none" w:sz="0" w:space="0" w:color="auto"/>
        <w:right w:val="none" w:sz="0" w:space="0" w:color="auto"/>
      </w:divBdr>
    </w:div>
    <w:div w:id="401291136">
      <w:bodyDiv w:val="1"/>
      <w:marLeft w:val="0"/>
      <w:marRight w:val="0"/>
      <w:marTop w:val="0"/>
      <w:marBottom w:val="0"/>
      <w:divBdr>
        <w:top w:val="none" w:sz="0" w:space="0" w:color="auto"/>
        <w:left w:val="none" w:sz="0" w:space="0" w:color="auto"/>
        <w:bottom w:val="none" w:sz="0" w:space="0" w:color="auto"/>
        <w:right w:val="none" w:sz="0" w:space="0" w:color="auto"/>
      </w:divBdr>
    </w:div>
    <w:div w:id="402610504">
      <w:bodyDiv w:val="1"/>
      <w:marLeft w:val="0"/>
      <w:marRight w:val="0"/>
      <w:marTop w:val="0"/>
      <w:marBottom w:val="0"/>
      <w:divBdr>
        <w:top w:val="none" w:sz="0" w:space="0" w:color="auto"/>
        <w:left w:val="none" w:sz="0" w:space="0" w:color="auto"/>
        <w:bottom w:val="none" w:sz="0" w:space="0" w:color="auto"/>
        <w:right w:val="none" w:sz="0" w:space="0" w:color="auto"/>
      </w:divBdr>
    </w:div>
    <w:div w:id="405690923">
      <w:bodyDiv w:val="1"/>
      <w:marLeft w:val="0"/>
      <w:marRight w:val="0"/>
      <w:marTop w:val="0"/>
      <w:marBottom w:val="0"/>
      <w:divBdr>
        <w:top w:val="none" w:sz="0" w:space="0" w:color="auto"/>
        <w:left w:val="none" w:sz="0" w:space="0" w:color="auto"/>
        <w:bottom w:val="none" w:sz="0" w:space="0" w:color="auto"/>
        <w:right w:val="none" w:sz="0" w:space="0" w:color="auto"/>
      </w:divBdr>
    </w:div>
    <w:div w:id="411122963">
      <w:bodyDiv w:val="1"/>
      <w:marLeft w:val="0"/>
      <w:marRight w:val="0"/>
      <w:marTop w:val="0"/>
      <w:marBottom w:val="0"/>
      <w:divBdr>
        <w:top w:val="none" w:sz="0" w:space="0" w:color="auto"/>
        <w:left w:val="none" w:sz="0" w:space="0" w:color="auto"/>
        <w:bottom w:val="none" w:sz="0" w:space="0" w:color="auto"/>
        <w:right w:val="none" w:sz="0" w:space="0" w:color="auto"/>
      </w:divBdr>
    </w:div>
    <w:div w:id="413665240">
      <w:bodyDiv w:val="1"/>
      <w:marLeft w:val="0"/>
      <w:marRight w:val="0"/>
      <w:marTop w:val="0"/>
      <w:marBottom w:val="0"/>
      <w:divBdr>
        <w:top w:val="none" w:sz="0" w:space="0" w:color="auto"/>
        <w:left w:val="none" w:sz="0" w:space="0" w:color="auto"/>
        <w:bottom w:val="none" w:sz="0" w:space="0" w:color="auto"/>
        <w:right w:val="none" w:sz="0" w:space="0" w:color="auto"/>
      </w:divBdr>
    </w:div>
    <w:div w:id="417555833">
      <w:bodyDiv w:val="1"/>
      <w:marLeft w:val="0"/>
      <w:marRight w:val="0"/>
      <w:marTop w:val="0"/>
      <w:marBottom w:val="0"/>
      <w:divBdr>
        <w:top w:val="none" w:sz="0" w:space="0" w:color="auto"/>
        <w:left w:val="none" w:sz="0" w:space="0" w:color="auto"/>
        <w:bottom w:val="none" w:sz="0" w:space="0" w:color="auto"/>
        <w:right w:val="none" w:sz="0" w:space="0" w:color="auto"/>
      </w:divBdr>
      <w:divsChild>
        <w:div w:id="878005398">
          <w:marLeft w:val="0"/>
          <w:marRight w:val="0"/>
          <w:marTop w:val="0"/>
          <w:marBottom w:val="0"/>
          <w:divBdr>
            <w:top w:val="none" w:sz="0" w:space="0" w:color="auto"/>
            <w:left w:val="none" w:sz="0" w:space="0" w:color="auto"/>
            <w:bottom w:val="none" w:sz="0" w:space="0" w:color="auto"/>
            <w:right w:val="none" w:sz="0" w:space="0" w:color="auto"/>
          </w:divBdr>
        </w:div>
      </w:divsChild>
    </w:div>
    <w:div w:id="418412289">
      <w:bodyDiv w:val="1"/>
      <w:marLeft w:val="0"/>
      <w:marRight w:val="0"/>
      <w:marTop w:val="0"/>
      <w:marBottom w:val="0"/>
      <w:divBdr>
        <w:top w:val="none" w:sz="0" w:space="0" w:color="auto"/>
        <w:left w:val="none" w:sz="0" w:space="0" w:color="auto"/>
        <w:bottom w:val="none" w:sz="0" w:space="0" w:color="auto"/>
        <w:right w:val="none" w:sz="0" w:space="0" w:color="auto"/>
      </w:divBdr>
    </w:div>
    <w:div w:id="419717657">
      <w:bodyDiv w:val="1"/>
      <w:marLeft w:val="0"/>
      <w:marRight w:val="0"/>
      <w:marTop w:val="0"/>
      <w:marBottom w:val="0"/>
      <w:divBdr>
        <w:top w:val="none" w:sz="0" w:space="0" w:color="auto"/>
        <w:left w:val="none" w:sz="0" w:space="0" w:color="auto"/>
        <w:bottom w:val="none" w:sz="0" w:space="0" w:color="auto"/>
        <w:right w:val="none" w:sz="0" w:space="0" w:color="auto"/>
      </w:divBdr>
    </w:div>
    <w:div w:id="419840527">
      <w:bodyDiv w:val="1"/>
      <w:marLeft w:val="0"/>
      <w:marRight w:val="0"/>
      <w:marTop w:val="0"/>
      <w:marBottom w:val="0"/>
      <w:divBdr>
        <w:top w:val="none" w:sz="0" w:space="0" w:color="auto"/>
        <w:left w:val="none" w:sz="0" w:space="0" w:color="auto"/>
        <w:bottom w:val="none" w:sz="0" w:space="0" w:color="auto"/>
        <w:right w:val="none" w:sz="0" w:space="0" w:color="auto"/>
      </w:divBdr>
    </w:div>
    <w:div w:id="420220798">
      <w:bodyDiv w:val="1"/>
      <w:marLeft w:val="0"/>
      <w:marRight w:val="0"/>
      <w:marTop w:val="0"/>
      <w:marBottom w:val="0"/>
      <w:divBdr>
        <w:top w:val="none" w:sz="0" w:space="0" w:color="auto"/>
        <w:left w:val="none" w:sz="0" w:space="0" w:color="auto"/>
        <w:bottom w:val="none" w:sz="0" w:space="0" w:color="auto"/>
        <w:right w:val="none" w:sz="0" w:space="0" w:color="auto"/>
      </w:divBdr>
    </w:div>
    <w:div w:id="420493407">
      <w:bodyDiv w:val="1"/>
      <w:marLeft w:val="0"/>
      <w:marRight w:val="0"/>
      <w:marTop w:val="0"/>
      <w:marBottom w:val="0"/>
      <w:divBdr>
        <w:top w:val="none" w:sz="0" w:space="0" w:color="auto"/>
        <w:left w:val="none" w:sz="0" w:space="0" w:color="auto"/>
        <w:bottom w:val="none" w:sz="0" w:space="0" w:color="auto"/>
        <w:right w:val="none" w:sz="0" w:space="0" w:color="auto"/>
      </w:divBdr>
    </w:div>
    <w:div w:id="421343996">
      <w:bodyDiv w:val="1"/>
      <w:marLeft w:val="0"/>
      <w:marRight w:val="0"/>
      <w:marTop w:val="0"/>
      <w:marBottom w:val="0"/>
      <w:divBdr>
        <w:top w:val="none" w:sz="0" w:space="0" w:color="auto"/>
        <w:left w:val="none" w:sz="0" w:space="0" w:color="auto"/>
        <w:bottom w:val="none" w:sz="0" w:space="0" w:color="auto"/>
        <w:right w:val="none" w:sz="0" w:space="0" w:color="auto"/>
      </w:divBdr>
    </w:div>
    <w:div w:id="422068895">
      <w:bodyDiv w:val="1"/>
      <w:marLeft w:val="0"/>
      <w:marRight w:val="0"/>
      <w:marTop w:val="0"/>
      <w:marBottom w:val="0"/>
      <w:divBdr>
        <w:top w:val="none" w:sz="0" w:space="0" w:color="auto"/>
        <w:left w:val="none" w:sz="0" w:space="0" w:color="auto"/>
        <w:bottom w:val="none" w:sz="0" w:space="0" w:color="auto"/>
        <w:right w:val="none" w:sz="0" w:space="0" w:color="auto"/>
      </w:divBdr>
    </w:div>
    <w:div w:id="422730262">
      <w:bodyDiv w:val="1"/>
      <w:marLeft w:val="0"/>
      <w:marRight w:val="0"/>
      <w:marTop w:val="0"/>
      <w:marBottom w:val="0"/>
      <w:divBdr>
        <w:top w:val="none" w:sz="0" w:space="0" w:color="auto"/>
        <w:left w:val="none" w:sz="0" w:space="0" w:color="auto"/>
        <w:bottom w:val="none" w:sz="0" w:space="0" w:color="auto"/>
        <w:right w:val="none" w:sz="0" w:space="0" w:color="auto"/>
      </w:divBdr>
    </w:div>
    <w:div w:id="425930567">
      <w:bodyDiv w:val="1"/>
      <w:marLeft w:val="0"/>
      <w:marRight w:val="0"/>
      <w:marTop w:val="0"/>
      <w:marBottom w:val="0"/>
      <w:divBdr>
        <w:top w:val="none" w:sz="0" w:space="0" w:color="auto"/>
        <w:left w:val="none" w:sz="0" w:space="0" w:color="auto"/>
        <w:bottom w:val="none" w:sz="0" w:space="0" w:color="auto"/>
        <w:right w:val="none" w:sz="0" w:space="0" w:color="auto"/>
      </w:divBdr>
    </w:div>
    <w:div w:id="431586778">
      <w:bodyDiv w:val="1"/>
      <w:marLeft w:val="0"/>
      <w:marRight w:val="0"/>
      <w:marTop w:val="0"/>
      <w:marBottom w:val="0"/>
      <w:divBdr>
        <w:top w:val="none" w:sz="0" w:space="0" w:color="auto"/>
        <w:left w:val="none" w:sz="0" w:space="0" w:color="auto"/>
        <w:bottom w:val="none" w:sz="0" w:space="0" w:color="auto"/>
        <w:right w:val="none" w:sz="0" w:space="0" w:color="auto"/>
      </w:divBdr>
    </w:div>
    <w:div w:id="433669276">
      <w:bodyDiv w:val="1"/>
      <w:marLeft w:val="0"/>
      <w:marRight w:val="0"/>
      <w:marTop w:val="0"/>
      <w:marBottom w:val="0"/>
      <w:divBdr>
        <w:top w:val="none" w:sz="0" w:space="0" w:color="auto"/>
        <w:left w:val="none" w:sz="0" w:space="0" w:color="auto"/>
        <w:bottom w:val="none" w:sz="0" w:space="0" w:color="auto"/>
        <w:right w:val="none" w:sz="0" w:space="0" w:color="auto"/>
      </w:divBdr>
    </w:div>
    <w:div w:id="442456571">
      <w:bodyDiv w:val="1"/>
      <w:marLeft w:val="0"/>
      <w:marRight w:val="0"/>
      <w:marTop w:val="0"/>
      <w:marBottom w:val="0"/>
      <w:divBdr>
        <w:top w:val="none" w:sz="0" w:space="0" w:color="auto"/>
        <w:left w:val="none" w:sz="0" w:space="0" w:color="auto"/>
        <w:bottom w:val="none" w:sz="0" w:space="0" w:color="auto"/>
        <w:right w:val="none" w:sz="0" w:space="0" w:color="auto"/>
      </w:divBdr>
    </w:div>
    <w:div w:id="442848333">
      <w:bodyDiv w:val="1"/>
      <w:marLeft w:val="0"/>
      <w:marRight w:val="0"/>
      <w:marTop w:val="0"/>
      <w:marBottom w:val="0"/>
      <w:divBdr>
        <w:top w:val="none" w:sz="0" w:space="0" w:color="auto"/>
        <w:left w:val="none" w:sz="0" w:space="0" w:color="auto"/>
        <w:bottom w:val="none" w:sz="0" w:space="0" w:color="auto"/>
        <w:right w:val="none" w:sz="0" w:space="0" w:color="auto"/>
      </w:divBdr>
    </w:div>
    <w:div w:id="445586963">
      <w:bodyDiv w:val="1"/>
      <w:marLeft w:val="0"/>
      <w:marRight w:val="0"/>
      <w:marTop w:val="0"/>
      <w:marBottom w:val="0"/>
      <w:divBdr>
        <w:top w:val="none" w:sz="0" w:space="0" w:color="auto"/>
        <w:left w:val="none" w:sz="0" w:space="0" w:color="auto"/>
        <w:bottom w:val="none" w:sz="0" w:space="0" w:color="auto"/>
        <w:right w:val="none" w:sz="0" w:space="0" w:color="auto"/>
      </w:divBdr>
    </w:div>
    <w:div w:id="446631347">
      <w:bodyDiv w:val="1"/>
      <w:marLeft w:val="0"/>
      <w:marRight w:val="0"/>
      <w:marTop w:val="0"/>
      <w:marBottom w:val="0"/>
      <w:divBdr>
        <w:top w:val="none" w:sz="0" w:space="0" w:color="auto"/>
        <w:left w:val="none" w:sz="0" w:space="0" w:color="auto"/>
        <w:bottom w:val="none" w:sz="0" w:space="0" w:color="auto"/>
        <w:right w:val="none" w:sz="0" w:space="0" w:color="auto"/>
      </w:divBdr>
    </w:div>
    <w:div w:id="448086246">
      <w:bodyDiv w:val="1"/>
      <w:marLeft w:val="0"/>
      <w:marRight w:val="0"/>
      <w:marTop w:val="0"/>
      <w:marBottom w:val="0"/>
      <w:divBdr>
        <w:top w:val="none" w:sz="0" w:space="0" w:color="auto"/>
        <w:left w:val="none" w:sz="0" w:space="0" w:color="auto"/>
        <w:bottom w:val="none" w:sz="0" w:space="0" w:color="auto"/>
        <w:right w:val="none" w:sz="0" w:space="0" w:color="auto"/>
      </w:divBdr>
    </w:div>
    <w:div w:id="448160472">
      <w:bodyDiv w:val="1"/>
      <w:marLeft w:val="0"/>
      <w:marRight w:val="0"/>
      <w:marTop w:val="0"/>
      <w:marBottom w:val="0"/>
      <w:divBdr>
        <w:top w:val="none" w:sz="0" w:space="0" w:color="auto"/>
        <w:left w:val="none" w:sz="0" w:space="0" w:color="auto"/>
        <w:bottom w:val="none" w:sz="0" w:space="0" w:color="auto"/>
        <w:right w:val="none" w:sz="0" w:space="0" w:color="auto"/>
      </w:divBdr>
    </w:div>
    <w:div w:id="450823155">
      <w:bodyDiv w:val="1"/>
      <w:marLeft w:val="0"/>
      <w:marRight w:val="0"/>
      <w:marTop w:val="0"/>
      <w:marBottom w:val="0"/>
      <w:divBdr>
        <w:top w:val="none" w:sz="0" w:space="0" w:color="auto"/>
        <w:left w:val="none" w:sz="0" w:space="0" w:color="auto"/>
        <w:bottom w:val="none" w:sz="0" w:space="0" w:color="auto"/>
        <w:right w:val="none" w:sz="0" w:space="0" w:color="auto"/>
      </w:divBdr>
    </w:div>
    <w:div w:id="451095862">
      <w:bodyDiv w:val="1"/>
      <w:marLeft w:val="0"/>
      <w:marRight w:val="0"/>
      <w:marTop w:val="0"/>
      <w:marBottom w:val="0"/>
      <w:divBdr>
        <w:top w:val="none" w:sz="0" w:space="0" w:color="auto"/>
        <w:left w:val="none" w:sz="0" w:space="0" w:color="auto"/>
        <w:bottom w:val="none" w:sz="0" w:space="0" w:color="auto"/>
        <w:right w:val="none" w:sz="0" w:space="0" w:color="auto"/>
      </w:divBdr>
    </w:div>
    <w:div w:id="455024311">
      <w:bodyDiv w:val="1"/>
      <w:marLeft w:val="0"/>
      <w:marRight w:val="0"/>
      <w:marTop w:val="0"/>
      <w:marBottom w:val="0"/>
      <w:divBdr>
        <w:top w:val="none" w:sz="0" w:space="0" w:color="auto"/>
        <w:left w:val="none" w:sz="0" w:space="0" w:color="auto"/>
        <w:bottom w:val="none" w:sz="0" w:space="0" w:color="auto"/>
        <w:right w:val="none" w:sz="0" w:space="0" w:color="auto"/>
      </w:divBdr>
    </w:div>
    <w:div w:id="465702630">
      <w:bodyDiv w:val="1"/>
      <w:marLeft w:val="0"/>
      <w:marRight w:val="0"/>
      <w:marTop w:val="0"/>
      <w:marBottom w:val="0"/>
      <w:divBdr>
        <w:top w:val="none" w:sz="0" w:space="0" w:color="auto"/>
        <w:left w:val="none" w:sz="0" w:space="0" w:color="auto"/>
        <w:bottom w:val="none" w:sz="0" w:space="0" w:color="auto"/>
        <w:right w:val="none" w:sz="0" w:space="0" w:color="auto"/>
      </w:divBdr>
    </w:div>
    <w:div w:id="465859293">
      <w:bodyDiv w:val="1"/>
      <w:marLeft w:val="0"/>
      <w:marRight w:val="0"/>
      <w:marTop w:val="0"/>
      <w:marBottom w:val="0"/>
      <w:divBdr>
        <w:top w:val="none" w:sz="0" w:space="0" w:color="auto"/>
        <w:left w:val="none" w:sz="0" w:space="0" w:color="auto"/>
        <w:bottom w:val="none" w:sz="0" w:space="0" w:color="auto"/>
        <w:right w:val="none" w:sz="0" w:space="0" w:color="auto"/>
      </w:divBdr>
    </w:div>
    <w:div w:id="470170215">
      <w:bodyDiv w:val="1"/>
      <w:marLeft w:val="0"/>
      <w:marRight w:val="0"/>
      <w:marTop w:val="0"/>
      <w:marBottom w:val="0"/>
      <w:divBdr>
        <w:top w:val="none" w:sz="0" w:space="0" w:color="auto"/>
        <w:left w:val="none" w:sz="0" w:space="0" w:color="auto"/>
        <w:bottom w:val="none" w:sz="0" w:space="0" w:color="auto"/>
        <w:right w:val="none" w:sz="0" w:space="0" w:color="auto"/>
      </w:divBdr>
    </w:div>
    <w:div w:id="472257939">
      <w:bodyDiv w:val="1"/>
      <w:marLeft w:val="0"/>
      <w:marRight w:val="0"/>
      <w:marTop w:val="0"/>
      <w:marBottom w:val="0"/>
      <w:divBdr>
        <w:top w:val="none" w:sz="0" w:space="0" w:color="auto"/>
        <w:left w:val="none" w:sz="0" w:space="0" w:color="auto"/>
        <w:bottom w:val="none" w:sz="0" w:space="0" w:color="auto"/>
        <w:right w:val="none" w:sz="0" w:space="0" w:color="auto"/>
      </w:divBdr>
    </w:div>
    <w:div w:id="478881296">
      <w:bodyDiv w:val="1"/>
      <w:marLeft w:val="0"/>
      <w:marRight w:val="0"/>
      <w:marTop w:val="0"/>
      <w:marBottom w:val="0"/>
      <w:divBdr>
        <w:top w:val="none" w:sz="0" w:space="0" w:color="auto"/>
        <w:left w:val="none" w:sz="0" w:space="0" w:color="auto"/>
        <w:bottom w:val="none" w:sz="0" w:space="0" w:color="auto"/>
        <w:right w:val="none" w:sz="0" w:space="0" w:color="auto"/>
      </w:divBdr>
    </w:div>
    <w:div w:id="486095617">
      <w:bodyDiv w:val="1"/>
      <w:marLeft w:val="0"/>
      <w:marRight w:val="0"/>
      <w:marTop w:val="0"/>
      <w:marBottom w:val="0"/>
      <w:divBdr>
        <w:top w:val="none" w:sz="0" w:space="0" w:color="auto"/>
        <w:left w:val="none" w:sz="0" w:space="0" w:color="auto"/>
        <w:bottom w:val="none" w:sz="0" w:space="0" w:color="auto"/>
        <w:right w:val="none" w:sz="0" w:space="0" w:color="auto"/>
      </w:divBdr>
    </w:div>
    <w:div w:id="494495758">
      <w:bodyDiv w:val="1"/>
      <w:marLeft w:val="0"/>
      <w:marRight w:val="0"/>
      <w:marTop w:val="0"/>
      <w:marBottom w:val="0"/>
      <w:divBdr>
        <w:top w:val="none" w:sz="0" w:space="0" w:color="auto"/>
        <w:left w:val="none" w:sz="0" w:space="0" w:color="auto"/>
        <w:bottom w:val="none" w:sz="0" w:space="0" w:color="auto"/>
        <w:right w:val="none" w:sz="0" w:space="0" w:color="auto"/>
      </w:divBdr>
    </w:div>
    <w:div w:id="497228406">
      <w:bodyDiv w:val="1"/>
      <w:marLeft w:val="0"/>
      <w:marRight w:val="0"/>
      <w:marTop w:val="0"/>
      <w:marBottom w:val="0"/>
      <w:divBdr>
        <w:top w:val="none" w:sz="0" w:space="0" w:color="auto"/>
        <w:left w:val="none" w:sz="0" w:space="0" w:color="auto"/>
        <w:bottom w:val="none" w:sz="0" w:space="0" w:color="auto"/>
        <w:right w:val="none" w:sz="0" w:space="0" w:color="auto"/>
      </w:divBdr>
    </w:div>
    <w:div w:id="501051663">
      <w:bodyDiv w:val="1"/>
      <w:marLeft w:val="0"/>
      <w:marRight w:val="0"/>
      <w:marTop w:val="0"/>
      <w:marBottom w:val="0"/>
      <w:divBdr>
        <w:top w:val="none" w:sz="0" w:space="0" w:color="auto"/>
        <w:left w:val="none" w:sz="0" w:space="0" w:color="auto"/>
        <w:bottom w:val="none" w:sz="0" w:space="0" w:color="auto"/>
        <w:right w:val="none" w:sz="0" w:space="0" w:color="auto"/>
      </w:divBdr>
    </w:div>
    <w:div w:id="501169332">
      <w:bodyDiv w:val="1"/>
      <w:marLeft w:val="0"/>
      <w:marRight w:val="0"/>
      <w:marTop w:val="0"/>
      <w:marBottom w:val="0"/>
      <w:divBdr>
        <w:top w:val="none" w:sz="0" w:space="0" w:color="auto"/>
        <w:left w:val="none" w:sz="0" w:space="0" w:color="auto"/>
        <w:bottom w:val="none" w:sz="0" w:space="0" w:color="auto"/>
        <w:right w:val="none" w:sz="0" w:space="0" w:color="auto"/>
      </w:divBdr>
    </w:div>
    <w:div w:id="502209945">
      <w:bodyDiv w:val="1"/>
      <w:marLeft w:val="0"/>
      <w:marRight w:val="0"/>
      <w:marTop w:val="0"/>
      <w:marBottom w:val="0"/>
      <w:divBdr>
        <w:top w:val="none" w:sz="0" w:space="0" w:color="auto"/>
        <w:left w:val="none" w:sz="0" w:space="0" w:color="auto"/>
        <w:bottom w:val="none" w:sz="0" w:space="0" w:color="auto"/>
        <w:right w:val="none" w:sz="0" w:space="0" w:color="auto"/>
      </w:divBdr>
    </w:div>
    <w:div w:id="508833463">
      <w:bodyDiv w:val="1"/>
      <w:marLeft w:val="0"/>
      <w:marRight w:val="0"/>
      <w:marTop w:val="0"/>
      <w:marBottom w:val="0"/>
      <w:divBdr>
        <w:top w:val="none" w:sz="0" w:space="0" w:color="auto"/>
        <w:left w:val="none" w:sz="0" w:space="0" w:color="auto"/>
        <w:bottom w:val="none" w:sz="0" w:space="0" w:color="auto"/>
        <w:right w:val="none" w:sz="0" w:space="0" w:color="auto"/>
      </w:divBdr>
    </w:div>
    <w:div w:id="511258570">
      <w:bodyDiv w:val="1"/>
      <w:marLeft w:val="0"/>
      <w:marRight w:val="0"/>
      <w:marTop w:val="0"/>
      <w:marBottom w:val="0"/>
      <w:divBdr>
        <w:top w:val="none" w:sz="0" w:space="0" w:color="auto"/>
        <w:left w:val="none" w:sz="0" w:space="0" w:color="auto"/>
        <w:bottom w:val="none" w:sz="0" w:space="0" w:color="auto"/>
        <w:right w:val="none" w:sz="0" w:space="0" w:color="auto"/>
      </w:divBdr>
    </w:div>
    <w:div w:id="517352061">
      <w:bodyDiv w:val="1"/>
      <w:marLeft w:val="0"/>
      <w:marRight w:val="0"/>
      <w:marTop w:val="0"/>
      <w:marBottom w:val="0"/>
      <w:divBdr>
        <w:top w:val="none" w:sz="0" w:space="0" w:color="auto"/>
        <w:left w:val="none" w:sz="0" w:space="0" w:color="auto"/>
        <w:bottom w:val="none" w:sz="0" w:space="0" w:color="auto"/>
        <w:right w:val="none" w:sz="0" w:space="0" w:color="auto"/>
      </w:divBdr>
    </w:div>
    <w:div w:id="517504278">
      <w:bodyDiv w:val="1"/>
      <w:marLeft w:val="0"/>
      <w:marRight w:val="0"/>
      <w:marTop w:val="0"/>
      <w:marBottom w:val="0"/>
      <w:divBdr>
        <w:top w:val="none" w:sz="0" w:space="0" w:color="auto"/>
        <w:left w:val="none" w:sz="0" w:space="0" w:color="auto"/>
        <w:bottom w:val="none" w:sz="0" w:space="0" w:color="auto"/>
        <w:right w:val="none" w:sz="0" w:space="0" w:color="auto"/>
      </w:divBdr>
    </w:div>
    <w:div w:id="521672019">
      <w:bodyDiv w:val="1"/>
      <w:marLeft w:val="0"/>
      <w:marRight w:val="0"/>
      <w:marTop w:val="0"/>
      <w:marBottom w:val="0"/>
      <w:divBdr>
        <w:top w:val="none" w:sz="0" w:space="0" w:color="auto"/>
        <w:left w:val="none" w:sz="0" w:space="0" w:color="auto"/>
        <w:bottom w:val="none" w:sz="0" w:space="0" w:color="auto"/>
        <w:right w:val="none" w:sz="0" w:space="0" w:color="auto"/>
      </w:divBdr>
    </w:div>
    <w:div w:id="528686122">
      <w:bodyDiv w:val="1"/>
      <w:marLeft w:val="0"/>
      <w:marRight w:val="0"/>
      <w:marTop w:val="0"/>
      <w:marBottom w:val="0"/>
      <w:divBdr>
        <w:top w:val="none" w:sz="0" w:space="0" w:color="auto"/>
        <w:left w:val="none" w:sz="0" w:space="0" w:color="auto"/>
        <w:bottom w:val="none" w:sz="0" w:space="0" w:color="auto"/>
        <w:right w:val="none" w:sz="0" w:space="0" w:color="auto"/>
      </w:divBdr>
    </w:div>
    <w:div w:id="536433026">
      <w:bodyDiv w:val="1"/>
      <w:marLeft w:val="0"/>
      <w:marRight w:val="0"/>
      <w:marTop w:val="0"/>
      <w:marBottom w:val="0"/>
      <w:divBdr>
        <w:top w:val="none" w:sz="0" w:space="0" w:color="auto"/>
        <w:left w:val="none" w:sz="0" w:space="0" w:color="auto"/>
        <w:bottom w:val="none" w:sz="0" w:space="0" w:color="auto"/>
        <w:right w:val="none" w:sz="0" w:space="0" w:color="auto"/>
      </w:divBdr>
    </w:div>
    <w:div w:id="539512450">
      <w:bodyDiv w:val="1"/>
      <w:marLeft w:val="0"/>
      <w:marRight w:val="0"/>
      <w:marTop w:val="0"/>
      <w:marBottom w:val="0"/>
      <w:divBdr>
        <w:top w:val="none" w:sz="0" w:space="0" w:color="auto"/>
        <w:left w:val="none" w:sz="0" w:space="0" w:color="auto"/>
        <w:bottom w:val="none" w:sz="0" w:space="0" w:color="auto"/>
        <w:right w:val="none" w:sz="0" w:space="0" w:color="auto"/>
      </w:divBdr>
    </w:div>
    <w:div w:id="542406590">
      <w:bodyDiv w:val="1"/>
      <w:marLeft w:val="0"/>
      <w:marRight w:val="0"/>
      <w:marTop w:val="0"/>
      <w:marBottom w:val="0"/>
      <w:divBdr>
        <w:top w:val="none" w:sz="0" w:space="0" w:color="auto"/>
        <w:left w:val="none" w:sz="0" w:space="0" w:color="auto"/>
        <w:bottom w:val="none" w:sz="0" w:space="0" w:color="auto"/>
        <w:right w:val="none" w:sz="0" w:space="0" w:color="auto"/>
      </w:divBdr>
    </w:div>
    <w:div w:id="550967143">
      <w:bodyDiv w:val="1"/>
      <w:marLeft w:val="0"/>
      <w:marRight w:val="0"/>
      <w:marTop w:val="0"/>
      <w:marBottom w:val="0"/>
      <w:divBdr>
        <w:top w:val="none" w:sz="0" w:space="0" w:color="auto"/>
        <w:left w:val="none" w:sz="0" w:space="0" w:color="auto"/>
        <w:bottom w:val="none" w:sz="0" w:space="0" w:color="auto"/>
        <w:right w:val="none" w:sz="0" w:space="0" w:color="auto"/>
      </w:divBdr>
    </w:div>
    <w:div w:id="552738246">
      <w:bodyDiv w:val="1"/>
      <w:marLeft w:val="0"/>
      <w:marRight w:val="0"/>
      <w:marTop w:val="0"/>
      <w:marBottom w:val="0"/>
      <w:divBdr>
        <w:top w:val="none" w:sz="0" w:space="0" w:color="auto"/>
        <w:left w:val="none" w:sz="0" w:space="0" w:color="auto"/>
        <w:bottom w:val="none" w:sz="0" w:space="0" w:color="auto"/>
        <w:right w:val="none" w:sz="0" w:space="0" w:color="auto"/>
      </w:divBdr>
    </w:div>
    <w:div w:id="552741321">
      <w:bodyDiv w:val="1"/>
      <w:marLeft w:val="0"/>
      <w:marRight w:val="0"/>
      <w:marTop w:val="0"/>
      <w:marBottom w:val="0"/>
      <w:divBdr>
        <w:top w:val="none" w:sz="0" w:space="0" w:color="auto"/>
        <w:left w:val="none" w:sz="0" w:space="0" w:color="auto"/>
        <w:bottom w:val="none" w:sz="0" w:space="0" w:color="auto"/>
        <w:right w:val="none" w:sz="0" w:space="0" w:color="auto"/>
      </w:divBdr>
    </w:div>
    <w:div w:id="554396372">
      <w:bodyDiv w:val="1"/>
      <w:marLeft w:val="0"/>
      <w:marRight w:val="0"/>
      <w:marTop w:val="0"/>
      <w:marBottom w:val="0"/>
      <w:divBdr>
        <w:top w:val="none" w:sz="0" w:space="0" w:color="auto"/>
        <w:left w:val="none" w:sz="0" w:space="0" w:color="auto"/>
        <w:bottom w:val="none" w:sz="0" w:space="0" w:color="auto"/>
        <w:right w:val="none" w:sz="0" w:space="0" w:color="auto"/>
      </w:divBdr>
    </w:div>
    <w:div w:id="555120384">
      <w:bodyDiv w:val="1"/>
      <w:marLeft w:val="0"/>
      <w:marRight w:val="0"/>
      <w:marTop w:val="0"/>
      <w:marBottom w:val="0"/>
      <w:divBdr>
        <w:top w:val="none" w:sz="0" w:space="0" w:color="auto"/>
        <w:left w:val="none" w:sz="0" w:space="0" w:color="auto"/>
        <w:bottom w:val="none" w:sz="0" w:space="0" w:color="auto"/>
        <w:right w:val="none" w:sz="0" w:space="0" w:color="auto"/>
      </w:divBdr>
    </w:div>
    <w:div w:id="555431937">
      <w:bodyDiv w:val="1"/>
      <w:marLeft w:val="0"/>
      <w:marRight w:val="0"/>
      <w:marTop w:val="0"/>
      <w:marBottom w:val="0"/>
      <w:divBdr>
        <w:top w:val="none" w:sz="0" w:space="0" w:color="auto"/>
        <w:left w:val="none" w:sz="0" w:space="0" w:color="auto"/>
        <w:bottom w:val="none" w:sz="0" w:space="0" w:color="auto"/>
        <w:right w:val="none" w:sz="0" w:space="0" w:color="auto"/>
      </w:divBdr>
    </w:div>
    <w:div w:id="558517541">
      <w:bodyDiv w:val="1"/>
      <w:marLeft w:val="0"/>
      <w:marRight w:val="0"/>
      <w:marTop w:val="0"/>
      <w:marBottom w:val="0"/>
      <w:divBdr>
        <w:top w:val="none" w:sz="0" w:space="0" w:color="auto"/>
        <w:left w:val="none" w:sz="0" w:space="0" w:color="auto"/>
        <w:bottom w:val="none" w:sz="0" w:space="0" w:color="auto"/>
        <w:right w:val="none" w:sz="0" w:space="0" w:color="auto"/>
      </w:divBdr>
    </w:div>
    <w:div w:id="562257032">
      <w:bodyDiv w:val="1"/>
      <w:marLeft w:val="0"/>
      <w:marRight w:val="0"/>
      <w:marTop w:val="0"/>
      <w:marBottom w:val="0"/>
      <w:divBdr>
        <w:top w:val="none" w:sz="0" w:space="0" w:color="auto"/>
        <w:left w:val="none" w:sz="0" w:space="0" w:color="auto"/>
        <w:bottom w:val="none" w:sz="0" w:space="0" w:color="auto"/>
        <w:right w:val="none" w:sz="0" w:space="0" w:color="auto"/>
      </w:divBdr>
    </w:div>
    <w:div w:id="563100184">
      <w:bodyDiv w:val="1"/>
      <w:marLeft w:val="0"/>
      <w:marRight w:val="0"/>
      <w:marTop w:val="0"/>
      <w:marBottom w:val="0"/>
      <w:divBdr>
        <w:top w:val="none" w:sz="0" w:space="0" w:color="auto"/>
        <w:left w:val="none" w:sz="0" w:space="0" w:color="auto"/>
        <w:bottom w:val="none" w:sz="0" w:space="0" w:color="auto"/>
        <w:right w:val="none" w:sz="0" w:space="0" w:color="auto"/>
      </w:divBdr>
    </w:div>
    <w:div w:id="564216554">
      <w:bodyDiv w:val="1"/>
      <w:marLeft w:val="0"/>
      <w:marRight w:val="0"/>
      <w:marTop w:val="0"/>
      <w:marBottom w:val="0"/>
      <w:divBdr>
        <w:top w:val="none" w:sz="0" w:space="0" w:color="auto"/>
        <w:left w:val="none" w:sz="0" w:space="0" w:color="auto"/>
        <w:bottom w:val="none" w:sz="0" w:space="0" w:color="auto"/>
        <w:right w:val="none" w:sz="0" w:space="0" w:color="auto"/>
      </w:divBdr>
    </w:div>
    <w:div w:id="572350203">
      <w:bodyDiv w:val="1"/>
      <w:marLeft w:val="0"/>
      <w:marRight w:val="0"/>
      <w:marTop w:val="0"/>
      <w:marBottom w:val="0"/>
      <w:divBdr>
        <w:top w:val="none" w:sz="0" w:space="0" w:color="auto"/>
        <w:left w:val="none" w:sz="0" w:space="0" w:color="auto"/>
        <w:bottom w:val="none" w:sz="0" w:space="0" w:color="auto"/>
        <w:right w:val="none" w:sz="0" w:space="0" w:color="auto"/>
      </w:divBdr>
    </w:div>
    <w:div w:id="573315490">
      <w:bodyDiv w:val="1"/>
      <w:marLeft w:val="0"/>
      <w:marRight w:val="0"/>
      <w:marTop w:val="0"/>
      <w:marBottom w:val="0"/>
      <w:divBdr>
        <w:top w:val="none" w:sz="0" w:space="0" w:color="auto"/>
        <w:left w:val="none" w:sz="0" w:space="0" w:color="auto"/>
        <w:bottom w:val="none" w:sz="0" w:space="0" w:color="auto"/>
        <w:right w:val="none" w:sz="0" w:space="0" w:color="auto"/>
      </w:divBdr>
    </w:div>
    <w:div w:id="574708352">
      <w:bodyDiv w:val="1"/>
      <w:marLeft w:val="0"/>
      <w:marRight w:val="0"/>
      <w:marTop w:val="0"/>
      <w:marBottom w:val="0"/>
      <w:divBdr>
        <w:top w:val="none" w:sz="0" w:space="0" w:color="auto"/>
        <w:left w:val="none" w:sz="0" w:space="0" w:color="auto"/>
        <w:bottom w:val="none" w:sz="0" w:space="0" w:color="auto"/>
        <w:right w:val="none" w:sz="0" w:space="0" w:color="auto"/>
      </w:divBdr>
    </w:div>
    <w:div w:id="575629475">
      <w:bodyDiv w:val="1"/>
      <w:marLeft w:val="0"/>
      <w:marRight w:val="0"/>
      <w:marTop w:val="0"/>
      <w:marBottom w:val="0"/>
      <w:divBdr>
        <w:top w:val="none" w:sz="0" w:space="0" w:color="auto"/>
        <w:left w:val="none" w:sz="0" w:space="0" w:color="auto"/>
        <w:bottom w:val="none" w:sz="0" w:space="0" w:color="auto"/>
        <w:right w:val="none" w:sz="0" w:space="0" w:color="auto"/>
      </w:divBdr>
    </w:div>
    <w:div w:id="575669494">
      <w:bodyDiv w:val="1"/>
      <w:marLeft w:val="0"/>
      <w:marRight w:val="0"/>
      <w:marTop w:val="0"/>
      <w:marBottom w:val="0"/>
      <w:divBdr>
        <w:top w:val="none" w:sz="0" w:space="0" w:color="auto"/>
        <w:left w:val="none" w:sz="0" w:space="0" w:color="auto"/>
        <w:bottom w:val="none" w:sz="0" w:space="0" w:color="auto"/>
        <w:right w:val="none" w:sz="0" w:space="0" w:color="auto"/>
      </w:divBdr>
    </w:div>
    <w:div w:id="577373701">
      <w:bodyDiv w:val="1"/>
      <w:marLeft w:val="0"/>
      <w:marRight w:val="0"/>
      <w:marTop w:val="0"/>
      <w:marBottom w:val="0"/>
      <w:divBdr>
        <w:top w:val="none" w:sz="0" w:space="0" w:color="auto"/>
        <w:left w:val="none" w:sz="0" w:space="0" w:color="auto"/>
        <w:bottom w:val="none" w:sz="0" w:space="0" w:color="auto"/>
        <w:right w:val="none" w:sz="0" w:space="0" w:color="auto"/>
      </w:divBdr>
    </w:div>
    <w:div w:id="577518121">
      <w:bodyDiv w:val="1"/>
      <w:marLeft w:val="0"/>
      <w:marRight w:val="0"/>
      <w:marTop w:val="0"/>
      <w:marBottom w:val="0"/>
      <w:divBdr>
        <w:top w:val="none" w:sz="0" w:space="0" w:color="auto"/>
        <w:left w:val="none" w:sz="0" w:space="0" w:color="auto"/>
        <w:bottom w:val="none" w:sz="0" w:space="0" w:color="auto"/>
        <w:right w:val="none" w:sz="0" w:space="0" w:color="auto"/>
      </w:divBdr>
    </w:div>
    <w:div w:id="587884678">
      <w:bodyDiv w:val="1"/>
      <w:marLeft w:val="0"/>
      <w:marRight w:val="0"/>
      <w:marTop w:val="0"/>
      <w:marBottom w:val="0"/>
      <w:divBdr>
        <w:top w:val="none" w:sz="0" w:space="0" w:color="auto"/>
        <w:left w:val="none" w:sz="0" w:space="0" w:color="auto"/>
        <w:bottom w:val="none" w:sz="0" w:space="0" w:color="auto"/>
        <w:right w:val="none" w:sz="0" w:space="0" w:color="auto"/>
      </w:divBdr>
    </w:div>
    <w:div w:id="593829022">
      <w:bodyDiv w:val="1"/>
      <w:marLeft w:val="0"/>
      <w:marRight w:val="0"/>
      <w:marTop w:val="0"/>
      <w:marBottom w:val="0"/>
      <w:divBdr>
        <w:top w:val="none" w:sz="0" w:space="0" w:color="auto"/>
        <w:left w:val="none" w:sz="0" w:space="0" w:color="auto"/>
        <w:bottom w:val="none" w:sz="0" w:space="0" w:color="auto"/>
        <w:right w:val="none" w:sz="0" w:space="0" w:color="auto"/>
      </w:divBdr>
    </w:div>
    <w:div w:id="596716008">
      <w:bodyDiv w:val="1"/>
      <w:marLeft w:val="0"/>
      <w:marRight w:val="0"/>
      <w:marTop w:val="0"/>
      <w:marBottom w:val="0"/>
      <w:divBdr>
        <w:top w:val="none" w:sz="0" w:space="0" w:color="auto"/>
        <w:left w:val="none" w:sz="0" w:space="0" w:color="auto"/>
        <w:bottom w:val="none" w:sz="0" w:space="0" w:color="auto"/>
        <w:right w:val="none" w:sz="0" w:space="0" w:color="auto"/>
      </w:divBdr>
    </w:div>
    <w:div w:id="597979859">
      <w:bodyDiv w:val="1"/>
      <w:marLeft w:val="0"/>
      <w:marRight w:val="0"/>
      <w:marTop w:val="0"/>
      <w:marBottom w:val="0"/>
      <w:divBdr>
        <w:top w:val="none" w:sz="0" w:space="0" w:color="auto"/>
        <w:left w:val="none" w:sz="0" w:space="0" w:color="auto"/>
        <w:bottom w:val="none" w:sz="0" w:space="0" w:color="auto"/>
        <w:right w:val="none" w:sz="0" w:space="0" w:color="auto"/>
      </w:divBdr>
    </w:div>
    <w:div w:id="599027508">
      <w:bodyDiv w:val="1"/>
      <w:marLeft w:val="0"/>
      <w:marRight w:val="0"/>
      <w:marTop w:val="0"/>
      <w:marBottom w:val="0"/>
      <w:divBdr>
        <w:top w:val="none" w:sz="0" w:space="0" w:color="auto"/>
        <w:left w:val="none" w:sz="0" w:space="0" w:color="auto"/>
        <w:bottom w:val="none" w:sz="0" w:space="0" w:color="auto"/>
        <w:right w:val="none" w:sz="0" w:space="0" w:color="auto"/>
      </w:divBdr>
    </w:div>
    <w:div w:id="603269911">
      <w:bodyDiv w:val="1"/>
      <w:marLeft w:val="0"/>
      <w:marRight w:val="0"/>
      <w:marTop w:val="0"/>
      <w:marBottom w:val="0"/>
      <w:divBdr>
        <w:top w:val="none" w:sz="0" w:space="0" w:color="auto"/>
        <w:left w:val="none" w:sz="0" w:space="0" w:color="auto"/>
        <w:bottom w:val="none" w:sz="0" w:space="0" w:color="auto"/>
        <w:right w:val="none" w:sz="0" w:space="0" w:color="auto"/>
      </w:divBdr>
    </w:div>
    <w:div w:id="604657964">
      <w:bodyDiv w:val="1"/>
      <w:marLeft w:val="0"/>
      <w:marRight w:val="0"/>
      <w:marTop w:val="0"/>
      <w:marBottom w:val="0"/>
      <w:divBdr>
        <w:top w:val="none" w:sz="0" w:space="0" w:color="auto"/>
        <w:left w:val="none" w:sz="0" w:space="0" w:color="auto"/>
        <w:bottom w:val="none" w:sz="0" w:space="0" w:color="auto"/>
        <w:right w:val="none" w:sz="0" w:space="0" w:color="auto"/>
      </w:divBdr>
    </w:div>
    <w:div w:id="609817193">
      <w:bodyDiv w:val="1"/>
      <w:marLeft w:val="0"/>
      <w:marRight w:val="0"/>
      <w:marTop w:val="0"/>
      <w:marBottom w:val="0"/>
      <w:divBdr>
        <w:top w:val="none" w:sz="0" w:space="0" w:color="auto"/>
        <w:left w:val="none" w:sz="0" w:space="0" w:color="auto"/>
        <w:bottom w:val="none" w:sz="0" w:space="0" w:color="auto"/>
        <w:right w:val="none" w:sz="0" w:space="0" w:color="auto"/>
      </w:divBdr>
    </w:div>
    <w:div w:id="610472777">
      <w:bodyDiv w:val="1"/>
      <w:marLeft w:val="0"/>
      <w:marRight w:val="0"/>
      <w:marTop w:val="0"/>
      <w:marBottom w:val="0"/>
      <w:divBdr>
        <w:top w:val="none" w:sz="0" w:space="0" w:color="auto"/>
        <w:left w:val="none" w:sz="0" w:space="0" w:color="auto"/>
        <w:bottom w:val="none" w:sz="0" w:space="0" w:color="auto"/>
        <w:right w:val="none" w:sz="0" w:space="0" w:color="auto"/>
      </w:divBdr>
    </w:div>
    <w:div w:id="612127092">
      <w:bodyDiv w:val="1"/>
      <w:marLeft w:val="0"/>
      <w:marRight w:val="0"/>
      <w:marTop w:val="0"/>
      <w:marBottom w:val="0"/>
      <w:divBdr>
        <w:top w:val="none" w:sz="0" w:space="0" w:color="auto"/>
        <w:left w:val="none" w:sz="0" w:space="0" w:color="auto"/>
        <w:bottom w:val="none" w:sz="0" w:space="0" w:color="auto"/>
        <w:right w:val="none" w:sz="0" w:space="0" w:color="auto"/>
      </w:divBdr>
    </w:div>
    <w:div w:id="614679895">
      <w:bodyDiv w:val="1"/>
      <w:marLeft w:val="0"/>
      <w:marRight w:val="0"/>
      <w:marTop w:val="0"/>
      <w:marBottom w:val="0"/>
      <w:divBdr>
        <w:top w:val="none" w:sz="0" w:space="0" w:color="auto"/>
        <w:left w:val="none" w:sz="0" w:space="0" w:color="auto"/>
        <w:bottom w:val="none" w:sz="0" w:space="0" w:color="auto"/>
        <w:right w:val="none" w:sz="0" w:space="0" w:color="auto"/>
      </w:divBdr>
    </w:div>
    <w:div w:id="618685162">
      <w:bodyDiv w:val="1"/>
      <w:marLeft w:val="0"/>
      <w:marRight w:val="0"/>
      <w:marTop w:val="0"/>
      <w:marBottom w:val="0"/>
      <w:divBdr>
        <w:top w:val="none" w:sz="0" w:space="0" w:color="auto"/>
        <w:left w:val="none" w:sz="0" w:space="0" w:color="auto"/>
        <w:bottom w:val="none" w:sz="0" w:space="0" w:color="auto"/>
        <w:right w:val="none" w:sz="0" w:space="0" w:color="auto"/>
      </w:divBdr>
    </w:div>
    <w:div w:id="622076424">
      <w:bodyDiv w:val="1"/>
      <w:marLeft w:val="0"/>
      <w:marRight w:val="0"/>
      <w:marTop w:val="0"/>
      <w:marBottom w:val="0"/>
      <w:divBdr>
        <w:top w:val="none" w:sz="0" w:space="0" w:color="auto"/>
        <w:left w:val="none" w:sz="0" w:space="0" w:color="auto"/>
        <w:bottom w:val="none" w:sz="0" w:space="0" w:color="auto"/>
        <w:right w:val="none" w:sz="0" w:space="0" w:color="auto"/>
      </w:divBdr>
    </w:div>
    <w:div w:id="622926850">
      <w:bodyDiv w:val="1"/>
      <w:marLeft w:val="0"/>
      <w:marRight w:val="0"/>
      <w:marTop w:val="0"/>
      <w:marBottom w:val="0"/>
      <w:divBdr>
        <w:top w:val="none" w:sz="0" w:space="0" w:color="auto"/>
        <w:left w:val="none" w:sz="0" w:space="0" w:color="auto"/>
        <w:bottom w:val="none" w:sz="0" w:space="0" w:color="auto"/>
        <w:right w:val="none" w:sz="0" w:space="0" w:color="auto"/>
      </w:divBdr>
    </w:div>
    <w:div w:id="625547476">
      <w:bodyDiv w:val="1"/>
      <w:marLeft w:val="0"/>
      <w:marRight w:val="0"/>
      <w:marTop w:val="0"/>
      <w:marBottom w:val="0"/>
      <w:divBdr>
        <w:top w:val="none" w:sz="0" w:space="0" w:color="auto"/>
        <w:left w:val="none" w:sz="0" w:space="0" w:color="auto"/>
        <w:bottom w:val="none" w:sz="0" w:space="0" w:color="auto"/>
        <w:right w:val="none" w:sz="0" w:space="0" w:color="auto"/>
      </w:divBdr>
    </w:div>
    <w:div w:id="626395707">
      <w:bodyDiv w:val="1"/>
      <w:marLeft w:val="0"/>
      <w:marRight w:val="0"/>
      <w:marTop w:val="0"/>
      <w:marBottom w:val="0"/>
      <w:divBdr>
        <w:top w:val="none" w:sz="0" w:space="0" w:color="auto"/>
        <w:left w:val="none" w:sz="0" w:space="0" w:color="auto"/>
        <w:bottom w:val="none" w:sz="0" w:space="0" w:color="auto"/>
        <w:right w:val="none" w:sz="0" w:space="0" w:color="auto"/>
      </w:divBdr>
    </w:div>
    <w:div w:id="627005790">
      <w:bodyDiv w:val="1"/>
      <w:marLeft w:val="0"/>
      <w:marRight w:val="0"/>
      <w:marTop w:val="0"/>
      <w:marBottom w:val="0"/>
      <w:divBdr>
        <w:top w:val="none" w:sz="0" w:space="0" w:color="auto"/>
        <w:left w:val="none" w:sz="0" w:space="0" w:color="auto"/>
        <w:bottom w:val="none" w:sz="0" w:space="0" w:color="auto"/>
        <w:right w:val="none" w:sz="0" w:space="0" w:color="auto"/>
      </w:divBdr>
    </w:div>
    <w:div w:id="628588310">
      <w:bodyDiv w:val="1"/>
      <w:marLeft w:val="0"/>
      <w:marRight w:val="0"/>
      <w:marTop w:val="0"/>
      <w:marBottom w:val="0"/>
      <w:divBdr>
        <w:top w:val="none" w:sz="0" w:space="0" w:color="auto"/>
        <w:left w:val="none" w:sz="0" w:space="0" w:color="auto"/>
        <w:bottom w:val="none" w:sz="0" w:space="0" w:color="auto"/>
        <w:right w:val="none" w:sz="0" w:space="0" w:color="auto"/>
      </w:divBdr>
    </w:div>
    <w:div w:id="629361358">
      <w:bodyDiv w:val="1"/>
      <w:marLeft w:val="0"/>
      <w:marRight w:val="0"/>
      <w:marTop w:val="0"/>
      <w:marBottom w:val="0"/>
      <w:divBdr>
        <w:top w:val="none" w:sz="0" w:space="0" w:color="auto"/>
        <w:left w:val="none" w:sz="0" w:space="0" w:color="auto"/>
        <w:bottom w:val="none" w:sz="0" w:space="0" w:color="auto"/>
        <w:right w:val="none" w:sz="0" w:space="0" w:color="auto"/>
      </w:divBdr>
    </w:div>
    <w:div w:id="629556504">
      <w:bodyDiv w:val="1"/>
      <w:marLeft w:val="0"/>
      <w:marRight w:val="0"/>
      <w:marTop w:val="0"/>
      <w:marBottom w:val="0"/>
      <w:divBdr>
        <w:top w:val="none" w:sz="0" w:space="0" w:color="auto"/>
        <w:left w:val="none" w:sz="0" w:space="0" w:color="auto"/>
        <w:bottom w:val="none" w:sz="0" w:space="0" w:color="auto"/>
        <w:right w:val="none" w:sz="0" w:space="0" w:color="auto"/>
      </w:divBdr>
    </w:div>
    <w:div w:id="632708498">
      <w:bodyDiv w:val="1"/>
      <w:marLeft w:val="0"/>
      <w:marRight w:val="0"/>
      <w:marTop w:val="0"/>
      <w:marBottom w:val="0"/>
      <w:divBdr>
        <w:top w:val="none" w:sz="0" w:space="0" w:color="auto"/>
        <w:left w:val="none" w:sz="0" w:space="0" w:color="auto"/>
        <w:bottom w:val="none" w:sz="0" w:space="0" w:color="auto"/>
        <w:right w:val="none" w:sz="0" w:space="0" w:color="auto"/>
      </w:divBdr>
    </w:div>
    <w:div w:id="633945695">
      <w:bodyDiv w:val="1"/>
      <w:marLeft w:val="0"/>
      <w:marRight w:val="0"/>
      <w:marTop w:val="0"/>
      <w:marBottom w:val="0"/>
      <w:divBdr>
        <w:top w:val="none" w:sz="0" w:space="0" w:color="auto"/>
        <w:left w:val="none" w:sz="0" w:space="0" w:color="auto"/>
        <w:bottom w:val="none" w:sz="0" w:space="0" w:color="auto"/>
        <w:right w:val="none" w:sz="0" w:space="0" w:color="auto"/>
      </w:divBdr>
    </w:div>
    <w:div w:id="634218586">
      <w:bodyDiv w:val="1"/>
      <w:marLeft w:val="0"/>
      <w:marRight w:val="0"/>
      <w:marTop w:val="0"/>
      <w:marBottom w:val="0"/>
      <w:divBdr>
        <w:top w:val="none" w:sz="0" w:space="0" w:color="auto"/>
        <w:left w:val="none" w:sz="0" w:space="0" w:color="auto"/>
        <w:bottom w:val="none" w:sz="0" w:space="0" w:color="auto"/>
        <w:right w:val="none" w:sz="0" w:space="0" w:color="auto"/>
      </w:divBdr>
    </w:div>
    <w:div w:id="635985277">
      <w:bodyDiv w:val="1"/>
      <w:marLeft w:val="0"/>
      <w:marRight w:val="0"/>
      <w:marTop w:val="0"/>
      <w:marBottom w:val="0"/>
      <w:divBdr>
        <w:top w:val="none" w:sz="0" w:space="0" w:color="auto"/>
        <w:left w:val="none" w:sz="0" w:space="0" w:color="auto"/>
        <w:bottom w:val="none" w:sz="0" w:space="0" w:color="auto"/>
        <w:right w:val="none" w:sz="0" w:space="0" w:color="auto"/>
      </w:divBdr>
    </w:div>
    <w:div w:id="636763681">
      <w:bodyDiv w:val="1"/>
      <w:marLeft w:val="0"/>
      <w:marRight w:val="0"/>
      <w:marTop w:val="0"/>
      <w:marBottom w:val="0"/>
      <w:divBdr>
        <w:top w:val="none" w:sz="0" w:space="0" w:color="auto"/>
        <w:left w:val="none" w:sz="0" w:space="0" w:color="auto"/>
        <w:bottom w:val="none" w:sz="0" w:space="0" w:color="auto"/>
        <w:right w:val="none" w:sz="0" w:space="0" w:color="auto"/>
      </w:divBdr>
    </w:div>
    <w:div w:id="637804958">
      <w:bodyDiv w:val="1"/>
      <w:marLeft w:val="0"/>
      <w:marRight w:val="0"/>
      <w:marTop w:val="0"/>
      <w:marBottom w:val="0"/>
      <w:divBdr>
        <w:top w:val="none" w:sz="0" w:space="0" w:color="auto"/>
        <w:left w:val="none" w:sz="0" w:space="0" w:color="auto"/>
        <w:bottom w:val="none" w:sz="0" w:space="0" w:color="auto"/>
        <w:right w:val="none" w:sz="0" w:space="0" w:color="auto"/>
      </w:divBdr>
    </w:div>
    <w:div w:id="638456118">
      <w:bodyDiv w:val="1"/>
      <w:marLeft w:val="0"/>
      <w:marRight w:val="0"/>
      <w:marTop w:val="0"/>
      <w:marBottom w:val="0"/>
      <w:divBdr>
        <w:top w:val="none" w:sz="0" w:space="0" w:color="auto"/>
        <w:left w:val="none" w:sz="0" w:space="0" w:color="auto"/>
        <w:bottom w:val="none" w:sz="0" w:space="0" w:color="auto"/>
        <w:right w:val="none" w:sz="0" w:space="0" w:color="auto"/>
      </w:divBdr>
    </w:div>
    <w:div w:id="642582479">
      <w:bodyDiv w:val="1"/>
      <w:marLeft w:val="0"/>
      <w:marRight w:val="0"/>
      <w:marTop w:val="0"/>
      <w:marBottom w:val="0"/>
      <w:divBdr>
        <w:top w:val="none" w:sz="0" w:space="0" w:color="auto"/>
        <w:left w:val="none" w:sz="0" w:space="0" w:color="auto"/>
        <w:bottom w:val="none" w:sz="0" w:space="0" w:color="auto"/>
        <w:right w:val="none" w:sz="0" w:space="0" w:color="auto"/>
      </w:divBdr>
    </w:div>
    <w:div w:id="645862804">
      <w:bodyDiv w:val="1"/>
      <w:marLeft w:val="0"/>
      <w:marRight w:val="0"/>
      <w:marTop w:val="0"/>
      <w:marBottom w:val="0"/>
      <w:divBdr>
        <w:top w:val="none" w:sz="0" w:space="0" w:color="auto"/>
        <w:left w:val="none" w:sz="0" w:space="0" w:color="auto"/>
        <w:bottom w:val="none" w:sz="0" w:space="0" w:color="auto"/>
        <w:right w:val="none" w:sz="0" w:space="0" w:color="auto"/>
      </w:divBdr>
    </w:div>
    <w:div w:id="654843520">
      <w:bodyDiv w:val="1"/>
      <w:marLeft w:val="0"/>
      <w:marRight w:val="0"/>
      <w:marTop w:val="0"/>
      <w:marBottom w:val="0"/>
      <w:divBdr>
        <w:top w:val="none" w:sz="0" w:space="0" w:color="auto"/>
        <w:left w:val="none" w:sz="0" w:space="0" w:color="auto"/>
        <w:bottom w:val="none" w:sz="0" w:space="0" w:color="auto"/>
        <w:right w:val="none" w:sz="0" w:space="0" w:color="auto"/>
      </w:divBdr>
    </w:div>
    <w:div w:id="654846042">
      <w:bodyDiv w:val="1"/>
      <w:marLeft w:val="0"/>
      <w:marRight w:val="0"/>
      <w:marTop w:val="0"/>
      <w:marBottom w:val="0"/>
      <w:divBdr>
        <w:top w:val="none" w:sz="0" w:space="0" w:color="auto"/>
        <w:left w:val="none" w:sz="0" w:space="0" w:color="auto"/>
        <w:bottom w:val="none" w:sz="0" w:space="0" w:color="auto"/>
        <w:right w:val="none" w:sz="0" w:space="0" w:color="auto"/>
      </w:divBdr>
    </w:div>
    <w:div w:id="656419918">
      <w:bodyDiv w:val="1"/>
      <w:marLeft w:val="0"/>
      <w:marRight w:val="0"/>
      <w:marTop w:val="0"/>
      <w:marBottom w:val="0"/>
      <w:divBdr>
        <w:top w:val="none" w:sz="0" w:space="0" w:color="auto"/>
        <w:left w:val="none" w:sz="0" w:space="0" w:color="auto"/>
        <w:bottom w:val="none" w:sz="0" w:space="0" w:color="auto"/>
        <w:right w:val="none" w:sz="0" w:space="0" w:color="auto"/>
      </w:divBdr>
    </w:div>
    <w:div w:id="662318831">
      <w:bodyDiv w:val="1"/>
      <w:marLeft w:val="0"/>
      <w:marRight w:val="0"/>
      <w:marTop w:val="0"/>
      <w:marBottom w:val="0"/>
      <w:divBdr>
        <w:top w:val="none" w:sz="0" w:space="0" w:color="auto"/>
        <w:left w:val="none" w:sz="0" w:space="0" w:color="auto"/>
        <w:bottom w:val="none" w:sz="0" w:space="0" w:color="auto"/>
        <w:right w:val="none" w:sz="0" w:space="0" w:color="auto"/>
      </w:divBdr>
    </w:div>
    <w:div w:id="673535450">
      <w:bodyDiv w:val="1"/>
      <w:marLeft w:val="0"/>
      <w:marRight w:val="0"/>
      <w:marTop w:val="0"/>
      <w:marBottom w:val="0"/>
      <w:divBdr>
        <w:top w:val="none" w:sz="0" w:space="0" w:color="auto"/>
        <w:left w:val="none" w:sz="0" w:space="0" w:color="auto"/>
        <w:bottom w:val="none" w:sz="0" w:space="0" w:color="auto"/>
        <w:right w:val="none" w:sz="0" w:space="0" w:color="auto"/>
      </w:divBdr>
    </w:div>
    <w:div w:id="678848997">
      <w:bodyDiv w:val="1"/>
      <w:marLeft w:val="0"/>
      <w:marRight w:val="0"/>
      <w:marTop w:val="0"/>
      <w:marBottom w:val="0"/>
      <w:divBdr>
        <w:top w:val="none" w:sz="0" w:space="0" w:color="auto"/>
        <w:left w:val="none" w:sz="0" w:space="0" w:color="auto"/>
        <w:bottom w:val="none" w:sz="0" w:space="0" w:color="auto"/>
        <w:right w:val="none" w:sz="0" w:space="0" w:color="auto"/>
      </w:divBdr>
    </w:div>
    <w:div w:id="679162081">
      <w:bodyDiv w:val="1"/>
      <w:marLeft w:val="0"/>
      <w:marRight w:val="0"/>
      <w:marTop w:val="0"/>
      <w:marBottom w:val="0"/>
      <w:divBdr>
        <w:top w:val="none" w:sz="0" w:space="0" w:color="auto"/>
        <w:left w:val="none" w:sz="0" w:space="0" w:color="auto"/>
        <w:bottom w:val="none" w:sz="0" w:space="0" w:color="auto"/>
        <w:right w:val="none" w:sz="0" w:space="0" w:color="auto"/>
      </w:divBdr>
    </w:div>
    <w:div w:id="683630036">
      <w:bodyDiv w:val="1"/>
      <w:marLeft w:val="0"/>
      <w:marRight w:val="0"/>
      <w:marTop w:val="0"/>
      <w:marBottom w:val="0"/>
      <w:divBdr>
        <w:top w:val="none" w:sz="0" w:space="0" w:color="auto"/>
        <w:left w:val="none" w:sz="0" w:space="0" w:color="auto"/>
        <w:bottom w:val="none" w:sz="0" w:space="0" w:color="auto"/>
        <w:right w:val="none" w:sz="0" w:space="0" w:color="auto"/>
      </w:divBdr>
    </w:div>
    <w:div w:id="683635057">
      <w:bodyDiv w:val="1"/>
      <w:marLeft w:val="0"/>
      <w:marRight w:val="0"/>
      <w:marTop w:val="0"/>
      <w:marBottom w:val="0"/>
      <w:divBdr>
        <w:top w:val="none" w:sz="0" w:space="0" w:color="auto"/>
        <w:left w:val="none" w:sz="0" w:space="0" w:color="auto"/>
        <w:bottom w:val="none" w:sz="0" w:space="0" w:color="auto"/>
        <w:right w:val="none" w:sz="0" w:space="0" w:color="auto"/>
      </w:divBdr>
    </w:div>
    <w:div w:id="686057381">
      <w:bodyDiv w:val="1"/>
      <w:marLeft w:val="0"/>
      <w:marRight w:val="0"/>
      <w:marTop w:val="0"/>
      <w:marBottom w:val="0"/>
      <w:divBdr>
        <w:top w:val="none" w:sz="0" w:space="0" w:color="auto"/>
        <w:left w:val="none" w:sz="0" w:space="0" w:color="auto"/>
        <w:bottom w:val="none" w:sz="0" w:space="0" w:color="auto"/>
        <w:right w:val="none" w:sz="0" w:space="0" w:color="auto"/>
      </w:divBdr>
    </w:div>
    <w:div w:id="687095975">
      <w:bodyDiv w:val="1"/>
      <w:marLeft w:val="0"/>
      <w:marRight w:val="0"/>
      <w:marTop w:val="0"/>
      <w:marBottom w:val="0"/>
      <w:divBdr>
        <w:top w:val="none" w:sz="0" w:space="0" w:color="auto"/>
        <w:left w:val="none" w:sz="0" w:space="0" w:color="auto"/>
        <w:bottom w:val="none" w:sz="0" w:space="0" w:color="auto"/>
        <w:right w:val="none" w:sz="0" w:space="0" w:color="auto"/>
      </w:divBdr>
    </w:div>
    <w:div w:id="691105703">
      <w:bodyDiv w:val="1"/>
      <w:marLeft w:val="0"/>
      <w:marRight w:val="0"/>
      <w:marTop w:val="0"/>
      <w:marBottom w:val="0"/>
      <w:divBdr>
        <w:top w:val="none" w:sz="0" w:space="0" w:color="auto"/>
        <w:left w:val="none" w:sz="0" w:space="0" w:color="auto"/>
        <w:bottom w:val="none" w:sz="0" w:space="0" w:color="auto"/>
        <w:right w:val="none" w:sz="0" w:space="0" w:color="auto"/>
      </w:divBdr>
    </w:div>
    <w:div w:id="692734066">
      <w:bodyDiv w:val="1"/>
      <w:marLeft w:val="0"/>
      <w:marRight w:val="0"/>
      <w:marTop w:val="0"/>
      <w:marBottom w:val="0"/>
      <w:divBdr>
        <w:top w:val="none" w:sz="0" w:space="0" w:color="auto"/>
        <w:left w:val="none" w:sz="0" w:space="0" w:color="auto"/>
        <w:bottom w:val="none" w:sz="0" w:space="0" w:color="auto"/>
        <w:right w:val="none" w:sz="0" w:space="0" w:color="auto"/>
      </w:divBdr>
    </w:div>
    <w:div w:id="694160793">
      <w:bodyDiv w:val="1"/>
      <w:marLeft w:val="0"/>
      <w:marRight w:val="0"/>
      <w:marTop w:val="0"/>
      <w:marBottom w:val="0"/>
      <w:divBdr>
        <w:top w:val="none" w:sz="0" w:space="0" w:color="auto"/>
        <w:left w:val="none" w:sz="0" w:space="0" w:color="auto"/>
        <w:bottom w:val="none" w:sz="0" w:space="0" w:color="auto"/>
        <w:right w:val="none" w:sz="0" w:space="0" w:color="auto"/>
      </w:divBdr>
    </w:div>
    <w:div w:id="694237913">
      <w:bodyDiv w:val="1"/>
      <w:marLeft w:val="0"/>
      <w:marRight w:val="0"/>
      <w:marTop w:val="0"/>
      <w:marBottom w:val="0"/>
      <w:divBdr>
        <w:top w:val="none" w:sz="0" w:space="0" w:color="auto"/>
        <w:left w:val="none" w:sz="0" w:space="0" w:color="auto"/>
        <w:bottom w:val="none" w:sz="0" w:space="0" w:color="auto"/>
        <w:right w:val="none" w:sz="0" w:space="0" w:color="auto"/>
      </w:divBdr>
    </w:div>
    <w:div w:id="696856906">
      <w:bodyDiv w:val="1"/>
      <w:marLeft w:val="0"/>
      <w:marRight w:val="0"/>
      <w:marTop w:val="0"/>
      <w:marBottom w:val="0"/>
      <w:divBdr>
        <w:top w:val="none" w:sz="0" w:space="0" w:color="auto"/>
        <w:left w:val="none" w:sz="0" w:space="0" w:color="auto"/>
        <w:bottom w:val="none" w:sz="0" w:space="0" w:color="auto"/>
        <w:right w:val="none" w:sz="0" w:space="0" w:color="auto"/>
      </w:divBdr>
    </w:div>
    <w:div w:id="699817417">
      <w:bodyDiv w:val="1"/>
      <w:marLeft w:val="0"/>
      <w:marRight w:val="0"/>
      <w:marTop w:val="0"/>
      <w:marBottom w:val="0"/>
      <w:divBdr>
        <w:top w:val="none" w:sz="0" w:space="0" w:color="auto"/>
        <w:left w:val="none" w:sz="0" w:space="0" w:color="auto"/>
        <w:bottom w:val="none" w:sz="0" w:space="0" w:color="auto"/>
        <w:right w:val="none" w:sz="0" w:space="0" w:color="auto"/>
      </w:divBdr>
    </w:div>
    <w:div w:id="700788415">
      <w:bodyDiv w:val="1"/>
      <w:marLeft w:val="0"/>
      <w:marRight w:val="0"/>
      <w:marTop w:val="0"/>
      <w:marBottom w:val="0"/>
      <w:divBdr>
        <w:top w:val="none" w:sz="0" w:space="0" w:color="auto"/>
        <w:left w:val="none" w:sz="0" w:space="0" w:color="auto"/>
        <w:bottom w:val="none" w:sz="0" w:space="0" w:color="auto"/>
        <w:right w:val="none" w:sz="0" w:space="0" w:color="auto"/>
      </w:divBdr>
    </w:div>
    <w:div w:id="703334687">
      <w:bodyDiv w:val="1"/>
      <w:marLeft w:val="0"/>
      <w:marRight w:val="0"/>
      <w:marTop w:val="0"/>
      <w:marBottom w:val="0"/>
      <w:divBdr>
        <w:top w:val="none" w:sz="0" w:space="0" w:color="auto"/>
        <w:left w:val="none" w:sz="0" w:space="0" w:color="auto"/>
        <w:bottom w:val="none" w:sz="0" w:space="0" w:color="auto"/>
        <w:right w:val="none" w:sz="0" w:space="0" w:color="auto"/>
      </w:divBdr>
    </w:div>
    <w:div w:id="707491919">
      <w:bodyDiv w:val="1"/>
      <w:marLeft w:val="0"/>
      <w:marRight w:val="0"/>
      <w:marTop w:val="0"/>
      <w:marBottom w:val="0"/>
      <w:divBdr>
        <w:top w:val="none" w:sz="0" w:space="0" w:color="auto"/>
        <w:left w:val="none" w:sz="0" w:space="0" w:color="auto"/>
        <w:bottom w:val="none" w:sz="0" w:space="0" w:color="auto"/>
        <w:right w:val="none" w:sz="0" w:space="0" w:color="auto"/>
      </w:divBdr>
    </w:div>
    <w:div w:id="709107044">
      <w:bodyDiv w:val="1"/>
      <w:marLeft w:val="0"/>
      <w:marRight w:val="0"/>
      <w:marTop w:val="0"/>
      <w:marBottom w:val="0"/>
      <w:divBdr>
        <w:top w:val="none" w:sz="0" w:space="0" w:color="auto"/>
        <w:left w:val="none" w:sz="0" w:space="0" w:color="auto"/>
        <w:bottom w:val="none" w:sz="0" w:space="0" w:color="auto"/>
        <w:right w:val="none" w:sz="0" w:space="0" w:color="auto"/>
      </w:divBdr>
    </w:div>
    <w:div w:id="712460715">
      <w:bodyDiv w:val="1"/>
      <w:marLeft w:val="0"/>
      <w:marRight w:val="0"/>
      <w:marTop w:val="0"/>
      <w:marBottom w:val="0"/>
      <w:divBdr>
        <w:top w:val="none" w:sz="0" w:space="0" w:color="auto"/>
        <w:left w:val="none" w:sz="0" w:space="0" w:color="auto"/>
        <w:bottom w:val="none" w:sz="0" w:space="0" w:color="auto"/>
        <w:right w:val="none" w:sz="0" w:space="0" w:color="auto"/>
      </w:divBdr>
    </w:div>
    <w:div w:id="713194033">
      <w:bodyDiv w:val="1"/>
      <w:marLeft w:val="0"/>
      <w:marRight w:val="0"/>
      <w:marTop w:val="0"/>
      <w:marBottom w:val="0"/>
      <w:divBdr>
        <w:top w:val="none" w:sz="0" w:space="0" w:color="auto"/>
        <w:left w:val="none" w:sz="0" w:space="0" w:color="auto"/>
        <w:bottom w:val="none" w:sz="0" w:space="0" w:color="auto"/>
        <w:right w:val="none" w:sz="0" w:space="0" w:color="auto"/>
      </w:divBdr>
    </w:div>
    <w:div w:id="716317220">
      <w:bodyDiv w:val="1"/>
      <w:marLeft w:val="0"/>
      <w:marRight w:val="0"/>
      <w:marTop w:val="0"/>
      <w:marBottom w:val="0"/>
      <w:divBdr>
        <w:top w:val="none" w:sz="0" w:space="0" w:color="auto"/>
        <w:left w:val="none" w:sz="0" w:space="0" w:color="auto"/>
        <w:bottom w:val="none" w:sz="0" w:space="0" w:color="auto"/>
        <w:right w:val="none" w:sz="0" w:space="0" w:color="auto"/>
      </w:divBdr>
    </w:div>
    <w:div w:id="716854142">
      <w:bodyDiv w:val="1"/>
      <w:marLeft w:val="0"/>
      <w:marRight w:val="0"/>
      <w:marTop w:val="0"/>
      <w:marBottom w:val="0"/>
      <w:divBdr>
        <w:top w:val="none" w:sz="0" w:space="0" w:color="auto"/>
        <w:left w:val="none" w:sz="0" w:space="0" w:color="auto"/>
        <w:bottom w:val="none" w:sz="0" w:space="0" w:color="auto"/>
        <w:right w:val="none" w:sz="0" w:space="0" w:color="auto"/>
      </w:divBdr>
    </w:div>
    <w:div w:id="717976458">
      <w:bodyDiv w:val="1"/>
      <w:marLeft w:val="0"/>
      <w:marRight w:val="0"/>
      <w:marTop w:val="0"/>
      <w:marBottom w:val="0"/>
      <w:divBdr>
        <w:top w:val="none" w:sz="0" w:space="0" w:color="auto"/>
        <w:left w:val="none" w:sz="0" w:space="0" w:color="auto"/>
        <w:bottom w:val="none" w:sz="0" w:space="0" w:color="auto"/>
        <w:right w:val="none" w:sz="0" w:space="0" w:color="auto"/>
      </w:divBdr>
    </w:div>
    <w:div w:id="719549009">
      <w:bodyDiv w:val="1"/>
      <w:marLeft w:val="0"/>
      <w:marRight w:val="0"/>
      <w:marTop w:val="0"/>
      <w:marBottom w:val="0"/>
      <w:divBdr>
        <w:top w:val="none" w:sz="0" w:space="0" w:color="auto"/>
        <w:left w:val="none" w:sz="0" w:space="0" w:color="auto"/>
        <w:bottom w:val="none" w:sz="0" w:space="0" w:color="auto"/>
        <w:right w:val="none" w:sz="0" w:space="0" w:color="auto"/>
      </w:divBdr>
    </w:div>
    <w:div w:id="724988124">
      <w:bodyDiv w:val="1"/>
      <w:marLeft w:val="0"/>
      <w:marRight w:val="0"/>
      <w:marTop w:val="0"/>
      <w:marBottom w:val="0"/>
      <w:divBdr>
        <w:top w:val="none" w:sz="0" w:space="0" w:color="auto"/>
        <w:left w:val="none" w:sz="0" w:space="0" w:color="auto"/>
        <w:bottom w:val="none" w:sz="0" w:space="0" w:color="auto"/>
        <w:right w:val="none" w:sz="0" w:space="0" w:color="auto"/>
      </w:divBdr>
    </w:div>
    <w:div w:id="733240530">
      <w:bodyDiv w:val="1"/>
      <w:marLeft w:val="0"/>
      <w:marRight w:val="0"/>
      <w:marTop w:val="0"/>
      <w:marBottom w:val="0"/>
      <w:divBdr>
        <w:top w:val="none" w:sz="0" w:space="0" w:color="auto"/>
        <w:left w:val="none" w:sz="0" w:space="0" w:color="auto"/>
        <w:bottom w:val="none" w:sz="0" w:space="0" w:color="auto"/>
        <w:right w:val="none" w:sz="0" w:space="0" w:color="auto"/>
      </w:divBdr>
    </w:div>
    <w:div w:id="733773298">
      <w:bodyDiv w:val="1"/>
      <w:marLeft w:val="0"/>
      <w:marRight w:val="0"/>
      <w:marTop w:val="0"/>
      <w:marBottom w:val="0"/>
      <w:divBdr>
        <w:top w:val="none" w:sz="0" w:space="0" w:color="auto"/>
        <w:left w:val="none" w:sz="0" w:space="0" w:color="auto"/>
        <w:bottom w:val="none" w:sz="0" w:space="0" w:color="auto"/>
        <w:right w:val="none" w:sz="0" w:space="0" w:color="auto"/>
      </w:divBdr>
    </w:div>
    <w:div w:id="735586311">
      <w:bodyDiv w:val="1"/>
      <w:marLeft w:val="0"/>
      <w:marRight w:val="0"/>
      <w:marTop w:val="0"/>
      <w:marBottom w:val="0"/>
      <w:divBdr>
        <w:top w:val="none" w:sz="0" w:space="0" w:color="auto"/>
        <w:left w:val="none" w:sz="0" w:space="0" w:color="auto"/>
        <w:bottom w:val="none" w:sz="0" w:space="0" w:color="auto"/>
        <w:right w:val="none" w:sz="0" w:space="0" w:color="auto"/>
      </w:divBdr>
    </w:div>
    <w:div w:id="738819986">
      <w:bodyDiv w:val="1"/>
      <w:marLeft w:val="0"/>
      <w:marRight w:val="0"/>
      <w:marTop w:val="0"/>
      <w:marBottom w:val="0"/>
      <w:divBdr>
        <w:top w:val="none" w:sz="0" w:space="0" w:color="auto"/>
        <w:left w:val="none" w:sz="0" w:space="0" w:color="auto"/>
        <w:bottom w:val="none" w:sz="0" w:space="0" w:color="auto"/>
        <w:right w:val="none" w:sz="0" w:space="0" w:color="auto"/>
      </w:divBdr>
    </w:div>
    <w:div w:id="746029019">
      <w:bodyDiv w:val="1"/>
      <w:marLeft w:val="0"/>
      <w:marRight w:val="0"/>
      <w:marTop w:val="0"/>
      <w:marBottom w:val="0"/>
      <w:divBdr>
        <w:top w:val="none" w:sz="0" w:space="0" w:color="auto"/>
        <w:left w:val="none" w:sz="0" w:space="0" w:color="auto"/>
        <w:bottom w:val="none" w:sz="0" w:space="0" w:color="auto"/>
        <w:right w:val="none" w:sz="0" w:space="0" w:color="auto"/>
      </w:divBdr>
    </w:div>
    <w:div w:id="746848378">
      <w:bodyDiv w:val="1"/>
      <w:marLeft w:val="0"/>
      <w:marRight w:val="0"/>
      <w:marTop w:val="0"/>
      <w:marBottom w:val="0"/>
      <w:divBdr>
        <w:top w:val="none" w:sz="0" w:space="0" w:color="auto"/>
        <w:left w:val="none" w:sz="0" w:space="0" w:color="auto"/>
        <w:bottom w:val="none" w:sz="0" w:space="0" w:color="auto"/>
        <w:right w:val="none" w:sz="0" w:space="0" w:color="auto"/>
      </w:divBdr>
    </w:div>
    <w:div w:id="747390314">
      <w:bodyDiv w:val="1"/>
      <w:marLeft w:val="0"/>
      <w:marRight w:val="0"/>
      <w:marTop w:val="0"/>
      <w:marBottom w:val="0"/>
      <w:divBdr>
        <w:top w:val="none" w:sz="0" w:space="0" w:color="auto"/>
        <w:left w:val="none" w:sz="0" w:space="0" w:color="auto"/>
        <w:bottom w:val="none" w:sz="0" w:space="0" w:color="auto"/>
        <w:right w:val="none" w:sz="0" w:space="0" w:color="auto"/>
      </w:divBdr>
    </w:div>
    <w:div w:id="750783125">
      <w:bodyDiv w:val="1"/>
      <w:marLeft w:val="0"/>
      <w:marRight w:val="0"/>
      <w:marTop w:val="0"/>
      <w:marBottom w:val="0"/>
      <w:divBdr>
        <w:top w:val="none" w:sz="0" w:space="0" w:color="auto"/>
        <w:left w:val="none" w:sz="0" w:space="0" w:color="auto"/>
        <w:bottom w:val="none" w:sz="0" w:space="0" w:color="auto"/>
        <w:right w:val="none" w:sz="0" w:space="0" w:color="auto"/>
      </w:divBdr>
    </w:div>
    <w:div w:id="751389844">
      <w:bodyDiv w:val="1"/>
      <w:marLeft w:val="0"/>
      <w:marRight w:val="0"/>
      <w:marTop w:val="0"/>
      <w:marBottom w:val="0"/>
      <w:divBdr>
        <w:top w:val="none" w:sz="0" w:space="0" w:color="auto"/>
        <w:left w:val="none" w:sz="0" w:space="0" w:color="auto"/>
        <w:bottom w:val="none" w:sz="0" w:space="0" w:color="auto"/>
        <w:right w:val="none" w:sz="0" w:space="0" w:color="auto"/>
      </w:divBdr>
    </w:div>
    <w:div w:id="753939636">
      <w:bodyDiv w:val="1"/>
      <w:marLeft w:val="0"/>
      <w:marRight w:val="0"/>
      <w:marTop w:val="0"/>
      <w:marBottom w:val="0"/>
      <w:divBdr>
        <w:top w:val="none" w:sz="0" w:space="0" w:color="auto"/>
        <w:left w:val="none" w:sz="0" w:space="0" w:color="auto"/>
        <w:bottom w:val="none" w:sz="0" w:space="0" w:color="auto"/>
        <w:right w:val="none" w:sz="0" w:space="0" w:color="auto"/>
      </w:divBdr>
    </w:div>
    <w:div w:id="754741602">
      <w:bodyDiv w:val="1"/>
      <w:marLeft w:val="0"/>
      <w:marRight w:val="0"/>
      <w:marTop w:val="0"/>
      <w:marBottom w:val="0"/>
      <w:divBdr>
        <w:top w:val="none" w:sz="0" w:space="0" w:color="auto"/>
        <w:left w:val="none" w:sz="0" w:space="0" w:color="auto"/>
        <w:bottom w:val="none" w:sz="0" w:space="0" w:color="auto"/>
        <w:right w:val="none" w:sz="0" w:space="0" w:color="auto"/>
      </w:divBdr>
    </w:div>
    <w:div w:id="764498276">
      <w:bodyDiv w:val="1"/>
      <w:marLeft w:val="0"/>
      <w:marRight w:val="0"/>
      <w:marTop w:val="0"/>
      <w:marBottom w:val="0"/>
      <w:divBdr>
        <w:top w:val="none" w:sz="0" w:space="0" w:color="auto"/>
        <w:left w:val="none" w:sz="0" w:space="0" w:color="auto"/>
        <w:bottom w:val="none" w:sz="0" w:space="0" w:color="auto"/>
        <w:right w:val="none" w:sz="0" w:space="0" w:color="auto"/>
      </w:divBdr>
    </w:div>
    <w:div w:id="771166509">
      <w:bodyDiv w:val="1"/>
      <w:marLeft w:val="0"/>
      <w:marRight w:val="0"/>
      <w:marTop w:val="0"/>
      <w:marBottom w:val="0"/>
      <w:divBdr>
        <w:top w:val="none" w:sz="0" w:space="0" w:color="auto"/>
        <w:left w:val="none" w:sz="0" w:space="0" w:color="auto"/>
        <w:bottom w:val="none" w:sz="0" w:space="0" w:color="auto"/>
        <w:right w:val="none" w:sz="0" w:space="0" w:color="auto"/>
      </w:divBdr>
    </w:div>
    <w:div w:id="779763083">
      <w:bodyDiv w:val="1"/>
      <w:marLeft w:val="0"/>
      <w:marRight w:val="0"/>
      <w:marTop w:val="0"/>
      <w:marBottom w:val="0"/>
      <w:divBdr>
        <w:top w:val="none" w:sz="0" w:space="0" w:color="auto"/>
        <w:left w:val="none" w:sz="0" w:space="0" w:color="auto"/>
        <w:bottom w:val="none" w:sz="0" w:space="0" w:color="auto"/>
        <w:right w:val="none" w:sz="0" w:space="0" w:color="auto"/>
      </w:divBdr>
    </w:div>
    <w:div w:id="787891478">
      <w:bodyDiv w:val="1"/>
      <w:marLeft w:val="0"/>
      <w:marRight w:val="0"/>
      <w:marTop w:val="0"/>
      <w:marBottom w:val="0"/>
      <w:divBdr>
        <w:top w:val="none" w:sz="0" w:space="0" w:color="auto"/>
        <w:left w:val="none" w:sz="0" w:space="0" w:color="auto"/>
        <w:bottom w:val="none" w:sz="0" w:space="0" w:color="auto"/>
        <w:right w:val="none" w:sz="0" w:space="0" w:color="auto"/>
      </w:divBdr>
    </w:div>
    <w:div w:id="792021129">
      <w:bodyDiv w:val="1"/>
      <w:marLeft w:val="0"/>
      <w:marRight w:val="0"/>
      <w:marTop w:val="0"/>
      <w:marBottom w:val="0"/>
      <w:divBdr>
        <w:top w:val="none" w:sz="0" w:space="0" w:color="auto"/>
        <w:left w:val="none" w:sz="0" w:space="0" w:color="auto"/>
        <w:bottom w:val="none" w:sz="0" w:space="0" w:color="auto"/>
        <w:right w:val="none" w:sz="0" w:space="0" w:color="auto"/>
      </w:divBdr>
    </w:div>
    <w:div w:id="793064715">
      <w:bodyDiv w:val="1"/>
      <w:marLeft w:val="0"/>
      <w:marRight w:val="0"/>
      <w:marTop w:val="0"/>
      <w:marBottom w:val="0"/>
      <w:divBdr>
        <w:top w:val="none" w:sz="0" w:space="0" w:color="auto"/>
        <w:left w:val="none" w:sz="0" w:space="0" w:color="auto"/>
        <w:bottom w:val="none" w:sz="0" w:space="0" w:color="auto"/>
        <w:right w:val="none" w:sz="0" w:space="0" w:color="auto"/>
      </w:divBdr>
    </w:div>
    <w:div w:id="795442956">
      <w:bodyDiv w:val="1"/>
      <w:marLeft w:val="0"/>
      <w:marRight w:val="0"/>
      <w:marTop w:val="0"/>
      <w:marBottom w:val="0"/>
      <w:divBdr>
        <w:top w:val="none" w:sz="0" w:space="0" w:color="auto"/>
        <w:left w:val="none" w:sz="0" w:space="0" w:color="auto"/>
        <w:bottom w:val="none" w:sz="0" w:space="0" w:color="auto"/>
        <w:right w:val="none" w:sz="0" w:space="0" w:color="auto"/>
      </w:divBdr>
    </w:div>
    <w:div w:id="797257245">
      <w:bodyDiv w:val="1"/>
      <w:marLeft w:val="0"/>
      <w:marRight w:val="0"/>
      <w:marTop w:val="0"/>
      <w:marBottom w:val="0"/>
      <w:divBdr>
        <w:top w:val="none" w:sz="0" w:space="0" w:color="auto"/>
        <w:left w:val="none" w:sz="0" w:space="0" w:color="auto"/>
        <w:bottom w:val="none" w:sz="0" w:space="0" w:color="auto"/>
        <w:right w:val="none" w:sz="0" w:space="0" w:color="auto"/>
      </w:divBdr>
    </w:div>
    <w:div w:id="801727061">
      <w:bodyDiv w:val="1"/>
      <w:marLeft w:val="0"/>
      <w:marRight w:val="0"/>
      <w:marTop w:val="0"/>
      <w:marBottom w:val="0"/>
      <w:divBdr>
        <w:top w:val="none" w:sz="0" w:space="0" w:color="auto"/>
        <w:left w:val="none" w:sz="0" w:space="0" w:color="auto"/>
        <w:bottom w:val="none" w:sz="0" w:space="0" w:color="auto"/>
        <w:right w:val="none" w:sz="0" w:space="0" w:color="auto"/>
      </w:divBdr>
    </w:div>
    <w:div w:id="803038997">
      <w:bodyDiv w:val="1"/>
      <w:marLeft w:val="0"/>
      <w:marRight w:val="0"/>
      <w:marTop w:val="0"/>
      <w:marBottom w:val="0"/>
      <w:divBdr>
        <w:top w:val="none" w:sz="0" w:space="0" w:color="auto"/>
        <w:left w:val="none" w:sz="0" w:space="0" w:color="auto"/>
        <w:bottom w:val="none" w:sz="0" w:space="0" w:color="auto"/>
        <w:right w:val="none" w:sz="0" w:space="0" w:color="auto"/>
      </w:divBdr>
    </w:div>
    <w:div w:id="805662238">
      <w:bodyDiv w:val="1"/>
      <w:marLeft w:val="0"/>
      <w:marRight w:val="0"/>
      <w:marTop w:val="0"/>
      <w:marBottom w:val="0"/>
      <w:divBdr>
        <w:top w:val="none" w:sz="0" w:space="0" w:color="auto"/>
        <w:left w:val="none" w:sz="0" w:space="0" w:color="auto"/>
        <w:bottom w:val="none" w:sz="0" w:space="0" w:color="auto"/>
        <w:right w:val="none" w:sz="0" w:space="0" w:color="auto"/>
      </w:divBdr>
    </w:div>
    <w:div w:id="805896582">
      <w:bodyDiv w:val="1"/>
      <w:marLeft w:val="0"/>
      <w:marRight w:val="0"/>
      <w:marTop w:val="0"/>
      <w:marBottom w:val="0"/>
      <w:divBdr>
        <w:top w:val="none" w:sz="0" w:space="0" w:color="auto"/>
        <w:left w:val="none" w:sz="0" w:space="0" w:color="auto"/>
        <w:bottom w:val="none" w:sz="0" w:space="0" w:color="auto"/>
        <w:right w:val="none" w:sz="0" w:space="0" w:color="auto"/>
      </w:divBdr>
    </w:div>
    <w:div w:id="807866653">
      <w:bodyDiv w:val="1"/>
      <w:marLeft w:val="0"/>
      <w:marRight w:val="0"/>
      <w:marTop w:val="0"/>
      <w:marBottom w:val="0"/>
      <w:divBdr>
        <w:top w:val="none" w:sz="0" w:space="0" w:color="auto"/>
        <w:left w:val="none" w:sz="0" w:space="0" w:color="auto"/>
        <w:bottom w:val="none" w:sz="0" w:space="0" w:color="auto"/>
        <w:right w:val="none" w:sz="0" w:space="0" w:color="auto"/>
      </w:divBdr>
    </w:div>
    <w:div w:id="809401296">
      <w:bodyDiv w:val="1"/>
      <w:marLeft w:val="0"/>
      <w:marRight w:val="0"/>
      <w:marTop w:val="0"/>
      <w:marBottom w:val="0"/>
      <w:divBdr>
        <w:top w:val="none" w:sz="0" w:space="0" w:color="auto"/>
        <w:left w:val="none" w:sz="0" w:space="0" w:color="auto"/>
        <w:bottom w:val="none" w:sz="0" w:space="0" w:color="auto"/>
        <w:right w:val="none" w:sz="0" w:space="0" w:color="auto"/>
      </w:divBdr>
    </w:div>
    <w:div w:id="810367176">
      <w:bodyDiv w:val="1"/>
      <w:marLeft w:val="0"/>
      <w:marRight w:val="0"/>
      <w:marTop w:val="0"/>
      <w:marBottom w:val="0"/>
      <w:divBdr>
        <w:top w:val="none" w:sz="0" w:space="0" w:color="auto"/>
        <w:left w:val="none" w:sz="0" w:space="0" w:color="auto"/>
        <w:bottom w:val="none" w:sz="0" w:space="0" w:color="auto"/>
        <w:right w:val="none" w:sz="0" w:space="0" w:color="auto"/>
      </w:divBdr>
    </w:div>
    <w:div w:id="816461122">
      <w:bodyDiv w:val="1"/>
      <w:marLeft w:val="0"/>
      <w:marRight w:val="0"/>
      <w:marTop w:val="0"/>
      <w:marBottom w:val="0"/>
      <w:divBdr>
        <w:top w:val="none" w:sz="0" w:space="0" w:color="auto"/>
        <w:left w:val="none" w:sz="0" w:space="0" w:color="auto"/>
        <w:bottom w:val="none" w:sz="0" w:space="0" w:color="auto"/>
        <w:right w:val="none" w:sz="0" w:space="0" w:color="auto"/>
      </w:divBdr>
    </w:div>
    <w:div w:id="816532164">
      <w:bodyDiv w:val="1"/>
      <w:marLeft w:val="0"/>
      <w:marRight w:val="0"/>
      <w:marTop w:val="0"/>
      <w:marBottom w:val="0"/>
      <w:divBdr>
        <w:top w:val="none" w:sz="0" w:space="0" w:color="auto"/>
        <w:left w:val="none" w:sz="0" w:space="0" w:color="auto"/>
        <w:bottom w:val="none" w:sz="0" w:space="0" w:color="auto"/>
        <w:right w:val="none" w:sz="0" w:space="0" w:color="auto"/>
      </w:divBdr>
    </w:div>
    <w:div w:id="818032197">
      <w:bodyDiv w:val="1"/>
      <w:marLeft w:val="0"/>
      <w:marRight w:val="0"/>
      <w:marTop w:val="0"/>
      <w:marBottom w:val="0"/>
      <w:divBdr>
        <w:top w:val="none" w:sz="0" w:space="0" w:color="auto"/>
        <w:left w:val="none" w:sz="0" w:space="0" w:color="auto"/>
        <w:bottom w:val="none" w:sz="0" w:space="0" w:color="auto"/>
        <w:right w:val="none" w:sz="0" w:space="0" w:color="auto"/>
      </w:divBdr>
    </w:div>
    <w:div w:id="829906601">
      <w:bodyDiv w:val="1"/>
      <w:marLeft w:val="0"/>
      <w:marRight w:val="0"/>
      <w:marTop w:val="0"/>
      <w:marBottom w:val="0"/>
      <w:divBdr>
        <w:top w:val="none" w:sz="0" w:space="0" w:color="auto"/>
        <w:left w:val="none" w:sz="0" w:space="0" w:color="auto"/>
        <w:bottom w:val="none" w:sz="0" w:space="0" w:color="auto"/>
        <w:right w:val="none" w:sz="0" w:space="0" w:color="auto"/>
      </w:divBdr>
    </w:div>
    <w:div w:id="831138572">
      <w:bodyDiv w:val="1"/>
      <w:marLeft w:val="0"/>
      <w:marRight w:val="0"/>
      <w:marTop w:val="0"/>
      <w:marBottom w:val="0"/>
      <w:divBdr>
        <w:top w:val="none" w:sz="0" w:space="0" w:color="auto"/>
        <w:left w:val="none" w:sz="0" w:space="0" w:color="auto"/>
        <w:bottom w:val="none" w:sz="0" w:space="0" w:color="auto"/>
        <w:right w:val="none" w:sz="0" w:space="0" w:color="auto"/>
      </w:divBdr>
    </w:div>
    <w:div w:id="832257331">
      <w:bodyDiv w:val="1"/>
      <w:marLeft w:val="0"/>
      <w:marRight w:val="0"/>
      <w:marTop w:val="0"/>
      <w:marBottom w:val="0"/>
      <w:divBdr>
        <w:top w:val="none" w:sz="0" w:space="0" w:color="auto"/>
        <w:left w:val="none" w:sz="0" w:space="0" w:color="auto"/>
        <w:bottom w:val="none" w:sz="0" w:space="0" w:color="auto"/>
        <w:right w:val="none" w:sz="0" w:space="0" w:color="auto"/>
      </w:divBdr>
    </w:div>
    <w:div w:id="834417572">
      <w:bodyDiv w:val="1"/>
      <w:marLeft w:val="0"/>
      <w:marRight w:val="0"/>
      <w:marTop w:val="0"/>
      <w:marBottom w:val="0"/>
      <w:divBdr>
        <w:top w:val="none" w:sz="0" w:space="0" w:color="auto"/>
        <w:left w:val="none" w:sz="0" w:space="0" w:color="auto"/>
        <w:bottom w:val="none" w:sz="0" w:space="0" w:color="auto"/>
        <w:right w:val="none" w:sz="0" w:space="0" w:color="auto"/>
      </w:divBdr>
    </w:div>
    <w:div w:id="836118944">
      <w:bodyDiv w:val="1"/>
      <w:marLeft w:val="0"/>
      <w:marRight w:val="0"/>
      <w:marTop w:val="0"/>
      <w:marBottom w:val="0"/>
      <w:divBdr>
        <w:top w:val="none" w:sz="0" w:space="0" w:color="auto"/>
        <w:left w:val="none" w:sz="0" w:space="0" w:color="auto"/>
        <w:bottom w:val="none" w:sz="0" w:space="0" w:color="auto"/>
        <w:right w:val="none" w:sz="0" w:space="0" w:color="auto"/>
      </w:divBdr>
    </w:div>
    <w:div w:id="839933679">
      <w:bodyDiv w:val="1"/>
      <w:marLeft w:val="0"/>
      <w:marRight w:val="0"/>
      <w:marTop w:val="0"/>
      <w:marBottom w:val="0"/>
      <w:divBdr>
        <w:top w:val="none" w:sz="0" w:space="0" w:color="auto"/>
        <w:left w:val="none" w:sz="0" w:space="0" w:color="auto"/>
        <w:bottom w:val="none" w:sz="0" w:space="0" w:color="auto"/>
        <w:right w:val="none" w:sz="0" w:space="0" w:color="auto"/>
      </w:divBdr>
    </w:div>
    <w:div w:id="841579223">
      <w:bodyDiv w:val="1"/>
      <w:marLeft w:val="0"/>
      <w:marRight w:val="0"/>
      <w:marTop w:val="0"/>
      <w:marBottom w:val="0"/>
      <w:divBdr>
        <w:top w:val="none" w:sz="0" w:space="0" w:color="auto"/>
        <w:left w:val="none" w:sz="0" w:space="0" w:color="auto"/>
        <w:bottom w:val="none" w:sz="0" w:space="0" w:color="auto"/>
        <w:right w:val="none" w:sz="0" w:space="0" w:color="auto"/>
      </w:divBdr>
    </w:div>
    <w:div w:id="843251867">
      <w:bodyDiv w:val="1"/>
      <w:marLeft w:val="0"/>
      <w:marRight w:val="0"/>
      <w:marTop w:val="0"/>
      <w:marBottom w:val="0"/>
      <w:divBdr>
        <w:top w:val="none" w:sz="0" w:space="0" w:color="auto"/>
        <w:left w:val="none" w:sz="0" w:space="0" w:color="auto"/>
        <w:bottom w:val="none" w:sz="0" w:space="0" w:color="auto"/>
        <w:right w:val="none" w:sz="0" w:space="0" w:color="auto"/>
      </w:divBdr>
    </w:div>
    <w:div w:id="843473006">
      <w:bodyDiv w:val="1"/>
      <w:marLeft w:val="0"/>
      <w:marRight w:val="0"/>
      <w:marTop w:val="0"/>
      <w:marBottom w:val="0"/>
      <w:divBdr>
        <w:top w:val="none" w:sz="0" w:space="0" w:color="auto"/>
        <w:left w:val="none" w:sz="0" w:space="0" w:color="auto"/>
        <w:bottom w:val="none" w:sz="0" w:space="0" w:color="auto"/>
        <w:right w:val="none" w:sz="0" w:space="0" w:color="auto"/>
      </w:divBdr>
    </w:div>
    <w:div w:id="843713298">
      <w:bodyDiv w:val="1"/>
      <w:marLeft w:val="0"/>
      <w:marRight w:val="0"/>
      <w:marTop w:val="0"/>
      <w:marBottom w:val="0"/>
      <w:divBdr>
        <w:top w:val="none" w:sz="0" w:space="0" w:color="auto"/>
        <w:left w:val="none" w:sz="0" w:space="0" w:color="auto"/>
        <w:bottom w:val="none" w:sz="0" w:space="0" w:color="auto"/>
        <w:right w:val="none" w:sz="0" w:space="0" w:color="auto"/>
      </w:divBdr>
    </w:div>
    <w:div w:id="845823519">
      <w:bodyDiv w:val="1"/>
      <w:marLeft w:val="0"/>
      <w:marRight w:val="0"/>
      <w:marTop w:val="0"/>
      <w:marBottom w:val="0"/>
      <w:divBdr>
        <w:top w:val="none" w:sz="0" w:space="0" w:color="auto"/>
        <w:left w:val="none" w:sz="0" w:space="0" w:color="auto"/>
        <w:bottom w:val="none" w:sz="0" w:space="0" w:color="auto"/>
        <w:right w:val="none" w:sz="0" w:space="0" w:color="auto"/>
      </w:divBdr>
    </w:div>
    <w:div w:id="848451941">
      <w:bodyDiv w:val="1"/>
      <w:marLeft w:val="0"/>
      <w:marRight w:val="0"/>
      <w:marTop w:val="0"/>
      <w:marBottom w:val="0"/>
      <w:divBdr>
        <w:top w:val="none" w:sz="0" w:space="0" w:color="auto"/>
        <w:left w:val="none" w:sz="0" w:space="0" w:color="auto"/>
        <w:bottom w:val="none" w:sz="0" w:space="0" w:color="auto"/>
        <w:right w:val="none" w:sz="0" w:space="0" w:color="auto"/>
      </w:divBdr>
    </w:div>
    <w:div w:id="849566745">
      <w:bodyDiv w:val="1"/>
      <w:marLeft w:val="0"/>
      <w:marRight w:val="0"/>
      <w:marTop w:val="0"/>
      <w:marBottom w:val="0"/>
      <w:divBdr>
        <w:top w:val="none" w:sz="0" w:space="0" w:color="auto"/>
        <w:left w:val="none" w:sz="0" w:space="0" w:color="auto"/>
        <w:bottom w:val="none" w:sz="0" w:space="0" w:color="auto"/>
        <w:right w:val="none" w:sz="0" w:space="0" w:color="auto"/>
      </w:divBdr>
    </w:div>
    <w:div w:id="850723272">
      <w:bodyDiv w:val="1"/>
      <w:marLeft w:val="0"/>
      <w:marRight w:val="0"/>
      <w:marTop w:val="0"/>
      <w:marBottom w:val="0"/>
      <w:divBdr>
        <w:top w:val="none" w:sz="0" w:space="0" w:color="auto"/>
        <w:left w:val="none" w:sz="0" w:space="0" w:color="auto"/>
        <w:bottom w:val="none" w:sz="0" w:space="0" w:color="auto"/>
        <w:right w:val="none" w:sz="0" w:space="0" w:color="auto"/>
      </w:divBdr>
    </w:div>
    <w:div w:id="856044841">
      <w:bodyDiv w:val="1"/>
      <w:marLeft w:val="0"/>
      <w:marRight w:val="0"/>
      <w:marTop w:val="0"/>
      <w:marBottom w:val="0"/>
      <w:divBdr>
        <w:top w:val="none" w:sz="0" w:space="0" w:color="auto"/>
        <w:left w:val="none" w:sz="0" w:space="0" w:color="auto"/>
        <w:bottom w:val="none" w:sz="0" w:space="0" w:color="auto"/>
        <w:right w:val="none" w:sz="0" w:space="0" w:color="auto"/>
      </w:divBdr>
    </w:div>
    <w:div w:id="857306852">
      <w:bodyDiv w:val="1"/>
      <w:marLeft w:val="0"/>
      <w:marRight w:val="0"/>
      <w:marTop w:val="0"/>
      <w:marBottom w:val="0"/>
      <w:divBdr>
        <w:top w:val="none" w:sz="0" w:space="0" w:color="auto"/>
        <w:left w:val="none" w:sz="0" w:space="0" w:color="auto"/>
        <w:bottom w:val="none" w:sz="0" w:space="0" w:color="auto"/>
        <w:right w:val="none" w:sz="0" w:space="0" w:color="auto"/>
      </w:divBdr>
    </w:div>
    <w:div w:id="859392352">
      <w:bodyDiv w:val="1"/>
      <w:marLeft w:val="0"/>
      <w:marRight w:val="0"/>
      <w:marTop w:val="0"/>
      <w:marBottom w:val="0"/>
      <w:divBdr>
        <w:top w:val="none" w:sz="0" w:space="0" w:color="auto"/>
        <w:left w:val="none" w:sz="0" w:space="0" w:color="auto"/>
        <w:bottom w:val="none" w:sz="0" w:space="0" w:color="auto"/>
        <w:right w:val="none" w:sz="0" w:space="0" w:color="auto"/>
      </w:divBdr>
    </w:div>
    <w:div w:id="865019926">
      <w:bodyDiv w:val="1"/>
      <w:marLeft w:val="0"/>
      <w:marRight w:val="0"/>
      <w:marTop w:val="0"/>
      <w:marBottom w:val="0"/>
      <w:divBdr>
        <w:top w:val="none" w:sz="0" w:space="0" w:color="auto"/>
        <w:left w:val="none" w:sz="0" w:space="0" w:color="auto"/>
        <w:bottom w:val="none" w:sz="0" w:space="0" w:color="auto"/>
        <w:right w:val="none" w:sz="0" w:space="0" w:color="auto"/>
      </w:divBdr>
    </w:div>
    <w:div w:id="868489853">
      <w:bodyDiv w:val="1"/>
      <w:marLeft w:val="0"/>
      <w:marRight w:val="0"/>
      <w:marTop w:val="0"/>
      <w:marBottom w:val="0"/>
      <w:divBdr>
        <w:top w:val="none" w:sz="0" w:space="0" w:color="auto"/>
        <w:left w:val="none" w:sz="0" w:space="0" w:color="auto"/>
        <w:bottom w:val="none" w:sz="0" w:space="0" w:color="auto"/>
        <w:right w:val="none" w:sz="0" w:space="0" w:color="auto"/>
      </w:divBdr>
    </w:div>
    <w:div w:id="870412773">
      <w:bodyDiv w:val="1"/>
      <w:marLeft w:val="0"/>
      <w:marRight w:val="0"/>
      <w:marTop w:val="0"/>
      <w:marBottom w:val="0"/>
      <w:divBdr>
        <w:top w:val="none" w:sz="0" w:space="0" w:color="auto"/>
        <w:left w:val="none" w:sz="0" w:space="0" w:color="auto"/>
        <w:bottom w:val="none" w:sz="0" w:space="0" w:color="auto"/>
        <w:right w:val="none" w:sz="0" w:space="0" w:color="auto"/>
      </w:divBdr>
    </w:div>
    <w:div w:id="872691727">
      <w:bodyDiv w:val="1"/>
      <w:marLeft w:val="0"/>
      <w:marRight w:val="0"/>
      <w:marTop w:val="0"/>
      <w:marBottom w:val="0"/>
      <w:divBdr>
        <w:top w:val="none" w:sz="0" w:space="0" w:color="auto"/>
        <w:left w:val="none" w:sz="0" w:space="0" w:color="auto"/>
        <w:bottom w:val="none" w:sz="0" w:space="0" w:color="auto"/>
        <w:right w:val="none" w:sz="0" w:space="0" w:color="auto"/>
      </w:divBdr>
    </w:div>
    <w:div w:id="872696555">
      <w:bodyDiv w:val="1"/>
      <w:marLeft w:val="0"/>
      <w:marRight w:val="0"/>
      <w:marTop w:val="0"/>
      <w:marBottom w:val="0"/>
      <w:divBdr>
        <w:top w:val="none" w:sz="0" w:space="0" w:color="auto"/>
        <w:left w:val="none" w:sz="0" w:space="0" w:color="auto"/>
        <w:bottom w:val="none" w:sz="0" w:space="0" w:color="auto"/>
        <w:right w:val="none" w:sz="0" w:space="0" w:color="auto"/>
      </w:divBdr>
    </w:div>
    <w:div w:id="873495410">
      <w:bodyDiv w:val="1"/>
      <w:marLeft w:val="0"/>
      <w:marRight w:val="0"/>
      <w:marTop w:val="0"/>
      <w:marBottom w:val="0"/>
      <w:divBdr>
        <w:top w:val="none" w:sz="0" w:space="0" w:color="auto"/>
        <w:left w:val="none" w:sz="0" w:space="0" w:color="auto"/>
        <w:bottom w:val="none" w:sz="0" w:space="0" w:color="auto"/>
        <w:right w:val="none" w:sz="0" w:space="0" w:color="auto"/>
      </w:divBdr>
    </w:div>
    <w:div w:id="893350078">
      <w:bodyDiv w:val="1"/>
      <w:marLeft w:val="0"/>
      <w:marRight w:val="0"/>
      <w:marTop w:val="0"/>
      <w:marBottom w:val="0"/>
      <w:divBdr>
        <w:top w:val="none" w:sz="0" w:space="0" w:color="auto"/>
        <w:left w:val="none" w:sz="0" w:space="0" w:color="auto"/>
        <w:bottom w:val="none" w:sz="0" w:space="0" w:color="auto"/>
        <w:right w:val="none" w:sz="0" w:space="0" w:color="auto"/>
      </w:divBdr>
    </w:div>
    <w:div w:id="893463297">
      <w:bodyDiv w:val="1"/>
      <w:marLeft w:val="0"/>
      <w:marRight w:val="0"/>
      <w:marTop w:val="0"/>
      <w:marBottom w:val="0"/>
      <w:divBdr>
        <w:top w:val="none" w:sz="0" w:space="0" w:color="auto"/>
        <w:left w:val="none" w:sz="0" w:space="0" w:color="auto"/>
        <w:bottom w:val="none" w:sz="0" w:space="0" w:color="auto"/>
        <w:right w:val="none" w:sz="0" w:space="0" w:color="auto"/>
      </w:divBdr>
    </w:div>
    <w:div w:id="896860708">
      <w:bodyDiv w:val="1"/>
      <w:marLeft w:val="0"/>
      <w:marRight w:val="0"/>
      <w:marTop w:val="0"/>
      <w:marBottom w:val="0"/>
      <w:divBdr>
        <w:top w:val="none" w:sz="0" w:space="0" w:color="auto"/>
        <w:left w:val="none" w:sz="0" w:space="0" w:color="auto"/>
        <w:bottom w:val="none" w:sz="0" w:space="0" w:color="auto"/>
        <w:right w:val="none" w:sz="0" w:space="0" w:color="auto"/>
      </w:divBdr>
    </w:div>
    <w:div w:id="897285763">
      <w:bodyDiv w:val="1"/>
      <w:marLeft w:val="0"/>
      <w:marRight w:val="0"/>
      <w:marTop w:val="0"/>
      <w:marBottom w:val="0"/>
      <w:divBdr>
        <w:top w:val="none" w:sz="0" w:space="0" w:color="auto"/>
        <w:left w:val="none" w:sz="0" w:space="0" w:color="auto"/>
        <w:bottom w:val="none" w:sz="0" w:space="0" w:color="auto"/>
        <w:right w:val="none" w:sz="0" w:space="0" w:color="auto"/>
      </w:divBdr>
    </w:div>
    <w:div w:id="900402759">
      <w:bodyDiv w:val="1"/>
      <w:marLeft w:val="0"/>
      <w:marRight w:val="0"/>
      <w:marTop w:val="0"/>
      <w:marBottom w:val="0"/>
      <w:divBdr>
        <w:top w:val="none" w:sz="0" w:space="0" w:color="auto"/>
        <w:left w:val="none" w:sz="0" w:space="0" w:color="auto"/>
        <w:bottom w:val="none" w:sz="0" w:space="0" w:color="auto"/>
        <w:right w:val="none" w:sz="0" w:space="0" w:color="auto"/>
      </w:divBdr>
    </w:div>
    <w:div w:id="902714000">
      <w:bodyDiv w:val="1"/>
      <w:marLeft w:val="0"/>
      <w:marRight w:val="0"/>
      <w:marTop w:val="0"/>
      <w:marBottom w:val="0"/>
      <w:divBdr>
        <w:top w:val="none" w:sz="0" w:space="0" w:color="auto"/>
        <w:left w:val="none" w:sz="0" w:space="0" w:color="auto"/>
        <w:bottom w:val="none" w:sz="0" w:space="0" w:color="auto"/>
        <w:right w:val="none" w:sz="0" w:space="0" w:color="auto"/>
      </w:divBdr>
    </w:div>
    <w:div w:id="904293658">
      <w:bodyDiv w:val="1"/>
      <w:marLeft w:val="0"/>
      <w:marRight w:val="0"/>
      <w:marTop w:val="0"/>
      <w:marBottom w:val="0"/>
      <w:divBdr>
        <w:top w:val="none" w:sz="0" w:space="0" w:color="auto"/>
        <w:left w:val="none" w:sz="0" w:space="0" w:color="auto"/>
        <w:bottom w:val="none" w:sz="0" w:space="0" w:color="auto"/>
        <w:right w:val="none" w:sz="0" w:space="0" w:color="auto"/>
      </w:divBdr>
    </w:div>
    <w:div w:id="905533138">
      <w:bodyDiv w:val="1"/>
      <w:marLeft w:val="0"/>
      <w:marRight w:val="0"/>
      <w:marTop w:val="0"/>
      <w:marBottom w:val="0"/>
      <w:divBdr>
        <w:top w:val="none" w:sz="0" w:space="0" w:color="auto"/>
        <w:left w:val="none" w:sz="0" w:space="0" w:color="auto"/>
        <w:bottom w:val="none" w:sz="0" w:space="0" w:color="auto"/>
        <w:right w:val="none" w:sz="0" w:space="0" w:color="auto"/>
      </w:divBdr>
    </w:div>
    <w:div w:id="905727968">
      <w:bodyDiv w:val="1"/>
      <w:marLeft w:val="0"/>
      <w:marRight w:val="0"/>
      <w:marTop w:val="0"/>
      <w:marBottom w:val="0"/>
      <w:divBdr>
        <w:top w:val="none" w:sz="0" w:space="0" w:color="auto"/>
        <w:left w:val="none" w:sz="0" w:space="0" w:color="auto"/>
        <w:bottom w:val="none" w:sz="0" w:space="0" w:color="auto"/>
        <w:right w:val="none" w:sz="0" w:space="0" w:color="auto"/>
      </w:divBdr>
    </w:div>
    <w:div w:id="906305554">
      <w:bodyDiv w:val="1"/>
      <w:marLeft w:val="0"/>
      <w:marRight w:val="0"/>
      <w:marTop w:val="0"/>
      <w:marBottom w:val="0"/>
      <w:divBdr>
        <w:top w:val="none" w:sz="0" w:space="0" w:color="auto"/>
        <w:left w:val="none" w:sz="0" w:space="0" w:color="auto"/>
        <w:bottom w:val="none" w:sz="0" w:space="0" w:color="auto"/>
        <w:right w:val="none" w:sz="0" w:space="0" w:color="auto"/>
      </w:divBdr>
    </w:div>
    <w:div w:id="910189694">
      <w:bodyDiv w:val="1"/>
      <w:marLeft w:val="0"/>
      <w:marRight w:val="0"/>
      <w:marTop w:val="0"/>
      <w:marBottom w:val="0"/>
      <w:divBdr>
        <w:top w:val="none" w:sz="0" w:space="0" w:color="auto"/>
        <w:left w:val="none" w:sz="0" w:space="0" w:color="auto"/>
        <w:bottom w:val="none" w:sz="0" w:space="0" w:color="auto"/>
        <w:right w:val="none" w:sz="0" w:space="0" w:color="auto"/>
      </w:divBdr>
    </w:div>
    <w:div w:id="910966323">
      <w:bodyDiv w:val="1"/>
      <w:marLeft w:val="0"/>
      <w:marRight w:val="0"/>
      <w:marTop w:val="0"/>
      <w:marBottom w:val="0"/>
      <w:divBdr>
        <w:top w:val="none" w:sz="0" w:space="0" w:color="auto"/>
        <w:left w:val="none" w:sz="0" w:space="0" w:color="auto"/>
        <w:bottom w:val="none" w:sz="0" w:space="0" w:color="auto"/>
        <w:right w:val="none" w:sz="0" w:space="0" w:color="auto"/>
      </w:divBdr>
    </w:div>
    <w:div w:id="911234843">
      <w:bodyDiv w:val="1"/>
      <w:marLeft w:val="0"/>
      <w:marRight w:val="0"/>
      <w:marTop w:val="0"/>
      <w:marBottom w:val="0"/>
      <w:divBdr>
        <w:top w:val="none" w:sz="0" w:space="0" w:color="auto"/>
        <w:left w:val="none" w:sz="0" w:space="0" w:color="auto"/>
        <w:bottom w:val="none" w:sz="0" w:space="0" w:color="auto"/>
        <w:right w:val="none" w:sz="0" w:space="0" w:color="auto"/>
      </w:divBdr>
    </w:div>
    <w:div w:id="921061607">
      <w:bodyDiv w:val="1"/>
      <w:marLeft w:val="0"/>
      <w:marRight w:val="0"/>
      <w:marTop w:val="0"/>
      <w:marBottom w:val="0"/>
      <w:divBdr>
        <w:top w:val="none" w:sz="0" w:space="0" w:color="auto"/>
        <w:left w:val="none" w:sz="0" w:space="0" w:color="auto"/>
        <w:bottom w:val="none" w:sz="0" w:space="0" w:color="auto"/>
        <w:right w:val="none" w:sz="0" w:space="0" w:color="auto"/>
      </w:divBdr>
    </w:div>
    <w:div w:id="924067868">
      <w:bodyDiv w:val="1"/>
      <w:marLeft w:val="0"/>
      <w:marRight w:val="0"/>
      <w:marTop w:val="0"/>
      <w:marBottom w:val="0"/>
      <w:divBdr>
        <w:top w:val="none" w:sz="0" w:space="0" w:color="auto"/>
        <w:left w:val="none" w:sz="0" w:space="0" w:color="auto"/>
        <w:bottom w:val="none" w:sz="0" w:space="0" w:color="auto"/>
        <w:right w:val="none" w:sz="0" w:space="0" w:color="auto"/>
      </w:divBdr>
    </w:div>
    <w:div w:id="927468166">
      <w:bodyDiv w:val="1"/>
      <w:marLeft w:val="0"/>
      <w:marRight w:val="0"/>
      <w:marTop w:val="0"/>
      <w:marBottom w:val="0"/>
      <w:divBdr>
        <w:top w:val="none" w:sz="0" w:space="0" w:color="auto"/>
        <w:left w:val="none" w:sz="0" w:space="0" w:color="auto"/>
        <w:bottom w:val="none" w:sz="0" w:space="0" w:color="auto"/>
        <w:right w:val="none" w:sz="0" w:space="0" w:color="auto"/>
      </w:divBdr>
    </w:div>
    <w:div w:id="940913710">
      <w:bodyDiv w:val="1"/>
      <w:marLeft w:val="0"/>
      <w:marRight w:val="0"/>
      <w:marTop w:val="0"/>
      <w:marBottom w:val="0"/>
      <w:divBdr>
        <w:top w:val="none" w:sz="0" w:space="0" w:color="auto"/>
        <w:left w:val="none" w:sz="0" w:space="0" w:color="auto"/>
        <w:bottom w:val="none" w:sz="0" w:space="0" w:color="auto"/>
        <w:right w:val="none" w:sz="0" w:space="0" w:color="auto"/>
      </w:divBdr>
    </w:div>
    <w:div w:id="941839896">
      <w:bodyDiv w:val="1"/>
      <w:marLeft w:val="0"/>
      <w:marRight w:val="0"/>
      <w:marTop w:val="0"/>
      <w:marBottom w:val="0"/>
      <w:divBdr>
        <w:top w:val="none" w:sz="0" w:space="0" w:color="auto"/>
        <w:left w:val="none" w:sz="0" w:space="0" w:color="auto"/>
        <w:bottom w:val="none" w:sz="0" w:space="0" w:color="auto"/>
        <w:right w:val="none" w:sz="0" w:space="0" w:color="auto"/>
      </w:divBdr>
    </w:div>
    <w:div w:id="942080316">
      <w:bodyDiv w:val="1"/>
      <w:marLeft w:val="0"/>
      <w:marRight w:val="0"/>
      <w:marTop w:val="0"/>
      <w:marBottom w:val="0"/>
      <w:divBdr>
        <w:top w:val="none" w:sz="0" w:space="0" w:color="auto"/>
        <w:left w:val="none" w:sz="0" w:space="0" w:color="auto"/>
        <w:bottom w:val="none" w:sz="0" w:space="0" w:color="auto"/>
        <w:right w:val="none" w:sz="0" w:space="0" w:color="auto"/>
      </w:divBdr>
    </w:div>
    <w:div w:id="942224690">
      <w:bodyDiv w:val="1"/>
      <w:marLeft w:val="0"/>
      <w:marRight w:val="0"/>
      <w:marTop w:val="0"/>
      <w:marBottom w:val="0"/>
      <w:divBdr>
        <w:top w:val="none" w:sz="0" w:space="0" w:color="auto"/>
        <w:left w:val="none" w:sz="0" w:space="0" w:color="auto"/>
        <w:bottom w:val="none" w:sz="0" w:space="0" w:color="auto"/>
        <w:right w:val="none" w:sz="0" w:space="0" w:color="auto"/>
      </w:divBdr>
    </w:div>
    <w:div w:id="943268391">
      <w:bodyDiv w:val="1"/>
      <w:marLeft w:val="0"/>
      <w:marRight w:val="0"/>
      <w:marTop w:val="0"/>
      <w:marBottom w:val="0"/>
      <w:divBdr>
        <w:top w:val="none" w:sz="0" w:space="0" w:color="auto"/>
        <w:left w:val="none" w:sz="0" w:space="0" w:color="auto"/>
        <w:bottom w:val="none" w:sz="0" w:space="0" w:color="auto"/>
        <w:right w:val="none" w:sz="0" w:space="0" w:color="auto"/>
      </w:divBdr>
    </w:div>
    <w:div w:id="944187614">
      <w:bodyDiv w:val="1"/>
      <w:marLeft w:val="0"/>
      <w:marRight w:val="0"/>
      <w:marTop w:val="0"/>
      <w:marBottom w:val="0"/>
      <w:divBdr>
        <w:top w:val="none" w:sz="0" w:space="0" w:color="auto"/>
        <w:left w:val="none" w:sz="0" w:space="0" w:color="auto"/>
        <w:bottom w:val="none" w:sz="0" w:space="0" w:color="auto"/>
        <w:right w:val="none" w:sz="0" w:space="0" w:color="auto"/>
      </w:divBdr>
    </w:div>
    <w:div w:id="951403358">
      <w:bodyDiv w:val="1"/>
      <w:marLeft w:val="0"/>
      <w:marRight w:val="0"/>
      <w:marTop w:val="0"/>
      <w:marBottom w:val="0"/>
      <w:divBdr>
        <w:top w:val="none" w:sz="0" w:space="0" w:color="auto"/>
        <w:left w:val="none" w:sz="0" w:space="0" w:color="auto"/>
        <w:bottom w:val="none" w:sz="0" w:space="0" w:color="auto"/>
        <w:right w:val="none" w:sz="0" w:space="0" w:color="auto"/>
      </w:divBdr>
    </w:div>
    <w:div w:id="964193362">
      <w:bodyDiv w:val="1"/>
      <w:marLeft w:val="0"/>
      <w:marRight w:val="0"/>
      <w:marTop w:val="0"/>
      <w:marBottom w:val="0"/>
      <w:divBdr>
        <w:top w:val="none" w:sz="0" w:space="0" w:color="auto"/>
        <w:left w:val="none" w:sz="0" w:space="0" w:color="auto"/>
        <w:bottom w:val="none" w:sz="0" w:space="0" w:color="auto"/>
        <w:right w:val="none" w:sz="0" w:space="0" w:color="auto"/>
      </w:divBdr>
    </w:div>
    <w:div w:id="964578381">
      <w:bodyDiv w:val="1"/>
      <w:marLeft w:val="0"/>
      <w:marRight w:val="0"/>
      <w:marTop w:val="0"/>
      <w:marBottom w:val="0"/>
      <w:divBdr>
        <w:top w:val="none" w:sz="0" w:space="0" w:color="auto"/>
        <w:left w:val="none" w:sz="0" w:space="0" w:color="auto"/>
        <w:bottom w:val="none" w:sz="0" w:space="0" w:color="auto"/>
        <w:right w:val="none" w:sz="0" w:space="0" w:color="auto"/>
      </w:divBdr>
    </w:div>
    <w:div w:id="965820310">
      <w:bodyDiv w:val="1"/>
      <w:marLeft w:val="0"/>
      <w:marRight w:val="0"/>
      <w:marTop w:val="0"/>
      <w:marBottom w:val="0"/>
      <w:divBdr>
        <w:top w:val="none" w:sz="0" w:space="0" w:color="auto"/>
        <w:left w:val="none" w:sz="0" w:space="0" w:color="auto"/>
        <w:bottom w:val="none" w:sz="0" w:space="0" w:color="auto"/>
        <w:right w:val="none" w:sz="0" w:space="0" w:color="auto"/>
      </w:divBdr>
    </w:div>
    <w:div w:id="967978943">
      <w:bodyDiv w:val="1"/>
      <w:marLeft w:val="0"/>
      <w:marRight w:val="0"/>
      <w:marTop w:val="0"/>
      <w:marBottom w:val="0"/>
      <w:divBdr>
        <w:top w:val="none" w:sz="0" w:space="0" w:color="auto"/>
        <w:left w:val="none" w:sz="0" w:space="0" w:color="auto"/>
        <w:bottom w:val="none" w:sz="0" w:space="0" w:color="auto"/>
        <w:right w:val="none" w:sz="0" w:space="0" w:color="auto"/>
      </w:divBdr>
    </w:div>
    <w:div w:id="970986498">
      <w:bodyDiv w:val="1"/>
      <w:marLeft w:val="0"/>
      <w:marRight w:val="0"/>
      <w:marTop w:val="0"/>
      <w:marBottom w:val="0"/>
      <w:divBdr>
        <w:top w:val="none" w:sz="0" w:space="0" w:color="auto"/>
        <w:left w:val="none" w:sz="0" w:space="0" w:color="auto"/>
        <w:bottom w:val="none" w:sz="0" w:space="0" w:color="auto"/>
        <w:right w:val="none" w:sz="0" w:space="0" w:color="auto"/>
      </w:divBdr>
    </w:div>
    <w:div w:id="973752442">
      <w:bodyDiv w:val="1"/>
      <w:marLeft w:val="0"/>
      <w:marRight w:val="0"/>
      <w:marTop w:val="0"/>
      <w:marBottom w:val="0"/>
      <w:divBdr>
        <w:top w:val="none" w:sz="0" w:space="0" w:color="auto"/>
        <w:left w:val="none" w:sz="0" w:space="0" w:color="auto"/>
        <w:bottom w:val="none" w:sz="0" w:space="0" w:color="auto"/>
        <w:right w:val="none" w:sz="0" w:space="0" w:color="auto"/>
      </w:divBdr>
    </w:div>
    <w:div w:id="973944185">
      <w:bodyDiv w:val="1"/>
      <w:marLeft w:val="0"/>
      <w:marRight w:val="0"/>
      <w:marTop w:val="0"/>
      <w:marBottom w:val="0"/>
      <w:divBdr>
        <w:top w:val="none" w:sz="0" w:space="0" w:color="auto"/>
        <w:left w:val="none" w:sz="0" w:space="0" w:color="auto"/>
        <w:bottom w:val="none" w:sz="0" w:space="0" w:color="auto"/>
        <w:right w:val="none" w:sz="0" w:space="0" w:color="auto"/>
      </w:divBdr>
    </w:div>
    <w:div w:id="977418875">
      <w:bodyDiv w:val="1"/>
      <w:marLeft w:val="0"/>
      <w:marRight w:val="0"/>
      <w:marTop w:val="0"/>
      <w:marBottom w:val="0"/>
      <w:divBdr>
        <w:top w:val="none" w:sz="0" w:space="0" w:color="auto"/>
        <w:left w:val="none" w:sz="0" w:space="0" w:color="auto"/>
        <w:bottom w:val="none" w:sz="0" w:space="0" w:color="auto"/>
        <w:right w:val="none" w:sz="0" w:space="0" w:color="auto"/>
      </w:divBdr>
    </w:div>
    <w:div w:id="981009474">
      <w:bodyDiv w:val="1"/>
      <w:marLeft w:val="0"/>
      <w:marRight w:val="0"/>
      <w:marTop w:val="0"/>
      <w:marBottom w:val="0"/>
      <w:divBdr>
        <w:top w:val="none" w:sz="0" w:space="0" w:color="auto"/>
        <w:left w:val="none" w:sz="0" w:space="0" w:color="auto"/>
        <w:bottom w:val="none" w:sz="0" w:space="0" w:color="auto"/>
        <w:right w:val="none" w:sz="0" w:space="0" w:color="auto"/>
      </w:divBdr>
    </w:div>
    <w:div w:id="981231759">
      <w:bodyDiv w:val="1"/>
      <w:marLeft w:val="0"/>
      <w:marRight w:val="0"/>
      <w:marTop w:val="0"/>
      <w:marBottom w:val="0"/>
      <w:divBdr>
        <w:top w:val="none" w:sz="0" w:space="0" w:color="auto"/>
        <w:left w:val="none" w:sz="0" w:space="0" w:color="auto"/>
        <w:bottom w:val="none" w:sz="0" w:space="0" w:color="auto"/>
        <w:right w:val="none" w:sz="0" w:space="0" w:color="auto"/>
      </w:divBdr>
    </w:div>
    <w:div w:id="985548817">
      <w:bodyDiv w:val="1"/>
      <w:marLeft w:val="0"/>
      <w:marRight w:val="0"/>
      <w:marTop w:val="0"/>
      <w:marBottom w:val="0"/>
      <w:divBdr>
        <w:top w:val="none" w:sz="0" w:space="0" w:color="auto"/>
        <w:left w:val="none" w:sz="0" w:space="0" w:color="auto"/>
        <w:bottom w:val="none" w:sz="0" w:space="0" w:color="auto"/>
        <w:right w:val="none" w:sz="0" w:space="0" w:color="auto"/>
      </w:divBdr>
    </w:div>
    <w:div w:id="986470908">
      <w:bodyDiv w:val="1"/>
      <w:marLeft w:val="0"/>
      <w:marRight w:val="0"/>
      <w:marTop w:val="0"/>
      <w:marBottom w:val="0"/>
      <w:divBdr>
        <w:top w:val="none" w:sz="0" w:space="0" w:color="auto"/>
        <w:left w:val="none" w:sz="0" w:space="0" w:color="auto"/>
        <w:bottom w:val="none" w:sz="0" w:space="0" w:color="auto"/>
        <w:right w:val="none" w:sz="0" w:space="0" w:color="auto"/>
      </w:divBdr>
    </w:div>
    <w:div w:id="992372457">
      <w:bodyDiv w:val="1"/>
      <w:marLeft w:val="0"/>
      <w:marRight w:val="0"/>
      <w:marTop w:val="0"/>
      <w:marBottom w:val="0"/>
      <w:divBdr>
        <w:top w:val="none" w:sz="0" w:space="0" w:color="auto"/>
        <w:left w:val="none" w:sz="0" w:space="0" w:color="auto"/>
        <w:bottom w:val="none" w:sz="0" w:space="0" w:color="auto"/>
        <w:right w:val="none" w:sz="0" w:space="0" w:color="auto"/>
      </w:divBdr>
    </w:div>
    <w:div w:id="993677351">
      <w:bodyDiv w:val="1"/>
      <w:marLeft w:val="0"/>
      <w:marRight w:val="0"/>
      <w:marTop w:val="0"/>
      <w:marBottom w:val="0"/>
      <w:divBdr>
        <w:top w:val="none" w:sz="0" w:space="0" w:color="auto"/>
        <w:left w:val="none" w:sz="0" w:space="0" w:color="auto"/>
        <w:bottom w:val="none" w:sz="0" w:space="0" w:color="auto"/>
        <w:right w:val="none" w:sz="0" w:space="0" w:color="auto"/>
      </w:divBdr>
    </w:div>
    <w:div w:id="998270447">
      <w:bodyDiv w:val="1"/>
      <w:marLeft w:val="0"/>
      <w:marRight w:val="0"/>
      <w:marTop w:val="0"/>
      <w:marBottom w:val="0"/>
      <w:divBdr>
        <w:top w:val="none" w:sz="0" w:space="0" w:color="auto"/>
        <w:left w:val="none" w:sz="0" w:space="0" w:color="auto"/>
        <w:bottom w:val="none" w:sz="0" w:space="0" w:color="auto"/>
        <w:right w:val="none" w:sz="0" w:space="0" w:color="auto"/>
      </w:divBdr>
    </w:div>
    <w:div w:id="998582986">
      <w:bodyDiv w:val="1"/>
      <w:marLeft w:val="0"/>
      <w:marRight w:val="0"/>
      <w:marTop w:val="0"/>
      <w:marBottom w:val="0"/>
      <w:divBdr>
        <w:top w:val="none" w:sz="0" w:space="0" w:color="auto"/>
        <w:left w:val="none" w:sz="0" w:space="0" w:color="auto"/>
        <w:bottom w:val="none" w:sz="0" w:space="0" w:color="auto"/>
        <w:right w:val="none" w:sz="0" w:space="0" w:color="auto"/>
      </w:divBdr>
    </w:div>
    <w:div w:id="999043261">
      <w:bodyDiv w:val="1"/>
      <w:marLeft w:val="0"/>
      <w:marRight w:val="0"/>
      <w:marTop w:val="0"/>
      <w:marBottom w:val="0"/>
      <w:divBdr>
        <w:top w:val="none" w:sz="0" w:space="0" w:color="auto"/>
        <w:left w:val="none" w:sz="0" w:space="0" w:color="auto"/>
        <w:bottom w:val="none" w:sz="0" w:space="0" w:color="auto"/>
        <w:right w:val="none" w:sz="0" w:space="0" w:color="auto"/>
      </w:divBdr>
    </w:div>
    <w:div w:id="1002196889">
      <w:bodyDiv w:val="1"/>
      <w:marLeft w:val="0"/>
      <w:marRight w:val="0"/>
      <w:marTop w:val="0"/>
      <w:marBottom w:val="0"/>
      <w:divBdr>
        <w:top w:val="none" w:sz="0" w:space="0" w:color="auto"/>
        <w:left w:val="none" w:sz="0" w:space="0" w:color="auto"/>
        <w:bottom w:val="none" w:sz="0" w:space="0" w:color="auto"/>
        <w:right w:val="none" w:sz="0" w:space="0" w:color="auto"/>
      </w:divBdr>
    </w:div>
    <w:div w:id="1005014424">
      <w:bodyDiv w:val="1"/>
      <w:marLeft w:val="0"/>
      <w:marRight w:val="0"/>
      <w:marTop w:val="0"/>
      <w:marBottom w:val="0"/>
      <w:divBdr>
        <w:top w:val="none" w:sz="0" w:space="0" w:color="auto"/>
        <w:left w:val="none" w:sz="0" w:space="0" w:color="auto"/>
        <w:bottom w:val="none" w:sz="0" w:space="0" w:color="auto"/>
        <w:right w:val="none" w:sz="0" w:space="0" w:color="auto"/>
      </w:divBdr>
    </w:div>
    <w:div w:id="1009717120">
      <w:bodyDiv w:val="1"/>
      <w:marLeft w:val="0"/>
      <w:marRight w:val="0"/>
      <w:marTop w:val="0"/>
      <w:marBottom w:val="0"/>
      <w:divBdr>
        <w:top w:val="none" w:sz="0" w:space="0" w:color="auto"/>
        <w:left w:val="none" w:sz="0" w:space="0" w:color="auto"/>
        <w:bottom w:val="none" w:sz="0" w:space="0" w:color="auto"/>
        <w:right w:val="none" w:sz="0" w:space="0" w:color="auto"/>
      </w:divBdr>
    </w:div>
    <w:div w:id="1013337344">
      <w:bodyDiv w:val="1"/>
      <w:marLeft w:val="0"/>
      <w:marRight w:val="0"/>
      <w:marTop w:val="0"/>
      <w:marBottom w:val="0"/>
      <w:divBdr>
        <w:top w:val="none" w:sz="0" w:space="0" w:color="auto"/>
        <w:left w:val="none" w:sz="0" w:space="0" w:color="auto"/>
        <w:bottom w:val="none" w:sz="0" w:space="0" w:color="auto"/>
        <w:right w:val="none" w:sz="0" w:space="0" w:color="auto"/>
      </w:divBdr>
    </w:div>
    <w:div w:id="1017268740">
      <w:bodyDiv w:val="1"/>
      <w:marLeft w:val="0"/>
      <w:marRight w:val="0"/>
      <w:marTop w:val="0"/>
      <w:marBottom w:val="0"/>
      <w:divBdr>
        <w:top w:val="none" w:sz="0" w:space="0" w:color="auto"/>
        <w:left w:val="none" w:sz="0" w:space="0" w:color="auto"/>
        <w:bottom w:val="none" w:sz="0" w:space="0" w:color="auto"/>
        <w:right w:val="none" w:sz="0" w:space="0" w:color="auto"/>
      </w:divBdr>
    </w:div>
    <w:div w:id="1019428859">
      <w:bodyDiv w:val="1"/>
      <w:marLeft w:val="0"/>
      <w:marRight w:val="0"/>
      <w:marTop w:val="0"/>
      <w:marBottom w:val="0"/>
      <w:divBdr>
        <w:top w:val="none" w:sz="0" w:space="0" w:color="auto"/>
        <w:left w:val="none" w:sz="0" w:space="0" w:color="auto"/>
        <w:bottom w:val="none" w:sz="0" w:space="0" w:color="auto"/>
        <w:right w:val="none" w:sz="0" w:space="0" w:color="auto"/>
      </w:divBdr>
    </w:div>
    <w:div w:id="1022197129">
      <w:bodyDiv w:val="1"/>
      <w:marLeft w:val="0"/>
      <w:marRight w:val="0"/>
      <w:marTop w:val="0"/>
      <w:marBottom w:val="0"/>
      <w:divBdr>
        <w:top w:val="none" w:sz="0" w:space="0" w:color="auto"/>
        <w:left w:val="none" w:sz="0" w:space="0" w:color="auto"/>
        <w:bottom w:val="none" w:sz="0" w:space="0" w:color="auto"/>
        <w:right w:val="none" w:sz="0" w:space="0" w:color="auto"/>
      </w:divBdr>
    </w:div>
    <w:div w:id="1025643292">
      <w:bodyDiv w:val="1"/>
      <w:marLeft w:val="0"/>
      <w:marRight w:val="0"/>
      <w:marTop w:val="0"/>
      <w:marBottom w:val="0"/>
      <w:divBdr>
        <w:top w:val="none" w:sz="0" w:space="0" w:color="auto"/>
        <w:left w:val="none" w:sz="0" w:space="0" w:color="auto"/>
        <w:bottom w:val="none" w:sz="0" w:space="0" w:color="auto"/>
        <w:right w:val="none" w:sz="0" w:space="0" w:color="auto"/>
      </w:divBdr>
    </w:div>
    <w:div w:id="1033573237">
      <w:bodyDiv w:val="1"/>
      <w:marLeft w:val="0"/>
      <w:marRight w:val="0"/>
      <w:marTop w:val="0"/>
      <w:marBottom w:val="0"/>
      <w:divBdr>
        <w:top w:val="none" w:sz="0" w:space="0" w:color="auto"/>
        <w:left w:val="none" w:sz="0" w:space="0" w:color="auto"/>
        <w:bottom w:val="none" w:sz="0" w:space="0" w:color="auto"/>
        <w:right w:val="none" w:sz="0" w:space="0" w:color="auto"/>
      </w:divBdr>
    </w:div>
    <w:div w:id="1033654311">
      <w:bodyDiv w:val="1"/>
      <w:marLeft w:val="0"/>
      <w:marRight w:val="0"/>
      <w:marTop w:val="0"/>
      <w:marBottom w:val="0"/>
      <w:divBdr>
        <w:top w:val="none" w:sz="0" w:space="0" w:color="auto"/>
        <w:left w:val="none" w:sz="0" w:space="0" w:color="auto"/>
        <w:bottom w:val="none" w:sz="0" w:space="0" w:color="auto"/>
        <w:right w:val="none" w:sz="0" w:space="0" w:color="auto"/>
      </w:divBdr>
    </w:div>
    <w:div w:id="1036545054">
      <w:bodyDiv w:val="1"/>
      <w:marLeft w:val="0"/>
      <w:marRight w:val="0"/>
      <w:marTop w:val="0"/>
      <w:marBottom w:val="0"/>
      <w:divBdr>
        <w:top w:val="none" w:sz="0" w:space="0" w:color="auto"/>
        <w:left w:val="none" w:sz="0" w:space="0" w:color="auto"/>
        <w:bottom w:val="none" w:sz="0" w:space="0" w:color="auto"/>
        <w:right w:val="none" w:sz="0" w:space="0" w:color="auto"/>
      </w:divBdr>
    </w:div>
    <w:div w:id="1039209324">
      <w:bodyDiv w:val="1"/>
      <w:marLeft w:val="0"/>
      <w:marRight w:val="0"/>
      <w:marTop w:val="0"/>
      <w:marBottom w:val="0"/>
      <w:divBdr>
        <w:top w:val="none" w:sz="0" w:space="0" w:color="auto"/>
        <w:left w:val="none" w:sz="0" w:space="0" w:color="auto"/>
        <w:bottom w:val="none" w:sz="0" w:space="0" w:color="auto"/>
        <w:right w:val="none" w:sz="0" w:space="0" w:color="auto"/>
      </w:divBdr>
    </w:div>
    <w:div w:id="1042679042">
      <w:bodyDiv w:val="1"/>
      <w:marLeft w:val="0"/>
      <w:marRight w:val="0"/>
      <w:marTop w:val="0"/>
      <w:marBottom w:val="0"/>
      <w:divBdr>
        <w:top w:val="none" w:sz="0" w:space="0" w:color="auto"/>
        <w:left w:val="none" w:sz="0" w:space="0" w:color="auto"/>
        <w:bottom w:val="none" w:sz="0" w:space="0" w:color="auto"/>
        <w:right w:val="none" w:sz="0" w:space="0" w:color="auto"/>
      </w:divBdr>
    </w:div>
    <w:div w:id="1043334202">
      <w:bodyDiv w:val="1"/>
      <w:marLeft w:val="0"/>
      <w:marRight w:val="0"/>
      <w:marTop w:val="0"/>
      <w:marBottom w:val="0"/>
      <w:divBdr>
        <w:top w:val="none" w:sz="0" w:space="0" w:color="auto"/>
        <w:left w:val="none" w:sz="0" w:space="0" w:color="auto"/>
        <w:bottom w:val="none" w:sz="0" w:space="0" w:color="auto"/>
        <w:right w:val="none" w:sz="0" w:space="0" w:color="auto"/>
      </w:divBdr>
    </w:div>
    <w:div w:id="1056784010">
      <w:bodyDiv w:val="1"/>
      <w:marLeft w:val="0"/>
      <w:marRight w:val="0"/>
      <w:marTop w:val="0"/>
      <w:marBottom w:val="0"/>
      <w:divBdr>
        <w:top w:val="none" w:sz="0" w:space="0" w:color="auto"/>
        <w:left w:val="none" w:sz="0" w:space="0" w:color="auto"/>
        <w:bottom w:val="none" w:sz="0" w:space="0" w:color="auto"/>
        <w:right w:val="none" w:sz="0" w:space="0" w:color="auto"/>
      </w:divBdr>
    </w:div>
    <w:div w:id="1064983318">
      <w:bodyDiv w:val="1"/>
      <w:marLeft w:val="0"/>
      <w:marRight w:val="0"/>
      <w:marTop w:val="0"/>
      <w:marBottom w:val="0"/>
      <w:divBdr>
        <w:top w:val="none" w:sz="0" w:space="0" w:color="auto"/>
        <w:left w:val="none" w:sz="0" w:space="0" w:color="auto"/>
        <w:bottom w:val="none" w:sz="0" w:space="0" w:color="auto"/>
        <w:right w:val="none" w:sz="0" w:space="0" w:color="auto"/>
      </w:divBdr>
    </w:div>
    <w:div w:id="1065639499">
      <w:bodyDiv w:val="1"/>
      <w:marLeft w:val="0"/>
      <w:marRight w:val="0"/>
      <w:marTop w:val="0"/>
      <w:marBottom w:val="0"/>
      <w:divBdr>
        <w:top w:val="none" w:sz="0" w:space="0" w:color="auto"/>
        <w:left w:val="none" w:sz="0" w:space="0" w:color="auto"/>
        <w:bottom w:val="none" w:sz="0" w:space="0" w:color="auto"/>
        <w:right w:val="none" w:sz="0" w:space="0" w:color="auto"/>
      </w:divBdr>
    </w:div>
    <w:div w:id="1069184614">
      <w:bodyDiv w:val="1"/>
      <w:marLeft w:val="0"/>
      <w:marRight w:val="0"/>
      <w:marTop w:val="0"/>
      <w:marBottom w:val="0"/>
      <w:divBdr>
        <w:top w:val="none" w:sz="0" w:space="0" w:color="auto"/>
        <w:left w:val="none" w:sz="0" w:space="0" w:color="auto"/>
        <w:bottom w:val="none" w:sz="0" w:space="0" w:color="auto"/>
        <w:right w:val="none" w:sz="0" w:space="0" w:color="auto"/>
      </w:divBdr>
    </w:div>
    <w:div w:id="1074400515">
      <w:bodyDiv w:val="1"/>
      <w:marLeft w:val="0"/>
      <w:marRight w:val="0"/>
      <w:marTop w:val="0"/>
      <w:marBottom w:val="0"/>
      <w:divBdr>
        <w:top w:val="none" w:sz="0" w:space="0" w:color="auto"/>
        <w:left w:val="none" w:sz="0" w:space="0" w:color="auto"/>
        <w:bottom w:val="none" w:sz="0" w:space="0" w:color="auto"/>
        <w:right w:val="none" w:sz="0" w:space="0" w:color="auto"/>
      </w:divBdr>
    </w:div>
    <w:div w:id="1076785912">
      <w:bodyDiv w:val="1"/>
      <w:marLeft w:val="0"/>
      <w:marRight w:val="0"/>
      <w:marTop w:val="0"/>
      <w:marBottom w:val="0"/>
      <w:divBdr>
        <w:top w:val="none" w:sz="0" w:space="0" w:color="auto"/>
        <w:left w:val="none" w:sz="0" w:space="0" w:color="auto"/>
        <w:bottom w:val="none" w:sz="0" w:space="0" w:color="auto"/>
        <w:right w:val="none" w:sz="0" w:space="0" w:color="auto"/>
      </w:divBdr>
    </w:div>
    <w:div w:id="1078552683">
      <w:bodyDiv w:val="1"/>
      <w:marLeft w:val="0"/>
      <w:marRight w:val="0"/>
      <w:marTop w:val="0"/>
      <w:marBottom w:val="0"/>
      <w:divBdr>
        <w:top w:val="none" w:sz="0" w:space="0" w:color="auto"/>
        <w:left w:val="none" w:sz="0" w:space="0" w:color="auto"/>
        <w:bottom w:val="none" w:sz="0" w:space="0" w:color="auto"/>
        <w:right w:val="none" w:sz="0" w:space="0" w:color="auto"/>
      </w:divBdr>
    </w:div>
    <w:div w:id="1082025016">
      <w:bodyDiv w:val="1"/>
      <w:marLeft w:val="0"/>
      <w:marRight w:val="0"/>
      <w:marTop w:val="0"/>
      <w:marBottom w:val="0"/>
      <w:divBdr>
        <w:top w:val="none" w:sz="0" w:space="0" w:color="auto"/>
        <w:left w:val="none" w:sz="0" w:space="0" w:color="auto"/>
        <w:bottom w:val="none" w:sz="0" w:space="0" w:color="auto"/>
        <w:right w:val="none" w:sz="0" w:space="0" w:color="auto"/>
      </w:divBdr>
    </w:div>
    <w:div w:id="1082262800">
      <w:bodyDiv w:val="1"/>
      <w:marLeft w:val="0"/>
      <w:marRight w:val="0"/>
      <w:marTop w:val="0"/>
      <w:marBottom w:val="0"/>
      <w:divBdr>
        <w:top w:val="none" w:sz="0" w:space="0" w:color="auto"/>
        <w:left w:val="none" w:sz="0" w:space="0" w:color="auto"/>
        <w:bottom w:val="none" w:sz="0" w:space="0" w:color="auto"/>
        <w:right w:val="none" w:sz="0" w:space="0" w:color="auto"/>
      </w:divBdr>
    </w:div>
    <w:div w:id="1085800917">
      <w:bodyDiv w:val="1"/>
      <w:marLeft w:val="0"/>
      <w:marRight w:val="0"/>
      <w:marTop w:val="0"/>
      <w:marBottom w:val="0"/>
      <w:divBdr>
        <w:top w:val="none" w:sz="0" w:space="0" w:color="auto"/>
        <w:left w:val="none" w:sz="0" w:space="0" w:color="auto"/>
        <w:bottom w:val="none" w:sz="0" w:space="0" w:color="auto"/>
        <w:right w:val="none" w:sz="0" w:space="0" w:color="auto"/>
      </w:divBdr>
    </w:div>
    <w:div w:id="1092697953">
      <w:bodyDiv w:val="1"/>
      <w:marLeft w:val="0"/>
      <w:marRight w:val="0"/>
      <w:marTop w:val="0"/>
      <w:marBottom w:val="0"/>
      <w:divBdr>
        <w:top w:val="none" w:sz="0" w:space="0" w:color="auto"/>
        <w:left w:val="none" w:sz="0" w:space="0" w:color="auto"/>
        <w:bottom w:val="none" w:sz="0" w:space="0" w:color="auto"/>
        <w:right w:val="none" w:sz="0" w:space="0" w:color="auto"/>
      </w:divBdr>
    </w:div>
    <w:div w:id="1094745248">
      <w:bodyDiv w:val="1"/>
      <w:marLeft w:val="0"/>
      <w:marRight w:val="0"/>
      <w:marTop w:val="0"/>
      <w:marBottom w:val="0"/>
      <w:divBdr>
        <w:top w:val="none" w:sz="0" w:space="0" w:color="auto"/>
        <w:left w:val="none" w:sz="0" w:space="0" w:color="auto"/>
        <w:bottom w:val="none" w:sz="0" w:space="0" w:color="auto"/>
        <w:right w:val="none" w:sz="0" w:space="0" w:color="auto"/>
      </w:divBdr>
    </w:div>
    <w:div w:id="1098676999">
      <w:bodyDiv w:val="1"/>
      <w:marLeft w:val="0"/>
      <w:marRight w:val="0"/>
      <w:marTop w:val="0"/>
      <w:marBottom w:val="0"/>
      <w:divBdr>
        <w:top w:val="none" w:sz="0" w:space="0" w:color="auto"/>
        <w:left w:val="none" w:sz="0" w:space="0" w:color="auto"/>
        <w:bottom w:val="none" w:sz="0" w:space="0" w:color="auto"/>
        <w:right w:val="none" w:sz="0" w:space="0" w:color="auto"/>
      </w:divBdr>
    </w:div>
    <w:div w:id="1105273175">
      <w:bodyDiv w:val="1"/>
      <w:marLeft w:val="0"/>
      <w:marRight w:val="0"/>
      <w:marTop w:val="0"/>
      <w:marBottom w:val="0"/>
      <w:divBdr>
        <w:top w:val="none" w:sz="0" w:space="0" w:color="auto"/>
        <w:left w:val="none" w:sz="0" w:space="0" w:color="auto"/>
        <w:bottom w:val="none" w:sz="0" w:space="0" w:color="auto"/>
        <w:right w:val="none" w:sz="0" w:space="0" w:color="auto"/>
      </w:divBdr>
    </w:div>
    <w:div w:id="1108046166">
      <w:bodyDiv w:val="1"/>
      <w:marLeft w:val="0"/>
      <w:marRight w:val="0"/>
      <w:marTop w:val="0"/>
      <w:marBottom w:val="0"/>
      <w:divBdr>
        <w:top w:val="none" w:sz="0" w:space="0" w:color="auto"/>
        <w:left w:val="none" w:sz="0" w:space="0" w:color="auto"/>
        <w:bottom w:val="none" w:sz="0" w:space="0" w:color="auto"/>
        <w:right w:val="none" w:sz="0" w:space="0" w:color="auto"/>
      </w:divBdr>
    </w:div>
    <w:div w:id="1108429925">
      <w:bodyDiv w:val="1"/>
      <w:marLeft w:val="0"/>
      <w:marRight w:val="0"/>
      <w:marTop w:val="0"/>
      <w:marBottom w:val="0"/>
      <w:divBdr>
        <w:top w:val="none" w:sz="0" w:space="0" w:color="auto"/>
        <w:left w:val="none" w:sz="0" w:space="0" w:color="auto"/>
        <w:bottom w:val="none" w:sz="0" w:space="0" w:color="auto"/>
        <w:right w:val="none" w:sz="0" w:space="0" w:color="auto"/>
      </w:divBdr>
    </w:div>
    <w:div w:id="1108744586">
      <w:bodyDiv w:val="1"/>
      <w:marLeft w:val="0"/>
      <w:marRight w:val="0"/>
      <w:marTop w:val="0"/>
      <w:marBottom w:val="0"/>
      <w:divBdr>
        <w:top w:val="none" w:sz="0" w:space="0" w:color="auto"/>
        <w:left w:val="none" w:sz="0" w:space="0" w:color="auto"/>
        <w:bottom w:val="none" w:sz="0" w:space="0" w:color="auto"/>
        <w:right w:val="none" w:sz="0" w:space="0" w:color="auto"/>
      </w:divBdr>
    </w:div>
    <w:div w:id="1120148402">
      <w:bodyDiv w:val="1"/>
      <w:marLeft w:val="0"/>
      <w:marRight w:val="0"/>
      <w:marTop w:val="0"/>
      <w:marBottom w:val="0"/>
      <w:divBdr>
        <w:top w:val="none" w:sz="0" w:space="0" w:color="auto"/>
        <w:left w:val="none" w:sz="0" w:space="0" w:color="auto"/>
        <w:bottom w:val="none" w:sz="0" w:space="0" w:color="auto"/>
        <w:right w:val="none" w:sz="0" w:space="0" w:color="auto"/>
      </w:divBdr>
    </w:div>
    <w:div w:id="1120342474">
      <w:bodyDiv w:val="1"/>
      <w:marLeft w:val="0"/>
      <w:marRight w:val="0"/>
      <w:marTop w:val="0"/>
      <w:marBottom w:val="0"/>
      <w:divBdr>
        <w:top w:val="none" w:sz="0" w:space="0" w:color="auto"/>
        <w:left w:val="none" w:sz="0" w:space="0" w:color="auto"/>
        <w:bottom w:val="none" w:sz="0" w:space="0" w:color="auto"/>
        <w:right w:val="none" w:sz="0" w:space="0" w:color="auto"/>
      </w:divBdr>
    </w:div>
    <w:div w:id="1127775107">
      <w:bodyDiv w:val="1"/>
      <w:marLeft w:val="0"/>
      <w:marRight w:val="0"/>
      <w:marTop w:val="0"/>
      <w:marBottom w:val="0"/>
      <w:divBdr>
        <w:top w:val="none" w:sz="0" w:space="0" w:color="auto"/>
        <w:left w:val="none" w:sz="0" w:space="0" w:color="auto"/>
        <w:bottom w:val="none" w:sz="0" w:space="0" w:color="auto"/>
        <w:right w:val="none" w:sz="0" w:space="0" w:color="auto"/>
      </w:divBdr>
    </w:div>
    <w:div w:id="1133402670">
      <w:bodyDiv w:val="1"/>
      <w:marLeft w:val="0"/>
      <w:marRight w:val="0"/>
      <w:marTop w:val="0"/>
      <w:marBottom w:val="0"/>
      <w:divBdr>
        <w:top w:val="none" w:sz="0" w:space="0" w:color="auto"/>
        <w:left w:val="none" w:sz="0" w:space="0" w:color="auto"/>
        <w:bottom w:val="none" w:sz="0" w:space="0" w:color="auto"/>
        <w:right w:val="none" w:sz="0" w:space="0" w:color="auto"/>
      </w:divBdr>
    </w:div>
    <w:div w:id="1136987900">
      <w:bodyDiv w:val="1"/>
      <w:marLeft w:val="0"/>
      <w:marRight w:val="0"/>
      <w:marTop w:val="0"/>
      <w:marBottom w:val="0"/>
      <w:divBdr>
        <w:top w:val="none" w:sz="0" w:space="0" w:color="auto"/>
        <w:left w:val="none" w:sz="0" w:space="0" w:color="auto"/>
        <w:bottom w:val="none" w:sz="0" w:space="0" w:color="auto"/>
        <w:right w:val="none" w:sz="0" w:space="0" w:color="auto"/>
      </w:divBdr>
    </w:div>
    <w:div w:id="1137796376">
      <w:bodyDiv w:val="1"/>
      <w:marLeft w:val="0"/>
      <w:marRight w:val="0"/>
      <w:marTop w:val="0"/>
      <w:marBottom w:val="0"/>
      <w:divBdr>
        <w:top w:val="none" w:sz="0" w:space="0" w:color="auto"/>
        <w:left w:val="none" w:sz="0" w:space="0" w:color="auto"/>
        <w:bottom w:val="none" w:sz="0" w:space="0" w:color="auto"/>
        <w:right w:val="none" w:sz="0" w:space="0" w:color="auto"/>
      </w:divBdr>
    </w:div>
    <w:div w:id="1138257023">
      <w:bodyDiv w:val="1"/>
      <w:marLeft w:val="0"/>
      <w:marRight w:val="0"/>
      <w:marTop w:val="0"/>
      <w:marBottom w:val="0"/>
      <w:divBdr>
        <w:top w:val="none" w:sz="0" w:space="0" w:color="auto"/>
        <w:left w:val="none" w:sz="0" w:space="0" w:color="auto"/>
        <w:bottom w:val="none" w:sz="0" w:space="0" w:color="auto"/>
        <w:right w:val="none" w:sz="0" w:space="0" w:color="auto"/>
      </w:divBdr>
    </w:div>
    <w:div w:id="1142432213">
      <w:bodyDiv w:val="1"/>
      <w:marLeft w:val="0"/>
      <w:marRight w:val="0"/>
      <w:marTop w:val="0"/>
      <w:marBottom w:val="0"/>
      <w:divBdr>
        <w:top w:val="none" w:sz="0" w:space="0" w:color="auto"/>
        <w:left w:val="none" w:sz="0" w:space="0" w:color="auto"/>
        <w:bottom w:val="none" w:sz="0" w:space="0" w:color="auto"/>
        <w:right w:val="none" w:sz="0" w:space="0" w:color="auto"/>
      </w:divBdr>
    </w:div>
    <w:div w:id="1148665032">
      <w:bodyDiv w:val="1"/>
      <w:marLeft w:val="0"/>
      <w:marRight w:val="0"/>
      <w:marTop w:val="0"/>
      <w:marBottom w:val="0"/>
      <w:divBdr>
        <w:top w:val="none" w:sz="0" w:space="0" w:color="auto"/>
        <w:left w:val="none" w:sz="0" w:space="0" w:color="auto"/>
        <w:bottom w:val="none" w:sz="0" w:space="0" w:color="auto"/>
        <w:right w:val="none" w:sz="0" w:space="0" w:color="auto"/>
      </w:divBdr>
    </w:div>
    <w:div w:id="1151020453">
      <w:bodyDiv w:val="1"/>
      <w:marLeft w:val="0"/>
      <w:marRight w:val="0"/>
      <w:marTop w:val="0"/>
      <w:marBottom w:val="0"/>
      <w:divBdr>
        <w:top w:val="none" w:sz="0" w:space="0" w:color="auto"/>
        <w:left w:val="none" w:sz="0" w:space="0" w:color="auto"/>
        <w:bottom w:val="none" w:sz="0" w:space="0" w:color="auto"/>
        <w:right w:val="none" w:sz="0" w:space="0" w:color="auto"/>
      </w:divBdr>
    </w:div>
    <w:div w:id="1151558310">
      <w:bodyDiv w:val="1"/>
      <w:marLeft w:val="0"/>
      <w:marRight w:val="0"/>
      <w:marTop w:val="0"/>
      <w:marBottom w:val="0"/>
      <w:divBdr>
        <w:top w:val="none" w:sz="0" w:space="0" w:color="auto"/>
        <w:left w:val="none" w:sz="0" w:space="0" w:color="auto"/>
        <w:bottom w:val="none" w:sz="0" w:space="0" w:color="auto"/>
        <w:right w:val="none" w:sz="0" w:space="0" w:color="auto"/>
      </w:divBdr>
    </w:div>
    <w:div w:id="1151825245">
      <w:bodyDiv w:val="1"/>
      <w:marLeft w:val="0"/>
      <w:marRight w:val="0"/>
      <w:marTop w:val="0"/>
      <w:marBottom w:val="0"/>
      <w:divBdr>
        <w:top w:val="none" w:sz="0" w:space="0" w:color="auto"/>
        <w:left w:val="none" w:sz="0" w:space="0" w:color="auto"/>
        <w:bottom w:val="none" w:sz="0" w:space="0" w:color="auto"/>
        <w:right w:val="none" w:sz="0" w:space="0" w:color="auto"/>
      </w:divBdr>
    </w:div>
    <w:div w:id="1154838698">
      <w:bodyDiv w:val="1"/>
      <w:marLeft w:val="0"/>
      <w:marRight w:val="0"/>
      <w:marTop w:val="0"/>
      <w:marBottom w:val="0"/>
      <w:divBdr>
        <w:top w:val="none" w:sz="0" w:space="0" w:color="auto"/>
        <w:left w:val="none" w:sz="0" w:space="0" w:color="auto"/>
        <w:bottom w:val="none" w:sz="0" w:space="0" w:color="auto"/>
        <w:right w:val="none" w:sz="0" w:space="0" w:color="auto"/>
      </w:divBdr>
    </w:div>
    <w:div w:id="1156797101">
      <w:bodyDiv w:val="1"/>
      <w:marLeft w:val="0"/>
      <w:marRight w:val="0"/>
      <w:marTop w:val="0"/>
      <w:marBottom w:val="0"/>
      <w:divBdr>
        <w:top w:val="none" w:sz="0" w:space="0" w:color="auto"/>
        <w:left w:val="none" w:sz="0" w:space="0" w:color="auto"/>
        <w:bottom w:val="none" w:sz="0" w:space="0" w:color="auto"/>
        <w:right w:val="none" w:sz="0" w:space="0" w:color="auto"/>
      </w:divBdr>
    </w:div>
    <w:div w:id="1156992354">
      <w:bodyDiv w:val="1"/>
      <w:marLeft w:val="0"/>
      <w:marRight w:val="0"/>
      <w:marTop w:val="0"/>
      <w:marBottom w:val="0"/>
      <w:divBdr>
        <w:top w:val="none" w:sz="0" w:space="0" w:color="auto"/>
        <w:left w:val="none" w:sz="0" w:space="0" w:color="auto"/>
        <w:bottom w:val="none" w:sz="0" w:space="0" w:color="auto"/>
        <w:right w:val="none" w:sz="0" w:space="0" w:color="auto"/>
      </w:divBdr>
    </w:div>
    <w:div w:id="1159535177">
      <w:bodyDiv w:val="1"/>
      <w:marLeft w:val="0"/>
      <w:marRight w:val="0"/>
      <w:marTop w:val="0"/>
      <w:marBottom w:val="0"/>
      <w:divBdr>
        <w:top w:val="none" w:sz="0" w:space="0" w:color="auto"/>
        <w:left w:val="none" w:sz="0" w:space="0" w:color="auto"/>
        <w:bottom w:val="none" w:sz="0" w:space="0" w:color="auto"/>
        <w:right w:val="none" w:sz="0" w:space="0" w:color="auto"/>
      </w:divBdr>
    </w:div>
    <w:div w:id="1160922909">
      <w:bodyDiv w:val="1"/>
      <w:marLeft w:val="0"/>
      <w:marRight w:val="0"/>
      <w:marTop w:val="0"/>
      <w:marBottom w:val="0"/>
      <w:divBdr>
        <w:top w:val="none" w:sz="0" w:space="0" w:color="auto"/>
        <w:left w:val="none" w:sz="0" w:space="0" w:color="auto"/>
        <w:bottom w:val="none" w:sz="0" w:space="0" w:color="auto"/>
        <w:right w:val="none" w:sz="0" w:space="0" w:color="auto"/>
      </w:divBdr>
    </w:div>
    <w:div w:id="1163006628">
      <w:bodyDiv w:val="1"/>
      <w:marLeft w:val="0"/>
      <w:marRight w:val="0"/>
      <w:marTop w:val="0"/>
      <w:marBottom w:val="0"/>
      <w:divBdr>
        <w:top w:val="none" w:sz="0" w:space="0" w:color="auto"/>
        <w:left w:val="none" w:sz="0" w:space="0" w:color="auto"/>
        <w:bottom w:val="none" w:sz="0" w:space="0" w:color="auto"/>
        <w:right w:val="none" w:sz="0" w:space="0" w:color="auto"/>
      </w:divBdr>
    </w:div>
    <w:div w:id="1163742166">
      <w:bodyDiv w:val="1"/>
      <w:marLeft w:val="0"/>
      <w:marRight w:val="0"/>
      <w:marTop w:val="0"/>
      <w:marBottom w:val="0"/>
      <w:divBdr>
        <w:top w:val="none" w:sz="0" w:space="0" w:color="auto"/>
        <w:left w:val="none" w:sz="0" w:space="0" w:color="auto"/>
        <w:bottom w:val="none" w:sz="0" w:space="0" w:color="auto"/>
        <w:right w:val="none" w:sz="0" w:space="0" w:color="auto"/>
      </w:divBdr>
    </w:div>
    <w:div w:id="1164590126">
      <w:bodyDiv w:val="1"/>
      <w:marLeft w:val="0"/>
      <w:marRight w:val="0"/>
      <w:marTop w:val="0"/>
      <w:marBottom w:val="0"/>
      <w:divBdr>
        <w:top w:val="none" w:sz="0" w:space="0" w:color="auto"/>
        <w:left w:val="none" w:sz="0" w:space="0" w:color="auto"/>
        <w:bottom w:val="none" w:sz="0" w:space="0" w:color="auto"/>
        <w:right w:val="none" w:sz="0" w:space="0" w:color="auto"/>
      </w:divBdr>
    </w:div>
    <w:div w:id="1171531969">
      <w:bodyDiv w:val="1"/>
      <w:marLeft w:val="0"/>
      <w:marRight w:val="0"/>
      <w:marTop w:val="0"/>
      <w:marBottom w:val="0"/>
      <w:divBdr>
        <w:top w:val="none" w:sz="0" w:space="0" w:color="auto"/>
        <w:left w:val="none" w:sz="0" w:space="0" w:color="auto"/>
        <w:bottom w:val="none" w:sz="0" w:space="0" w:color="auto"/>
        <w:right w:val="none" w:sz="0" w:space="0" w:color="auto"/>
      </w:divBdr>
    </w:div>
    <w:div w:id="1173185383">
      <w:bodyDiv w:val="1"/>
      <w:marLeft w:val="0"/>
      <w:marRight w:val="0"/>
      <w:marTop w:val="0"/>
      <w:marBottom w:val="0"/>
      <w:divBdr>
        <w:top w:val="none" w:sz="0" w:space="0" w:color="auto"/>
        <w:left w:val="none" w:sz="0" w:space="0" w:color="auto"/>
        <w:bottom w:val="none" w:sz="0" w:space="0" w:color="auto"/>
        <w:right w:val="none" w:sz="0" w:space="0" w:color="auto"/>
      </w:divBdr>
    </w:div>
    <w:div w:id="1174346552">
      <w:bodyDiv w:val="1"/>
      <w:marLeft w:val="0"/>
      <w:marRight w:val="0"/>
      <w:marTop w:val="0"/>
      <w:marBottom w:val="0"/>
      <w:divBdr>
        <w:top w:val="none" w:sz="0" w:space="0" w:color="auto"/>
        <w:left w:val="none" w:sz="0" w:space="0" w:color="auto"/>
        <w:bottom w:val="none" w:sz="0" w:space="0" w:color="auto"/>
        <w:right w:val="none" w:sz="0" w:space="0" w:color="auto"/>
      </w:divBdr>
    </w:div>
    <w:div w:id="1179271368">
      <w:bodyDiv w:val="1"/>
      <w:marLeft w:val="0"/>
      <w:marRight w:val="0"/>
      <w:marTop w:val="0"/>
      <w:marBottom w:val="0"/>
      <w:divBdr>
        <w:top w:val="none" w:sz="0" w:space="0" w:color="auto"/>
        <w:left w:val="none" w:sz="0" w:space="0" w:color="auto"/>
        <w:bottom w:val="none" w:sz="0" w:space="0" w:color="auto"/>
        <w:right w:val="none" w:sz="0" w:space="0" w:color="auto"/>
      </w:divBdr>
    </w:div>
    <w:div w:id="1181433352">
      <w:bodyDiv w:val="1"/>
      <w:marLeft w:val="0"/>
      <w:marRight w:val="0"/>
      <w:marTop w:val="0"/>
      <w:marBottom w:val="0"/>
      <w:divBdr>
        <w:top w:val="none" w:sz="0" w:space="0" w:color="auto"/>
        <w:left w:val="none" w:sz="0" w:space="0" w:color="auto"/>
        <w:bottom w:val="none" w:sz="0" w:space="0" w:color="auto"/>
        <w:right w:val="none" w:sz="0" w:space="0" w:color="auto"/>
      </w:divBdr>
    </w:div>
    <w:div w:id="1187864096">
      <w:bodyDiv w:val="1"/>
      <w:marLeft w:val="0"/>
      <w:marRight w:val="0"/>
      <w:marTop w:val="0"/>
      <w:marBottom w:val="0"/>
      <w:divBdr>
        <w:top w:val="none" w:sz="0" w:space="0" w:color="auto"/>
        <w:left w:val="none" w:sz="0" w:space="0" w:color="auto"/>
        <w:bottom w:val="none" w:sz="0" w:space="0" w:color="auto"/>
        <w:right w:val="none" w:sz="0" w:space="0" w:color="auto"/>
      </w:divBdr>
    </w:div>
    <w:div w:id="1188906341">
      <w:bodyDiv w:val="1"/>
      <w:marLeft w:val="0"/>
      <w:marRight w:val="0"/>
      <w:marTop w:val="0"/>
      <w:marBottom w:val="0"/>
      <w:divBdr>
        <w:top w:val="none" w:sz="0" w:space="0" w:color="auto"/>
        <w:left w:val="none" w:sz="0" w:space="0" w:color="auto"/>
        <w:bottom w:val="none" w:sz="0" w:space="0" w:color="auto"/>
        <w:right w:val="none" w:sz="0" w:space="0" w:color="auto"/>
      </w:divBdr>
    </w:div>
    <w:div w:id="1189413674">
      <w:bodyDiv w:val="1"/>
      <w:marLeft w:val="0"/>
      <w:marRight w:val="0"/>
      <w:marTop w:val="0"/>
      <w:marBottom w:val="0"/>
      <w:divBdr>
        <w:top w:val="none" w:sz="0" w:space="0" w:color="auto"/>
        <w:left w:val="none" w:sz="0" w:space="0" w:color="auto"/>
        <w:bottom w:val="none" w:sz="0" w:space="0" w:color="auto"/>
        <w:right w:val="none" w:sz="0" w:space="0" w:color="auto"/>
      </w:divBdr>
    </w:div>
    <w:div w:id="1189442044">
      <w:bodyDiv w:val="1"/>
      <w:marLeft w:val="0"/>
      <w:marRight w:val="0"/>
      <w:marTop w:val="0"/>
      <w:marBottom w:val="0"/>
      <w:divBdr>
        <w:top w:val="none" w:sz="0" w:space="0" w:color="auto"/>
        <w:left w:val="none" w:sz="0" w:space="0" w:color="auto"/>
        <w:bottom w:val="none" w:sz="0" w:space="0" w:color="auto"/>
        <w:right w:val="none" w:sz="0" w:space="0" w:color="auto"/>
      </w:divBdr>
    </w:div>
    <w:div w:id="1192913848">
      <w:bodyDiv w:val="1"/>
      <w:marLeft w:val="0"/>
      <w:marRight w:val="0"/>
      <w:marTop w:val="0"/>
      <w:marBottom w:val="0"/>
      <w:divBdr>
        <w:top w:val="none" w:sz="0" w:space="0" w:color="auto"/>
        <w:left w:val="none" w:sz="0" w:space="0" w:color="auto"/>
        <w:bottom w:val="none" w:sz="0" w:space="0" w:color="auto"/>
        <w:right w:val="none" w:sz="0" w:space="0" w:color="auto"/>
      </w:divBdr>
    </w:div>
    <w:div w:id="1193879470">
      <w:bodyDiv w:val="1"/>
      <w:marLeft w:val="0"/>
      <w:marRight w:val="0"/>
      <w:marTop w:val="0"/>
      <w:marBottom w:val="0"/>
      <w:divBdr>
        <w:top w:val="none" w:sz="0" w:space="0" w:color="auto"/>
        <w:left w:val="none" w:sz="0" w:space="0" w:color="auto"/>
        <w:bottom w:val="none" w:sz="0" w:space="0" w:color="auto"/>
        <w:right w:val="none" w:sz="0" w:space="0" w:color="auto"/>
      </w:divBdr>
    </w:div>
    <w:div w:id="1197695216">
      <w:bodyDiv w:val="1"/>
      <w:marLeft w:val="0"/>
      <w:marRight w:val="0"/>
      <w:marTop w:val="0"/>
      <w:marBottom w:val="0"/>
      <w:divBdr>
        <w:top w:val="none" w:sz="0" w:space="0" w:color="auto"/>
        <w:left w:val="none" w:sz="0" w:space="0" w:color="auto"/>
        <w:bottom w:val="none" w:sz="0" w:space="0" w:color="auto"/>
        <w:right w:val="none" w:sz="0" w:space="0" w:color="auto"/>
      </w:divBdr>
    </w:div>
    <w:div w:id="1200245981">
      <w:bodyDiv w:val="1"/>
      <w:marLeft w:val="0"/>
      <w:marRight w:val="0"/>
      <w:marTop w:val="0"/>
      <w:marBottom w:val="0"/>
      <w:divBdr>
        <w:top w:val="none" w:sz="0" w:space="0" w:color="auto"/>
        <w:left w:val="none" w:sz="0" w:space="0" w:color="auto"/>
        <w:bottom w:val="none" w:sz="0" w:space="0" w:color="auto"/>
        <w:right w:val="none" w:sz="0" w:space="0" w:color="auto"/>
      </w:divBdr>
    </w:div>
    <w:div w:id="1204561191">
      <w:bodyDiv w:val="1"/>
      <w:marLeft w:val="0"/>
      <w:marRight w:val="0"/>
      <w:marTop w:val="0"/>
      <w:marBottom w:val="0"/>
      <w:divBdr>
        <w:top w:val="none" w:sz="0" w:space="0" w:color="auto"/>
        <w:left w:val="none" w:sz="0" w:space="0" w:color="auto"/>
        <w:bottom w:val="none" w:sz="0" w:space="0" w:color="auto"/>
        <w:right w:val="none" w:sz="0" w:space="0" w:color="auto"/>
      </w:divBdr>
    </w:div>
    <w:div w:id="1206023996">
      <w:bodyDiv w:val="1"/>
      <w:marLeft w:val="0"/>
      <w:marRight w:val="0"/>
      <w:marTop w:val="0"/>
      <w:marBottom w:val="0"/>
      <w:divBdr>
        <w:top w:val="none" w:sz="0" w:space="0" w:color="auto"/>
        <w:left w:val="none" w:sz="0" w:space="0" w:color="auto"/>
        <w:bottom w:val="none" w:sz="0" w:space="0" w:color="auto"/>
        <w:right w:val="none" w:sz="0" w:space="0" w:color="auto"/>
      </w:divBdr>
    </w:div>
    <w:div w:id="1209342254">
      <w:bodyDiv w:val="1"/>
      <w:marLeft w:val="0"/>
      <w:marRight w:val="0"/>
      <w:marTop w:val="0"/>
      <w:marBottom w:val="0"/>
      <w:divBdr>
        <w:top w:val="none" w:sz="0" w:space="0" w:color="auto"/>
        <w:left w:val="none" w:sz="0" w:space="0" w:color="auto"/>
        <w:bottom w:val="none" w:sz="0" w:space="0" w:color="auto"/>
        <w:right w:val="none" w:sz="0" w:space="0" w:color="auto"/>
      </w:divBdr>
    </w:div>
    <w:div w:id="1211921731">
      <w:bodyDiv w:val="1"/>
      <w:marLeft w:val="0"/>
      <w:marRight w:val="0"/>
      <w:marTop w:val="0"/>
      <w:marBottom w:val="0"/>
      <w:divBdr>
        <w:top w:val="none" w:sz="0" w:space="0" w:color="auto"/>
        <w:left w:val="none" w:sz="0" w:space="0" w:color="auto"/>
        <w:bottom w:val="none" w:sz="0" w:space="0" w:color="auto"/>
        <w:right w:val="none" w:sz="0" w:space="0" w:color="auto"/>
      </w:divBdr>
    </w:div>
    <w:div w:id="1213268352">
      <w:bodyDiv w:val="1"/>
      <w:marLeft w:val="0"/>
      <w:marRight w:val="0"/>
      <w:marTop w:val="0"/>
      <w:marBottom w:val="0"/>
      <w:divBdr>
        <w:top w:val="none" w:sz="0" w:space="0" w:color="auto"/>
        <w:left w:val="none" w:sz="0" w:space="0" w:color="auto"/>
        <w:bottom w:val="none" w:sz="0" w:space="0" w:color="auto"/>
        <w:right w:val="none" w:sz="0" w:space="0" w:color="auto"/>
      </w:divBdr>
    </w:div>
    <w:div w:id="1214930610">
      <w:bodyDiv w:val="1"/>
      <w:marLeft w:val="0"/>
      <w:marRight w:val="0"/>
      <w:marTop w:val="0"/>
      <w:marBottom w:val="0"/>
      <w:divBdr>
        <w:top w:val="none" w:sz="0" w:space="0" w:color="auto"/>
        <w:left w:val="none" w:sz="0" w:space="0" w:color="auto"/>
        <w:bottom w:val="none" w:sz="0" w:space="0" w:color="auto"/>
        <w:right w:val="none" w:sz="0" w:space="0" w:color="auto"/>
      </w:divBdr>
    </w:div>
    <w:div w:id="1215892006">
      <w:bodyDiv w:val="1"/>
      <w:marLeft w:val="0"/>
      <w:marRight w:val="0"/>
      <w:marTop w:val="0"/>
      <w:marBottom w:val="0"/>
      <w:divBdr>
        <w:top w:val="none" w:sz="0" w:space="0" w:color="auto"/>
        <w:left w:val="none" w:sz="0" w:space="0" w:color="auto"/>
        <w:bottom w:val="none" w:sz="0" w:space="0" w:color="auto"/>
        <w:right w:val="none" w:sz="0" w:space="0" w:color="auto"/>
      </w:divBdr>
    </w:div>
    <w:div w:id="1217232256">
      <w:bodyDiv w:val="1"/>
      <w:marLeft w:val="0"/>
      <w:marRight w:val="0"/>
      <w:marTop w:val="0"/>
      <w:marBottom w:val="0"/>
      <w:divBdr>
        <w:top w:val="none" w:sz="0" w:space="0" w:color="auto"/>
        <w:left w:val="none" w:sz="0" w:space="0" w:color="auto"/>
        <w:bottom w:val="none" w:sz="0" w:space="0" w:color="auto"/>
        <w:right w:val="none" w:sz="0" w:space="0" w:color="auto"/>
      </w:divBdr>
    </w:div>
    <w:div w:id="1217276665">
      <w:bodyDiv w:val="1"/>
      <w:marLeft w:val="0"/>
      <w:marRight w:val="0"/>
      <w:marTop w:val="0"/>
      <w:marBottom w:val="0"/>
      <w:divBdr>
        <w:top w:val="none" w:sz="0" w:space="0" w:color="auto"/>
        <w:left w:val="none" w:sz="0" w:space="0" w:color="auto"/>
        <w:bottom w:val="none" w:sz="0" w:space="0" w:color="auto"/>
        <w:right w:val="none" w:sz="0" w:space="0" w:color="auto"/>
      </w:divBdr>
    </w:div>
    <w:div w:id="1217358251">
      <w:bodyDiv w:val="1"/>
      <w:marLeft w:val="0"/>
      <w:marRight w:val="0"/>
      <w:marTop w:val="0"/>
      <w:marBottom w:val="0"/>
      <w:divBdr>
        <w:top w:val="none" w:sz="0" w:space="0" w:color="auto"/>
        <w:left w:val="none" w:sz="0" w:space="0" w:color="auto"/>
        <w:bottom w:val="none" w:sz="0" w:space="0" w:color="auto"/>
        <w:right w:val="none" w:sz="0" w:space="0" w:color="auto"/>
      </w:divBdr>
    </w:div>
    <w:div w:id="1220048505">
      <w:bodyDiv w:val="1"/>
      <w:marLeft w:val="0"/>
      <w:marRight w:val="0"/>
      <w:marTop w:val="0"/>
      <w:marBottom w:val="0"/>
      <w:divBdr>
        <w:top w:val="none" w:sz="0" w:space="0" w:color="auto"/>
        <w:left w:val="none" w:sz="0" w:space="0" w:color="auto"/>
        <w:bottom w:val="none" w:sz="0" w:space="0" w:color="auto"/>
        <w:right w:val="none" w:sz="0" w:space="0" w:color="auto"/>
      </w:divBdr>
    </w:div>
    <w:div w:id="1223492223">
      <w:bodyDiv w:val="1"/>
      <w:marLeft w:val="0"/>
      <w:marRight w:val="0"/>
      <w:marTop w:val="0"/>
      <w:marBottom w:val="0"/>
      <w:divBdr>
        <w:top w:val="none" w:sz="0" w:space="0" w:color="auto"/>
        <w:left w:val="none" w:sz="0" w:space="0" w:color="auto"/>
        <w:bottom w:val="none" w:sz="0" w:space="0" w:color="auto"/>
        <w:right w:val="none" w:sz="0" w:space="0" w:color="auto"/>
      </w:divBdr>
    </w:div>
    <w:div w:id="1226180906">
      <w:bodyDiv w:val="1"/>
      <w:marLeft w:val="0"/>
      <w:marRight w:val="0"/>
      <w:marTop w:val="0"/>
      <w:marBottom w:val="0"/>
      <w:divBdr>
        <w:top w:val="none" w:sz="0" w:space="0" w:color="auto"/>
        <w:left w:val="none" w:sz="0" w:space="0" w:color="auto"/>
        <w:bottom w:val="none" w:sz="0" w:space="0" w:color="auto"/>
        <w:right w:val="none" w:sz="0" w:space="0" w:color="auto"/>
      </w:divBdr>
    </w:div>
    <w:div w:id="1231497358">
      <w:bodyDiv w:val="1"/>
      <w:marLeft w:val="0"/>
      <w:marRight w:val="0"/>
      <w:marTop w:val="0"/>
      <w:marBottom w:val="0"/>
      <w:divBdr>
        <w:top w:val="none" w:sz="0" w:space="0" w:color="auto"/>
        <w:left w:val="none" w:sz="0" w:space="0" w:color="auto"/>
        <w:bottom w:val="none" w:sz="0" w:space="0" w:color="auto"/>
        <w:right w:val="none" w:sz="0" w:space="0" w:color="auto"/>
      </w:divBdr>
    </w:div>
    <w:div w:id="1233007509">
      <w:bodyDiv w:val="1"/>
      <w:marLeft w:val="0"/>
      <w:marRight w:val="0"/>
      <w:marTop w:val="0"/>
      <w:marBottom w:val="0"/>
      <w:divBdr>
        <w:top w:val="none" w:sz="0" w:space="0" w:color="auto"/>
        <w:left w:val="none" w:sz="0" w:space="0" w:color="auto"/>
        <w:bottom w:val="none" w:sz="0" w:space="0" w:color="auto"/>
        <w:right w:val="none" w:sz="0" w:space="0" w:color="auto"/>
      </w:divBdr>
    </w:div>
    <w:div w:id="1234900427">
      <w:bodyDiv w:val="1"/>
      <w:marLeft w:val="0"/>
      <w:marRight w:val="0"/>
      <w:marTop w:val="0"/>
      <w:marBottom w:val="0"/>
      <w:divBdr>
        <w:top w:val="none" w:sz="0" w:space="0" w:color="auto"/>
        <w:left w:val="none" w:sz="0" w:space="0" w:color="auto"/>
        <w:bottom w:val="none" w:sz="0" w:space="0" w:color="auto"/>
        <w:right w:val="none" w:sz="0" w:space="0" w:color="auto"/>
      </w:divBdr>
    </w:div>
    <w:div w:id="1236820041">
      <w:bodyDiv w:val="1"/>
      <w:marLeft w:val="0"/>
      <w:marRight w:val="0"/>
      <w:marTop w:val="0"/>
      <w:marBottom w:val="0"/>
      <w:divBdr>
        <w:top w:val="none" w:sz="0" w:space="0" w:color="auto"/>
        <w:left w:val="none" w:sz="0" w:space="0" w:color="auto"/>
        <w:bottom w:val="none" w:sz="0" w:space="0" w:color="auto"/>
        <w:right w:val="none" w:sz="0" w:space="0" w:color="auto"/>
      </w:divBdr>
    </w:div>
    <w:div w:id="1240092600">
      <w:bodyDiv w:val="1"/>
      <w:marLeft w:val="0"/>
      <w:marRight w:val="0"/>
      <w:marTop w:val="0"/>
      <w:marBottom w:val="0"/>
      <w:divBdr>
        <w:top w:val="none" w:sz="0" w:space="0" w:color="auto"/>
        <w:left w:val="none" w:sz="0" w:space="0" w:color="auto"/>
        <w:bottom w:val="none" w:sz="0" w:space="0" w:color="auto"/>
        <w:right w:val="none" w:sz="0" w:space="0" w:color="auto"/>
      </w:divBdr>
    </w:div>
    <w:div w:id="1241796132">
      <w:bodyDiv w:val="1"/>
      <w:marLeft w:val="0"/>
      <w:marRight w:val="0"/>
      <w:marTop w:val="0"/>
      <w:marBottom w:val="0"/>
      <w:divBdr>
        <w:top w:val="none" w:sz="0" w:space="0" w:color="auto"/>
        <w:left w:val="none" w:sz="0" w:space="0" w:color="auto"/>
        <w:bottom w:val="none" w:sz="0" w:space="0" w:color="auto"/>
        <w:right w:val="none" w:sz="0" w:space="0" w:color="auto"/>
      </w:divBdr>
    </w:div>
    <w:div w:id="1243367789">
      <w:bodyDiv w:val="1"/>
      <w:marLeft w:val="0"/>
      <w:marRight w:val="0"/>
      <w:marTop w:val="0"/>
      <w:marBottom w:val="0"/>
      <w:divBdr>
        <w:top w:val="none" w:sz="0" w:space="0" w:color="auto"/>
        <w:left w:val="none" w:sz="0" w:space="0" w:color="auto"/>
        <w:bottom w:val="none" w:sz="0" w:space="0" w:color="auto"/>
        <w:right w:val="none" w:sz="0" w:space="0" w:color="auto"/>
      </w:divBdr>
    </w:div>
    <w:div w:id="1247689527">
      <w:bodyDiv w:val="1"/>
      <w:marLeft w:val="0"/>
      <w:marRight w:val="0"/>
      <w:marTop w:val="0"/>
      <w:marBottom w:val="0"/>
      <w:divBdr>
        <w:top w:val="none" w:sz="0" w:space="0" w:color="auto"/>
        <w:left w:val="none" w:sz="0" w:space="0" w:color="auto"/>
        <w:bottom w:val="none" w:sz="0" w:space="0" w:color="auto"/>
        <w:right w:val="none" w:sz="0" w:space="0" w:color="auto"/>
      </w:divBdr>
    </w:div>
    <w:div w:id="1250313309">
      <w:bodyDiv w:val="1"/>
      <w:marLeft w:val="0"/>
      <w:marRight w:val="0"/>
      <w:marTop w:val="0"/>
      <w:marBottom w:val="0"/>
      <w:divBdr>
        <w:top w:val="none" w:sz="0" w:space="0" w:color="auto"/>
        <w:left w:val="none" w:sz="0" w:space="0" w:color="auto"/>
        <w:bottom w:val="none" w:sz="0" w:space="0" w:color="auto"/>
        <w:right w:val="none" w:sz="0" w:space="0" w:color="auto"/>
      </w:divBdr>
    </w:div>
    <w:div w:id="1256205237">
      <w:bodyDiv w:val="1"/>
      <w:marLeft w:val="0"/>
      <w:marRight w:val="0"/>
      <w:marTop w:val="0"/>
      <w:marBottom w:val="0"/>
      <w:divBdr>
        <w:top w:val="none" w:sz="0" w:space="0" w:color="auto"/>
        <w:left w:val="none" w:sz="0" w:space="0" w:color="auto"/>
        <w:bottom w:val="none" w:sz="0" w:space="0" w:color="auto"/>
        <w:right w:val="none" w:sz="0" w:space="0" w:color="auto"/>
      </w:divBdr>
    </w:div>
    <w:div w:id="1257208437">
      <w:bodyDiv w:val="1"/>
      <w:marLeft w:val="0"/>
      <w:marRight w:val="0"/>
      <w:marTop w:val="0"/>
      <w:marBottom w:val="0"/>
      <w:divBdr>
        <w:top w:val="none" w:sz="0" w:space="0" w:color="auto"/>
        <w:left w:val="none" w:sz="0" w:space="0" w:color="auto"/>
        <w:bottom w:val="none" w:sz="0" w:space="0" w:color="auto"/>
        <w:right w:val="none" w:sz="0" w:space="0" w:color="auto"/>
      </w:divBdr>
    </w:div>
    <w:div w:id="1258749965">
      <w:bodyDiv w:val="1"/>
      <w:marLeft w:val="0"/>
      <w:marRight w:val="0"/>
      <w:marTop w:val="0"/>
      <w:marBottom w:val="0"/>
      <w:divBdr>
        <w:top w:val="none" w:sz="0" w:space="0" w:color="auto"/>
        <w:left w:val="none" w:sz="0" w:space="0" w:color="auto"/>
        <w:bottom w:val="none" w:sz="0" w:space="0" w:color="auto"/>
        <w:right w:val="none" w:sz="0" w:space="0" w:color="auto"/>
      </w:divBdr>
    </w:div>
    <w:div w:id="1259679020">
      <w:bodyDiv w:val="1"/>
      <w:marLeft w:val="0"/>
      <w:marRight w:val="0"/>
      <w:marTop w:val="0"/>
      <w:marBottom w:val="0"/>
      <w:divBdr>
        <w:top w:val="none" w:sz="0" w:space="0" w:color="auto"/>
        <w:left w:val="none" w:sz="0" w:space="0" w:color="auto"/>
        <w:bottom w:val="none" w:sz="0" w:space="0" w:color="auto"/>
        <w:right w:val="none" w:sz="0" w:space="0" w:color="auto"/>
      </w:divBdr>
      <w:divsChild>
        <w:div w:id="1223558443">
          <w:marLeft w:val="0"/>
          <w:marRight w:val="0"/>
          <w:marTop w:val="0"/>
          <w:marBottom w:val="0"/>
          <w:divBdr>
            <w:top w:val="none" w:sz="0" w:space="0" w:color="auto"/>
            <w:left w:val="none" w:sz="0" w:space="0" w:color="auto"/>
            <w:bottom w:val="none" w:sz="0" w:space="0" w:color="auto"/>
            <w:right w:val="none" w:sz="0" w:space="0" w:color="auto"/>
          </w:divBdr>
        </w:div>
      </w:divsChild>
    </w:div>
    <w:div w:id="1259951541">
      <w:bodyDiv w:val="1"/>
      <w:marLeft w:val="0"/>
      <w:marRight w:val="0"/>
      <w:marTop w:val="0"/>
      <w:marBottom w:val="0"/>
      <w:divBdr>
        <w:top w:val="none" w:sz="0" w:space="0" w:color="auto"/>
        <w:left w:val="none" w:sz="0" w:space="0" w:color="auto"/>
        <w:bottom w:val="none" w:sz="0" w:space="0" w:color="auto"/>
        <w:right w:val="none" w:sz="0" w:space="0" w:color="auto"/>
      </w:divBdr>
    </w:div>
    <w:div w:id="1260135588">
      <w:bodyDiv w:val="1"/>
      <w:marLeft w:val="0"/>
      <w:marRight w:val="0"/>
      <w:marTop w:val="0"/>
      <w:marBottom w:val="0"/>
      <w:divBdr>
        <w:top w:val="none" w:sz="0" w:space="0" w:color="auto"/>
        <w:left w:val="none" w:sz="0" w:space="0" w:color="auto"/>
        <w:bottom w:val="none" w:sz="0" w:space="0" w:color="auto"/>
        <w:right w:val="none" w:sz="0" w:space="0" w:color="auto"/>
      </w:divBdr>
    </w:div>
    <w:div w:id="1261064155">
      <w:bodyDiv w:val="1"/>
      <w:marLeft w:val="0"/>
      <w:marRight w:val="0"/>
      <w:marTop w:val="0"/>
      <w:marBottom w:val="0"/>
      <w:divBdr>
        <w:top w:val="none" w:sz="0" w:space="0" w:color="auto"/>
        <w:left w:val="none" w:sz="0" w:space="0" w:color="auto"/>
        <w:bottom w:val="none" w:sz="0" w:space="0" w:color="auto"/>
        <w:right w:val="none" w:sz="0" w:space="0" w:color="auto"/>
      </w:divBdr>
    </w:div>
    <w:div w:id="1261916935">
      <w:bodyDiv w:val="1"/>
      <w:marLeft w:val="0"/>
      <w:marRight w:val="0"/>
      <w:marTop w:val="0"/>
      <w:marBottom w:val="0"/>
      <w:divBdr>
        <w:top w:val="none" w:sz="0" w:space="0" w:color="auto"/>
        <w:left w:val="none" w:sz="0" w:space="0" w:color="auto"/>
        <w:bottom w:val="none" w:sz="0" w:space="0" w:color="auto"/>
        <w:right w:val="none" w:sz="0" w:space="0" w:color="auto"/>
      </w:divBdr>
    </w:div>
    <w:div w:id="1266573244">
      <w:bodyDiv w:val="1"/>
      <w:marLeft w:val="0"/>
      <w:marRight w:val="0"/>
      <w:marTop w:val="0"/>
      <w:marBottom w:val="0"/>
      <w:divBdr>
        <w:top w:val="none" w:sz="0" w:space="0" w:color="auto"/>
        <w:left w:val="none" w:sz="0" w:space="0" w:color="auto"/>
        <w:bottom w:val="none" w:sz="0" w:space="0" w:color="auto"/>
        <w:right w:val="none" w:sz="0" w:space="0" w:color="auto"/>
      </w:divBdr>
    </w:div>
    <w:div w:id="1270046806">
      <w:bodyDiv w:val="1"/>
      <w:marLeft w:val="0"/>
      <w:marRight w:val="0"/>
      <w:marTop w:val="0"/>
      <w:marBottom w:val="0"/>
      <w:divBdr>
        <w:top w:val="none" w:sz="0" w:space="0" w:color="auto"/>
        <w:left w:val="none" w:sz="0" w:space="0" w:color="auto"/>
        <w:bottom w:val="none" w:sz="0" w:space="0" w:color="auto"/>
        <w:right w:val="none" w:sz="0" w:space="0" w:color="auto"/>
      </w:divBdr>
    </w:div>
    <w:div w:id="1274753372">
      <w:bodyDiv w:val="1"/>
      <w:marLeft w:val="0"/>
      <w:marRight w:val="0"/>
      <w:marTop w:val="0"/>
      <w:marBottom w:val="0"/>
      <w:divBdr>
        <w:top w:val="none" w:sz="0" w:space="0" w:color="auto"/>
        <w:left w:val="none" w:sz="0" w:space="0" w:color="auto"/>
        <w:bottom w:val="none" w:sz="0" w:space="0" w:color="auto"/>
        <w:right w:val="none" w:sz="0" w:space="0" w:color="auto"/>
      </w:divBdr>
    </w:div>
    <w:div w:id="1276593170">
      <w:bodyDiv w:val="1"/>
      <w:marLeft w:val="0"/>
      <w:marRight w:val="0"/>
      <w:marTop w:val="0"/>
      <w:marBottom w:val="0"/>
      <w:divBdr>
        <w:top w:val="none" w:sz="0" w:space="0" w:color="auto"/>
        <w:left w:val="none" w:sz="0" w:space="0" w:color="auto"/>
        <w:bottom w:val="none" w:sz="0" w:space="0" w:color="auto"/>
        <w:right w:val="none" w:sz="0" w:space="0" w:color="auto"/>
      </w:divBdr>
    </w:div>
    <w:div w:id="1288123987">
      <w:bodyDiv w:val="1"/>
      <w:marLeft w:val="0"/>
      <w:marRight w:val="0"/>
      <w:marTop w:val="0"/>
      <w:marBottom w:val="0"/>
      <w:divBdr>
        <w:top w:val="none" w:sz="0" w:space="0" w:color="auto"/>
        <w:left w:val="none" w:sz="0" w:space="0" w:color="auto"/>
        <w:bottom w:val="none" w:sz="0" w:space="0" w:color="auto"/>
        <w:right w:val="none" w:sz="0" w:space="0" w:color="auto"/>
      </w:divBdr>
    </w:div>
    <w:div w:id="1293823796">
      <w:bodyDiv w:val="1"/>
      <w:marLeft w:val="0"/>
      <w:marRight w:val="0"/>
      <w:marTop w:val="0"/>
      <w:marBottom w:val="0"/>
      <w:divBdr>
        <w:top w:val="none" w:sz="0" w:space="0" w:color="auto"/>
        <w:left w:val="none" w:sz="0" w:space="0" w:color="auto"/>
        <w:bottom w:val="none" w:sz="0" w:space="0" w:color="auto"/>
        <w:right w:val="none" w:sz="0" w:space="0" w:color="auto"/>
      </w:divBdr>
    </w:div>
    <w:div w:id="1297678954">
      <w:bodyDiv w:val="1"/>
      <w:marLeft w:val="0"/>
      <w:marRight w:val="0"/>
      <w:marTop w:val="0"/>
      <w:marBottom w:val="0"/>
      <w:divBdr>
        <w:top w:val="none" w:sz="0" w:space="0" w:color="auto"/>
        <w:left w:val="none" w:sz="0" w:space="0" w:color="auto"/>
        <w:bottom w:val="none" w:sz="0" w:space="0" w:color="auto"/>
        <w:right w:val="none" w:sz="0" w:space="0" w:color="auto"/>
      </w:divBdr>
    </w:div>
    <w:div w:id="1298611334">
      <w:bodyDiv w:val="1"/>
      <w:marLeft w:val="0"/>
      <w:marRight w:val="0"/>
      <w:marTop w:val="0"/>
      <w:marBottom w:val="0"/>
      <w:divBdr>
        <w:top w:val="none" w:sz="0" w:space="0" w:color="auto"/>
        <w:left w:val="none" w:sz="0" w:space="0" w:color="auto"/>
        <w:bottom w:val="none" w:sz="0" w:space="0" w:color="auto"/>
        <w:right w:val="none" w:sz="0" w:space="0" w:color="auto"/>
      </w:divBdr>
    </w:div>
    <w:div w:id="1303197626">
      <w:bodyDiv w:val="1"/>
      <w:marLeft w:val="0"/>
      <w:marRight w:val="0"/>
      <w:marTop w:val="0"/>
      <w:marBottom w:val="0"/>
      <w:divBdr>
        <w:top w:val="none" w:sz="0" w:space="0" w:color="auto"/>
        <w:left w:val="none" w:sz="0" w:space="0" w:color="auto"/>
        <w:bottom w:val="none" w:sz="0" w:space="0" w:color="auto"/>
        <w:right w:val="none" w:sz="0" w:space="0" w:color="auto"/>
      </w:divBdr>
    </w:div>
    <w:div w:id="1308317170">
      <w:bodyDiv w:val="1"/>
      <w:marLeft w:val="0"/>
      <w:marRight w:val="0"/>
      <w:marTop w:val="0"/>
      <w:marBottom w:val="0"/>
      <w:divBdr>
        <w:top w:val="none" w:sz="0" w:space="0" w:color="auto"/>
        <w:left w:val="none" w:sz="0" w:space="0" w:color="auto"/>
        <w:bottom w:val="none" w:sz="0" w:space="0" w:color="auto"/>
        <w:right w:val="none" w:sz="0" w:space="0" w:color="auto"/>
      </w:divBdr>
    </w:div>
    <w:div w:id="1316835176">
      <w:bodyDiv w:val="1"/>
      <w:marLeft w:val="0"/>
      <w:marRight w:val="0"/>
      <w:marTop w:val="0"/>
      <w:marBottom w:val="0"/>
      <w:divBdr>
        <w:top w:val="none" w:sz="0" w:space="0" w:color="auto"/>
        <w:left w:val="none" w:sz="0" w:space="0" w:color="auto"/>
        <w:bottom w:val="none" w:sz="0" w:space="0" w:color="auto"/>
        <w:right w:val="none" w:sz="0" w:space="0" w:color="auto"/>
      </w:divBdr>
    </w:div>
    <w:div w:id="1318653943">
      <w:bodyDiv w:val="1"/>
      <w:marLeft w:val="0"/>
      <w:marRight w:val="0"/>
      <w:marTop w:val="0"/>
      <w:marBottom w:val="0"/>
      <w:divBdr>
        <w:top w:val="none" w:sz="0" w:space="0" w:color="auto"/>
        <w:left w:val="none" w:sz="0" w:space="0" w:color="auto"/>
        <w:bottom w:val="none" w:sz="0" w:space="0" w:color="auto"/>
        <w:right w:val="none" w:sz="0" w:space="0" w:color="auto"/>
      </w:divBdr>
    </w:div>
    <w:div w:id="1323124698">
      <w:bodyDiv w:val="1"/>
      <w:marLeft w:val="0"/>
      <w:marRight w:val="0"/>
      <w:marTop w:val="0"/>
      <w:marBottom w:val="0"/>
      <w:divBdr>
        <w:top w:val="none" w:sz="0" w:space="0" w:color="auto"/>
        <w:left w:val="none" w:sz="0" w:space="0" w:color="auto"/>
        <w:bottom w:val="none" w:sz="0" w:space="0" w:color="auto"/>
        <w:right w:val="none" w:sz="0" w:space="0" w:color="auto"/>
      </w:divBdr>
    </w:div>
    <w:div w:id="1325816301">
      <w:bodyDiv w:val="1"/>
      <w:marLeft w:val="0"/>
      <w:marRight w:val="0"/>
      <w:marTop w:val="0"/>
      <w:marBottom w:val="0"/>
      <w:divBdr>
        <w:top w:val="none" w:sz="0" w:space="0" w:color="auto"/>
        <w:left w:val="none" w:sz="0" w:space="0" w:color="auto"/>
        <w:bottom w:val="none" w:sz="0" w:space="0" w:color="auto"/>
        <w:right w:val="none" w:sz="0" w:space="0" w:color="auto"/>
      </w:divBdr>
    </w:div>
    <w:div w:id="1329867795">
      <w:bodyDiv w:val="1"/>
      <w:marLeft w:val="0"/>
      <w:marRight w:val="0"/>
      <w:marTop w:val="0"/>
      <w:marBottom w:val="0"/>
      <w:divBdr>
        <w:top w:val="none" w:sz="0" w:space="0" w:color="auto"/>
        <w:left w:val="none" w:sz="0" w:space="0" w:color="auto"/>
        <w:bottom w:val="none" w:sz="0" w:space="0" w:color="auto"/>
        <w:right w:val="none" w:sz="0" w:space="0" w:color="auto"/>
      </w:divBdr>
    </w:div>
    <w:div w:id="1329870913">
      <w:bodyDiv w:val="1"/>
      <w:marLeft w:val="0"/>
      <w:marRight w:val="0"/>
      <w:marTop w:val="0"/>
      <w:marBottom w:val="0"/>
      <w:divBdr>
        <w:top w:val="none" w:sz="0" w:space="0" w:color="auto"/>
        <w:left w:val="none" w:sz="0" w:space="0" w:color="auto"/>
        <w:bottom w:val="none" w:sz="0" w:space="0" w:color="auto"/>
        <w:right w:val="none" w:sz="0" w:space="0" w:color="auto"/>
      </w:divBdr>
    </w:div>
    <w:div w:id="1331642128">
      <w:bodyDiv w:val="1"/>
      <w:marLeft w:val="0"/>
      <w:marRight w:val="0"/>
      <w:marTop w:val="0"/>
      <w:marBottom w:val="0"/>
      <w:divBdr>
        <w:top w:val="none" w:sz="0" w:space="0" w:color="auto"/>
        <w:left w:val="none" w:sz="0" w:space="0" w:color="auto"/>
        <w:bottom w:val="none" w:sz="0" w:space="0" w:color="auto"/>
        <w:right w:val="none" w:sz="0" w:space="0" w:color="auto"/>
      </w:divBdr>
    </w:div>
    <w:div w:id="1336107073">
      <w:bodyDiv w:val="1"/>
      <w:marLeft w:val="0"/>
      <w:marRight w:val="0"/>
      <w:marTop w:val="0"/>
      <w:marBottom w:val="0"/>
      <w:divBdr>
        <w:top w:val="none" w:sz="0" w:space="0" w:color="auto"/>
        <w:left w:val="none" w:sz="0" w:space="0" w:color="auto"/>
        <w:bottom w:val="none" w:sz="0" w:space="0" w:color="auto"/>
        <w:right w:val="none" w:sz="0" w:space="0" w:color="auto"/>
      </w:divBdr>
    </w:div>
    <w:div w:id="1338849041">
      <w:bodyDiv w:val="1"/>
      <w:marLeft w:val="0"/>
      <w:marRight w:val="0"/>
      <w:marTop w:val="0"/>
      <w:marBottom w:val="0"/>
      <w:divBdr>
        <w:top w:val="none" w:sz="0" w:space="0" w:color="auto"/>
        <w:left w:val="none" w:sz="0" w:space="0" w:color="auto"/>
        <w:bottom w:val="none" w:sz="0" w:space="0" w:color="auto"/>
        <w:right w:val="none" w:sz="0" w:space="0" w:color="auto"/>
      </w:divBdr>
    </w:div>
    <w:div w:id="1342852486">
      <w:bodyDiv w:val="1"/>
      <w:marLeft w:val="0"/>
      <w:marRight w:val="0"/>
      <w:marTop w:val="0"/>
      <w:marBottom w:val="0"/>
      <w:divBdr>
        <w:top w:val="none" w:sz="0" w:space="0" w:color="auto"/>
        <w:left w:val="none" w:sz="0" w:space="0" w:color="auto"/>
        <w:bottom w:val="none" w:sz="0" w:space="0" w:color="auto"/>
        <w:right w:val="none" w:sz="0" w:space="0" w:color="auto"/>
      </w:divBdr>
    </w:div>
    <w:div w:id="1346176729">
      <w:bodyDiv w:val="1"/>
      <w:marLeft w:val="0"/>
      <w:marRight w:val="0"/>
      <w:marTop w:val="0"/>
      <w:marBottom w:val="0"/>
      <w:divBdr>
        <w:top w:val="none" w:sz="0" w:space="0" w:color="auto"/>
        <w:left w:val="none" w:sz="0" w:space="0" w:color="auto"/>
        <w:bottom w:val="none" w:sz="0" w:space="0" w:color="auto"/>
        <w:right w:val="none" w:sz="0" w:space="0" w:color="auto"/>
      </w:divBdr>
    </w:div>
    <w:div w:id="1346975013">
      <w:bodyDiv w:val="1"/>
      <w:marLeft w:val="0"/>
      <w:marRight w:val="0"/>
      <w:marTop w:val="0"/>
      <w:marBottom w:val="0"/>
      <w:divBdr>
        <w:top w:val="none" w:sz="0" w:space="0" w:color="auto"/>
        <w:left w:val="none" w:sz="0" w:space="0" w:color="auto"/>
        <w:bottom w:val="none" w:sz="0" w:space="0" w:color="auto"/>
        <w:right w:val="none" w:sz="0" w:space="0" w:color="auto"/>
      </w:divBdr>
    </w:div>
    <w:div w:id="1348630015">
      <w:bodyDiv w:val="1"/>
      <w:marLeft w:val="0"/>
      <w:marRight w:val="0"/>
      <w:marTop w:val="0"/>
      <w:marBottom w:val="0"/>
      <w:divBdr>
        <w:top w:val="none" w:sz="0" w:space="0" w:color="auto"/>
        <w:left w:val="none" w:sz="0" w:space="0" w:color="auto"/>
        <w:bottom w:val="none" w:sz="0" w:space="0" w:color="auto"/>
        <w:right w:val="none" w:sz="0" w:space="0" w:color="auto"/>
      </w:divBdr>
    </w:div>
    <w:div w:id="1353847196">
      <w:bodyDiv w:val="1"/>
      <w:marLeft w:val="0"/>
      <w:marRight w:val="0"/>
      <w:marTop w:val="0"/>
      <w:marBottom w:val="0"/>
      <w:divBdr>
        <w:top w:val="none" w:sz="0" w:space="0" w:color="auto"/>
        <w:left w:val="none" w:sz="0" w:space="0" w:color="auto"/>
        <w:bottom w:val="none" w:sz="0" w:space="0" w:color="auto"/>
        <w:right w:val="none" w:sz="0" w:space="0" w:color="auto"/>
      </w:divBdr>
    </w:div>
    <w:div w:id="1355234278">
      <w:bodyDiv w:val="1"/>
      <w:marLeft w:val="0"/>
      <w:marRight w:val="0"/>
      <w:marTop w:val="0"/>
      <w:marBottom w:val="0"/>
      <w:divBdr>
        <w:top w:val="none" w:sz="0" w:space="0" w:color="auto"/>
        <w:left w:val="none" w:sz="0" w:space="0" w:color="auto"/>
        <w:bottom w:val="none" w:sz="0" w:space="0" w:color="auto"/>
        <w:right w:val="none" w:sz="0" w:space="0" w:color="auto"/>
      </w:divBdr>
    </w:div>
    <w:div w:id="1358770148">
      <w:bodyDiv w:val="1"/>
      <w:marLeft w:val="0"/>
      <w:marRight w:val="0"/>
      <w:marTop w:val="0"/>
      <w:marBottom w:val="0"/>
      <w:divBdr>
        <w:top w:val="none" w:sz="0" w:space="0" w:color="auto"/>
        <w:left w:val="none" w:sz="0" w:space="0" w:color="auto"/>
        <w:bottom w:val="none" w:sz="0" w:space="0" w:color="auto"/>
        <w:right w:val="none" w:sz="0" w:space="0" w:color="auto"/>
      </w:divBdr>
    </w:div>
    <w:div w:id="1359969785">
      <w:bodyDiv w:val="1"/>
      <w:marLeft w:val="0"/>
      <w:marRight w:val="0"/>
      <w:marTop w:val="0"/>
      <w:marBottom w:val="0"/>
      <w:divBdr>
        <w:top w:val="none" w:sz="0" w:space="0" w:color="auto"/>
        <w:left w:val="none" w:sz="0" w:space="0" w:color="auto"/>
        <w:bottom w:val="none" w:sz="0" w:space="0" w:color="auto"/>
        <w:right w:val="none" w:sz="0" w:space="0" w:color="auto"/>
      </w:divBdr>
    </w:div>
    <w:div w:id="1367020939">
      <w:bodyDiv w:val="1"/>
      <w:marLeft w:val="0"/>
      <w:marRight w:val="0"/>
      <w:marTop w:val="0"/>
      <w:marBottom w:val="0"/>
      <w:divBdr>
        <w:top w:val="none" w:sz="0" w:space="0" w:color="auto"/>
        <w:left w:val="none" w:sz="0" w:space="0" w:color="auto"/>
        <w:bottom w:val="none" w:sz="0" w:space="0" w:color="auto"/>
        <w:right w:val="none" w:sz="0" w:space="0" w:color="auto"/>
      </w:divBdr>
    </w:div>
    <w:div w:id="1368414950">
      <w:bodyDiv w:val="1"/>
      <w:marLeft w:val="0"/>
      <w:marRight w:val="0"/>
      <w:marTop w:val="0"/>
      <w:marBottom w:val="0"/>
      <w:divBdr>
        <w:top w:val="none" w:sz="0" w:space="0" w:color="auto"/>
        <w:left w:val="none" w:sz="0" w:space="0" w:color="auto"/>
        <w:bottom w:val="none" w:sz="0" w:space="0" w:color="auto"/>
        <w:right w:val="none" w:sz="0" w:space="0" w:color="auto"/>
      </w:divBdr>
    </w:div>
    <w:div w:id="1371757053">
      <w:bodyDiv w:val="1"/>
      <w:marLeft w:val="0"/>
      <w:marRight w:val="0"/>
      <w:marTop w:val="0"/>
      <w:marBottom w:val="0"/>
      <w:divBdr>
        <w:top w:val="none" w:sz="0" w:space="0" w:color="auto"/>
        <w:left w:val="none" w:sz="0" w:space="0" w:color="auto"/>
        <w:bottom w:val="none" w:sz="0" w:space="0" w:color="auto"/>
        <w:right w:val="none" w:sz="0" w:space="0" w:color="auto"/>
      </w:divBdr>
    </w:div>
    <w:div w:id="1372799836">
      <w:bodyDiv w:val="1"/>
      <w:marLeft w:val="0"/>
      <w:marRight w:val="0"/>
      <w:marTop w:val="0"/>
      <w:marBottom w:val="0"/>
      <w:divBdr>
        <w:top w:val="none" w:sz="0" w:space="0" w:color="auto"/>
        <w:left w:val="none" w:sz="0" w:space="0" w:color="auto"/>
        <w:bottom w:val="none" w:sz="0" w:space="0" w:color="auto"/>
        <w:right w:val="none" w:sz="0" w:space="0" w:color="auto"/>
      </w:divBdr>
    </w:div>
    <w:div w:id="1377074533">
      <w:bodyDiv w:val="1"/>
      <w:marLeft w:val="0"/>
      <w:marRight w:val="0"/>
      <w:marTop w:val="0"/>
      <w:marBottom w:val="0"/>
      <w:divBdr>
        <w:top w:val="none" w:sz="0" w:space="0" w:color="auto"/>
        <w:left w:val="none" w:sz="0" w:space="0" w:color="auto"/>
        <w:bottom w:val="none" w:sz="0" w:space="0" w:color="auto"/>
        <w:right w:val="none" w:sz="0" w:space="0" w:color="auto"/>
      </w:divBdr>
    </w:div>
    <w:div w:id="1378243132">
      <w:bodyDiv w:val="1"/>
      <w:marLeft w:val="0"/>
      <w:marRight w:val="0"/>
      <w:marTop w:val="0"/>
      <w:marBottom w:val="0"/>
      <w:divBdr>
        <w:top w:val="none" w:sz="0" w:space="0" w:color="auto"/>
        <w:left w:val="none" w:sz="0" w:space="0" w:color="auto"/>
        <w:bottom w:val="none" w:sz="0" w:space="0" w:color="auto"/>
        <w:right w:val="none" w:sz="0" w:space="0" w:color="auto"/>
      </w:divBdr>
    </w:div>
    <w:div w:id="1379283531">
      <w:bodyDiv w:val="1"/>
      <w:marLeft w:val="0"/>
      <w:marRight w:val="0"/>
      <w:marTop w:val="0"/>
      <w:marBottom w:val="0"/>
      <w:divBdr>
        <w:top w:val="none" w:sz="0" w:space="0" w:color="auto"/>
        <w:left w:val="none" w:sz="0" w:space="0" w:color="auto"/>
        <w:bottom w:val="none" w:sz="0" w:space="0" w:color="auto"/>
        <w:right w:val="none" w:sz="0" w:space="0" w:color="auto"/>
      </w:divBdr>
    </w:div>
    <w:div w:id="1380396170">
      <w:bodyDiv w:val="1"/>
      <w:marLeft w:val="0"/>
      <w:marRight w:val="0"/>
      <w:marTop w:val="0"/>
      <w:marBottom w:val="0"/>
      <w:divBdr>
        <w:top w:val="none" w:sz="0" w:space="0" w:color="auto"/>
        <w:left w:val="none" w:sz="0" w:space="0" w:color="auto"/>
        <w:bottom w:val="none" w:sz="0" w:space="0" w:color="auto"/>
        <w:right w:val="none" w:sz="0" w:space="0" w:color="auto"/>
      </w:divBdr>
    </w:div>
    <w:div w:id="1384138998">
      <w:bodyDiv w:val="1"/>
      <w:marLeft w:val="0"/>
      <w:marRight w:val="0"/>
      <w:marTop w:val="0"/>
      <w:marBottom w:val="0"/>
      <w:divBdr>
        <w:top w:val="none" w:sz="0" w:space="0" w:color="auto"/>
        <w:left w:val="none" w:sz="0" w:space="0" w:color="auto"/>
        <w:bottom w:val="none" w:sz="0" w:space="0" w:color="auto"/>
        <w:right w:val="none" w:sz="0" w:space="0" w:color="auto"/>
      </w:divBdr>
    </w:div>
    <w:div w:id="1385759040">
      <w:bodyDiv w:val="1"/>
      <w:marLeft w:val="0"/>
      <w:marRight w:val="0"/>
      <w:marTop w:val="0"/>
      <w:marBottom w:val="0"/>
      <w:divBdr>
        <w:top w:val="none" w:sz="0" w:space="0" w:color="auto"/>
        <w:left w:val="none" w:sz="0" w:space="0" w:color="auto"/>
        <w:bottom w:val="none" w:sz="0" w:space="0" w:color="auto"/>
        <w:right w:val="none" w:sz="0" w:space="0" w:color="auto"/>
      </w:divBdr>
    </w:div>
    <w:div w:id="1386442800">
      <w:bodyDiv w:val="1"/>
      <w:marLeft w:val="0"/>
      <w:marRight w:val="0"/>
      <w:marTop w:val="0"/>
      <w:marBottom w:val="0"/>
      <w:divBdr>
        <w:top w:val="none" w:sz="0" w:space="0" w:color="auto"/>
        <w:left w:val="none" w:sz="0" w:space="0" w:color="auto"/>
        <w:bottom w:val="none" w:sz="0" w:space="0" w:color="auto"/>
        <w:right w:val="none" w:sz="0" w:space="0" w:color="auto"/>
      </w:divBdr>
    </w:div>
    <w:div w:id="1387409900">
      <w:bodyDiv w:val="1"/>
      <w:marLeft w:val="0"/>
      <w:marRight w:val="0"/>
      <w:marTop w:val="0"/>
      <w:marBottom w:val="0"/>
      <w:divBdr>
        <w:top w:val="none" w:sz="0" w:space="0" w:color="auto"/>
        <w:left w:val="none" w:sz="0" w:space="0" w:color="auto"/>
        <w:bottom w:val="none" w:sz="0" w:space="0" w:color="auto"/>
        <w:right w:val="none" w:sz="0" w:space="0" w:color="auto"/>
      </w:divBdr>
    </w:div>
    <w:div w:id="1397238973">
      <w:bodyDiv w:val="1"/>
      <w:marLeft w:val="0"/>
      <w:marRight w:val="0"/>
      <w:marTop w:val="0"/>
      <w:marBottom w:val="0"/>
      <w:divBdr>
        <w:top w:val="none" w:sz="0" w:space="0" w:color="auto"/>
        <w:left w:val="none" w:sz="0" w:space="0" w:color="auto"/>
        <w:bottom w:val="none" w:sz="0" w:space="0" w:color="auto"/>
        <w:right w:val="none" w:sz="0" w:space="0" w:color="auto"/>
      </w:divBdr>
    </w:div>
    <w:div w:id="1399938229">
      <w:bodyDiv w:val="1"/>
      <w:marLeft w:val="0"/>
      <w:marRight w:val="0"/>
      <w:marTop w:val="0"/>
      <w:marBottom w:val="0"/>
      <w:divBdr>
        <w:top w:val="none" w:sz="0" w:space="0" w:color="auto"/>
        <w:left w:val="none" w:sz="0" w:space="0" w:color="auto"/>
        <w:bottom w:val="none" w:sz="0" w:space="0" w:color="auto"/>
        <w:right w:val="none" w:sz="0" w:space="0" w:color="auto"/>
      </w:divBdr>
    </w:div>
    <w:div w:id="1402941726">
      <w:bodyDiv w:val="1"/>
      <w:marLeft w:val="0"/>
      <w:marRight w:val="0"/>
      <w:marTop w:val="0"/>
      <w:marBottom w:val="0"/>
      <w:divBdr>
        <w:top w:val="none" w:sz="0" w:space="0" w:color="auto"/>
        <w:left w:val="none" w:sz="0" w:space="0" w:color="auto"/>
        <w:bottom w:val="none" w:sz="0" w:space="0" w:color="auto"/>
        <w:right w:val="none" w:sz="0" w:space="0" w:color="auto"/>
      </w:divBdr>
    </w:div>
    <w:div w:id="1405907948">
      <w:bodyDiv w:val="1"/>
      <w:marLeft w:val="0"/>
      <w:marRight w:val="0"/>
      <w:marTop w:val="0"/>
      <w:marBottom w:val="0"/>
      <w:divBdr>
        <w:top w:val="none" w:sz="0" w:space="0" w:color="auto"/>
        <w:left w:val="none" w:sz="0" w:space="0" w:color="auto"/>
        <w:bottom w:val="none" w:sz="0" w:space="0" w:color="auto"/>
        <w:right w:val="none" w:sz="0" w:space="0" w:color="auto"/>
      </w:divBdr>
    </w:div>
    <w:div w:id="1411082171">
      <w:bodyDiv w:val="1"/>
      <w:marLeft w:val="0"/>
      <w:marRight w:val="0"/>
      <w:marTop w:val="0"/>
      <w:marBottom w:val="0"/>
      <w:divBdr>
        <w:top w:val="none" w:sz="0" w:space="0" w:color="auto"/>
        <w:left w:val="none" w:sz="0" w:space="0" w:color="auto"/>
        <w:bottom w:val="none" w:sz="0" w:space="0" w:color="auto"/>
        <w:right w:val="none" w:sz="0" w:space="0" w:color="auto"/>
      </w:divBdr>
    </w:div>
    <w:div w:id="1412852305">
      <w:bodyDiv w:val="1"/>
      <w:marLeft w:val="0"/>
      <w:marRight w:val="0"/>
      <w:marTop w:val="0"/>
      <w:marBottom w:val="0"/>
      <w:divBdr>
        <w:top w:val="none" w:sz="0" w:space="0" w:color="auto"/>
        <w:left w:val="none" w:sz="0" w:space="0" w:color="auto"/>
        <w:bottom w:val="none" w:sz="0" w:space="0" w:color="auto"/>
        <w:right w:val="none" w:sz="0" w:space="0" w:color="auto"/>
      </w:divBdr>
    </w:div>
    <w:div w:id="1413164448">
      <w:bodyDiv w:val="1"/>
      <w:marLeft w:val="0"/>
      <w:marRight w:val="0"/>
      <w:marTop w:val="0"/>
      <w:marBottom w:val="0"/>
      <w:divBdr>
        <w:top w:val="none" w:sz="0" w:space="0" w:color="auto"/>
        <w:left w:val="none" w:sz="0" w:space="0" w:color="auto"/>
        <w:bottom w:val="none" w:sz="0" w:space="0" w:color="auto"/>
        <w:right w:val="none" w:sz="0" w:space="0" w:color="auto"/>
      </w:divBdr>
    </w:div>
    <w:div w:id="1413700240">
      <w:bodyDiv w:val="1"/>
      <w:marLeft w:val="0"/>
      <w:marRight w:val="0"/>
      <w:marTop w:val="0"/>
      <w:marBottom w:val="0"/>
      <w:divBdr>
        <w:top w:val="none" w:sz="0" w:space="0" w:color="auto"/>
        <w:left w:val="none" w:sz="0" w:space="0" w:color="auto"/>
        <w:bottom w:val="none" w:sz="0" w:space="0" w:color="auto"/>
        <w:right w:val="none" w:sz="0" w:space="0" w:color="auto"/>
      </w:divBdr>
    </w:div>
    <w:div w:id="1418164741">
      <w:bodyDiv w:val="1"/>
      <w:marLeft w:val="0"/>
      <w:marRight w:val="0"/>
      <w:marTop w:val="0"/>
      <w:marBottom w:val="0"/>
      <w:divBdr>
        <w:top w:val="none" w:sz="0" w:space="0" w:color="auto"/>
        <w:left w:val="none" w:sz="0" w:space="0" w:color="auto"/>
        <w:bottom w:val="none" w:sz="0" w:space="0" w:color="auto"/>
        <w:right w:val="none" w:sz="0" w:space="0" w:color="auto"/>
      </w:divBdr>
    </w:div>
    <w:div w:id="1421482164">
      <w:bodyDiv w:val="1"/>
      <w:marLeft w:val="0"/>
      <w:marRight w:val="0"/>
      <w:marTop w:val="0"/>
      <w:marBottom w:val="0"/>
      <w:divBdr>
        <w:top w:val="none" w:sz="0" w:space="0" w:color="auto"/>
        <w:left w:val="none" w:sz="0" w:space="0" w:color="auto"/>
        <w:bottom w:val="none" w:sz="0" w:space="0" w:color="auto"/>
        <w:right w:val="none" w:sz="0" w:space="0" w:color="auto"/>
      </w:divBdr>
    </w:div>
    <w:div w:id="1426465211">
      <w:bodyDiv w:val="1"/>
      <w:marLeft w:val="0"/>
      <w:marRight w:val="0"/>
      <w:marTop w:val="0"/>
      <w:marBottom w:val="0"/>
      <w:divBdr>
        <w:top w:val="none" w:sz="0" w:space="0" w:color="auto"/>
        <w:left w:val="none" w:sz="0" w:space="0" w:color="auto"/>
        <w:bottom w:val="none" w:sz="0" w:space="0" w:color="auto"/>
        <w:right w:val="none" w:sz="0" w:space="0" w:color="auto"/>
      </w:divBdr>
    </w:div>
    <w:div w:id="1429034798">
      <w:bodyDiv w:val="1"/>
      <w:marLeft w:val="0"/>
      <w:marRight w:val="0"/>
      <w:marTop w:val="0"/>
      <w:marBottom w:val="0"/>
      <w:divBdr>
        <w:top w:val="none" w:sz="0" w:space="0" w:color="auto"/>
        <w:left w:val="none" w:sz="0" w:space="0" w:color="auto"/>
        <w:bottom w:val="none" w:sz="0" w:space="0" w:color="auto"/>
        <w:right w:val="none" w:sz="0" w:space="0" w:color="auto"/>
      </w:divBdr>
    </w:div>
    <w:div w:id="1435712440">
      <w:bodyDiv w:val="1"/>
      <w:marLeft w:val="0"/>
      <w:marRight w:val="0"/>
      <w:marTop w:val="0"/>
      <w:marBottom w:val="0"/>
      <w:divBdr>
        <w:top w:val="none" w:sz="0" w:space="0" w:color="auto"/>
        <w:left w:val="none" w:sz="0" w:space="0" w:color="auto"/>
        <w:bottom w:val="none" w:sz="0" w:space="0" w:color="auto"/>
        <w:right w:val="none" w:sz="0" w:space="0" w:color="auto"/>
      </w:divBdr>
    </w:div>
    <w:div w:id="1440678405">
      <w:bodyDiv w:val="1"/>
      <w:marLeft w:val="0"/>
      <w:marRight w:val="0"/>
      <w:marTop w:val="0"/>
      <w:marBottom w:val="0"/>
      <w:divBdr>
        <w:top w:val="none" w:sz="0" w:space="0" w:color="auto"/>
        <w:left w:val="none" w:sz="0" w:space="0" w:color="auto"/>
        <w:bottom w:val="none" w:sz="0" w:space="0" w:color="auto"/>
        <w:right w:val="none" w:sz="0" w:space="0" w:color="auto"/>
      </w:divBdr>
    </w:div>
    <w:div w:id="1444232497">
      <w:bodyDiv w:val="1"/>
      <w:marLeft w:val="0"/>
      <w:marRight w:val="0"/>
      <w:marTop w:val="0"/>
      <w:marBottom w:val="0"/>
      <w:divBdr>
        <w:top w:val="none" w:sz="0" w:space="0" w:color="auto"/>
        <w:left w:val="none" w:sz="0" w:space="0" w:color="auto"/>
        <w:bottom w:val="none" w:sz="0" w:space="0" w:color="auto"/>
        <w:right w:val="none" w:sz="0" w:space="0" w:color="auto"/>
      </w:divBdr>
    </w:div>
    <w:div w:id="1448428588">
      <w:bodyDiv w:val="1"/>
      <w:marLeft w:val="0"/>
      <w:marRight w:val="0"/>
      <w:marTop w:val="0"/>
      <w:marBottom w:val="0"/>
      <w:divBdr>
        <w:top w:val="none" w:sz="0" w:space="0" w:color="auto"/>
        <w:left w:val="none" w:sz="0" w:space="0" w:color="auto"/>
        <w:bottom w:val="none" w:sz="0" w:space="0" w:color="auto"/>
        <w:right w:val="none" w:sz="0" w:space="0" w:color="auto"/>
      </w:divBdr>
    </w:div>
    <w:div w:id="1451585478">
      <w:bodyDiv w:val="1"/>
      <w:marLeft w:val="0"/>
      <w:marRight w:val="0"/>
      <w:marTop w:val="0"/>
      <w:marBottom w:val="0"/>
      <w:divBdr>
        <w:top w:val="none" w:sz="0" w:space="0" w:color="auto"/>
        <w:left w:val="none" w:sz="0" w:space="0" w:color="auto"/>
        <w:bottom w:val="none" w:sz="0" w:space="0" w:color="auto"/>
        <w:right w:val="none" w:sz="0" w:space="0" w:color="auto"/>
      </w:divBdr>
    </w:div>
    <w:div w:id="1452937792">
      <w:bodyDiv w:val="1"/>
      <w:marLeft w:val="0"/>
      <w:marRight w:val="0"/>
      <w:marTop w:val="0"/>
      <w:marBottom w:val="0"/>
      <w:divBdr>
        <w:top w:val="none" w:sz="0" w:space="0" w:color="auto"/>
        <w:left w:val="none" w:sz="0" w:space="0" w:color="auto"/>
        <w:bottom w:val="none" w:sz="0" w:space="0" w:color="auto"/>
        <w:right w:val="none" w:sz="0" w:space="0" w:color="auto"/>
      </w:divBdr>
    </w:div>
    <w:div w:id="1455102543">
      <w:bodyDiv w:val="1"/>
      <w:marLeft w:val="0"/>
      <w:marRight w:val="0"/>
      <w:marTop w:val="0"/>
      <w:marBottom w:val="0"/>
      <w:divBdr>
        <w:top w:val="none" w:sz="0" w:space="0" w:color="auto"/>
        <w:left w:val="none" w:sz="0" w:space="0" w:color="auto"/>
        <w:bottom w:val="none" w:sz="0" w:space="0" w:color="auto"/>
        <w:right w:val="none" w:sz="0" w:space="0" w:color="auto"/>
      </w:divBdr>
    </w:div>
    <w:div w:id="1457216909">
      <w:bodyDiv w:val="1"/>
      <w:marLeft w:val="0"/>
      <w:marRight w:val="0"/>
      <w:marTop w:val="0"/>
      <w:marBottom w:val="0"/>
      <w:divBdr>
        <w:top w:val="none" w:sz="0" w:space="0" w:color="auto"/>
        <w:left w:val="none" w:sz="0" w:space="0" w:color="auto"/>
        <w:bottom w:val="none" w:sz="0" w:space="0" w:color="auto"/>
        <w:right w:val="none" w:sz="0" w:space="0" w:color="auto"/>
      </w:divBdr>
    </w:div>
    <w:div w:id="1463889397">
      <w:bodyDiv w:val="1"/>
      <w:marLeft w:val="0"/>
      <w:marRight w:val="0"/>
      <w:marTop w:val="0"/>
      <w:marBottom w:val="0"/>
      <w:divBdr>
        <w:top w:val="none" w:sz="0" w:space="0" w:color="auto"/>
        <w:left w:val="none" w:sz="0" w:space="0" w:color="auto"/>
        <w:bottom w:val="none" w:sz="0" w:space="0" w:color="auto"/>
        <w:right w:val="none" w:sz="0" w:space="0" w:color="auto"/>
      </w:divBdr>
    </w:div>
    <w:div w:id="1464344357">
      <w:bodyDiv w:val="1"/>
      <w:marLeft w:val="0"/>
      <w:marRight w:val="0"/>
      <w:marTop w:val="0"/>
      <w:marBottom w:val="0"/>
      <w:divBdr>
        <w:top w:val="none" w:sz="0" w:space="0" w:color="auto"/>
        <w:left w:val="none" w:sz="0" w:space="0" w:color="auto"/>
        <w:bottom w:val="none" w:sz="0" w:space="0" w:color="auto"/>
        <w:right w:val="none" w:sz="0" w:space="0" w:color="auto"/>
      </w:divBdr>
    </w:div>
    <w:div w:id="1465002900">
      <w:bodyDiv w:val="1"/>
      <w:marLeft w:val="0"/>
      <w:marRight w:val="0"/>
      <w:marTop w:val="0"/>
      <w:marBottom w:val="0"/>
      <w:divBdr>
        <w:top w:val="none" w:sz="0" w:space="0" w:color="auto"/>
        <w:left w:val="none" w:sz="0" w:space="0" w:color="auto"/>
        <w:bottom w:val="none" w:sz="0" w:space="0" w:color="auto"/>
        <w:right w:val="none" w:sz="0" w:space="0" w:color="auto"/>
      </w:divBdr>
    </w:div>
    <w:div w:id="1489587557">
      <w:bodyDiv w:val="1"/>
      <w:marLeft w:val="0"/>
      <w:marRight w:val="0"/>
      <w:marTop w:val="0"/>
      <w:marBottom w:val="0"/>
      <w:divBdr>
        <w:top w:val="none" w:sz="0" w:space="0" w:color="auto"/>
        <w:left w:val="none" w:sz="0" w:space="0" w:color="auto"/>
        <w:bottom w:val="none" w:sz="0" w:space="0" w:color="auto"/>
        <w:right w:val="none" w:sz="0" w:space="0" w:color="auto"/>
      </w:divBdr>
    </w:div>
    <w:div w:id="1489860091">
      <w:bodyDiv w:val="1"/>
      <w:marLeft w:val="0"/>
      <w:marRight w:val="0"/>
      <w:marTop w:val="0"/>
      <w:marBottom w:val="0"/>
      <w:divBdr>
        <w:top w:val="none" w:sz="0" w:space="0" w:color="auto"/>
        <w:left w:val="none" w:sz="0" w:space="0" w:color="auto"/>
        <w:bottom w:val="none" w:sz="0" w:space="0" w:color="auto"/>
        <w:right w:val="none" w:sz="0" w:space="0" w:color="auto"/>
      </w:divBdr>
    </w:div>
    <w:div w:id="1496606663">
      <w:bodyDiv w:val="1"/>
      <w:marLeft w:val="0"/>
      <w:marRight w:val="0"/>
      <w:marTop w:val="0"/>
      <w:marBottom w:val="0"/>
      <w:divBdr>
        <w:top w:val="none" w:sz="0" w:space="0" w:color="auto"/>
        <w:left w:val="none" w:sz="0" w:space="0" w:color="auto"/>
        <w:bottom w:val="none" w:sz="0" w:space="0" w:color="auto"/>
        <w:right w:val="none" w:sz="0" w:space="0" w:color="auto"/>
      </w:divBdr>
    </w:div>
    <w:div w:id="1497106760">
      <w:bodyDiv w:val="1"/>
      <w:marLeft w:val="0"/>
      <w:marRight w:val="0"/>
      <w:marTop w:val="0"/>
      <w:marBottom w:val="0"/>
      <w:divBdr>
        <w:top w:val="none" w:sz="0" w:space="0" w:color="auto"/>
        <w:left w:val="none" w:sz="0" w:space="0" w:color="auto"/>
        <w:bottom w:val="none" w:sz="0" w:space="0" w:color="auto"/>
        <w:right w:val="none" w:sz="0" w:space="0" w:color="auto"/>
      </w:divBdr>
    </w:div>
    <w:div w:id="1498837750">
      <w:bodyDiv w:val="1"/>
      <w:marLeft w:val="0"/>
      <w:marRight w:val="0"/>
      <w:marTop w:val="0"/>
      <w:marBottom w:val="0"/>
      <w:divBdr>
        <w:top w:val="none" w:sz="0" w:space="0" w:color="auto"/>
        <w:left w:val="none" w:sz="0" w:space="0" w:color="auto"/>
        <w:bottom w:val="none" w:sz="0" w:space="0" w:color="auto"/>
        <w:right w:val="none" w:sz="0" w:space="0" w:color="auto"/>
      </w:divBdr>
    </w:div>
    <w:div w:id="1501702201">
      <w:bodyDiv w:val="1"/>
      <w:marLeft w:val="0"/>
      <w:marRight w:val="0"/>
      <w:marTop w:val="0"/>
      <w:marBottom w:val="0"/>
      <w:divBdr>
        <w:top w:val="none" w:sz="0" w:space="0" w:color="auto"/>
        <w:left w:val="none" w:sz="0" w:space="0" w:color="auto"/>
        <w:bottom w:val="none" w:sz="0" w:space="0" w:color="auto"/>
        <w:right w:val="none" w:sz="0" w:space="0" w:color="auto"/>
      </w:divBdr>
    </w:div>
    <w:div w:id="1501968179">
      <w:bodyDiv w:val="1"/>
      <w:marLeft w:val="0"/>
      <w:marRight w:val="0"/>
      <w:marTop w:val="0"/>
      <w:marBottom w:val="0"/>
      <w:divBdr>
        <w:top w:val="none" w:sz="0" w:space="0" w:color="auto"/>
        <w:left w:val="none" w:sz="0" w:space="0" w:color="auto"/>
        <w:bottom w:val="none" w:sz="0" w:space="0" w:color="auto"/>
        <w:right w:val="none" w:sz="0" w:space="0" w:color="auto"/>
      </w:divBdr>
    </w:div>
    <w:div w:id="1505515511">
      <w:bodyDiv w:val="1"/>
      <w:marLeft w:val="0"/>
      <w:marRight w:val="0"/>
      <w:marTop w:val="0"/>
      <w:marBottom w:val="0"/>
      <w:divBdr>
        <w:top w:val="none" w:sz="0" w:space="0" w:color="auto"/>
        <w:left w:val="none" w:sz="0" w:space="0" w:color="auto"/>
        <w:bottom w:val="none" w:sz="0" w:space="0" w:color="auto"/>
        <w:right w:val="none" w:sz="0" w:space="0" w:color="auto"/>
      </w:divBdr>
    </w:div>
    <w:div w:id="1506358893">
      <w:bodyDiv w:val="1"/>
      <w:marLeft w:val="0"/>
      <w:marRight w:val="0"/>
      <w:marTop w:val="0"/>
      <w:marBottom w:val="0"/>
      <w:divBdr>
        <w:top w:val="none" w:sz="0" w:space="0" w:color="auto"/>
        <w:left w:val="none" w:sz="0" w:space="0" w:color="auto"/>
        <w:bottom w:val="none" w:sz="0" w:space="0" w:color="auto"/>
        <w:right w:val="none" w:sz="0" w:space="0" w:color="auto"/>
      </w:divBdr>
    </w:div>
    <w:div w:id="1507093011">
      <w:bodyDiv w:val="1"/>
      <w:marLeft w:val="0"/>
      <w:marRight w:val="0"/>
      <w:marTop w:val="0"/>
      <w:marBottom w:val="0"/>
      <w:divBdr>
        <w:top w:val="none" w:sz="0" w:space="0" w:color="auto"/>
        <w:left w:val="none" w:sz="0" w:space="0" w:color="auto"/>
        <w:bottom w:val="none" w:sz="0" w:space="0" w:color="auto"/>
        <w:right w:val="none" w:sz="0" w:space="0" w:color="auto"/>
      </w:divBdr>
    </w:div>
    <w:div w:id="1510831206">
      <w:bodyDiv w:val="1"/>
      <w:marLeft w:val="0"/>
      <w:marRight w:val="0"/>
      <w:marTop w:val="0"/>
      <w:marBottom w:val="0"/>
      <w:divBdr>
        <w:top w:val="none" w:sz="0" w:space="0" w:color="auto"/>
        <w:left w:val="none" w:sz="0" w:space="0" w:color="auto"/>
        <w:bottom w:val="none" w:sz="0" w:space="0" w:color="auto"/>
        <w:right w:val="none" w:sz="0" w:space="0" w:color="auto"/>
      </w:divBdr>
    </w:div>
    <w:div w:id="1515457807">
      <w:bodyDiv w:val="1"/>
      <w:marLeft w:val="0"/>
      <w:marRight w:val="0"/>
      <w:marTop w:val="0"/>
      <w:marBottom w:val="0"/>
      <w:divBdr>
        <w:top w:val="none" w:sz="0" w:space="0" w:color="auto"/>
        <w:left w:val="none" w:sz="0" w:space="0" w:color="auto"/>
        <w:bottom w:val="none" w:sz="0" w:space="0" w:color="auto"/>
        <w:right w:val="none" w:sz="0" w:space="0" w:color="auto"/>
      </w:divBdr>
    </w:div>
    <w:div w:id="1525440768">
      <w:bodyDiv w:val="1"/>
      <w:marLeft w:val="0"/>
      <w:marRight w:val="0"/>
      <w:marTop w:val="0"/>
      <w:marBottom w:val="0"/>
      <w:divBdr>
        <w:top w:val="none" w:sz="0" w:space="0" w:color="auto"/>
        <w:left w:val="none" w:sz="0" w:space="0" w:color="auto"/>
        <w:bottom w:val="none" w:sz="0" w:space="0" w:color="auto"/>
        <w:right w:val="none" w:sz="0" w:space="0" w:color="auto"/>
      </w:divBdr>
    </w:div>
    <w:div w:id="1534071215">
      <w:bodyDiv w:val="1"/>
      <w:marLeft w:val="0"/>
      <w:marRight w:val="0"/>
      <w:marTop w:val="0"/>
      <w:marBottom w:val="0"/>
      <w:divBdr>
        <w:top w:val="none" w:sz="0" w:space="0" w:color="auto"/>
        <w:left w:val="none" w:sz="0" w:space="0" w:color="auto"/>
        <w:bottom w:val="none" w:sz="0" w:space="0" w:color="auto"/>
        <w:right w:val="none" w:sz="0" w:space="0" w:color="auto"/>
      </w:divBdr>
    </w:div>
    <w:div w:id="1535313208">
      <w:bodyDiv w:val="1"/>
      <w:marLeft w:val="0"/>
      <w:marRight w:val="0"/>
      <w:marTop w:val="0"/>
      <w:marBottom w:val="0"/>
      <w:divBdr>
        <w:top w:val="none" w:sz="0" w:space="0" w:color="auto"/>
        <w:left w:val="none" w:sz="0" w:space="0" w:color="auto"/>
        <w:bottom w:val="none" w:sz="0" w:space="0" w:color="auto"/>
        <w:right w:val="none" w:sz="0" w:space="0" w:color="auto"/>
      </w:divBdr>
    </w:div>
    <w:div w:id="1535772853">
      <w:bodyDiv w:val="1"/>
      <w:marLeft w:val="0"/>
      <w:marRight w:val="0"/>
      <w:marTop w:val="0"/>
      <w:marBottom w:val="0"/>
      <w:divBdr>
        <w:top w:val="none" w:sz="0" w:space="0" w:color="auto"/>
        <w:left w:val="none" w:sz="0" w:space="0" w:color="auto"/>
        <w:bottom w:val="none" w:sz="0" w:space="0" w:color="auto"/>
        <w:right w:val="none" w:sz="0" w:space="0" w:color="auto"/>
      </w:divBdr>
    </w:div>
    <w:div w:id="1538617912">
      <w:bodyDiv w:val="1"/>
      <w:marLeft w:val="0"/>
      <w:marRight w:val="0"/>
      <w:marTop w:val="0"/>
      <w:marBottom w:val="0"/>
      <w:divBdr>
        <w:top w:val="none" w:sz="0" w:space="0" w:color="auto"/>
        <w:left w:val="none" w:sz="0" w:space="0" w:color="auto"/>
        <w:bottom w:val="none" w:sz="0" w:space="0" w:color="auto"/>
        <w:right w:val="none" w:sz="0" w:space="0" w:color="auto"/>
      </w:divBdr>
    </w:div>
    <w:div w:id="1538852660">
      <w:bodyDiv w:val="1"/>
      <w:marLeft w:val="0"/>
      <w:marRight w:val="0"/>
      <w:marTop w:val="0"/>
      <w:marBottom w:val="0"/>
      <w:divBdr>
        <w:top w:val="none" w:sz="0" w:space="0" w:color="auto"/>
        <w:left w:val="none" w:sz="0" w:space="0" w:color="auto"/>
        <w:bottom w:val="none" w:sz="0" w:space="0" w:color="auto"/>
        <w:right w:val="none" w:sz="0" w:space="0" w:color="auto"/>
      </w:divBdr>
    </w:div>
    <w:div w:id="1540048388">
      <w:bodyDiv w:val="1"/>
      <w:marLeft w:val="0"/>
      <w:marRight w:val="0"/>
      <w:marTop w:val="0"/>
      <w:marBottom w:val="0"/>
      <w:divBdr>
        <w:top w:val="none" w:sz="0" w:space="0" w:color="auto"/>
        <w:left w:val="none" w:sz="0" w:space="0" w:color="auto"/>
        <w:bottom w:val="none" w:sz="0" w:space="0" w:color="auto"/>
        <w:right w:val="none" w:sz="0" w:space="0" w:color="auto"/>
      </w:divBdr>
    </w:div>
    <w:div w:id="1542132191">
      <w:bodyDiv w:val="1"/>
      <w:marLeft w:val="0"/>
      <w:marRight w:val="0"/>
      <w:marTop w:val="0"/>
      <w:marBottom w:val="0"/>
      <w:divBdr>
        <w:top w:val="none" w:sz="0" w:space="0" w:color="auto"/>
        <w:left w:val="none" w:sz="0" w:space="0" w:color="auto"/>
        <w:bottom w:val="none" w:sz="0" w:space="0" w:color="auto"/>
        <w:right w:val="none" w:sz="0" w:space="0" w:color="auto"/>
      </w:divBdr>
    </w:div>
    <w:div w:id="1542136118">
      <w:bodyDiv w:val="1"/>
      <w:marLeft w:val="0"/>
      <w:marRight w:val="0"/>
      <w:marTop w:val="0"/>
      <w:marBottom w:val="0"/>
      <w:divBdr>
        <w:top w:val="none" w:sz="0" w:space="0" w:color="auto"/>
        <w:left w:val="none" w:sz="0" w:space="0" w:color="auto"/>
        <w:bottom w:val="none" w:sz="0" w:space="0" w:color="auto"/>
        <w:right w:val="none" w:sz="0" w:space="0" w:color="auto"/>
      </w:divBdr>
    </w:div>
    <w:div w:id="1554391679">
      <w:bodyDiv w:val="1"/>
      <w:marLeft w:val="0"/>
      <w:marRight w:val="0"/>
      <w:marTop w:val="0"/>
      <w:marBottom w:val="0"/>
      <w:divBdr>
        <w:top w:val="none" w:sz="0" w:space="0" w:color="auto"/>
        <w:left w:val="none" w:sz="0" w:space="0" w:color="auto"/>
        <w:bottom w:val="none" w:sz="0" w:space="0" w:color="auto"/>
        <w:right w:val="none" w:sz="0" w:space="0" w:color="auto"/>
      </w:divBdr>
    </w:div>
    <w:div w:id="1557011109">
      <w:bodyDiv w:val="1"/>
      <w:marLeft w:val="0"/>
      <w:marRight w:val="0"/>
      <w:marTop w:val="0"/>
      <w:marBottom w:val="0"/>
      <w:divBdr>
        <w:top w:val="none" w:sz="0" w:space="0" w:color="auto"/>
        <w:left w:val="none" w:sz="0" w:space="0" w:color="auto"/>
        <w:bottom w:val="none" w:sz="0" w:space="0" w:color="auto"/>
        <w:right w:val="none" w:sz="0" w:space="0" w:color="auto"/>
      </w:divBdr>
    </w:div>
    <w:div w:id="1557551228">
      <w:bodyDiv w:val="1"/>
      <w:marLeft w:val="0"/>
      <w:marRight w:val="0"/>
      <w:marTop w:val="0"/>
      <w:marBottom w:val="0"/>
      <w:divBdr>
        <w:top w:val="none" w:sz="0" w:space="0" w:color="auto"/>
        <w:left w:val="none" w:sz="0" w:space="0" w:color="auto"/>
        <w:bottom w:val="none" w:sz="0" w:space="0" w:color="auto"/>
        <w:right w:val="none" w:sz="0" w:space="0" w:color="auto"/>
      </w:divBdr>
    </w:div>
    <w:div w:id="1560245625">
      <w:bodyDiv w:val="1"/>
      <w:marLeft w:val="0"/>
      <w:marRight w:val="0"/>
      <w:marTop w:val="0"/>
      <w:marBottom w:val="0"/>
      <w:divBdr>
        <w:top w:val="none" w:sz="0" w:space="0" w:color="auto"/>
        <w:left w:val="none" w:sz="0" w:space="0" w:color="auto"/>
        <w:bottom w:val="none" w:sz="0" w:space="0" w:color="auto"/>
        <w:right w:val="none" w:sz="0" w:space="0" w:color="auto"/>
      </w:divBdr>
    </w:div>
    <w:div w:id="1566912992">
      <w:bodyDiv w:val="1"/>
      <w:marLeft w:val="0"/>
      <w:marRight w:val="0"/>
      <w:marTop w:val="0"/>
      <w:marBottom w:val="0"/>
      <w:divBdr>
        <w:top w:val="none" w:sz="0" w:space="0" w:color="auto"/>
        <w:left w:val="none" w:sz="0" w:space="0" w:color="auto"/>
        <w:bottom w:val="none" w:sz="0" w:space="0" w:color="auto"/>
        <w:right w:val="none" w:sz="0" w:space="0" w:color="auto"/>
      </w:divBdr>
    </w:div>
    <w:div w:id="1567766065">
      <w:bodyDiv w:val="1"/>
      <w:marLeft w:val="0"/>
      <w:marRight w:val="0"/>
      <w:marTop w:val="0"/>
      <w:marBottom w:val="0"/>
      <w:divBdr>
        <w:top w:val="none" w:sz="0" w:space="0" w:color="auto"/>
        <w:left w:val="none" w:sz="0" w:space="0" w:color="auto"/>
        <w:bottom w:val="none" w:sz="0" w:space="0" w:color="auto"/>
        <w:right w:val="none" w:sz="0" w:space="0" w:color="auto"/>
      </w:divBdr>
    </w:div>
    <w:div w:id="1572228757">
      <w:bodyDiv w:val="1"/>
      <w:marLeft w:val="0"/>
      <w:marRight w:val="0"/>
      <w:marTop w:val="0"/>
      <w:marBottom w:val="0"/>
      <w:divBdr>
        <w:top w:val="none" w:sz="0" w:space="0" w:color="auto"/>
        <w:left w:val="none" w:sz="0" w:space="0" w:color="auto"/>
        <w:bottom w:val="none" w:sz="0" w:space="0" w:color="auto"/>
        <w:right w:val="none" w:sz="0" w:space="0" w:color="auto"/>
      </w:divBdr>
    </w:div>
    <w:div w:id="1572500469">
      <w:bodyDiv w:val="1"/>
      <w:marLeft w:val="0"/>
      <w:marRight w:val="0"/>
      <w:marTop w:val="0"/>
      <w:marBottom w:val="0"/>
      <w:divBdr>
        <w:top w:val="none" w:sz="0" w:space="0" w:color="auto"/>
        <w:left w:val="none" w:sz="0" w:space="0" w:color="auto"/>
        <w:bottom w:val="none" w:sz="0" w:space="0" w:color="auto"/>
        <w:right w:val="none" w:sz="0" w:space="0" w:color="auto"/>
      </w:divBdr>
    </w:div>
    <w:div w:id="1575236276">
      <w:bodyDiv w:val="1"/>
      <w:marLeft w:val="0"/>
      <w:marRight w:val="0"/>
      <w:marTop w:val="0"/>
      <w:marBottom w:val="0"/>
      <w:divBdr>
        <w:top w:val="none" w:sz="0" w:space="0" w:color="auto"/>
        <w:left w:val="none" w:sz="0" w:space="0" w:color="auto"/>
        <w:bottom w:val="none" w:sz="0" w:space="0" w:color="auto"/>
        <w:right w:val="none" w:sz="0" w:space="0" w:color="auto"/>
      </w:divBdr>
    </w:div>
    <w:div w:id="1577589414">
      <w:bodyDiv w:val="1"/>
      <w:marLeft w:val="0"/>
      <w:marRight w:val="0"/>
      <w:marTop w:val="0"/>
      <w:marBottom w:val="0"/>
      <w:divBdr>
        <w:top w:val="none" w:sz="0" w:space="0" w:color="auto"/>
        <w:left w:val="none" w:sz="0" w:space="0" w:color="auto"/>
        <w:bottom w:val="none" w:sz="0" w:space="0" w:color="auto"/>
        <w:right w:val="none" w:sz="0" w:space="0" w:color="auto"/>
      </w:divBdr>
    </w:div>
    <w:div w:id="1578592113">
      <w:bodyDiv w:val="1"/>
      <w:marLeft w:val="0"/>
      <w:marRight w:val="0"/>
      <w:marTop w:val="0"/>
      <w:marBottom w:val="0"/>
      <w:divBdr>
        <w:top w:val="none" w:sz="0" w:space="0" w:color="auto"/>
        <w:left w:val="none" w:sz="0" w:space="0" w:color="auto"/>
        <w:bottom w:val="none" w:sz="0" w:space="0" w:color="auto"/>
        <w:right w:val="none" w:sz="0" w:space="0" w:color="auto"/>
      </w:divBdr>
    </w:div>
    <w:div w:id="1584484671">
      <w:bodyDiv w:val="1"/>
      <w:marLeft w:val="0"/>
      <w:marRight w:val="0"/>
      <w:marTop w:val="0"/>
      <w:marBottom w:val="0"/>
      <w:divBdr>
        <w:top w:val="none" w:sz="0" w:space="0" w:color="auto"/>
        <w:left w:val="none" w:sz="0" w:space="0" w:color="auto"/>
        <w:bottom w:val="none" w:sz="0" w:space="0" w:color="auto"/>
        <w:right w:val="none" w:sz="0" w:space="0" w:color="auto"/>
      </w:divBdr>
    </w:div>
    <w:div w:id="1587181033">
      <w:bodyDiv w:val="1"/>
      <w:marLeft w:val="0"/>
      <w:marRight w:val="0"/>
      <w:marTop w:val="0"/>
      <w:marBottom w:val="0"/>
      <w:divBdr>
        <w:top w:val="none" w:sz="0" w:space="0" w:color="auto"/>
        <w:left w:val="none" w:sz="0" w:space="0" w:color="auto"/>
        <w:bottom w:val="none" w:sz="0" w:space="0" w:color="auto"/>
        <w:right w:val="none" w:sz="0" w:space="0" w:color="auto"/>
      </w:divBdr>
    </w:div>
    <w:div w:id="1589998191">
      <w:bodyDiv w:val="1"/>
      <w:marLeft w:val="0"/>
      <w:marRight w:val="0"/>
      <w:marTop w:val="0"/>
      <w:marBottom w:val="0"/>
      <w:divBdr>
        <w:top w:val="none" w:sz="0" w:space="0" w:color="auto"/>
        <w:left w:val="none" w:sz="0" w:space="0" w:color="auto"/>
        <w:bottom w:val="none" w:sz="0" w:space="0" w:color="auto"/>
        <w:right w:val="none" w:sz="0" w:space="0" w:color="auto"/>
      </w:divBdr>
    </w:div>
    <w:div w:id="1590238999">
      <w:bodyDiv w:val="1"/>
      <w:marLeft w:val="0"/>
      <w:marRight w:val="0"/>
      <w:marTop w:val="0"/>
      <w:marBottom w:val="0"/>
      <w:divBdr>
        <w:top w:val="none" w:sz="0" w:space="0" w:color="auto"/>
        <w:left w:val="none" w:sz="0" w:space="0" w:color="auto"/>
        <w:bottom w:val="none" w:sz="0" w:space="0" w:color="auto"/>
        <w:right w:val="none" w:sz="0" w:space="0" w:color="auto"/>
      </w:divBdr>
    </w:div>
    <w:div w:id="1593466026">
      <w:bodyDiv w:val="1"/>
      <w:marLeft w:val="0"/>
      <w:marRight w:val="0"/>
      <w:marTop w:val="0"/>
      <w:marBottom w:val="0"/>
      <w:divBdr>
        <w:top w:val="none" w:sz="0" w:space="0" w:color="auto"/>
        <w:left w:val="none" w:sz="0" w:space="0" w:color="auto"/>
        <w:bottom w:val="none" w:sz="0" w:space="0" w:color="auto"/>
        <w:right w:val="none" w:sz="0" w:space="0" w:color="auto"/>
      </w:divBdr>
    </w:div>
    <w:div w:id="1595281248">
      <w:bodyDiv w:val="1"/>
      <w:marLeft w:val="0"/>
      <w:marRight w:val="0"/>
      <w:marTop w:val="0"/>
      <w:marBottom w:val="0"/>
      <w:divBdr>
        <w:top w:val="none" w:sz="0" w:space="0" w:color="auto"/>
        <w:left w:val="none" w:sz="0" w:space="0" w:color="auto"/>
        <w:bottom w:val="none" w:sz="0" w:space="0" w:color="auto"/>
        <w:right w:val="none" w:sz="0" w:space="0" w:color="auto"/>
      </w:divBdr>
    </w:div>
    <w:div w:id="1599411109">
      <w:bodyDiv w:val="1"/>
      <w:marLeft w:val="0"/>
      <w:marRight w:val="0"/>
      <w:marTop w:val="0"/>
      <w:marBottom w:val="0"/>
      <w:divBdr>
        <w:top w:val="none" w:sz="0" w:space="0" w:color="auto"/>
        <w:left w:val="none" w:sz="0" w:space="0" w:color="auto"/>
        <w:bottom w:val="none" w:sz="0" w:space="0" w:color="auto"/>
        <w:right w:val="none" w:sz="0" w:space="0" w:color="auto"/>
      </w:divBdr>
    </w:div>
    <w:div w:id="1599481317">
      <w:bodyDiv w:val="1"/>
      <w:marLeft w:val="0"/>
      <w:marRight w:val="0"/>
      <w:marTop w:val="0"/>
      <w:marBottom w:val="0"/>
      <w:divBdr>
        <w:top w:val="none" w:sz="0" w:space="0" w:color="auto"/>
        <w:left w:val="none" w:sz="0" w:space="0" w:color="auto"/>
        <w:bottom w:val="none" w:sz="0" w:space="0" w:color="auto"/>
        <w:right w:val="none" w:sz="0" w:space="0" w:color="auto"/>
      </w:divBdr>
    </w:div>
    <w:div w:id="1603299041">
      <w:bodyDiv w:val="1"/>
      <w:marLeft w:val="0"/>
      <w:marRight w:val="0"/>
      <w:marTop w:val="0"/>
      <w:marBottom w:val="0"/>
      <w:divBdr>
        <w:top w:val="none" w:sz="0" w:space="0" w:color="auto"/>
        <w:left w:val="none" w:sz="0" w:space="0" w:color="auto"/>
        <w:bottom w:val="none" w:sz="0" w:space="0" w:color="auto"/>
        <w:right w:val="none" w:sz="0" w:space="0" w:color="auto"/>
      </w:divBdr>
    </w:div>
    <w:div w:id="1605184798">
      <w:bodyDiv w:val="1"/>
      <w:marLeft w:val="0"/>
      <w:marRight w:val="0"/>
      <w:marTop w:val="0"/>
      <w:marBottom w:val="0"/>
      <w:divBdr>
        <w:top w:val="none" w:sz="0" w:space="0" w:color="auto"/>
        <w:left w:val="none" w:sz="0" w:space="0" w:color="auto"/>
        <w:bottom w:val="none" w:sz="0" w:space="0" w:color="auto"/>
        <w:right w:val="none" w:sz="0" w:space="0" w:color="auto"/>
      </w:divBdr>
    </w:div>
    <w:div w:id="1606227445">
      <w:bodyDiv w:val="1"/>
      <w:marLeft w:val="0"/>
      <w:marRight w:val="0"/>
      <w:marTop w:val="0"/>
      <w:marBottom w:val="0"/>
      <w:divBdr>
        <w:top w:val="none" w:sz="0" w:space="0" w:color="auto"/>
        <w:left w:val="none" w:sz="0" w:space="0" w:color="auto"/>
        <w:bottom w:val="none" w:sz="0" w:space="0" w:color="auto"/>
        <w:right w:val="none" w:sz="0" w:space="0" w:color="auto"/>
      </w:divBdr>
    </w:div>
    <w:div w:id="1607496727">
      <w:bodyDiv w:val="1"/>
      <w:marLeft w:val="0"/>
      <w:marRight w:val="0"/>
      <w:marTop w:val="0"/>
      <w:marBottom w:val="0"/>
      <w:divBdr>
        <w:top w:val="none" w:sz="0" w:space="0" w:color="auto"/>
        <w:left w:val="none" w:sz="0" w:space="0" w:color="auto"/>
        <w:bottom w:val="none" w:sz="0" w:space="0" w:color="auto"/>
        <w:right w:val="none" w:sz="0" w:space="0" w:color="auto"/>
      </w:divBdr>
    </w:div>
    <w:div w:id="1611352632">
      <w:bodyDiv w:val="1"/>
      <w:marLeft w:val="0"/>
      <w:marRight w:val="0"/>
      <w:marTop w:val="0"/>
      <w:marBottom w:val="0"/>
      <w:divBdr>
        <w:top w:val="none" w:sz="0" w:space="0" w:color="auto"/>
        <w:left w:val="none" w:sz="0" w:space="0" w:color="auto"/>
        <w:bottom w:val="none" w:sz="0" w:space="0" w:color="auto"/>
        <w:right w:val="none" w:sz="0" w:space="0" w:color="auto"/>
      </w:divBdr>
    </w:div>
    <w:div w:id="1611741289">
      <w:bodyDiv w:val="1"/>
      <w:marLeft w:val="0"/>
      <w:marRight w:val="0"/>
      <w:marTop w:val="0"/>
      <w:marBottom w:val="0"/>
      <w:divBdr>
        <w:top w:val="none" w:sz="0" w:space="0" w:color="auto"/>
        <w:left w:val="none" w:sz="0" w:space="0" w:color="auto"/>
        <w:bottom w:val="none" w:sz="0" w:space="0" w:color="auto"/>
        <w:right w:val="none" w:sz="0" w:space="0" w:color="auto"/>
      </w:divBdr>
    </w:div>
    <w:div w:id="1613052429">
      <w:bodyDiv w:val="1"/>
      <w:marLeft w:val="0"/>
      <w:marRight w:val="0"/>
      <w:marTop w:val="0"/>
      <w:marBottom w:val="0"/>
      <w:divBdr>
        <w:top w:val="none" w:sz="0" w:space="0" w:color="auto"/>
        <w:left w:val="none" w:sz="0" w:space="0" w:color="auto"/>
        <w:bottom w:val="none" w:sz="0" w:space="0" w:color="auto"/>
        <w:right w:val="none" w:sz="0" w:space="0" w:color="auto"/>
      </w:divBdr>
    </w:div>
    <w:div w:id="1614022222">
      <w:bodyDiv w:val="1"/>
      <w:marLeft w:val="0"/>
      <w:marRight w:val="0"/>
      <w:marTop w:val="0"/>
      <w:marBottom w:val="0"/>
      <w:divBdr>
        <w:top w:val="none" w:sz="0" w:space="0" w:color="auto"/>
        <w:left w:val="none" w:sz="0" w:space="0" w:color="auto"/>
        <w:bottom w:val="none" w:sz="0" w:space="0" w:color="auto"/>
        <w:right w:val="none" w:sz="0" w:space="0" w:color="auto"/>
      </w:divBdr>
    </w:div>
    <w:div w:id="1614241104">
      <w:bodyDiv w:val="1"/>
      <w:marLeft w:val="0"/>
      <w:marRight w:val="0"/>
      <w:marTop w:val="0"/>
      <w:marBottom w:val="0"/>
      <w:divBdr>
        <w:top w:val="none" w:sz="0" w:space="0" w:color="auto"/>
        <w:left w:val="none" w:sz="0" w:space="0" w:color="auto"/>
        <w:bottom w:val="none" w:sz="0" w:space="0" w:color="auto"/>
        <w:right w:val="none" w:sz="0" w:space="0" w:color="auto"/>
      </w:divBdr>
    </w:div>
    <w:div w:id="1614482407">
      <w:bodyDiv w:val="1"/>
      <w:marLeft w:val="0"/>
      <w:marRight w:val="0"/>
      <w:marTop w:val="0"/>
      <w:marBottom w:val="0"/>
      <w:divBdr>
        <w:top w:val="none" w:sz="0" w:space="0" w:color="auto"/>
        <w:left w:val="none" w:sz="0" w:space="0" w:color="auto"/>
        <w:bottom w:val="none" w:sz="0" w:space="0" w:color="auto"/>
        <w:right w:val="none" w:sz="0" w:space="0" w:color="auto"/>
      </w:divBdr>
    </w:div>
    <w:div w:id="1615600138">
      <w:bodyDiv w:val="1"/>
      <w:marLeft w:val="0"/>
      <w:marRight w:val="0"/>
      <w:marTop w:val="0"/>
      <w:marBottom w:val="0"/>
      <w:divBdr>
        <w:top w:val="none" w:sz="0" w:space="0" w:color="auto"/>
        <w:left w:val="none" w:sz="0" w:space="0" w:color="auto"/>
        <w:bottom w:val="none" w:sz="0" w:space="0" w:color="auto"/>
        <w:right w:val="none" w:sz="0" w:space="0" w:color="auto"/>
      </w:divBdr>
    </w:div>
    <w:div w:id="1618368886">
      <w:bodyDiv w:val="1"/>
      <w:marLeft w:val="0"/>
      <w:marRight w:val="0"/>
      <w:marTop w:val="0"/>
      <w:marBottom w:val="0"/>
      <w:divBdr>
        <w:top w:val="none" w:sz="0" w:space="0" w:color="auto"/>
        <w:left w:val="none" w:sz="0" w:space="0" w:color="auto"/>
        <w:bottom w:val="none" w:sz="0" w:space="0" w:color="auto"/>
        <w:right w:val="none" w:sz="0" w:space="0" w:color="auto"/>
      </w:divBdr>
    </w:div>
    <w:div w:id="1618565509">
      <w:bodyDiv w:val="1"/>
      <w:marLeft w:val="0"/>
      <w:marRight w:val="0"/>
      <w:marTop w:val="0"/>
      <w:marBottom w:val="0"/>
      <w:divBdr>
        <w:top w:val="none" w:sz="0" w:space="0" w:color="auto"/>
        <w:left w:val="none" w:sz="0" w:space="0" w:color="auto"/>
        <w:bottom w:val="none" w:sz="0" w:space="0" w:color="auto"/>
        <w:right w:val="none" w:sz="0" w:space="0" w:color="auto"/>
      </w:divBdr>
    </w:div>
    <w:div w:id="1620454537">
      <w:bodyDiv w:val="1"/>
      <w:marLeft w:val="0"/>
      <w:marRight w:val="0"/>
      <w:marTop w:val="0"/>
      <w:marBottom w:val="0"/>
      <w:divBdr>
        <w:top w:val="none" w:sz="0" w:space="0" w:color="auto"/>
        <w:left w:val="none" w:sz="0" w:space="0" w:color="auto"/>
        <w:bottom w:val="none" w:sz="0" w:space="0" w:color="auto"/>
        <w:right w:val="none" w:sz="0" w:space="0" w:color="auto"/>
      </w:divBdr>
    </w:div>
    <w:div w:id="1620603570">
      <w:bodyDiv w:val="1"/>
      <w:marLeft w:val="0"/>
      <w:marRight w:val="0"/>
      <w:marTop w:val="0"/>
      <w:marBottom w:val="0"/>
      <w:divBdr>
        <w:top w:val="none" w:sz="0" w:space="0" w:color="auto"/>
        <w:left w:val="none" w:sz="0" w:space="0" w:color="auto"/>
        <w:bottom w:val="none" w:sz="0" w:space="0" w:color="auto"/>
        <w:right w:val="none" w:sz="0" w:space="0" w:color="auto"/>
      </w:divBdr>
    </w:div>
    <w:div w:id="1620720212">
      <w:bodyDiv w:val="1"/>
      <w:marLeft w:val="0"/>
      <w:marRight w:val="0"/>
      <w:marTop w:val="0"/>
      <w:marBottom w:val="0"/>
      <w:divBdr>
        <w:top w:val="none" w:sz="0" w:space="0" w:color="auto"/>
        <w:left w:val="none" w:sz="0" w:space="0" w:color="auto"/>
        <w:bottom w:val="none" w:sz="0" w:space="0" w:color="auto"/>
        <w:right w:val="none" w:sz="0" w:space="0" w:color="auto"/>
      </w:divBdr>
    </w:div>
    <w:div w:id="1625963342">
      <w:bodyDiv w:val="1"/>
      <w:marLeft w:val="0"/>
      <w:marRight w:val="0"/>
      <w:marTop w:val="0"/>
      <w:marBottom w:val="0"/>
      <w:divBdr>
        <w:top w:val="none" w:sz="0" w:space="0" w:color="auto"/>
        <w:left w:val="none" w:sz="0" w:space="0" w:color="auto"/>
        <w:bottom w:val="none" w:sz="0" w:space="0" w:color="auto"/>
        <w:right w:val="none" w:sz="0" w:space="0" w:color="auto"/>
      </w:divBdr>
    </w:div>
    <w:div w:id="1626962789">
      <w:bodyDiv w:val="1"/>
      <w:marLeft w:val="0"/>
      <w:marRight w:val="0"/>
      <w:marTop w:val="0"/>
      <w:marBottom w:val="0"/>
      <w:divBdr>
        <w:top w:val="none" w:sz="0" w:space="0" w:color="auto"/>
        <w:left w:val="none" w:sz="0" w:space="0" w:color="auto"/>
        <w:bottom w:val="none" w:sz="0" w:space="0" w:color="auto"/>
        <w:right w:val="none" w:sz="0" w:space="0" w:color="auto"/>
      </w:divBdr>
    </w:div>
    <w:div w:id="1628704915">
      <w:bodyDiv w:val="1"/>
      <w:marLeft w:val="0"/>
      <w:marRight w:val="0"/>
      <w:marTop w:val="0"/>
      <w:marBottom w:val="0"/>
      <w:divBdr>
        <w:top w:val="none" w:sz="0" w:space="0" w:color="auto"/>
        <w:left w:val="none" w:sz="0" w:space="0" w:color="auto"/>
        <w:bottom w:val="none" w:sz="0" w:space="0" w:color="auto"/>
        <w:right w:val="none" w:sz="0" w:space="0" w:color="auto"/>
      </w:divBdr>
      <w:divsChild>
        <w:div w:id="1884321474">
          <w:marLeft w:val="0"/>
          <w:marRight w:val="0"/>
          <w:marTop w:val="0"/>
          <w:marBottom w:val="0"/>
          <w:divBdr>
            <w:top w:val="none" w:sz="0" w:space="0" w:color="auto"/>
            <w:left w:val="none" w:sz="0" w:space="0" w:color="auto"/>
            <w:bottom w:val="none" w:sz="0" w:space="0" w:color="auto"/>
            <w:right w:val="none" w:sz="0" w:space="0" w:color="auto"/>
          </w:divBdr>
        </w:div>
      </w:divsChild>
    </w:div>
    <w:div w:id="1631549878">
      <w:bodyDiv w:val="1"/>
      <w:marLeft w:val="0"/>
      <w:marRight w:val="0"/>
      <w:marTop w:val="0"/>
      <w:marBottom w:val="0"/>
      <w:divBdr>
        <w:top w:val="none" w:sz="0" w:space="0" w:color="auto"/>
        <w:left w:val="none" w:sz="0" w:space="0" w:color="auto"/>
        <w:bottom w:val="none" w:sz="0" w:space="0" w:color="auto"/>
        <w:right w:val="none" w:sz="0" w:space="0" w:color="auto"/>
      </w:divBdr>
    </w:div>
    <w:div w:id="1636132764">
      <w:bodyDiv w:val="1"/>
      <w:marLeft w:val="0"/>
      <w:marRight w:val="0"/>
      <w:marTop w:val="0"/>
      <w:marBottom w:val="0"/>
      <w:divBdr>
        <w:top w:val="none" w:sz="0" w:space="0" w:color="auto"/>
        <w:left w:val="none" w:sz="0" w:space="0" w:color="auto"/>
        <w:bottom w:val="none" w:sz="0" w:space="0" w:color="auto"/>
        <w:right w:val="none" w:sz="0" w:space="0" w:color="auto"/>
      </w:divBdr>
    </w:div>
    <w:div w:id="1637486493">
      <w:bodyDiv w:val="1"/>
      <w:marLeft w:val="0"/>
      <w:marRight w:val="0"/>
      <w:marTop w:val="0"/>
      <w:marBottom w:val="0"/>
      <w:divBdr>
        <w:top w:val="none" w:sz="0" w:space="0" w:color="auto"/>
        <w:left w:val="none" w:sz="0" w:space="0" w:color="auto"/>
        <w:bottom w:val="none" w:sz="0" w:space="0" w:color="auto"/>
        <w:right w:val="none" w:sz="0" w:space="0" w:color="auto"/>
      </w:divBdr>
    </w:div>
    <w:div w:id="1639846765">
      <w:bodyDiv w:val="1"/>
      <w:marLeft w:val="0"/>
      <w:marRight w:val="0"/>
      <w:marTop w:val="0"/>
      <w:marBottom w:val="0"/>
      <w:divBdr>
        <w:top w:val="none" w:sz="0" w:space="0" w:color="auto"/>
        <w:left w:val="none" w:sz="0" w:space="0" w:color="auto"/>
        <w:bottom w:val="none" w:sz="0" w:space="0" w:color="auto"/>
        <w:right w:val="none" w:sz="0" w:space="0" w:color="auto"/>
      </w:divBdr>
    </w:div>
    <w:div w:id="1642423804">
      <w:bodyDiv w:val="1"/>
      <w:marLeft w:val="0"/>
      <w:marRight w:val="0"/>
      <w:marTop w:val="0"/>
      <w:marBottom w:val="0"/>
      <w:divBdr>
        <w:top w:val="none" w:sz="0" w:space="0" w:color="auto"/>
        <w:left w:val="none" w:sz="0" w:space="0" w:color="auto"/>
        <w:bottom w:val="none" w:sz="0" w:space="0" w:color="auto"/>
        <w:right w:val="none" w:sz="0" w:space="0" w:color="auto"/>
      </w:divBdr>
    </w:div>
    <w:div w:id="1648628332">
      <w:bodyDiv w:val="1"/>
      <w:marLeft w:val="0"/>
      <w:marRight w:val="0"/>
      <w:marTop w:val="0"/>
      <w:marBottom w:val="0"/>
      <w:divBdr>
        <w:top w:val="none" w:sz="0" w:space="0" w:color="auto"/>
        <w:left w:val="none" w:sz="0" w:space="0" w:color="auto"/>
        <w:bottom w:val="none" w:sz="0" w:space="0" w:color="auto"/>
        <w:right w:val="none" w:sz="0" w:space="0" w:color="auto"/>
      </w:divBdr>
    </w:div>
    <w:div w:id="1649701220">
      <w:bodyDiv w:val="1"/>
      <w:marLeft w:val="0"/>
      <w:marRight w:val="0"/>
      <w:marTop w:val="0"/>
      <w:marBottom w:val="0"/>
      <w:divBdr>
        <w:top w:val="none" w:sz="0" w:space="0" w:color="auto"/>
        <w:left w:val="none" w:sz="0" w:space="0" w:color="auto"/>
        <w:bottom w:val="none" w:sz="0" w:space="0" w:color="auto"/>
        <w:right w:val="none" w:sz="0" w:space="0" w:color="auto"/>
      </w:divBdr>
    </w:div>
    <w:div w:id="1650594210">
      <w:bodyDiv w:val="1"/>
      <w:marLeft w:val="0"/>
      <w:marRight w:val="0"/>
      <w:marTop w:val="0"/>
      <w:marBottom w:val="0"/>
      <w:divBdr>
        <w:top w:val="none" w:sz="0" w:space="0" w:color="auto"/>
        <w:left w:val="none" w:sz="0" w:space="0" w:color="auto"/>
        <w:bottom w:val="none" w:sz="0" w:space="0" w:color="auto"/>
        <w:right w:val="none" w:sz="0" w:space="0" w:color="auto"/>
      </w:divBdr>
    </w:div>
    <w:div w:id="1650935475">
      <w:bodyDiv w:val="1"/>
      <w:marLeft w:val="0"/>
      <w:marRight w:val="0"/>
      <w:marTop w:val="0"/>
      <w:marBottom w:val="0"/>
      <w:divBdr>
        <w:top w:val="none" w:sz="0" w:space="0" w:color="auto"/>
        <w:left w:val="none" w:sz="0" w:space="0" w:color="auto"/>
        <w:bottom w:val="none" w:sz="0" w:space="0" w:color="auto"/>
        <w:right w:val="none" w:sz="0" w:space="0" w:color="auto"/>
      </w:divBdr>
    </w:div>
    <w:div w:id="1651056667">
      <w:bodyDiv w:val="1"/>
      <w:marLeft w:val="0"/>
      <w:marRight w:val="0"/>
      <w:marTop w:val="0"/>
      <w:marBottom w:val="0"/>
      <w:divBdr>
        <w:top w:val="none" w:sz="0" w:space="0" w:color="auto"/>
        <w:left w:val="none" w:sz="0" w:space="0" w:color="auto"/>
        <w:bottom w:val="none" w:sz="0" w:space="0" w:color="auto"/>
        <w:right w:val="none" w:sz="0" w:space="0" w:color="auto"/>
      </w:divBdr>
    </w:div>
    <w:div w:id="1654720231">
      <w:bodyDiv w:val="1"/>
      <w:marLeft w:val="0"/>
      <w:marRight w:val="0"/>
      <w:marTop w:val="0"/>
      <w:marBottom w:val="0"/>
      <w:divBdr>
        <w:top w:val="none" w:sz="0" w:space="0" w:color="auto"/>
        <w:left w:val="none" w:sz="0" w:space="0" w:color="auto"/>
        <w:bottom w:val="none" w:sz="0" w:space="0" w:color="auto"/>
        <w:right w:val="none" w:sz="0" w:space="0" w:color="auto"/>
      </w:divBdr>
    </w:div>
    <w:div w:id="1655917454">
      <w:bodyDiv w:val="1"/>
      <w:marLeft w:val="0"/>
      <w:marRight w:val="0"/>
      <w:marTop w:val="0"/>
      <w:marBottom w:val="0"/>
      <w:divBdr>
        <w:top w:val="none" w:sz="0" w:space="0" w:color="auto"/>
        <w:left w:val="none" w:sz="0" w:space="0" w:color="auto"/>
        <w:bottom w:val="none" w:sz="0" w:space="0" w:color="auto"/>
        <w:right w:val="none" w:sz="0" w:space="0" w:color="auto"/>
      </w:divBdr>
    </w:div>
    <w:div w:id="1658879270">
      <w:bodyDiv w:val="1"/>
      <w:marLeft w:val="0"/>
      <w:marRight w:val="0"/>
      <w:marTop w:val="0"/>
      <w:marBottom w:val="0"/>
      <w:divBdr>
        <w:top w:val="none" w:sz="0" w:space="0" w:color="auto"/>
        <w:left w:val="none" w:sz="0" w:space="0" w:color="auto"/>
        <w:bottom w:val="none" w:sz="0" w:space="0" w:color="auto"/>
        <w:right w:val="none" w:sz="0" w:space="0" w:color="auto"/>
      </w:divBdr>
    </w:div>
    <w:div w:id="1659923139">
      <w:bodyDiv w:val="1"/>
      <w:marLeft w:val="0"/>
      <w:marRight w:val="0"/>
      <w:marTop w:val="0"/>
      <w:marBottom w:val="0"/>
      <w:divBdr>
        <w:top w:val="none" w:sz="0" w:space="0" w:color="auto"/>
        <w:left w:val="none" w:sz="0" w:space="0" w:color="auto"/>
        <w:bottom w:val="none" w:sz="0" w:space="0" w:color="auto"/>
        <w:right w:val="none" w:sz="0" w:space="0" w:color="auto"/>
      </w:divBdr>
    </w:div>
    <w:div w:id="1663584064">
      <w:bodyDiv w:val="1"/>
      <w:marLeft w:val="0"/>
      <w:marRight w:val="0"/>
      <w:marTop w:val="0"/>
      <w:marBottom w:val="0"/>
      <w:divBdr>
        <w:top w:val="none" w:sz="0" w:space="0" w:color="auto"/>
        <w:left w:val="none" w:sz="0" w:space="0" w:color="auto"/>
        <w:bottom w:val="none" w:sz="0" w:space="0" w:color="auto"/>
        <w:right w:val="none" w:sz="0" w:space="0" w:color="auto"/>
      </w:divBdr>
    </w:div>
    <w:div w:id="1665429660">
      <w:bodyDiv w:val="1"/>
      <w:marLeft w:val="0"/>
      <w:marRight w:val="0"/>
      <w:marTop w:val="0"/>
      <w:marBottom w:val="0"/>
      <w:divBdr>
        <w:top w:val="none" w:sz="0" w:space="0" w:color="auto"/>
        <w:left w:val="none" w:sz="0" w:space="0" w:color="auto"/>
        <w:bottom w:val="none" w:sz="0" w:space="0" w:color="auto"/>
        <w:right w:val="none" w:sz="0" w:space="0" w:color="auto"/>
      </w:divBdr>
    </w:div>
    <w:div w:id="1665432688">
      <w:bodyDiv w:val="1"/>
      <w:marLeft w:val="0"/>
      <w:marRight w:val="0"/>
      <w:marTop w:val="0"/>
      <w:marBottom w:val="0"/>
      <w:divBdr>
        <w:top w:val="none" w:sz="0" w:space="0" w:color="auto"/>
        <w:left w:val="none" w:sz="0" w:space="0" w:color="auto"/>
        <w:bottom w:val="none" w:sz="0" w:space="0" w:color="auto"/>
        <w:right w:val="none" w:sz="0" w:space="0" w:color="auto"/>
      </w:divBdr>
    </w:div>
    <w:div w:id="1668824860">
      <w:bodyDiv w:val="1"/>
      <w:marLeft w:val="0"/>
      <w:marRight w:val="0"/>
      <w:marTop w:val="0"/>
      <w:marBottom w:val="0"/>
      <w:divBdr>
        <w:top w:val="none" w:sz="0" w:space="0" w:color="auto"/>
        <w:left w:val="none" w:sz="0" w:space="0" w:color="auto"/>
        <w:bottom w:val="none" w:sz="0" w:space="0" w:color="auto"/>
        <w:right w:val="none" w:sz="0" w:space="0" w:color="auto"/>
      </w:divBdr>
    </w:div>
    <w:div w:id="1670448077">
      <w:bodyDiv w:val="1"/>
      <w:marLeft w:val="0"/>
      <w:marRight w:val="0"/>
      <w:marTop w:val="0"/>
      <w:marBottom w:val="0"/>
      <w:divBdr>
        <w:top w:val="none" w:sz="0" w:space="0" w:color="auto"/>
        <w:left w:val="none" w:sz="0" w:space="0" w:color="auto"/>
        <w:bottom w:val="none" w:sz="0" w:space="0" w:color="auto"/>
        <w:right w:val="none" w:sz="0" w:space="0" w:color="auto"/>
      </w:divBdr>
    </w:div>
    <w:div w:id="1670517165">
      <w:bodyDiv w:val="1"/>
      <w:marLeft w:val="0"/>
      <w:marRight w:val="0"/>
      <w:marTop w:val="0"/>
      <w:marBottom w:val="0"/>
      <w:divBdr>
        <w:top w:val="none" w:sz="0" w:space="0" w:color="auto"/>
        <w:left w:val="none" w:sz="0" w:space="0" w:color="auto"/>
        <w:bottom w:val="none" w:sz="0" w:space="0" w:color="auto"/>
        <w:right w:val="none" w:sz="0" w:space="0" w:color="auto"/>
      </w:divBdr>
    </w:div>
    <w:div w:id="1672099501">
      <w:bodyDiv w:val="1"/>
      <w:marLeft w:val="0"/>
      <w:marRight w:val="0"/>
      <w:marTop w:val="0"/>
      <w:marBottom w:val="0"/>
      <w:divBdr>
        <w:top w:val="none" w:sz="0" w:space="0" w:color="auto"/>
        <w:left w:val="none" w:sz="0" w:space="0" w:color="auto"/>
        <w:bottom w:val="none" w:sz="0" w:space="0" w:color="auto"/>
        <w:right w:val="none" w:sz="0" w:space="0" w:color="auto"/>
      </w:divBdr>
    </w:div>
    <w:div w:id="1674261576">
      <w:bodyDiv w:val="1"/>
      <w:marLeft w:val="0"/>
      <w:marRight w:val="0"/>
      <w:marTop w:val="0"/>
      <w:marBottom w:val="0"/>
      <w:divBdr>
        <w:top w:val="none" w:sz="0" w:space="0" w:color="auto"/>
        <w:left w:val="none" w:sz="0" w:space="0" w:color="auto"/>
        <w:bottom w:val="none" w:sz="0" w:space="0" w:color="auto"/>
        <w:right w:val="none" w:sz="0" w:space="0" w:color="auto"/>
      </w:divBdr>
    </w:div>
    <w:div w:id="1675721781">
      <w:bodyDiv w:val="1"/>
      <w:marLeft w:val="0"/>
      <w:marRight w:val="0"/>
      <w:marTop w:val="0"/>
      <w:marBottom w:val="0"/>
      <w:divBdr>
        <w:top w:val="none" w:sz="0" w:space="0" w:color="auto"/>
        <w:left w:val="none" w:sz="0" w:space="0" w:color="auto"/>
        <w:bottom w:val="none" w:sz="0" w:space="0" w:color="auto"/>
        <w:right w:val="none" w:sz="0" w:space="0" w:color="auto"/>
      </w:divBdr>
    </w:div>
    <w:div w:id="1677415563">
      <w:bodyDiv w:val="1"/>
      <w:marLeft w:val="0"/>
      <w:marRight w:val="0"/>
      <w:marTop w:val="0"/>
      <w:marBottom w:val="0"/>
      <w:divBdr>
        <w:top w:val="none" w:sz="0" w:space="0" w:color="auto"/>
        <w:left w:val="none" w:sz="0" w:space="0" w:color="auto"/>
        <w:bottom w:val="none" w:sz="0" w:space="0" w:color="auto"/>
        <w:right w:val="none" w:sz="0" w:space="0" w:color="auto"/>
      </w:divBdr>
    </w:div>
    <w:div w:id="1682664420">
      <w:bodyDiv w:val="1"/>
      <w:marLeft w:val="0"/>
      <w:marRight w:val="0"/>
      <w:marTop w:val="0"/>
      <w:marBottom w:val="0"/>
      <w:divBdr>
        <w:top w:val="none" w:sz="0" w:space="0" w:color="auto"/>
        <w:left w:val="none" w:sz="0" w:space="0" w:color="auto"/>
        <w:bottom w:val="none" w:sz="0" w:space="0" w:color="auto"/>
        <w:right w:val="none" w:sz="0" w:space="0" w:color="auto"/>
      </w:divBdr>
    </w:div>
    <w:div w:id="1686907186">
      <w:bodyDiv w:val="1"/>
      <w:marLeft w:val="0"/>
      <w:marRight w:val="0"/>
      <w:marTop w:val="0"/>
      <w:marBottom w:val="0"/>
      <w:divBdr>
        <w:top w:val="none" w:sz="0" w:space="0" w:color="auto"/>
        <w:left w:val="none" w:sz="0" w:space="0" w:color="auto"/>
        <w:bottom w:val="none" w:sz="0" w:space="0" w:color="auto"/>
        <w:right w:val="none" w:sz="0" w:space="0" w:color="auto"/>
      </w:divBdr>
    </w:div>
    <w:div w:id="1686981779">
      <w:bodyDiv w:val="1"/>
      <w:marLeft w:val="0"/>
      <w:marRight w:val="0"/>
      <w:marTop w:val="0"/>
      <w:marBottom w:val="0"/>
      <w:divBdr>
        <w:top w:val="none" w:sz="0" w:space="0" w:color="auto"/>
        <w:left w:val="none" w:sz="0" w:space="0" w:color="auto"/>
        <w:bottom w:val="none" w:sz="0" w:space="0" w:color="auto"/>
        <w:right w:val="none" w:sz="0" w:space="0" w:color="auto"/>
      </w:divBdr>
    </w:div>
    <w:div w:id="1695613090">
      <w:bodyDiv w:val="1"/>
      <w:marLeft w:val="0"/>
      <w:marRight w:val="0"/>
      <w:marTop w:val="0"/>
      <w:marBottom w:val="0"/>
      <w:divBdr>
        <w:top w:val="none" w:sz="0" w:space="0" w:color="auto"/>
        <w:left w:val="none" w:sz="0" w:space="0" w:color="auto"/>
        <w:bottom w:val="none" w:sz="0" w:space="0" w:color="auto"/>
        <w:right w:val="none" w:sz="0" w:space="0" w:color="auto"/>
      </w:divBdr>
    </w:div>
    <w:div w:id="1700546465">
      <w:bodyDiv w:val="1"/>
      <w:marLeft w:val="0"/>
      <w:marRight w:val="0"/>
      <w:marTop w:val="0"/>
      <w:marBottom w:val="0"/>
      <w:divBdr>
        <w:top w:val="none" w:sz="0" w:space="0" w:color="auto"/>
        <w:left w:val="none" w:sz="0" w:space="0" w:color="auto"/>
        <w:bottom w:val="none" w:sz="0" w:space="0" w:color="auto"/>
        <w:right w:val="none" w:sz="0" w:space="0" w:color="auto"/>
      </w:divBdr>
    </w:div>
    <w:div w:id="1705323524">
      <w:bodyDiv w:val="1"/>
      <w:marLeft w:val="0"/>
      <w:marRight w:val="0"/>
      <w:marTop w:val="0"/>
      <w:marBottom w:val="0"/>
      <w:divBdr>
        <w:top w:val="none" w:sz="0" w:space="0" w:color="auto"/>
        <w:left w:val="none" w:sz="0" w:space="0" w:color="auto"/>
        <w:bottom w:val="none" w:sz="0" w:space="0" w:color="auto"/>
        <w:right w:val="none" w:sz="0" w:space="0" w:color="auto"/>
      </w:divBdr>
    </w:div>
    <w:div w:id="1705786033">
      <w:bodyDiv w:val="1"/>
      <w:marLeft w:val="0"/>
      <w:marRight w:val="0"/>
      <w:marTop w:val="0"/>
      <w:marBottom w:val="0"/>
      <w:divBdr>
        <w:top w:val="none" w:sz="0" w:space="0" w:color="auto"/>
        <w:left w:val="none" w:sz="0" w:space="0" w:color="auto"/>
        <w:bottom w:val="none" w:sz="0" w:space="0" w:color="auto"/>
        <w:right w:val="none" w:sz="0" w:space="0" w:color="auto"/>
      </w:divBdr>
    </w:div>
    <w:div w:id="1706324509">
      <w:bodyDiv w:val="1"/>
      <w:marLeft w:val="0"/>
      <w:marRight w:val="0"/>
      <w:marTop w:val="0"/>
      <w:marBottom w:val="0"/>
      <w:divBdr>
        <w:top w:val="none" w:sz="0" w:space="0" w:color="auto"/>
        <w:left w:val="none" w:sz="0" w:space="0" w:color="auto"/>
        <w:bottom w:val="none" w:sz="0" w:space="0" w:color="auto"/>
        <w:right w:val="none" w:sz="0" w:space="0" w:color="auto"/>
      </w:divBdr>
    </w:div>
    <w:div w:id="1709717353">
      <w:bodyDiv w:val="1"/>
      <w:marLeft w:val="0"/>
      <w:marRight w:val="0"/>
      <w:marTop w:val="0"/>
      <w:marBottom w:val="0"/>
      <w:divBdr>
        <w:top w:val="none" w:sz="0" w:space="0" w:color="auto"/>
        <w:left w:val="none" w:sz="0" w:space="0" w:color="auto"/>
        <w:bottom w:val="none" w:sz="0" w:space="0" w:color="auto"/>
        <w:right w:val="none" w:sz="0" w:space="0" w:color="auto"/>
      </w:divBdr>
    </w:div>
    <w:div w:id="1711033728">
      <w:bodyDiv w:val="1"/>
      <w:marLeft w:val="0"/>
      <w:marRight w:val="0"/>
      <w:marTop w:val="0"/>
      <w:marBottom w:val="0"/>
      <w:divBdr>
        <w:top w:val="none" w:sz="0" w:space="0" w:color="auto"/>
        <w:left w:val="none" w:sz="0" w:space="0" w:color="auto"/>
        <w:bottom w:val="none" w:sz="0" w:space="0" w:color="auto"/>
        <w:right w:val="none" w:sz="0" w:space="0" w:color="auto"/>
      </w:divBdr>
    </w:div>
    <w:div w:id="1712656520">
      <w:bodyDiv w:val="1"/>
      <w:marLeft w:val="0"/>
      <w:marRight w:val="0"/>
      <w:marTop w:val="0"/>
      <w:marBottom w:val="0"/>
      <w:divBdr>
        <w:top w:val="none" w:sz="0" w:space="0" w:color="auto"/>
        <w:left w:val="none" w:sz="0" w:space="0" w:color="auto"/>
        <w:bottom w:val="none" w:sz="0" w:space="0" w:color="auto"/>
        <w:right w:val="none" w:sz="0" w:space="0" w:color="auto"/>
      </w:divBdr>
    </w:div>
    <w:div w:id="1720519396">
      <w:bodyDiv w:val="1"/>
      <w:marLeft w:val="0"/>
      <w:marRight w:val="0"/>
      <w:marTop w:val="0"/>
      <w:marBottom w:val="0"/>
      <w:divBdr>
        <w:top w:val="none" w:sz="0" w:space="0" w:color="auto"/>
        <w:left w:val="none" w:sz="0" w:space="0" w:color="auto"/>
        <w:bottom w:val="none" w:sz="0" w:space="0" w:color="auto"/>
        <w:right w:val="none" w:sz="0" w:space="0" w:color="auto"/>
      </w:divBdr>
    </w:div>
    <w:div w:id="1725910219">
      <w:bodyDiv w:val="1"/>
      <w:marLeft w:val="0"/>
      <w:marRight w:val="0"/>
      <w:marTop w:val="0"/>
      <w:marBottom w:val="0"/>
      <w:divBdr>
        <w:top w:val="none" w:sz="0" w:space="0" w:color="auto"/>
        <w:left w:val="none" w:sz="0" w:space="0" w:color="auto"/>
        <w:bottom w:val="none" w:sz="0" w:space="0" w:color="auto"/>
        <w:right w:val="none" w:sz="0" w:space="0" w:color="auto"/>
      </w:divBdr>
    </w:div>
    <w:div w:id="1728796917">
      <w:bodyDiv w:val="1"/>
      <w:marLeft w:val="0"/>
      <w:marRight w:val="0"/>
      <w:marTop w:val="0"/>
      <w:marBottom w:val="0"/>
      <w:divBdr>
        <w:top w:val="none" w:sz="0" w:space="0" w:color="auto"/>
        <w:left w:val="none" w:sz="0" w:space="0" w:color="auto"/>
        <w:bottom w:val="none" w:sz="0" w:space="0" w:color="auto"/>
        <w:right w:val="none" w:sz="0" w:space="0" w:color="auto"/>
      </w:divBdr>
    </w:div>
    <w:div w:id="1733196368">
      <w:bodyDiv w:val="1"/>
      <w:marLeft w:val="0"/>
      <w:marRight w:val="0"/>
      <w:marTop w:val="0"/>
      <w:marBottom w:val="0"/>
      <w:divBdr>
        <w:top w:val="none" w:sz="0" w:space="0" w:color="auto"/>
        <w:left w:val="none" w:sz="0" w:space="0" w:color="auto"/>
        <w:bottom w:val="none" w:sz="0" w:space="0" w:color="auto"/>
        <w:right w:val="none" w:sz="0" w:space="0" w:color="auto"/>
      </w:divBdr>
    </w:div>
    <w:div w:id="1737170443">
      <w:bodyDiv w:val="1"/>
      <w:marLeft w:val="0"/>
      <w:marRight w:val="0"/>
      <w:marTop w:val="0"/>
      <w:marBottom w:val="0"/>
      <w:divBdr>
        <w:top w:val="none" w:sz="0" w:space="0" w:color="auto"/>
        <w:left w:val="none" w:sz="0" w:space="0" w:color="auto"/>
        <w:bottom w:val="none" w:sz="0" w:space="0" w:color="auto"/>
        <w:right w:val="none" w:sz="0" w:space="0" w:color="auto"/>
      </w:divBdr>
    </w:div>
    <w:div w:id="1737624386">
      <w:bodyDiv w:val="1"/>
      <w:marLeft w:val="0"/>
      <w:marRight w:val="0"/>
      <w:marTop w:val="0"/>
      <w:marBottom w:val="0"/>
      <w:divBdr>
        <w:top w:val="none" w:sz="0" w:space="0" w:color="auto"/>
        <w:left w:val="none" w:sz="0" w:space="0" w:color="auto"/>
        <w:bottom w:val="none" w:sz="0" w:space="0" w:color="auto"/>
        <w:right w:val="none" w:sz="0" w:space="0" w:color="auto"/>
      </w:divBdr>
    </w:div>
    <w:div w:id="1737849950">
      <w:bodyDiv w:val="1"/>
      <w:marLeft w:val="0"/>
      <w:marRight w:val="0"/>
      <w:marTop w:val="0"/>
      <w:marBottom w:val="0"/>
      <w:divBdr>
        <w:top w:val="none" w:sz="0" w:space="0" w:color="auto"/>
        <w:left w:val="none" w:sz="0" w:space="0" w:color="auto"/>
        <w:bottom w:val="none" w:sz="0" w:space="0" w:color="auto"/>
        <w:right w:val="none" w:sz="0" w:space="0" w:color="auto"/>
      </w:divBdr>
    </w:div>
    <w:div w:id="1739549519">
      <w:bodyDiv w:val="1"/>
      <w:marLeft w:val="0"/>
      <w:marRight w:val="0"/>
      <w:marTop w:val="0"/>
      <w:marBottom w:val="0"/>
      <w:divBdr>
        <w:top w:val="none" w:sz="0" w:space="0" w:color="auto"/>
        <w:left w:val="none" w:sz="0" w:space="0" w:color="auto"/>
        <w:bottom w:val="none" w:sz="0" w:space="0" w:color="auto"/>
        <w:right w:val="none" w:sz="0" w:space="0" w:color="auto"/>
      </w:divBdr>
    </w:div>
    <w:div w:id="1744330695">
      <w:bodyDiv w:val="1"/>
      <w:marLeft w:val="0"/>
      <w:marRight w:val="0"/>
      <w:marTop w:val="0"/>
      <w:marBottom w:val="0"/>
      <w:divBdr>
        <w:top w:val="none" w:sz="0" w:space="0" w:color="auto"/>
        <w:left w:val="none" w:sz="0" w:space="0" w:color="auto"/>
        <w:bottom w:val="none" w:sz="0" w:space="0" w:color="auto"/>
        <w:right w:val="none" w:sz="0" w:space="0" w:color="auto"/>
      </w:divBdr>
    </w:div>
    <w:div w:id="1744372565">
      <w:bodyDiv w:val="1"/>
      <w:marLeft w:val="0"/>
      <w:marRight w:val="0"/>
      <w:marTop w:val="0"/>
      <w:marBottom w:val="0"/>
      <w:divBdr>
        <w:top w:val="none" w:sz="0" w:space="0" w:color="auto"/>
        <w:left w:val="none" w:sz="0" w:space="0" w:color="auto"/>
        <w:bottom w:val="none" w:sz="0" w:space="0" w:color="auto"/>
        <w:right w:val="none" w:sz="0" w:space="0" w:color="auto"/>
      </w:divBdr>
    </w:div>
    <w:div w:id="1748385672">
      <w:bodyDiv w:val="1"/>
      <w:marLeft w:val="0"/>
      <w:marRight w:val="0"/>
      <w:marTop w:val="0"/>
      <w:marBottom w:val="0"/>
      <w:divBdr>
        <w:top w:val="none" w:sz="0" w:space="0" w:color="auto"/>
        <w:left w:val="none" w:sz="0" w:space="0" w:color="auto"/>
        <w:bottom w:val="none" w:sz="0" w:space="0" w:color="auto"/>
        <w:right w:val="none" w:sz="0" w:space="0" w:color="auto"/>
      </w:divBdr>
    </w:div>
    <w:div w:id="1752502614">
      <w:bodyDiv w:val="1"/>
      <w:marLeft w:val="0"/>
      <w:marRight w:val="0"/>
      <w:marTop w:val="0"/>
      <w:marBottom w:val="0"/>
      <w:divBdr>
        <w:top w:val="none" w:sz="0" w:space="0" w:color="auto"/>
        <w:left w:val="none" w:sz="0" w:space="0" w:color="auto"/>
        <w:bottom w:val="none" w:sz="0" w:space="0" w:color="auto"/>
        <w:right w:val="none" w:sz="0" w:space="0" w:color="auto"/>
      </w:divBdr>
    </w:div>
    <w:div w:id="1752700408">
      <w:bodyDiv w:val="1"/>
      <w:marLeft w:val="0"/>
      <w:marRight w:val="0"/>
      <w:marTop w:val="0"/>
      <w:marBottom w:val="0"/>
      <w:divBdr>
        <w:top w:val="none" w:sz="0" w:space="0" w:color="auto"/>
        <w:left w:val="none" w:sz="0" w:space="0" w:color="auto"/>
        <w:bottom w:val="none" w:sz="0" w:space="0" w:color="auto"/>
        <w:right w:val="none" w:sz="0" w:space="0" w:color="auto"/>
      </w:divBdr>
    </w:div>
    <w:div w:id="1755399732">
      <w:bodyDiv w:val="1"/>
      <w:marLeft w:val="0"/>
      <w:marRight w:val="0"/>
      <w:marTop w:val="0"/>
      <w:marBottom w:val="0"/>
      <w:divBdr>
        <w:top w:val="none" w:sz="0" w:space="0" w:color="auto"/>
        <w:left w:val="none" w:sz="0" w:space="0" w:color="auto"/>
        <w:bottom w:val="none" w:sz="0" w:space="0" w:color="auto"/>
        <w:right w:val="none" w:sz="0" w:space="0" w:color="auto"/>
      </w:divBdr>
    </w:div>
    <w:div w:id="1756825099">
      <w:bodyDiv w:val="1"/>
      <w:marLeft w:val="0"/>
      <w:marRight w:val="0"/>
      <w:marTop w:val="0"/>
      <w:marBottom w:val="0"/>
      <w:divBdr>
        <w:top w:val="none" w:sz="0" w:space="0" w:color="auto"/>
        <w:left w:val="none" w:sz="0" w:space="0" w:color="auto"/>
        <w:bottom w:val="none" w:sz="0" w:space="0" w:color="auto"/>
        <w:right w:val="none" w:sz="0" w:space="0" w:color="auto"/>
      </w:divBdr>
    </w:div>
    <w:div w:id="1763915779">
      <w:bodyDiv w:val="1"/>
      <w:marLeft w:val="0"/>
      <w:marRight w:val="0"/>
      <w:marTop w:val="0"/>
      <w:marBottom w:val="0"/>
      <w:divBdr>
        <w:top w:val="none" w:sz="0" w:space="0" w:color="auto"/>
        <w:left w:val="none" w:sz="0" w:space="0" w:color="auto"/>
        <w:bottom w:val="none" w:sz="0" w:space="0" w:color="auto"/>
        <w:right w:val="none" w:sz="0" w:space="0" w:color="auto"/>
      </w:divBdr>
    </w:div>
    <w:div w:id="1763917799">
      <w:bodyDiv w:val="1"/>
      <w:marLeft w:val="0"/>
      <w:marRight w:val="0"/>
      <w:marTop w:val="0"/>
      <w:marBottom w:val="0"/>
      <w:divBdr>
        <w:top w:val="none" w:sz="0" w:space="0" w:color="auto"/>
        <w:left w:val="none" w:sz="0" w:space="0" w:color="auto"/>
        <w:bottom w:val="none" w:sz="0" w:space="0" w:color="auto"/>
        <w:right w:val="none" w:sz="0" w:space="0" w:color="auto"/>
      </w:divBdr>
    </w:div>
    <w:div w:id="1768038769">
      <w:bodyDiv w:val="1"/>
      <w:marLeft w:val="0"/>
      <w:marRight w:val="0"/>
      <w:marTop w:val="0"/>
      <w:marBottom w:val="0"/>
      <w:divBdr>
        <w:top w:val="none" w:sz="0" w:space="0" w:color="auto"/>
        <w:left w:val="none" w:sz="0" w:space="0" w:color="auto"/>
        <w:bottom w:val="none" w:sz="0" w:space="0" w:color="auto"/>
        <w:right w:val="none" w:sz="0" w:space="0" w:color="auto"/>
      </w:divBdr>
    </w:div>
    <w:div w:id="1768650563">
      <w:bodyDiv w:val="1"/>
      <w:marLeft w:val="0"/>
      <w:marRight w:val="0"/>
      <w:marTop w:val="0"/>
      <w:marBottom w:val="0"/>
      <w:divBdr>
        <w:top w:val="none" w:sz="0" w:space="0" w:color="auto"/>
        <w:left w:val="none" w:sz="0" w:space="0" w:color="auto"/>
        <w:bottom w:val="none" w:sz="0" w:space="0" w:color="auto"/>
        <w:right w:val="none" w:sz="0" w:space="0" w:color="auto"/>
      </w:divBdr>
    </w:div>
    <w:div w:id="1769884781">
      <w:bodyDiv w:val="1"/>
      <w:marLeft w:val="0"/>
      <w:marRight w:val="0"/>
      <w:marTop w:val="0"/>
      <w:marBottom w:val="0"/>
      <w:divBdr>
        <w:top w:val="none" w:sz="0" w:space="0" w:color="auto"/>
        <w:left w:val="none" w:sz="0" w:space="0" w:color="auto"/>
        <w:bottom w:val="none" w:sz="0" w:space="0" w:color="auto"/>
        <w:right w:val="none" w:sz="0" w:space="0" w:color="auto"/>
      </w:divBdr>
    </w:div>
    <w:div w:id="1770738047">
      <w:bodyDiv w:val="1"/>
      <w:marLeft w:val="0"/>
      <w:marRight w:val="0"/>
      <w:marTop w:val="0"/>
      <w:marBottom w:val="0"/>
      <w:divBdr>
        <w:top w:val="none" w:sz="0" w:space="0" w:color="auto"/>
        <w:left w:val="none" w:sz="0" w:space="0" w:color="auto"/>
        <w:bottom w:val="none" w:sz="0" w:space="0" w:color="auto"/>
        <w:right w:val="none" w:sz="0" w:space="0" w:color="auto"/>
      </w:divBdr>
    </w:div>
    <w:div w:id="1773546096">
      <w:bodyDiv w:val="1"/>
      <w:marLeft w:val="0"/>
      <w:marRight w:val="0"/>
      <w:marTop w:val="0"/>
      <w:marBottom w:val="0"/>
      <w:divBdr>
        <w:top w:val="none" w:sz="0" w:space="0" w:color="auto"/>
        <w:left w:val="none" w:sz="0" w:space="0" w:color="auto"/>
        <w:bottom w:val="none" w:sz="0" w:space="0" w:color="auto"/>
        <w:right w:val="none" w:sz="0" w:space="0" w:color="auto"/>
      </w:divBdr>
    </w:div>
    <w:div w:id="1777872011">
      <w:bodyDiv w:val="1"/>
      <w:marLeft w:val="0"/>
      <w:marRight w:val="0"/>
      <w:marTop w:val="0"/>
      <w:marBottom w:val="0"/>
      <w:divBdr>
        <w:top w:val="none" w:sz="0" w:space="0" w:color="auto"/>
        <w:left w:val="none" w:sz="0" w:space="0" w:color="auto"/>
        <w:bottom w:val="none" w:sz="0" w:space="0" w:color="auto"/>
        <w:right w:val="none" w:sz="0" w:space="0" w:color="auto"/>
      </w:divBdr>
    </w:div>
    <w:div w:id="1778671854">
      <w:bodyDiv w:val="1"/>
      <w:marLeft w:val="0"/>
      <w:marRight w:val="0"/>
      <w:marTop w:val="0"/>
      <w:marBottom w:val="0"/>
      <w:divBdr>
        <w:top w:val="none" w:sz="0" w:space="0" w:color="auto"/>
        <w:left w:val="none" w:sz="0" w:space="0" w:color="auto"/>
        <w:bottom w:val="none" w:sz="0" w:space="0" w:color="auto"/>
        <w:right w:val="none" w:sz="0" w:space="0" w:color="auto"/>
      </w:divBdr>
    </w:div>
    <w:div w:id="1786650501">
      <w:bodyDiv w:val="1"/>
      <w:marLeft w:val="0"/>
      <w:marRight w:val="0"/>
      <w:marTop w:val="0"/>
      <w:marBottom w:val="0"/>
      <w:divBdr>
        <w:top w:val="none" w:sz="0" w:space="0" w:color="auto"/>
        <w:left w:val="none" w:sz="0" w:space="0" w:color="auto"/>
        <w:bottom w:val="none" w:sz="0" w:space="0" w:color="auto"/>
        <w:right w:val="none" w:sz="0" w:space="0" w:color="auto"/>
      </w:divBdr>
    </w:div>
    <w:div w:id="1790397408">
      <w:bodyDiv w:val="1"/>
      <w:marLeft w:val="0"/>
      <w:marRight w:val="0"/>
      <w:marTop w:val="0"/>
      <w:marBottom w:val="0"/>
      <w:divBdr>
        <w:top w:val="none" w:sz="0" w:space="0" w:color="auto"/>
        <w:left w:val="none" w:sz="0" w:space="0" w:color="auto"/>
        <w:bottom w:val="none" w:sz="0" w:space="0" w:color="auto"/>
        <w:right w:val="none" w:sz="0" w:space="0" w:color="auto"/>
      </w:divBdr>
    </w:div>
    <w:div w:id="1795370288">
      <w:bodyDiv w:val="1"/>
      <w:marLeft w:val="0"/>
      <w:marRight w:val="0"/>
      <w:marTop w:val="0"/>
      <w:marBottom w:val="0"/>
      <w:divBdr>
        <w:top w:val="none" w:sz="0" w:space="0" w:color="auto"/>
        <w:left w:val="none" w:sz="0" w:space="0" w:color="auto"/>
        <w:bottom w:val="none" w:sz="0" w:space="0" w:color="auto"/>
        <w:right w:val="none" w:sz="0" w:space="0" w:color="auto"/>
      </w:divBdr>
    </w:div>
    <w:div w:id="1797408448">
      <w:bodyDiv w:val="1"/>
      <w:marLeft w:val="0"/>
      <w:marRight w:val="0"/>
      <w:marTop w:val="0"/>
      <w:marBottom w:val="0"/>
      <w:divBdr>
        <w:top w:val="none" w:sz="0" w:space="0" w:color="auto"/>
        <w:left w:val="none" w:sz="0" w:space="0" w:color="auto"/>
        <w:bottom w:val="none" w:sz="0" w:space="0" w:color="auto"/>
        <w:right w:val="none" w:sz="0" w:space="0" w:color="auto"/>
      </w:divBdr>
    </w:div>
    <w:div w:id="1802575864">
      <w:bodyDiv w:val="1"/>
      <w:marLeft w:val="0"/>
      <w:marRight w:val="0"/>
      <w:marTop w:val="0"/>
      <w:marBottom w:val="0"/>
      <w:divBdr>
        <w:top w:val="none" w:sz="0" w:space="0" w:color="auto"/>
        <w:left w:val="none" w:sz="0" w:space="0" w:color="auto"/>
        <w:bottom w:val="none" w:sz="0" w:space="0" w:color="auto"/>
        <w:right w:val="none" w:sz="0" w:space="0" w:color="auto"/>
      </w:divBdr>
    </w:div>
    <w:div w:id="1804692656">
      <w:bodyDiv w:val="1"/>
      <w:marLeft w:val="0"/>
      <w:marRight w:val="0"/>
      <w:marTop w:val="0"/>
      <w:marBottom w:val="0"/>
      <w:divBdr>
        <w:top w:val="none" w:sz="0" w:space="0" w:color="auto"/>
        <w:left w:val="none" w:sz="0" w:space="0" w:color="auto"/>
        <w:bottom w:val="none" w:sz="0" w:space="0" w:color="auto"/>
        <w:right w:val="none" w:sz="0" w:space="0" w:color="auto"/>
      </w:divBdr>
    </w:div>
    <w:div w:id="1805810291">
      <w:bodyDiv w:val="1"/>
      <w:marLeft w:val="0"/>
      <w:marRight w:val="0"/>
      <w:marTop w:val="0"/>
      <w:marBottom w:val="0"/>
      <w:divBdr>
        <w:top w:val="none" w:sz="0" w:space="0" w:color="auto"/>
        <w:left w:val="none" w:sz="0" w:space="0" w:color="auto"/>
        <w:bottom w:val="none" w:sz="0" w:space="0" w:color="auto"/>
        <w:right w:val="none" w:sz="0" w:space="0" w:color="auto"/>
      </w:divBdr>
    </w:div>
    <w:div w:id="1807577872">
      <w:bodyDiv w:val="1"/>
      <w:marLeft w:val="0"/>
      <w:marRight w:val="0"/>
      <w:marTop w:val="0"/>
      <w:marBottom w:val="0"/>
      <w:divBdr>
        <w:top w:val="none" w:sz="0" w:space="0" w:color="auto"/>
        <w:left w:val="none" w:sz="0" w:space="0" w:color="auto"/>
        <w:bottom w:val="none" w:sz="0" w:space="0" w:color="auto"/>
        <w:right w:val="none" w:sz="0" w:space="0" w:color="auto"/>
      </w:divBdr>
    </w:div>
    <w:div w:id="1808933124">
      <w:bodyDiv w:val="1"/>
      <w:marLeft w:val="0"/>
      <w:marRight w:val="0"/>
      <w:marTop w:val="0"/>
      <w:marBottom w:val="0"/>
      <w:divBdr>
        <w:top w:val="none" w:sz="0" w:space="0" w:color="auto"/>
        <w:left w:val="none" w:sz="0" w:space="0" w:color="auto"/>
        <w:bottom w:val="none" w:sz="0" w:space="0" w:color="auto"/>
        <w:right w:val="none" w:sz="0" w:space="0" w:color="auto"/>
      </w:divBdr>
    </w:div>
    <w:div w:id="1810901129">
      <w:bodyDiv w:val="1"/>
      <w:marLeft w:val="0"/>
      <w:marRight w:val="0"/>
      <w:marTop w:val="0"/>
      <w:marBottom w:val="0"/>
      <w:divBdr>
        <w:top w:val="none" w:sz="0" w:space="0" w:color="auto"/>
        <w:left w:val="none" w:sz="0" w:space="0" w:color="auto"/>
        <w:bottom w:val="none" w:sz="0" w:space="0" w:color="auto"/>
        <w:right w:val="none" w:sz="0" w:space="0" w:color="auto"/>
      </w:divBdr>
    </w:div>
    <w:div w:id="1813012955">
      <w:bodyDiv w:val="1"/>
      <w:marLeft w:val="0"/>
      <w:marRight w:val="0"/>
      <w:marTop w:val="0"/>
      <w:marBottom w:val="0"/>
      <w:divBdr>
        <w:top w:val="none" w:sz="0" w:space="0" w:color="auto"/>
        <w:left w:val="none" w:sz="0" w:space="0" w:color="auto"/>
        <w:bottom w:val="none" w:sz="0" w:space="0" w:color="auto"/>
        <w:right w:val="none" w:sz="0" w:space="0" w:color="auto"/>
      </w:divBdr>
    </w:div>
    <w:div w:id="1815178563">
      <w:bodyDiv w:val="1"/>
      <w:marLeft w:val="0"/>
      <w:marRight w:val="0"/>
      <w:marTop w:val="0"/>
      <w:marBottom w:val="0"/>
      <w:divBdr>
        <w:top w:val="none" w:sz="0" w:space="0" w:color="auto"/>
        <w:left w:val="none" w:sz="0" w:space="0" w:color="auto"/>
        <w:bottom w:val="none" w:sz="0" w:space="0" w:color="auto"/>
        <w:right w:val="none" w:sz="0" w:space="0" w:color="auto"/>
      </w:divBdr>
    </w:div>
    <w:div w:id="1821338303">
      <w:bodyDiv w:val="1"/>
      <w:marLeft w:val="0"/>
      <w:marRight w:val="0"/>
      <w:marTop w:val="0"/>
      <w:marBottom w:val="0"/>
      <w:divBdr>
        <w:top w:val="none" w:sz="0" w:space="0" w:color="auto"/>
        <w:left w:val="none" w:sz="0" w:space="0" w:color="auto"/>
        <w:bottom w:val="none" w:sz="0" w:space="0" w:color="auto"/>
        <w:right w:val="none" w:sz="0" w:space="0" w:color="auto"/>
      </w:divBdr>
    </w:div>
    <w:div w:id="1821925664">
      <w:bodyDiv w:val="1"/>
      <w:marLeft w:val="0"/>
      <w:marRight w:val="0"/>
      <w:marTop w:val="0"/>
      <w:marBottom w:val="0"/>
      <w:divBdr>
        <w:top w:val="none" w:sz="0" w:space="0" w:color="auto"/>
        <w:left w:val="none" w:sz="0" w:space="0" w:color="auto"/>
        <w:bottom w:val="none" w:sz="0" w:space="0" w:color="auto"/>
        <w:right w:val="none" w:sz="0" w:space="0" w:color="auto"/>
      </w:divBdr>
    </w:div>
    <w:div w:id="1822892408">
      <w:bodyDiv w:val="1"/>
      <w:marLeft w:val="0"/>
      <w:marRight w:val="0"/>
      <w:marTop w:val="0"/>
      <w:marBottom w:val="0"/>
      <w:divBdr>
        <w:top w:val="none" w:sz="0" w:space="0" w:color="auto"/>
        <w:left w:val="none" w:sz="0" w:space="0" w:color="auto"/>
        <w:bottom w:val="none" w:sz="0" w:space="0" w:color="auto"/>
        <w:right w:val="none" w:sz="0" w:space="0" w:color="auto"/>
      </w:divBdr>
    </w:div>
    <w:div w:id="1828282401">
      <w:bodyDiv w:val="1"/>
      <w:marLeft w:val="0"/>
      <w:marRight w:val="0"/>
      <w:marTop w:val="0"/>
      <w:marBottom w:val="0"/>
      <w:divBdr>
        <w:top w:val="none" w:sz="0" w:space="0" w:color="auto"/>
        <w:left w:val="none" w:sz="0" w:space="0" w:color="auto"/>
        <w:bottom w:val="none" w:sz="0" w:space="0" w:color="auto"/>
        <w:right w:val="none" w:sz="0" w:space="0" w:color="auto"/>
      </w:divBdr>
    </w:div>
    <w:div w:id="1835146253">
      <w:bodyDiv w:val="1"/>
      <w:marLeft w:val="0"/>
      <w:marRight w:val="0"/>
      <w:marTop w:val="0"/>
      <w:marBottom w:val="0"/>
      <w:divBdr>
        <w:top w:val="none" w:sz="0" w:space="0" w:color="auto"/>
        <w:left w:val="none" w:sz="0" w:space="0" w:color="auto"/>
        <w:bottom w:val="none" w:sz="0" w:space="0" w:color="auto"/>
        <w:right w:val="none" w:sz="0" w:space="0" w:color="auto"/>
      </w:divBdr>
    </w:div>
    <w:div w:id="1835295276">
      <w:bodyDiv w:val="1"/>
      <w:marLeft w:val="0"/>
      <w:marRight w:val="0"/>
      <w:marTop w:val="0"/>
      <w:marBottom w:val="0"/>
      <w:divBdr>
        <w:top w:val="none" w:sz="0" w:space="0" w:color="auto"/>
        <w:left w:val="none" w:sz="0" w:space="0" w:color="auto"/>
        <w:bottom w:val="none" w:sz="0" w:space="0" w:color="auto"/>
        <w:right w:val="none" w:sz="0" w:space="0" w:color="auto"/>
      </w:divBdr>
    </w:div>
    <w:div w:id="1837186876">
      <w:bodyDiv w:val="1"/>
      <w:marLeft w:val="0"/>
      <w:marRight w:val="0"/>
      <w:marTop w:val="0"/>
      <w:marBottom w:val="0"/>
      <w:divBdr>
        <w:top w:val="none" w:sz="0" w:space="0" w:color="auto"/>
        <w:left w:val="none" w:sz="0" w:space="0" w:color="auto"/>
        <w:bottom w:val="none" w:sz="0" w:space="0" w:color="auto"/>
        <w:right w:val="none" w:sz="0" w:space="0" w:color="auto"/>
      </w:divBdr>
    </w:div>
    <w:div w:id="1837921772">
      <w:bodyDiv w:val="1"/>
      <w:marLeft w:val="0"/>
      <w:marRight w:val="0"/>
      <w:marTop w:val="0"/>
      <w:marBottom w:val="0"/>
      <w:divBdr>
        <w:top w:val="none" w:sz="0" w:space="0" w:color="auto"/>
        <w:left w:val="none" w:sz="0" w:space="0" w:color="auto"/>
        <w:bottom w:val="none" w:sz="0" w:space="0" w:color="auto"/>
        <w:right w:val="none" w:sz="0" w:space="0" w:color="auto"/>
      </w:divBdr>
    </w:div>
    <w:div w:id="1838184871">
      <w:bodyDiv w:val="1"/>
      <w:marLeft w:val="0"/>
      <w:marRight w:val="0"/>
      <w:marTop w:val="0"/>
      <w:marBottom w:val="0"/>
      <w:divBdr>
        <w:top w:val="none" w:sz="0" w:space="0" w:color="auto"/>
        <w:left w:val="none" w:sz="0" w:space="0" w:color="auto"/>
        <w:bottom w:val="none" w:sz="0" w:space="0" w:color="auto"/>
        <w:right w:val="none" w:sz="0" w:space="0" w:color="auto"/>
      </w:divBdr>
    </w:div>
    <w:div w:id="1839810807">
      <w:bodyDiv w:val="1"/>
      <w:marLeft w:val="0"/>
      <w:marRight w:val="0"/>
      <w:marTop w:val="0"/>
      <w:marBottom w:val="0"/>
      <w:divBdr>
        <w:top w:val="none" w:sz="0" w:space="0" w:color="auto"/>
        <w:left w:val="none" w:sz="0" w:space="0" w:color="auto"/>
        <w:bottom w:val="none" w:sz="0" w:space="0" w:color="auto"/>
        <w:right w:val="none" w:sz="0" w:space="0" w:color="auto"/>
      </w:divBdr>
    </w:div>
    <w:div w:id="1840272506">
      <w:bodyDiv w:val="1"/>
      <w:marLeft w:val="0"/>
      <w:marRight w:val="0"/>
      <w:marTop w:val="0"/>
      <w:marBottom w:val="0"/>
      <w:divBdr>
        <w:top w:val="none" w:sz="0" w:space="0" w:color="auto"/>
        <w:left w:val="none" w:sz="0" w:space="0" w:color="auto"/>
        <w:bottom w:val="none" w:sz="0" w:space="0" w:color="auto"/>
        <w:right w:val="none" w:sz="0" w:space="0" w:color="auto"/>
      </w:divBdr>
    </w:div>
    <w:div w:id="1840731667">
      <w:bodyDiv w:val="1"/>
      <w:marLeft w:val="0"/>
      <w:marRight w:val="0"/>
      <w:marTop w:val="0"/>
      <w:marBottom w:val="0"/>
      <w:divBdr>
        <w:top w:val="none" w:sz="0" w:space="0" w:color="auto"/>
        <w:left w:val="none" w:sz="0" w:space="0" w:color="auto"/>
        <w:bottom w:val="none" w:sz="0" w:space="0" w:color="auto"/>
        <w:right w:val="none" w:sz="0" w:space="0" w:color="auto"/>
      </w:divBdr>
    </w:div>
    <w:div w:id="1841849368">
      <w:bodyDiv w:val="1"/>
      <w:marLeft w:val="0"/>
      <w:marRight w:val="0"/>
      <w:marTop w:val="0"/>
      <w:marBottom w:val="0"/>
      <w:divBdr>
        <w:top w:val="none" w:sz="0" w:space="0" w:color="auto"/>
        <w:left w:val="none" w:sz="0" w:space="0" w:color="auto"/>
        <w:bottom w:val="none" w:sz="0" w:space="0" w:color="auto"/>
        <w:right w:val="none" w:sz="0" w:space="0" w:color="auto"/>
      </w:divBdr>
    </w:div>
    <w:div w:id="1845972736">
      <w:bodyDiv w:val="1"/>
      <w:marLeft w:val="0"/>
      <w:marRight w:val="0"/>
      <w:marTop w:val="0"/>
      <w:marBottom w:val="0"/>
      <w:divBdr>
        <w:top w:val="none" w:sz="0" w:space="0" w:color="auto"/>
        <w:left w:val="none" w:sz="0" w:space="0" w:color="auto"/>
        <w:bottom w:val="none" w:sz="0" w:space="0" w:color="auto"/>
        <w:right w:val="none" w:sz="0" w:space="0" w:color="auto"/>
      </w:divBdr>
    </w:div>
    <w:div w:id="1854537783">
      <w:bodyDiv w:val="1"/>
      <w:marLeft w:val="0"/>
      <w:marRight w:val="0"/>
      <w:marTop w:val="0"/>
      <w:marBottom w:val="0"/>
      <w:divBdr>
        <w:top w:val="none" w:sz="0" w:space="0" w:color="auto"/>
        <w:left w:val="none" w:sz="0" w:space="0" w:color="auto"/>
        <w:bottom w:val="none" w:sz="0" w:space="0" w:color="auto"/>
        <w:right w:val="none" w:sz="0" w:space="0" w:color="auto"/>
      </w:divBdr>
    </w:div>
    <w:div w:id="1862621148">
      <w:bodyDiv w:val="1"/>
      <w:marLeft w:val="0"/>
      <w:marRight w:val="0"/>
      <w:marTop w:val="0"/>
      <w:marBottom w:val="0"/>
      <w:divBdr>
        <w:top w:val="none" w:sz="0" w:space="0" w:color="auto"/>
        <w:left w:val="none" w:sz="0" w:space="0" w:color="auto"/>
        <w:bottom w:val="none" w:sz="0" w:space="0" w:color="auto"/>
        <w:right w:val="none" w:sz="0" w:space="0" w:color="auto"/>
      </w:divBdr>
    </w:div>
    <w:div w:id="1862622378">
      <w:bodyDiv w:val="1"/>
      <w:marLeft w:val="0"/>
      <w:marRight w:val="0"/>
      <w:marTop w:val="0"/>
      <w:marBottom w:val="0"/>
      <w:divBdr>
        <w:top w:val="none" w:sz="0" w:space="0" w:color="auto"/>
        <w:left w:val="none" w:sz="0" w:space="0" w:color="auto"/>
        <w:bottom w:val="none" w:sz="0" w:space="0" w:color="auto"/>
        <w:right w:val="none" w:sz="0" w:space="0" w:color="auto"/>
      </w:divBdr>
    </w:div>
    <w:div w:id="1864443055">
      <w:bodyDiv w:val="1"/>
      <w:marLeft w:val="0"/>
      <w:marRight w:val="0"/>
      <w:marTop w:val="0"/>
      <w:marBottom w:val="0"/>
      <w:divBdr>
        <w:top w:val="none" w:sz="0" w:space="0" w:color="auto"/>
        <w:left w:val="none" w:sz="0" w:space="0" w:color="auto"/>
        <w:bottom w:val="none" w:sz="0" w:space="0" w:color="auto"/>
        <w:right w:val="none" w:sz="0" w:space="0" w:color="auto"/>
      </w:divBdr>
    </w:div>
    <w:div w:id="1868911285">
      <w:bodyDiv w:val="1"/>
      <w:marLeft w:val="0"/>
      <w:marRight w:val="0"/>
      <w:marTop w:val="0"/>
      <w:marBottom w:val="0"/>
      <w:divBdr>
        <w:top w:val="none" w:sz="0" w:space="0" w:color="auto"/>
        <w:left w:val="none" w:sz="0" w:space="0" w:color="auto"/>
        <w:bottom w:val="none" w:sz="0" w:space="0" w:color="auto"/>
        <w:right w:val="none" w:sz="0" w:space="0" w:color="auto"/>
      </w:divBdr>
    </w:div>
    <w:div w:id="1869221063">
      <w:bodyDiv w:val="1"/>
      <w:marLeft w:val="0"/>
      <w:marRight w:val="0"/>
      <w:marTop w:val="0"/>
      <w:marBottom w:val="0"/>
      <w:divBdr>
        <w:top w:val="none" w:sz="0" w:space="0" w:color="auto"/>
        <w:left w:val="none" w:sz="0" w:space="0" w:color="auto"/>
        <w:bottom w:val="none" w:sz="0" w:space="0" w:color="auto"/>
        <w:right w:val="none" w:sz="0" w:space="0" w:color="auto"/>
      </w:divBdr>
    </w:div>
    <w:div w:id="1870143280">
      <w:bodyDiv w:val="1"/>
      <w:marLeft w:val="0"/>
      <w:marRight w:val="0"/>
      <w:marTop w:val="0"/>
      <w:marBottom w:val="0"/>
      <w:divBdr>
        <w:top w:val="none" w:sz="0" w:space="0" w:color="auto"/>
        <w:left w:val="none" w:sz="0" w:space="0" w:color="auto"/>
        <w:bottom w:val="none" w:sz="0" w:space="0" w:color="auto"/>
        <w:right w:val="none" w:sz="0" w:space="0" w:color="auto"/>
      </w:divBdr>
    </w:div>
    <w:div w:id="1870795906">
      <w:bodyDiv w:val="1"/>
      <w:marLeft w:val="0"/>
      <w:marRight w:val="0"/>
      <w:marTop w:val="0"/>
      <w:marBottom w:val="0"/>
      <w:divBdr>
        <w:top w:val="none" w:sz="0" w:space="0" w:color="auto"/>
        <w:left w:val="none" w:sz="0" w:space="0" w:color="auto"/>
        <w:bottom w:val="none" w:sz="0" w:space="0" w:color="auto"/>
        <w:right w:val="none" w:sz="0" w:space="0" w:color="auto"/>
      </w:divBdr>
    </w:div>
    <w:div w:id="1874226603">
      <w:bodyDiv w:val="1"/>
      <w:marLeft w:val="0"/>
      <w:marRight w:val="0"/>
      <w:marTop w:val="0"/>
      <w:marBottom w:val="0"/>
      <w:divBdr>
        <w:top w:val="none" w:sz="0" w:space="0" w:color="auto"/>
        <w:left w:val="none" w:sz="0" w:space="0" w:color="auto"/>
        <w:bottom w:val="none" w:sz="0" w:space="0" w:color="auto"/>
        <w:right w:val="none" w:sz="0" w:space="0" w:color="auto"/>
      </w:divBdr>
    </w:div>
    <w:div w:id="1878927375">
      <w:bodyDiv w:val="1"/>
      <w:marLeft w:val="0"/>
      <w:marRight w:val="0"/>
      <w:marTop w:val="0"/>
      <w:marBottom w:val="0"/>
      <w:divBdr>
        <w:top w:val="none" w:sz="0" w:space="0" w:color="auto"/>
        <w:left w:val="none" w:sz="0" w:space="0" w:color="auto"/>
        <w:bottom w:val="none" w:sz="0" w:space="0" w:color="auto"/>
        <w:right w:val="none" w:sz="0" w:space="0" w:color="auto"/>
      </w:divBdr>
    </w:div>
    <w:div w:id="1879272444">
      <w:bodyDiv w:val="1"/>
      <w:marLeft w:val="0"/>
      <w:marRight w:val="0"/>
      <w:marTop w:val="0"/>
      <w:marBottom w:val="0"/>
      <w:divBdr>
        <w:top w:val="none" w:sz="0" w:space="0" w:color="auto"/>
        <w:left w:val="none" w:sz="0" w:space="0" w:color="auto"/>
        <w:bottom w:val="none" w:sz="0" w:space="0" w:color="auto"/>
        <w:right w:val="none" w:sz="0" w:space="0" w:color="auto"/>
      </w:divBdr>
    </w:div>
    <w:div w:id="1879664923">
      <w:bodyDiv w:val="1"/>
      <w:marLeft w:val="0"/>
      <w:marRight w:val="0"/>
      <w:marTop w:val="0"/>
      <w:marBottom w:val="0"/>
      <w:divBdr>
        <w:top w:val="none" w:sz="0" w:space="0" w:color="auto"/>
        <w:left w:val="none" w:sz="0" w:space="0" w:color="auto"/>
        <w:bottom w:val="none" w:sz="0" w:space="0" w:color="auto"/>
        <w:right w:val="none" w:sz="0" w:space="0" w:color="auto"/>
      </w:divBdr>
    </w:div>
    <w:div w:id="1883639832">
      <w:bodyDiv w:val="1"/>
      <w:marLeft w:val="0"/>
      <w:marRight w:val="0"/>
      <w:marTop w:val="0"/>
      <w:marBottom w:val="0"/>
      <w:divBdr>
        <w:top w:val="none" w:sz="0" w:space="0" w:color="auto"/>
        <w:left w:val="none" w:sz="0" w:space="0" w:color="auto"/>
        <w:bottom w:val="none" w:sz="0" w:space="0" w:color="auto"/>
        <w:right w:val="none" w:sz="0" w:space="0" w:color="auto"/>
      </w:divBdr>
    </w:div>
    <w:div w:id="1887637155">
      <w:bodyDiv w:val="1"/>
      <w:marLeft w:val="0"/>
      <w:marRight w:val="0"/>
      <w:marTop w:val="0"/>
      <w:marBottom w:val="0"/>
      <w:divBdr>
        <w:top w:val="none" w:sz="0" w:space="0" w:color="auto"/>
        <w:left w:val="none" w:sz="0" w:space="0" w:color="auto"/>
        <w:bottom w:val="none" w:sz="0" w:space="0" w:color="auto"/>
        <w:right w:val="none" w:sz="0" w:space="0" w:color="auto"/>
      </w:divBdr>
    </w:div>
    <w:div w:id="1888102334">
      <w:bodyDiv w:val="1"/>
      <w:marLeft w:val="0"/>
      <w:marRight w:val="0"/>
      <w:marTop w:val="0"/>
      <w:marBottom w:val="0"/>
      <w:divBdr>
        <w:top w:val="none" w:sz="0" w:space="0" w:color="auto"/>
        <w:left w:val="none" w:sz="0" w:space="0" w:color="auto"/>
        <w:bottom w:val="none" w:sz="0" w:space="0" w:color="auto"/>
        <w:right w:val="none" w:sz="0" w:space="0" w:color="auto"/>
      </w:divBdr>
    </w:div>
    <w:div w:id="1890415335">
      <w:bodyDiv w:val="1"/>
      <w:marLeft w:val="0"/>
      <w:marRight w:val="0"/>
      <w:marTop w:val="0"/>
      <w:marBottom w:val="0"/>
      <w:divBdr>
        <w:top w:val="none" w:sz="0" w:space="0" w:color="auto"/>
        <w:left w:val="none" w:sz="0" w:space="0" w:color="auto"/>
        <w:bottom w:val="none" w:sz="0" w:space="0" w:color="auto"/>
        <w:right w:val="none" w:sz="0" w:space="0" w:color="auto"/>
      </w:divBdr>
    </w:div>
    <w:div w:id="1892570290">
      <w:bodyDiv w:val="1"/>
      <w:marLeft w:val="0"/>
      <w:marRight w:val="0"/>
      <w:marTop w:val="0"/>
      <w:marBottom w:val="0"/>
      <w:divBdr>
        <w:top w:val="none" w:sz="0" w:space="0" w:color="auto"/>
        <w:left w:val="none" w:sz="0" w:space="0" w:color="auto"/>
        <w:bottom w:val="none" w:sz="0" w:space="0" w:color="auto"/>
        <w:right w:val="none" w:sz="0" w:space="0" w:color="auto"/>
      </w:divBdr>
    </w:div>
    <w:div w:id="1893034186">
      <w:bodyDiv w:val="1"/>
      <w:marLeft w:val="0"/>
      <w:marRight w:val="0"/>
      <w:marTop w:val="0"/>
      <w:marBottom w:val="0"/>
      <w:divBdr>
        <w:top w:val="none" w:sz="0" w:space="0" w:color="auto"/>
        <w:left w:val="none" w:sz="0" w:space="0" w:color="auto"/>
        <w:bottom w:val="none" w:sz="0" w:space="0" w:color="auto"/>
        <w:right w:val="none" w:sz="0" w:space="0" w:color="auto"/>
      </w:divBdr>
    </w:div>
    <w:div w:id="1893731088">
      <w:bodyDiv w:val="1"/>
      <w:marLeft w:val="0"/>
      <w:marRight w:val="0"/>
      <w:marTop w:val="0"/>
      <w:marBottom w:val="0"/>
      <w:divBdr>
        <w:top w:val="none" w:sz="0" w:space="0" w:color="auto"/>
        <w:left w:val="none" w:sz="0" w:space="0" w:color="auto"/>
        <w:bottom w:val="none" w:sz="0" w:space="0" w:color="auto"/>
        <w:right w:val="none" w:sz="0" w:space="0" w:color="auto"/>
      </w:divBdr>
    </w:div>
    <w:div w:id="1900897236">
      <w:bodyDiv w:val="1"/>
      <w:marLeft w:val="0"/>
      <w:marRight w:val="0"/>
      <w:marTop w:val="0"/>
      <w:marBottom w:val="0"/>
      <w:divBdr>
        <w:top w:val="none" w:sz="0" w:space="0" w:color="auto"/>
        <w:left w:val="none" w:sz="0" w:space="0" w:color="auto"/>
        <w:bottom w:val="none" w:sz="0" w:space="0" w:color="auto"/>
        <w:right w:val="none" w:sz="0" w:space="0" w:color="auto"/>
      </w:divBdr>
    </w:div>
    <w:div w:id="1910798760">
      <w:bodyDiv w:val="1"/>
      <w:marLeft w:val="0"/>
      <w:marRight w:val="0"/>
      <w:marTop w:val="0"/>
      <w:marBottom w:val="0"/>
      <w:divBdr>
        <w:top w:val="none" w:sz="0" w:space="0" w:color="auto"/>
        <w:left w:val="none" w:sz="0" w:space="0" w:color="auto"/>
        <w:bottom w:val="none" w:sz="0" w:space="0" w:color="auto"/>
        <w:right w:val="none" w:sz="0" w:space="0" w:color="auto"/>
      </w:divBdr>
    </w:div>
    <w:div w:id="1913813289">
      <w:bodyDiv w:val="1"/>
      <w:marLeft w:val="0"/>
      <w:marRight w:val="0"/>
      <w:marTop w:val="0"/>
      <w:marBottom w:val="0"/>
      <w:divBdr>
        <w:top w:val="none" w:sz="0" w:space="0" w:color="auto"/>
        <w:left w:val="none" w:sz="0" w:space="0" w:color="auto"/>
        <w:bottom w:val="none" w:sz="0" w:space="0" w:color="auto"/>
        <w:right w:val="none" w:sz="0" w:space="0" w:color="auto"/>
      </w:divBdr>
    </w:div>
    <w:div w:id="1914389896">
      <w:bodyDiv w:val="1"/>
      <w:marLeft w:val="0"/>
      <w:marRight w:val="0"/>
      <w:marTop w:val="0"/>
      <w:marBottom w:val="0"/>
      <w:divBdr>
        <w:top w:val="none" w:sz="0" w:space="0" w:color="auto"/>
        <w:left w:val="none" w:sz="0" w:space="0" w:color="auto"/>
        <w:bottom w:val="none" w:sz="0" w:space="0" w:color="auto"/>
        <w:right w:val="none" w:sz="0" w:space="0" w:color="auto"/>
      </w:divBdr>
    </w:div>
    <w:div w:id="1915166599">
      <w:bodyDiv w:val="1"/>
      <w:marLeft w:val="0"/>
      <w:marRight w:val="0"/>
      <w:marTop w:val="0"/>
      <w:marBottom w:val="0"/>
      <w:divBdr>
        <w:top w:val="none" w:sz="0" w:space="0" w:color="auto"/>
        <w:left w:val="none" w:sz="0" w:space="0" w:color="auto"/>
        <w:bottom w:val="none" w:sz="0" w:space="0" w:color="auto"/>
        <w:right w:val="none" w:sz="0" w:space="0" w:color="auto"/>
      </w:divBdr>
    </w:div>
    <w:div w:id="1917324776">
      <w:bodyDiv w:val="1"/>
      <w:marLeft w:val="0"/>
      <w:marRight w:val="0"/>
      <w:marTop w:val="0"/>
      <w:marBottom w:val="0"/>
      <w:divBdr>
        <w:top w:val="none" w:sz="0" w:space="0" w:color="auto"/>
        <w:left w:val="none" w:sz="0" w:space="0" w:color="auto"/>
        <w:bottom w:val="none" w:sz="0" w:space="0" w:color="auto"/>
        <w:right w:val="none" w:sz="0" w:space="0" w:color="auto"/>
      </w:divBdr>
    </w:div>
    <w:div w:id="1921137908">
      <w:bodyDiv w:val="1"/>
      <w:marLeft w:val="0"/>
      <w:marRight w:val="0"/>
      <w:marTop w:val="0"/>
      <w:marBottom w:val="0"/>
      <w:divBdr>
        <w:top w:val="none" w:sz="0" w:space="0" w:color="auto"/>
        <w:left w:val="none" w:sz="0" w:space="0" w:color="auto"/>
        <w:bottom w:val="none" w:sz="0" w:space="0" w:color="auto"/>
        <w:right w:val="none" w:sz="0" w:space="0" w:color="auto"/>
      </w:divBdr>
    </w:div>
    <w:div w:id="1921985363">
      <w:bodyDiv w:val="1"/>
      <w:marLeft w:val="0"/>
      <w:marRight w:val="0"/>
      <w:marTop w:val="0"/>
      <w:marBottom w:val="0"/>
      <w:divBdr>
        <w:top w:val="none" w:sz="0" w:space="0" w:color="auto"/>
        <w:left w:val="none" w:sz="0" w:space="0" w:color="auto"/>
        <w:bottom w:val="none" w:sz="0" w:space="0" w:color="auto"/>
        <w:right w:val="none" w:sz="0" w:space="0" w:color="auto"/>
      </w:divBdr>
    </w:div>
    <w:div w:id="1923686105">
      <w:bodyDiv w:val="1"/>
      <w:marLeft w:val="0"/>
      <w:marRight w:val="0"/>
      <w:marTop w:val="0"/>
      <w:marBottom w:val="0"/>
      <w:divBdr>
        <w:top w:val="none" w:sz="0" w:space="0" w:color="auto"/>
        <w:left w:val="none" w:sz="0" w:space="0" w:color="auto"/>
        <w:bottom w:val="none" w:sz="0" w:space="0" w:color="auto"/>
        <w:right w:val="none" w:sz="0" w:space="0" w:color="auto"/>
      </w:divBdr>
    </w:div>
    <w:div w:id="1925259634">
      <w:bodyDiv w:val="1"/>
      <w:marLeft w:val="0"/>
      <w:marRight w:val="0"/>
      <w:marTop w:val="0"/>
      <w:marBottom w:val="0"/>
      <w:divBdr>
        <w:top w:val="none" w:sz="0" w:space="0" w:color="auto"/>
        <w:left w:val="none" w:sz="0" w:space="0" w:color="auto"/>
        <w:bottom w:val="none" w:sz="0" w:space="0" w:color="auto"/>
        <w:right w:val="none" w:sz="0" w:space="0" w:color="auto"/>
      </w:divBdr>
    </w:div>
    <w:div w:id="1925844198">
      <w:bodyDiv w:val="1"/>
      <w:marLeft w:val="0"/>
      <w:marRight w:val="0"/>
      <w:marTop w:val="0"/>
      <w:marBottom w:val="0"/>
      <w:divBdr>
        <w:top w:val="none" w:sz="0" w:space="0" w:color="auto"/>
        <w:left w:val="none" w:sz="0" w:space="0" w:color="auto"/>
        <w:bottom w:val="none" w:sz="0" w:space="0" w:color="auto"/>
        <w:right w:val="none" w:sz="0" w:space="0" w:color="auto"/>
      </w:divBdr>
    </w:div>
    <w:div w:id="1926645967">
      <w:bodyDiv w:val="1"/>
      <w:marLeft w:val="0"/>
      <w:marRight w:val="0"/>
      <w:marTop w:val="0"/>
      <w:marBottom w:val="0"/>
      <w:divBdr>
        <w:top w:val="none" w:sz="0" w:space="0" w:color="auto"/>
        <w:left w:val="none" w:sz="0" w:space="0" w:color="auto"/>
        <w:bottom w:val="none" w:sz="0" w:space="0" w:color="auto"/>
        <w:right w:val="none" w:sz="0" w:space="0" w:color="auto"/>
      </w:divBdr>
    </w:div>
    <w:div w:id="1928494293">
      <w:bodyDiv w:val="1"/>
      <w:marLeft w:val="0"/>
      <w:marRight w:val="0"/>
      <w:marTop w:val="0"/>
      <w:marBottom w:val="0"/>
      <w:divBdr>
        <w:top w:val="none" w:sz="0" w:space="0" w:color="auto"/>
        <w:left w:val="none" w:sz="0" w:space="0" w:color="auto"/>
        <w:bottom w:val="none" w:sz="0" w:space="0" w:color="auto"/>
        <w:right w:val="none" w:sz="0" w:space="0" w:color="auto"/>
      </w:divBdr>
    </w:div>
    <w:div w:id="1930312397">
      <w:bodyDiv w:val="1"/>
      <w:marLeft w:val="0"/>
      <w:marRight w:val="0"/>
      <w:marTop w:val="0"/>
      <w:marBottom w:val="0"/>
      <w:divBdr>
        <w:top w:val="none" w:sz="0" w:space="0" w:color="auto"/>
        <w:left w:val="none" w:sz="0" w:space="0" w:color="auto"/>
        <w:bottom w:val="none" w:sz="0" w:space="0" w:color="auto"/>
        <w:right w:val="none" w:sz="0" w:space="0" w:color="auto"/>
      </w:divBdr>
    </w:div>
    <w:div w:id="1937013507">
      <w:bodyDiv w:val="1"/>
      <w:marLeft w:val="0"/>
      <w:marRight w:val="0"/>
      <w:marTop w:val="0"/>
      <w:marBottom w:val="0"/>
      <w:divBdr>
        <w:top w:val="none" w:sz="0" w:space="0" w:color="auto"/>
        <w:left w:val="none" w:sz="0" w:space="0" w:color="auto"/>
        <w:bottom w:val="none" w:sz="0" w:space="0" w:color="auto"/>
        <w:right w:val="none" w:sz="0" w:space="0" w:color="auto"/>
      </w:divBdr>
    </w:div>
    <w:div w:id="1940789275">
      <w:bodyDiv w:val="1"/>
      <w:marLeft w:val="0"/>
      <w:marRight w:val="0"/>
      <w:marTop w:val="0"/>
      <w:marBottom w:val="0"/>
      <w:divBdr>
        <w:top w:val="none" w:sz="0" w:space="0" w:color="auto"/>
        <w:left w:val="none" w:sz="0" w:space="0" w:color="auto"/>
        <w:bottom w:val="none" w:sz="0" w:space="0" w:color="auto"/>
        <w:right w:val="none" w:sz="0" w:space="0" w:color="auto"/>
      </w:divBdr>
      <w:divsChild>
        <w:div w:id="1142502708">
          <w:marLeft w:val="0"/>
          <w:marRight w:val="0"/>
          <w:marTop w:val="0"/>
          <w:marBottom w:val="0"/>
          <w:divBdr>
            <w:top w:val="none" w:sz="0" w:space="0" w:color="auto"/>
            <w:left w:val="none" w:sz="0" w:space="0" w:color="auto"/>
            <w:bottom w:val="none" w:sz="0" w:space="0" w:color="auto"/>
            <w:right w:val="none" w:sz="0" w:space="0" w:color="auto"/>
          </w:divBdr>
          <w:divsChild>
            <w:div w:id="1804151439">
              <w:marLeft w:val="0"/>
              <w:marRight w:val="0"/>
              <w:marTop w:val="0"/>
              <w:marBottom w:val="0"/>
              <w:divBdr>
                <w:top w:val="none" w:sz="0" w:space="0" w:color="auto"/>
                <w:left w:val="none" w:sz="0" w:space="0" w:color="auto"/>
                <w:bottom w:val="none" w:sz="0" w:space="0" w:color="auto"/>
                <w:right w:val="none" w:sz="0" w:space="0" w:color="auto"/>
              </w:divBdr>
            </w:div>
          </w:divsChild>
        </w:div>
        <w:div w:id="2091847991">
          <w:marLeft w:val="0"/>
          <w:marRight w:val="0"/>
          <w:marTop w:val="0"/>
          <w:marBottom w:val="0"/>
          <w:divBdr>
            <w:top w:val="none" w:sz="0" w:space="0" w:color="auto"/>
            <w:left w:val="none" w:sz="0" w:space="0" w:color="auto"/>
            <w:bottom w:val="none" w:sz="0" w:space="0" w:color="auto"/>
            <w:right w:val="none" w:sz="0" w:space="0" w:color="auto"/>
          </w:divBdr>
          <w:divsChild>
            <w:div w:id="4530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8922">
      <w:bodyDiv w:val="1"/>
      <w:marLeft w:val="0"/>
      <w:marRight w:val="0"/>
      <w:marTop w:val="0"/>
      <w:marBottom w:val="0"/>
      <w:divBdr>
        <w:top w:val="none" w:sz="0" w:space="0" w:color="auto"/>
        <w:left w:val="none" w:sz="0" w:space="0" w:color="auto"/>
        <w:bottom w:val="none" w:sz="0" w:space="0" w:color="auto"/>
        <w:right w:val="none" w:sz="0" w:space="0" w:color="auto"/>
      </w:divBdr>
    </w:div>
    <w:div w:id="1944459122">
      <w:bodyDiv w:val="1"/>
      <w:marLeft w:val="0"/>
      <w:marRight w:val="0"/>
      <w:marTop w:val="0"/>
      <w:marBottom w:val="0"/>
      <w:divBdr>
        <w:top w:val="none" w:sz="0" w:space="0" w:color="auto"/>
        <w:left w:val="none" w:sz="0" w:space="0" w:color="auto"/>
        <w:bottom w:val="none" w:sz="0" w:space="0" w:color="auto"/>
        <w:right w:val="none" w:sz="0" w:space="0" w:color="auto"/>
      </w:divBdr>
    </w:div>
    <w:div w:id="1944923024">
      <w:bodyDiv w:val="1"/>
      <w:marLeft w:val="0"/>
      <w:marRight w:val="0"/>
      <w:marTop w:val="0"/>
      <w:marBottom w:val="0"/>
      <w:divBdr>
        <w:top w:val="none" w:sz="0" w:space="0" w:color="auto"/>
        <w:left w:val="none" w:sz="0" w:space="0" w:color="auto"/>
        <w:bottom w:val="none" w:sz="0" w:space="0" w:color="auto"/>
        <w:right w:val="none" w:sz="0" w:space="0" w:color="auto"/>
      </w:divBdr>
    </w:div>
    <w:div w:id="1947231958">
      <w:bodyDiv w:val="1"/>
      <w:marLeft w:val="0"/>
      <w:marRight w:val="0"/>
      <w:marTop w:val="0"/>
      <w:marBottom w:val="0"/>
      <w:divBdr>
        <w:top w:val="none" w:sz="0" w:space="0" w:color="auto"/>
        <w:left w:val="none" w:sz="0" w:space="0" w:color="auto"/>
        <w:bottom w:val="none" w:sz="0" w:space="0" w:color="auto"/>
        <w:right w:val="none" w:sz="0" w:space="0" w:color="auto"/>
      </w:divBdr>
    </w:div>
    <w:div w:id="1954357576">
      <w:bodyDiv w:val="1"/>
      <w:marLeft w:val="0"/>
      <w:marRight w:val="0"/>
      <w:marTop w:val="0"/>
      <w:marBottom w:val="0"/>
      <w:divBdr>
        <w:top w:val="none" w:sz="0" w:space="0" w:color="auto"/>
        <w:left w:val="none" w:sz="0" w:space="0" w:color="auto"/>
        <w:bottom w:val="none" w:sz="0" w:space="0" w:color="auto"/>
        <w:right w:val="none" w:sz="0" w:space="0" w:color="auto"/>
      </w:divBdr>
    </w:div>
    <w:div w:id="1954437330">
      <w:bodyDiv w:val="1"/>
      <w:marLeft w:val="0"/>
      <w:marRight w:val="0"/>
      <w:marTop w:val="0"/>
      <w:marBottom w:val="0"/>
      <w:divBdr>
        <w:top w:val="none" w:sz="0" w:space="0" w:color="auto"/>
        <w:left w:val="none" w:sz="0" w:space="0" w:color="auto"/>
        <w:bottom w:val="none" w:sz="0" w:space="0" w:color="auto"/>
        <w:right w:val="none" w:sz="0" w:space="0" w:color="auto"/>
      </w:divBdr>
    </w:div>
    <w:div w:id="1956401387">
      <w:bodyDiv w:val="1"/>
      <w:marLeft w:val="0"/>
      <w:marRight w:val="0"/>
      <w:marTop w:val="0"/>
      <w:marBottom w:val="0"/>
      <w:divBdr>
        <w:top w:val="none" w:sz="0" w:space="0" w:color="auto"/>
        <w:left w:val="none" w:sz="0" w:space="0" w:color="auto"/>
        <w:bottom w:val="none" w:sz="0" w:space="0" w:color="auto"/>
        <w:right w:val="none" w:sz="0" w:space="0" w:color="auto"/>
      </w:divBdr>
    </w:div>
    <w:div w:id="1957758226">
      <w:bodyDiv w:val="1"/>
      <w:marLeft w:val="0"/>
      <w:marRight w:val="0"/>
      <w:marTop w:val="0"/>
      <w:marBottom w:val="0"/>
      <w:divBdr>
        <w:top w:val="none" w:sz="0" w:space="0" w:color="auto"/>
        <w:left w:val="none" w:sz="0" w:space="0" w:color="auto"/>
        <w:bottom w:val="none" w:sz="0" w:space="0" w:color="auto"/>
        <w:right w:val="none" w:sz="0" w:space="0" w:color="auto"/>
      </w:divBdr>
    </w:div>
    <w:div w:id="1970282175">
      <w:bodyDiv w:val="1"/>
      <w:marLeft w:val="0"/>
      <w:marRight w:val="0"/>
      <w:marTop w:val="0"/>
      <w:marBottom w:val="0"/>
      <w:divBdr>
        <w:top w:val="none" w:sz="0" w:space="0" w:color="auto"/>
        <w:left w:val="none" w:sz="0" w:space="0" w:color="auto"/>
        <w:bottom w:val="none" w:sz="0" w:space="0" w:color="auto"/>
        <w:right w:val="none" w:sz="0" w:space="0" w:color="auto"/>
      </w:divBdr>
    </w:div>
    <w:div w:id="1971012453">
      <w:bodyDiv w:val="1"/>
      <w:marLeft w:val="0"/>
      <w:marRight w:val="0"/>
      <w:marTop w:val="0"/>
      <w:marBottom w:val="0"/>
      <w:divBdr>
        <w:top w:val="none" w:sz="0" w:space="0" w:color="auto"/>
        <w:left w:val="none" w:sz="0" w:space="0" w:color="auto"/>
        <w:bottom w:val="none" w:sz="0" w:space="0" w:color="auto"/>
        <w:right w:val="none" w:sz="0" w:space="0" w:color="auto"/>
      </w:divBdr>
    </w:div>
    <w:div w:id="1971281877">
      <w:bodyDiv w:val="1"/>
      <w:marLeft w:val="0"/>
      <w:marRight w:val="0"/>
      <w:marTop w:val="0"/>
      <w:marBottom w:val="0"/>
      <w:divBdr>
        <w:top w:val="none" w:sz="0" w:space="0" w:color="auto"/>
        <w:left w:val="none" w:sz="0" w:space="0" w:color="auto"/>
        <w:bottom w:val="none" w:sz="0" w:space="0" w:color="auto"/>
        <w:right w:val="none" w:sz="0" w:space="0" w:color="auto"/>
      </w:divBdr>
    </w:div>
    <w:div w:id="1971813265">
      <w:bodyDiv w:val="1"/>
      <w:marLeft w:val="0"/>
      <w:marRight w:val="0"/>
      <w:marTop w:val="0"/>
      <w:marBottom w:val="0"/>
      <w:divBdr>
        <w:top w:val="none" w:sz="0" w:space="0" w:color="auto"/>
        <w:left w:val="none" w:sz="0" w:space="0" w:color="auto"/>
        <w:bottom w:val="none" w:sz="0" w:space="0" w:color="auto"/>
        <w:right w:val="none" w:sz="0" w:space="0" w:color="auto"/>
      </w:divBdr>
    </w:div>
    <w:div w:id="1972862852">
      <w:bodyDiv w:val="1"/>
      <w:marLeft w:val="0"/>
      <w:marRight w:val="0"/>
      <w:marTop w:val="0"/>
      <w:marBottom w:val="0"/>
      <w:divBdr>
        <w:top w:val="none" w:sz="0" w:space="0" w:color="auto"/>
        <w:left w:val="none" w:sz="0" w:space="0" w:color="auto"/>
        <w:bottom w:val="none" w:sz="0" w:space="0" w:color="auto"/>
        <w:right w:val="none" w:sz="0" w:space="0" w:color="auto"/>
      </w:divBdr>
    </w:div>
    <w:div w:id="1975211737">
      <w:bodyDiv w:val="1"/>
      <w:marLeft w:val="0"/>
      <w:marRight w:val="0"/>
      <w:marTop w:val="0"/>
      <w:marBottom w:val="0"/>
      <w:divBdr>
        <w:top w:val="none" w:sz="0" w:space="0" w:color="auto"/>
        <w:left w:val="none" w:sz="0" w:space="0" w:color="auto"/>
        <w:bottom w:val="none" w:sz="0" w:space="0" w:color="auto"/>
        <w:right w:val="none" w:sz="0" w:space="0" w:color="auto"/>
      </w:divBdr>
    </w:div>
    <w:div w:id="1978532106">
      <w:bodyDiv w:val="1"/>
      <w:marLeft w:val="0"/>
      <w:marRight w:val="0"/>
      <w:marTop w:val="0"/>
      <w:marBottom w:val="0"/>
      <w:divBdr>
        <w:top w:val="none" w:sz="0" w:space="0" w:color="auto"/>
        <w:left w:val="none" w:sz="0" w:space="0" w:color="auto"/>
        <w:bottom w:val="none" w:sz="0" w:space="0" w:color="auto"/>
        <w:right w:val="none" w:sz="0" w:space="0" w:color="auto"/>
      </w:divBdr>
    </w:div>
    <w:div w:id="1978728520">
      <w:bodyDiv w:val="1"/>
      <w:marLeft w:val="0"/>
      <w:marRight w:val="0"/>
      <w:marTop w:val="0"/>
      <w:marBottom w:val="0"/>
      <w:divBdr>
        <w:top w:val="none" w:sz="0" w:space="0" w:color="auto"/>
        <w:left w:val="none" w:sz="0" w:space="0" w:color="auto"/>
        <w:bottom w:val="none" w:sz="0" w:space="0" w:color="auto"/>
        <w:right w:val="none" w:sz="0" w:space="0" w:color="auto"/>
      </w:divBdr>
    </w:div>
    <w:div w:id="1980724513">
      <w:bodyDiv w:val="1"/>
      <w:marLeft w:val="0"/>
      <w:marRight w:val="0"/>
      <w:marTop w:val="0"/>
      <w:marBottom w:val="0"/>
      <w:divBdr>
        <w:top w:val="none" w:sz="0" w:space="0" w:color="auto"/>
        <w:left w:val="none" w:sz="0" w:space="0" w:color="auto"/>
        <w:bottom w:val="none" w:sz="0" w:space="0" w:color="auto"/>
        <w:right w:val="none" w:sz="0" w:space="0" w:color="auto"/>
      </w:divBdr>
    </w:div>
    <w:div w:id="1981379471">
      <w:bodyDiv w:val="1"/>
      <w:marLeft w:val="0"/>
      <w:marRight w:val="0"/>
      <w:marTop w:val="0"/>
      <w:marBottom w:val="0"/>
      <w:divBdr>
        <w:top w:val="none" w:sz="0" w:space="0" w:color="auto"/>
        <w:left w:val="none" w:sz="0" w:space="0" w:color="auto"/>
        <w:bottom w:val="none" w:sz="0" w:space="0" w:color="auto"/>
        <w:right w:val="none" w:sz="0" w:space="0" w:color="auto"/>
      </w:divBdr>
    </w:div>
    <w:div w:id="1987275749">
      <w:bodyDiv w:val="1"/>
      <w:marLeft w:val="0"/>
      <w:marRight w:val="0"/>
      <w:marTop w:val="0"/>
      <w:marBottom w:val="0"/>
      <w:divBdr>
        <w:top w:val="none" w:sz="0" w:space="0" w:color="auto"/>
        <w:left w:val="none" w:sz="0" w:space="0" w:color="auto"/>
        <w:bottom w:val="none" w:sz="0" w:space="0" w:color="auto"/>
        <w:right w:val="none" w:sz="0" w:space="0" w:color="auto"/>
      </w:divBdr>
    </w:div>
    <w:div w:id="1988513015">
      <w:bodyDiv w:val="1"/>
      <w:marLeft w:val="0"/>
      <w:marRight w:val="0"/>
      <w:marTop w:val="0"/>
      <w:marBottom w:val="0"/>
      <w:divBdr>
        <w:top w:val="none" w:sz="0" w:space="0" w:color="auto"/>
        <w:left w:val="none" w:sz="0" w:space="0" w:color="auto"/>
        <w:bottom w:val="none" w:sz="0" w:space="0" w:color="auto"/>
        <w:right w:val="none" w:sz="0" w:space="0" w:color="auto"/>
      </w:divBdr>
    </w:div>
    <w:div w:id="2001807979">
      <w:bodyDiv w:val="1"/>
      <w:marLeft w:val="0"/>
      <w:marRight w:val="0"/>
      <w:marTop w:val="0"/>
      <w:marBottom w:val="0"/>
      <w:divBdr>
        <w:top w:val="none" w:sz="0" w:space="0" w:color="auto"/>
        <w:left w:val="none" w:sz="0" w:space="0" w:color="auto"/>
        <w:bottom w:val="none" w:sz="0" w:space="0" w:color="auto"/>
        <w:right w:val="none" w:sz="0" w:space="0" w:color="auto"/>
      </w:divBdr>
    </w:div>
    <w:div w:id="2008750325">
      <w:bodyDiv w:val="1"/>
      <w:marLeft w:val="0"/>
      <w:marRight w:val="0"/>
      <w:marTop w:val="0"/>
      <w:marBottom w:val="0"/>
      <w:divBdr>
        <w:top w:val="none" w:sz="0" w:space="0" w:color="auto"/>
        <w:left w:val="none" w:sz="0" w:space="0" w:color="auto"/>
        <w:bottom w:val="none" w:sz="0" w:space="0" w:color="auto"/>
        <w:right w:val="none" w:sz="0" w:space="0" w:color="auto"/>
      </w:divBdr>
    </w:div>
    <w:div w:id="2010209909">
      <w:bodyDiv w:val="1"/>
      <w:marLeft w:val="0"/>
      <w:marRight w:val="0"/>
      <w:marTop w:val="0"/>
      <w:marBottom w:val="0"/>
      <w:divBdr>
        <w:top w:val="none" w:sz="0" w:space="0" w:color="auto"/>
        <w:left w:val="none" w:sz="0" w:space="0" w:color="auto"/>
        <w:bottom w:val="none" w:sz="0" w:space="0" w:color="auto"/>
        <w:right w:val="none" w:sz="0" w:space="0" w:color="auto"/>
      </w:divBdr>
    </w:div>
    <w:div w:id="2011103404">
      <w:bodyDiv w:val="1"/>
      <w:marLeft w:val="0"/>
      <w:marRight w:val="0"/>
      <w:marTop w:val="0"/>
      <w:marBottom w:val="0"/>
      <w:divBdr>
        <w:top w:val="none" w:sz="0" w:space="0" w:color="auto"/>
        <w:left w:val="none" w:sz="0" w:space="0" w:color="auto"/>
        <w:bottom w:val="none" w:sz="0" w:space="0" w:color="auto"/>
        <w:right w:val="none" w:sz="0" w:space="0" w:color="auto"/>
      </w:divBdr>
    </w:div>
    <w:div w:id="2012678594">
      <w:bodyDiv w:val="1"/>
      <w:marLeft w:val="0"/>
      <w:marRight w:val="0"/>
      <w:marTop w:val="0"/>
      <w:marBottom w:val="0"/>
      <w:divBdr>
        <w:top w:val="none" w:sz="0" w:space="0" w:color="auto"/>
        <w:left w:val="none" w:sz="0" w:space="0" w:color="auto"/>
        <w:bottom w:val="none" w:sz="0" w:space="0" w:color="auto"/>
        <w:right w:val="none" w:sz="0" w:space="0" w:color="auto"/>
      </w:divBdr>
    </w:div>
    <w:div w:id="2019959730">
      <w:bodyDiv w:val="1"/>
      <w:marLeft w:val="0"/>
      <w:marRight w:val="0"/>
      <w:marTop w:val="0"/>
      <w:marBottom w:val="0"/>
      <w:divBdr>
        <w:top w:val="none" w:sz="0" w:space="0" w:color="auto"/>
        <w:left w:val="none" w:sz="0" w:space="0" w:color="auto"/>
        <w:bottom w:val="none" w:sz="0" w:space="0" w:color="auto"/>
        <w:right w:val="none" w:sz="0" w:space="0" w:color="auto"/>
      </w:divBdr>
    </w:div>
    <w:div w:id="2020889347">
      <w:bodyDiv w:val="1"/>
      <w:marLeft w:val="0"/>
      <w:marRight w:val="0"/>
      <w:marTop w:val="0"/>
      <w:marBottom w:val="0"/>
      <w:divBdr>
        <w:top w:val="none" w:sz="0" w:space="0" w:color="auto"/>
        <w:left w:val="none" w:sz="0" w:space="0" w:color="auto"/>
        <w:bottom w:val="none" w:sz="0" w:space="0" w:color="auto"/>
        <w:right w:val="none" w:sz="0" w:space="0" w:color="auto"/>
      </w:divBdr>
    </w:div>
    <w:div w:id="2022512489">
      <w:bodyDiv w:val="1"/>
      <w:marLeft w:val="0"/>
      <w:marRight w:val="0"/>
      <w:marTop w:val="0"/>
      <w:marBottom w:val="0"/>
      <w:divBdr>
        <w:top w:val="none" w:sz="0" w:space="0" w:color="auto"/>
        <w:left w:val="none" w:sz="0" w:space="0" w:color="auto"/>
        <w:bottom w:val="none" w:sz="0" w:space="0" w:color="auto"/>
        <w:right w:val="none" w:sz="0" w:space="0" w:color="auto"/>
      </w:divBdr>
    </w:div>
    <w:div w:id="2022853467">
      <w:bodyDiv w:val="1"/>
      <w:marLeft w:val="0"/>
      <w:marRight w:val="0"/>
      <w:marTop w:val="0"/>
      <w:marBottom w:val="0"/>
      <w:divBdr>
        <w:top w:val="none" w:sz="0" w:space="0" w:color="auto"/>
        <w:left w:val="none" w:sz="0" w:space="0" w:color="auto"/>
        <w:bottom w:val="none" w:sz="0" w:space="0" w:color="auto"/>
        <w:right w:val="none" w:sz="0" w:space="0" w:color="auto"/>
      </w:divBdr>
    </w:div>
    <w:div w:id="2026125970">
      <w:bodyDiv w:val="1"/>
      <w:marLeft w:val="0"/>
      <w:marRight w:val="0"/>
      <w:marTop w:val="0"/>
      <w:marBottom w:val="0"/>
      <w:divBdr>
        <w:top w:val="none" w:sz="0" w:space="0" w:color="auto"/>
        <w:left w:val="none" w:sz="0" w:space="0" w:color="auto"/>
        <w:bottom w:val="none" w:sz="0" w:space="0" w:color="auto"/>
        <w:right w:val="none" w:sz="0" w:space="0" w:color="auto"/>
      </w:divBdr>
    </w:div>
    <w:div w:id="2028208745">
      <w:bodyDiv w:val="1"/>
      <w:marLeft w:val="0"/>
      <w:marRight w:val="0"/>
      <w:marTop w:val="0"/>
      <w:marBottom w:val="0"/>
      <w:divBdr>
        <w:top w:val="none" w:sz="0" w:space="0" w:color="auto"/>
        <w:left w:val="none" w:sz="0" w:space="0" w:color="auto"/>
        <w:bottom w:val="none" w:sz="0" w:space="0" w:color="auto"/>
        <w:right w:val="none" w:sz="0" w:space="0" w:color="auto"/>
      </w:divBdr>
    </w:div>
    <w:div w:id="2028747667">
      <w:bodyDiv w:val="1"/>
      <w:marLeft w:val="0"/>
      <w:marRight w:val="0"/>
      <w:marTop w:val="0"/>
      <w:marBottom w:val="0"/>
      <w:divBdr>
        <w:top w:val="none" w:sz="0" w:space="0" w:color="auto"/>
        <w:left w:val="none" w:sz="0" w:space="0" w:color="auto"/>
        <w:bottom w:val="none" w:sz="0" w:space="0" w:color="auto"/>
        <w:right w:val="none" w:sz="0" w:space="0" w:color="auto"/>
      </w:divBdr>
    </w:div>
    <w:div w:id="2033801954">
      <w:bodyDiv w:val="1"/>
      <w:marLeft w:val="0"/>
      <w:marRight w:val="0"/>
      <w:marTop w:val="0"/>
      <w:marBottom w:val="0"/>
      <w:divBdr>
        <w:top w:val="none" w:sz="0" w:space="0" w:color="auto"/>
        <w:left w:val="none" w:sz="0" w:space="0" w:color="auto"/>
        <w:bottom w:val="none" w:sz="0" w:space="0" w:color="auto"/>
        <w:right w:val="none" w:sz="0" w:space="0" w:color="auto"/>
      </w:divBdr>
    </w:div>
    <w:div w:id="2037341235">
      <w:bodyDiv w:val="1"/>
      <w:marLeft w:val="0"/>
      <w:marRight w:val="0"/>
      <w:marTop w:val="0"/>
      <w:marBottom w:val="0"/>
      <w:divBdr>
        <w:top w:val="none" w:sz="0" w:space="0" w:color="auto"/>
        <w:left w:val="none" w:sz="0" w:space="0" w:color="auto"/>
        <w:bottom w:val="none" w:sz="0" w:space="0" w:color="auto"/>
        <w:right w:val="none" w:sz="0" w:space="0" w:color="auto"/>
      </w:divBdr>
    </w:div>
    <w:div w:id="2037655545">
      <w:bodyDiv w:val="1"/>
      <w:marLeft w:val="0"/>
      <w:marRight w:val="0"/>
      <w:marTop w:val="0"/>
      <w:marBottom w:val="0"/>
      <w:divBdr>
        <w:top w:val="none" w:sz="0" w:space="0" w:color="auto"/>
        <w:left w:val="none" w:sz="0" w:space="0" w:color="auto"/>
        <w:bottom w:val="none" w:sz="0" w:space="0" w:color="auto"/>
        <w:right w:val="none" w:sz="0" w:space="0" w:color="auto"/>
      </w:divBdr>
    </w:div>
    <w:div w:id="2044867406">
      <w:bodyDiv w:val="1"/>
      <w:marLeft w:val="0"/>
      <w:marRight w:val="0"/>
      <w:marTop w:val="0"/>
      <w:marBottom w:val="0"/>
      <w:divBdr>
        <w:top w:val="none" w:sz="0" w:space="0" w:color="auto"/>
        <w:left w:val="none" w:sz="0" w:space="0" w:color="auto"/>
        <w:bottom w:val="none" w:sz="0" w:space="0" w:color="auto"/>
        <w:right w:val="none" w:sz="0" w:space="0" w:color="auto"/>
      </w:divBdr>
    </w:div>
    <w:div w:id="2045247776">
      <w:bodyDiv w:val="1"/>
      <w:marLeft w:val="0"/>
      <w:marRight w:val="0"/>
      <w:marTop w:val="0"/>
      <w:marBottom w:val="0"/>
      <w:divBdr>
        <w:top w:val="none" w:sz="0" w:space="0" w:color="auto"/>
        <w:left w:val="none" w:sz="0" w:space="0" w:color="auto"/>
        <w:bottom w:val="none" w:sz="0" w:space="0" w:color="auto"/>
        <w:right w:val="none" w:sz="0" w:space="0" w:color="auto"/>
      </w:divBdr>
    </w:div>
    <w:div w:id="2045598154">
      <w:bodyDiv w:val="1"/>
      <w:marLeft w:val="0"/>
      <w:marRight w:val="0"/>
      <w:marTop w:val="0"/>
      <w:marBottom w:val="0"/>
      <w:divBdr>
        <w:top w:val="none" w:sz="0" w:space="0" w:color="auto"/>
        <w:left w:val="none" w:sz="0" w:space="0" w:color="auto"/>
        <w:bottom w:val="none" w:sz="0" w:space="0" w:color="auto"/>
        <w:right w:val="none" w:sz="0" w:space="0" w:color="auto"/>
      </w:divBdr>
    </w:div>
    <w:div w:id="2046560011">
      <w:bodyDiv w:val="1"/>
      <w:marLeft w:val="0"/>
      <w:marRight w:val="0"/>
      <w:marTop w:val="0"/>
      <w:marBottom w:val="0"/>
      <w:divBdr>
        <w:top w:val="none" w:sz="0" w:space="0" w:color="auto"/>
        <w:left w:val="none" w:sz="0" w:space="0" w:color="auto"/>
        <w:bottom w:val="none" w:sz="0" w:space="0" w:color="auto"/>
        <w:right w:val="none" w:sz="0" w:space="0" w:color="auto"/>
      </w:divBdr>
    </w:div>
    <w:div w:id="2054422713">
      <w:bodyDiv w:val="1"/>
      <w:marLeft w:val="0"/>
      <w:marRight w:val="0"/>
      <w:marTop w:val="0"/>
      <w:marBottom w:val="0"/>
      <w:divBdr>
        <w:top w:val="none" w:sz="0" w:space="0" w:color="auto"/>
        <w:left w:val="none" w:sz="0" w:space="0" w:color="auto"/>
        <w:bottom w:val="none" w:sz="0" w:space="0" w:color="auto"/>
        <w:right w:val="none" w:sz="0" w:space="0" w:color="auto"/>
      </w:divBdr>
    </w:div>
    <w:div w:id="2056732937">
      <w:bodyDiv w:val="1"/>
      <w:marLeft w:val="0"/>
      <w:marRight w:val="0"/>
      <w:marTop w:val="0"/>
      <w:marBottom w:val="0"/>
      <w:divBdr>
        <w:top w:val="none" w:sz="0" w:space="0" w:color="auto"/>
        <w:left w:val="none" w:sz="0" w:space="0" w:color="auto"/>
        <w:bottom w:val="none" w:sz="0" w:space="0" w:color="auto"/>
        <w:right w:val="none" w:sz="0" w:space="0" w:color="auto"/>
      </w:divBdr>
    </w:div>
    <w:div w:id="2060469903">
      <w:bodyDiv w:val="1"/>
      <w:marLeft w:val="0"/>
      <w:marRight w:val="0"/>
      <w:marTop w:val="0"/>
      <w:marBottom w:val="0"/>
      <w:divBdr>
        <w:top w:val="none" w:sz="0" w:space="0" w:color="auto"/>
        <w:left w:val="none" w:sz="0" w:space="0" w:color="auto"/>
        <w:bottom w:val="none" w:sz="0" w:space="0" w:color="auto"/>
        <w:right w:val="none" w:sz="0" w:space="0" w:color="auto"/>
      </w:divBdr>
    </w:div>
    <w:div w:id="2062364419">
      <w:bodyDiv w:val="1"/>
      <w:marLeft w:val="0"/>
      <w:marRight w:val="0"/>
      <w:marTop w:val="0"/>
      <w:marBottom w:val="0"/>
      <w:divBdr>
        <w:top w:val="none" w:sz="0" w:space="0" w:color="auto"/>
        <w:left w:val="none" w:sz="0" w:space="0" w:color="auto"/>
        <w:bottom w:val="none" w:sz="0" w:space="0" w:color="auto"/>
        <w:right w:val="none" w:sz="0" w:space="0" w:color="auto"/>
      </w:divBdr>
    </w:div>
    <w:div w:id="2064597861">
      <w:bodyDiv w:val="1"/>
      <w:marLeft w:val="0"/>
      <w:marRight w:val="0"/>
      <w:marTop w:val="0"/>
      <w:marBottom w:val="0"/>
      <w:divBdr>
        <w:top w:val="none" w:sz="0" w:space="0" w:color="auto"/>
        <w:left w:val="none" w:sz="0" w:space="0" w:color="auto"/>
        <w:bottom w:val="none" w:sz="0" w:space="0" w:color="auto"/>
        <w:right w:val="none" w:sz="0" w:space="0" w:color="auto"/>
      </w:divBdr>
    </w:div>
    <w:div w:id="2066251340">
      <w:bodyDiv w:val="1"/>
      <w:marLeft w:val="0"/>
      <w:marRight w:val="0"/>
      <w:marTop w:val="0"/>
      <w:marBottom w:val="0"/>
      <w:divBdr>
        <w:top w:val="none" w:sz="0" w:space="0" w:color="auto"/>
        <w:left w:val="none" w:sz="0" w:space="0" w:color="auto"/>
        <w:bottom w:val="none" w:sz="0" w:space="0" w:color="auto"/>
        <w:right w:val="none" w:sz="0" w:space="0" w:color="auto"/>
      </w:divBdr>
    </w:div>
    <w:div w:id="2067297125">
      <w:bodyDiv w:val="1"/>
      <w:marLeft w:val="0"/>
      <w:marRight w:val="0"/>
      <w:marTop w:val="0"/>
      <w:marBottom w:val="0"/>
      <w:divBdr>
        <w:top w:val="none" w:sz="0" w:space="0" w:color="auto"/>
        <w:left w:val="none" w:sz="0" w:space="0" w:color="auto"/>
        <w:bottom w:val="none" w:sz="0" w:space="0" w:color="auto"/>
        <w:right w:val="none" w:sz="0" w:space="0" w:color="auto"/>
      </w:divBdr>
    </w:div>
    <w:div w:id="2067949805">
      <w:bodyDiv w:val="1"/>
      <w:marLeft w:val="0"/>
      <w:marRight w:val="0"/>
      <w:marTop w:val="0"/>
      <w:marBottom w:val="0"/>
      <w:divBdr>
        <w:top w:val="none" w:sz="0" w:space="0" w:color="auto"/>
        <w:left w:val="none" w:sz="0" w:space="0" w:color="auto"/>
        <w:bottom w:val="none" w:sz="0" w:space="0" w:color="auto"/>
        <w:right w:val="none" w:sz="0" w:space="0" w:color="auto"/>
      </w:divBdr>
    </w:div>
    <w:div w:id="2075659182">
      <w:bodyDiv w:val="1"/>
      <w:marLeft w:val="0"/>
      <w:marRight w:val="0"/>
      <w:marTop w:val="0"/>
      <w:marBottom w:val="0"/>
      <w:divBdr>
        <w:top w:val="none" w:sz="0" w:space="0" w:color="auto"/>
        <w:left w:val="none" w:sz="0" w:space="0" w:color="auto"/>
        <w:bottom w:val="none" w:sz="0" w:space="0" w:color="auto"/>
        <w:right w:val="none" w:sz="0" w:space="0" w:color="auto"/>
      </w:divBdr>
    </w:div>
    <w:div w:id="2077167257">
      <w:bodyDiv w:val="1"/>
      <w:marLeft w:val="0"/>
      <w:marRight w:val="0"/>
      <w:marTop w:val="0"/>
      <w:marBottom w:val="0"/>
      <w:divBdr>
        <w:top w:val="none" w:sz="0" w:space="0" w:color="auto"/>
        <w:left w:val="none" w:sz="0" w:space="0" w:color="auto"/>
        <w:bottom w:val="none" w:sz="0" w:space="0" w:color="auto"/>
        <w:right w:val="none" w:sz="0" w:space="0" w:color="auto"/>
      </w:divBdr>
    </w:div>
    <w:div w:id="2083749733">
      <w:bodyDiv w:val="1"/>
      <w:marLeft w:val="0"/>
      <w:marRight w:val="0"/>
      <w:marTop w:val="0"/>
      <w:marBottom w:val="0"/>
      <w:divBdr>
        <w:top w:val="none" w:sz="0" w:space="0" w:color="auto"/>
        <w:left w:val="none" w:sz="0" w:space="0" w:color="auto"/>
        <w:bottom w:val="none" w:sz="0" w:space="0" w:color="auto"/>
        <w:right w:val="none" w:sz="0" w:space="0" w:color="auto"/>
      </w:divBdr>
    </w:div>
    <w:div w:id="2088185448">
      <w:bodyDiv w:val="1"/>
      <w:marLeft w:val="0"/>
      <w:marRight w:val="0"/>
      <w:marTop w:val="0"/>
      <w:marBottom w:val="0"/>
      <w:divBdr>
        <w:top w:val="none" w:sz="0" w:space="0" w:color="auto"/>
        <w:left w:val="none" w:sz="0" w:space="0" w:color="auto"/>
        <w:bottom w:val="none" w:sz="0" w:space="0" w:color="auto"/>
        <w:right w:val="none" w:sz="0" w:space="0" w:color="auto"/>
      </w:divBdr>
    </w:div>
    <w:div w:id="2088573948">
      <w:bodyDiv w:val="1"/>
      <w:marLeft w:val="0"/>
      <w:marRight w:val="0"/>
      <w:marTop w:val="0"/>
      <w:marBottom w:val="0"/>
      <w:divBdr>
        <w:top w:val="none" w:sz="0" w:space="0" w:color="auto"/>
        <w:left w:val="none" w:sz="0" w:space="0" w:color="auto"/>
        <w:bottom w:val="none" w:sz="0" w:space="0" w:color="auto"/>
        <w:right w:val="none" w:sz="0" w:space="0" w:color="auto"/>
      </w:divBdr>
      <w:divsChild>
        <w:div w:id="1211721438">
          <w:marLeft w:val="0"/>
          <w:marRight w:val="0"/>
          <w:marTop w:val="0"/>
          <w:marBottom w:val="0"/>
          <w:divBdr>
            <w:top w:val="none" w:sz="0" w:space="0" w:color="auto"/>
            <w:left w:val="none" w:sz="0" w:space="0" w:color="auto"/>
            <w:bottom w:val="none" w:sz="0" w:space="0" w:color="auto"/>
            <w:right w:val="none" w:sz="0" w:space="0" w:color="auto"/>
          </w:divBdr>
        </w:div>
      </w:divsChild>
    </w:div>
    <w:div w:id="2088645748">
      <w:bodyDiv w:val="1"/>
      <w:marLeft w:val="0"/>
      <w:marRight w:val="0"/>
      <w:marTop w:val="0"/>
      <w:marBottom w:val="0"/>
      <w:divBdr>
        <w:top w:val="none" w:sz="0" w:space="0" w:color="auto"/>
        <w:left w:val="none" w:sz="0" w:space="0" w:color="auto"/>
        <w:bottom w:val="none" w:sz="0" w:space="0" w:color="auto"/>
        <w:right w:val="none" w:sz="0" w:space="0" w:color="auto"/>
      </w:divBdr>
    </w:div>
    <w:div w:id="2091080042">
      <w:bodyDiv w:val="1"/>
      <w:marLeft w:val="0"/>
      <w:marRight w:val="0"/>
      <w:marTop w:val="0"/>
      <w:marBottom w:val="0"/>
      <w:divBdr>
        <w:top w:val="none" w:sz="0" w:space="0" w:color="auto"/>
        <w:left w:val="none" w:sz="0" w:space="0" w:color="auto"/>
        <w:bottom w:val="none" w:sz="0" w:space="0" w:color="auto"/>
        <w:right w:val="none" w:sz="0" w:space="0" w:color="auto"/>
      </w:divBdr>
    </w:div>
    <w:div w:id="2092727101">
      <w:bodyDiv w:val="1"/>
      <w:marLeft w:val="0"/>
      <w:marRight w:val="0"/>
      <w:marTop w:val="0"/>
      <w:marBottom w:val="0"/>
      <w:divBdr>
        <w:top w:val="none" w:sz="0" w:space="0" w:color="auto"/>
        <w:left w:val="none" w:sz="0" w:space="0" w:color="auto"/>
        <w:bottom w:val="none" w:sz="0" w:space="0" w:color="auto"/>
        <w:right w:val="none" w:sz="0" w:space="0" w:color="auto"/>
      </w:divBdr>
    </w:div>
    <w:div w:id="2101758930">
      <w:bodyDiv w:val="1"/>
      <w:marLeft w:val="0"/>
      <w:marRight w:val="0"/>
      <w:marTop w:val="0"/>
      <w:marBottom w:val="0"/>
      <w:divBdr>
        <w:top w:val="none" w:sz="0" w:space="0" w:color="auto"/>
        <w:left w:val="none" w:sz="0" w:space="0" w:color="auto"/>
        <w:bottom w:val="none" w:sz="0" w:space="0" w:color="auto"/>
        <w:right w:val="none" w:sz="0" w:space="0" w:color="auto"/>
      </w:divBdr>
    </w:div>
    <w:div w:id="2105488048">
      <w:bodyDiv w:val="1"/>
      <w:marLeft w:val="0"/>
      <w:marRight w:val="0"/>
      <w:marTop w:val="0"/>
      <w:marBottom w:val="0"/>
      <w:divBdr>
        <w:top w:val="none" w:sz="0" w:space="0" w:color="auto"/>
        <w:left w:val="none" w:sz="0" w:space="0" w:color="auto"/>
        <w:bottom w:val="none" w:sz="0" w:space="0" w:color="auto"/>
        <w:right w:val="none" w:sz="0" w:space="0" w:color="auto"/>
      </w:divBdr>
    </w:div>
    <w:div w:id="2116709937">
      <w:bodyDiv w:val="1"/>
      <w:marLeft w:val="0"/>
      <w:marRight w:val="0"/>
      <w:marTop w:val="0"/>
      <w:marBottom w:val="0"/>
      <w:divBdr>
        <w:top w:val="none" w:sz="0" w:space="0" w:color="auto"/>
        <w:left w:val="none" w:sz="0" w:space="0" w:color="auto"/>
        <w:bottom w:val="none" w:sz="0" w:space="0" w:color="auto"/>
        <w:right w:val="none" w:sz="0" w:space="0" w:color="auto"/>
      </w:divBdr>
    </w:div>
    <w:div w:id="2120643999">
      <w:bodyDiv w:val="1"/>
      <w:marLeft w:val="0"/>
      <w:marRight w:val="0"/>
      <w:marTop w:val="0"/>
      <w:marBottom w:val="0"/>
      <w:divBdr>
        <w:top w:val="none" w:sz="0" w:space="0" w:color="auto"/>
        <w:left w:val="none" w:sz="0" w:space="0" w:color="auto"/>
        <w:bottom w:val="none" w:sz="0" w:space="0" w:color="auto"/>
        <w:right w:val="none" w:sz="0" w:space="0" w:color="auto"/>
      </w:divBdr>
    </w:div>
    <w:div w:id="2125691342">
      <w:bodyDiv w:val="1"/>
      <w:marLeft w:val="0"/>
      <w:marRight w:val="0"/>
      <w:marTop w:val="0"/>
      <w:marBottom w:val="0"/>
      <w:divBdr>
        <w:top w:val="none" w:sz="0" w:space="0" w:color="auto"/>
        <w:left w:val="none" w:sz="0" w:space="0" w:color="auto"/>
        <w:bottom w:val="none" w:sz="0" w:space="0" w:color="auto"/>
        <w:right w:val="none" w:sz="0" w:space="0" w:color="auto"/>
      </w:divBdr>
    </w:div>
    <w:div w:id="2126924548">
      <w:bodyDiv w:val="1"/>
      <w:marLeft w:val="0"/>
      <w:marRight w:val="0"/>
      <w:marTop w:val="0"/>
      <w:marBottom w:val="0"/>
      <w:divBdr>
        <w:top w:val="none" w:sz="0" w:space="0" w:color="auto"/>
        <w:left w:val="none" w:sz="0" w:space="0" w:color="auto"/>
        <w:bottom w:val="none" w:sz="0" w:space="0" w:color="auto"/>
        <w:right w:val="none" w:sz="0" w:space="0" w:color="auto"/>
      </w:divBdr>
    </w:div>
    <w:div w:id="2127458541">
      <w:bodyDiv w:val="1"/>
      <w:marLeft w:val="0"/>
      <w:marRight w:val="0"/>
      <w:marTop w:val="0"/>
      <w:marBottom w:val="0"/>
      <w:divBdr>
        <w:top w:val="none" w:sz="0" w:space="0" w:color="auto"/>
        <w:left w:val="none" w:sz="0" w:space="0" w:color="auto"/>
        <w:bottom w:val="none" w:sz="0" w:space="0" w:color="auto"/>
        <w:right w:val="none" w:sz="0" w:space="0" w:color="auto"/>
      </w:divBdr>
    </w:div>
    <w:div w:id="2133546765">
      <w:bodyDiv w:val="1"/>
      <w:marLeft w:val="0"/>
      <w:marRight w:val="0"/>
      <w:marTop w:val="0"/>
      <w:marBottom w:val="0"/>
      <w:divBdr>
        <w:top w:val="none" w:sz="0" w:space="0" w:color="auto"/>
        <w:left w:val="none" w:sz="0" w:space="0" w:color="auto"/>
        <w:bottom w:val="none" w:sz="0" w:space="0" w:color="auto"/>
        <w:right w:val="none" w:sz="0" w:space="0" w:color="auto"/>
      </w:divBdr>
    </w:div>
    <w:div w:id="2134444267">
      <w:bodyDiv w:val="1"/>
      <w:marLeft w:val="0"/>
      <w:marRight w:val="0"/>
      <w:marTop w:val="0"/>
      <w:marBottom w:val="0"/>
      <w:divBdr>
        <w:top w:val="none" w:sz="0" w:space="0" w:color="auto"/>
        <w:left w:val="none" w:sz="0" w:space="0" w:color="auto"/>
        <w:bottom w:val="none" w:sz="0" w:space="0" w:color="auto"/>
        <w:right w:val="none" w:sz="0" w:space="0" w:color="auto"/>
      </w:divBdr>
    </w:div>
    <w:div w:id="2138450544">
      <w:bodyDiv w:val="1"/>
      <w:marLeft w:val="0"/>
      <w:marRight w:val="0"/>
      <w:marTop w:val="0"/>
      <w:marBottom w:val="0"/>
      <w:divBdr>
        <w:top w:val="none" w:sz="0" w:space="0" w:color="auto"/>
        <w:left w:val="none" w:sz="0" w:space="0" w:color="auto"/>
        <w:bottom w:val="none" w:sz="0" w:space="0" w:color="auto"/>
        <w:right w:val="none" w:sz="0" w:space="0" w:color="auto"/>
      </w:divBdr>
    </w:div>
    <w:div w:id="2140874743">
      <w:bodyDiv w:val="1"/>
      <w:marLeft w:val="0"/>
      <w:marRight w:val="0"/>
      <w:marTop w:val="0"/>
      <w:marBottom w:val="0"/>
      <w:divBdr>
        <w:top w:val="none" w:sz="0" w:space="0" w:color="auto"/>
        <w:left w:val="none" w:sz="0" w:space="0" w:color="auto"/>
        <w:bottom w:val="none" w:sz="0" w:space="0" w:color="auto"/>
        <w:right w:val="none" w:sz="0" w:space="0" w:color="auto"/>
      </w:divBdr>
    </w:div>
    <w:div w:id="2141609983">
      <w:bodyDiv w:val="1"/>
      <w:marLeft w:val="0"/>
      <w:marRight w:val="0"/>
      <w:marTop w:val="0"/>
      <w:marBottom w:val="0"/>
      <w:divBdr>
        <w:top w:val="none" w:sz="0" w:space="0" w:color="auto"/>
        <w:left w:val="none" w:sz="0" w:space="0" w:color="auto"/>
        <w:bottom w:val="none" w:sz="0" w:space="0" w:color="auto"/>
        <w:right w:val="none" w:sz="0" w:space="0" w:color="auto"/>
      </w:divBdr>
    </w:div>
    <w:div w:id="2142380632">
      <w:bodyDiv w:val="1"/>
      <w:marLeft w:val="0"/>
      <w:marRight w:val="0"/>
      <w:marTop w:val="0"/>
      <w:marBottom w:val="0"/>
      <w:divBdr>
        <w:top w:val="none" w:sz="0" w:space="0" w:color="auto"/>
        <w:left w:val="none" w:sz="0" w:space="0" w:color="auto"/>
        <w:bottom w:val="none" w:sz="0" w:space="0" w:color="auto"/>
        <w:right w:val="none" w:sz="0" w:space="0" w:color="auto"/>
      </w:divBdr>
    </w:div>
    <w:div w:id="2144619851">
      <w:bodyDiv w:val="1"/>
      <w:marLeft w:val="0"/>
      <w:marRight w:val="0"/>
      <w:marTop w:val="0"/>
      <w:marBottom w:val="0"/>
      <w:divBdr>
        <w:top w:val="none" w:sz="0" w:space="0" w:color="auto"/>
        <w:left w:val="none" w:sz="0" w:space="0" w:color="auto"/>
        <w:bottom w:val="none" w:sz="0" w:space="0" w:color="auto"/>
        <w:right w:val="none" w:sz="0" w:space="0" w:color="auto"/>
      </w:divBdr>
    </w:div>
    <w:div w:id="2145924817">
      <w:bodyDiv w:val="1"/>
      <w:marLeft w:val="0"/>
      <w:marRight w:val="0"/>
      <w:marTop w:val="0"/>
      <w:marBottom w:val="0"/>
      <w:divBdr>
        <w:top w:val="none" w:sz="0" w:space="0" w:color="auto"/>
        <w:left w:val="none" w:sz="0" w:space="0" w:color="auto"/>
        <w:bottom w:val="none" w:sz="0" w:space="0" w:color="auto"/>
        <w:right w:val="none" w:sz="0" w:space="0" w:color="auto"/>
      </w:divBdr>
    </w:div>
    <w:div w:id="21467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4127F94A21D1A4DB519421285941FE9" ma:contentTypeVersion="2" ma:contentTypeDescription="Crie um novo documento." ma:contentTypeScope="" ma:versionID="57424cd0ed5925fb41b21f69238208ef">
  <xsd:schema xmlns:xsd="http://www.w3.org/2001/XMLSchema" xmlns:xs="http://www.w3.org/2001/XMLSchema" xmlns:p="http://schemas.microsoft.com/office/2006/metadata/properties" xmlns:ns2="e2f6adba-fe33-41f3-882e-aa128dfbcb50" targetNamespace="http://schemas.microsoft.com/office/2006/metadata/properties" ma:root="true" ma:fieldsID="70c0ad43cdcb845ea223d4fc767415f1" ns2:_="">
    <xsd:import namespace="e2f6adba-fe33-41f3-882e-aa128dfbcb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6adba-fe33-41f3-882e-aa128dfbc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628D6-F878-4020-BD65-918D9A338F54}">
  <ds:schemaRefs>
    <ds:schemaRef ds:uri="http://schemas.openxmlformats.org/officeDocument/2006/bibliography"/>
  </ds:schemaRefs>
</ds:datastoreItem>
</file>

<file path=customXml/itemProps2.xml><?xml version="1.0" encoding="utf-8"?>
<ds:datastoreItem xmlns:ds="http://schemas.openxmlformats.org/officeDocument/2006/customXml" ds:itemID="{30027053-8B67-49C8-92C4-76ABAA9B4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6adba-fe33-41f3-882e-aa128dfbc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315D6-AE76-4E2F-8EB6-957DB66228D9}">
  <ds:schemaRefs>
    <ds:schemaRef ds:uri="http://schemas.microsoft.com/sharepoint/v3/contenttype/forms"/>
  </ds:schemaRefs>
</ds:datastoreItem>
</file>

<file path=customXml/itemProps4.xml><?xml version="1.0" encoding="utf-8"?>
<ds:datastoreItem xmlns:ds="http://schemas.openxmlformats.org/officeDocument/2006/customXml" ds:itemID="{F00E4DA4-32C8-45CB-958E-52E64C6657C0}">
  <ds:schemaRef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e2f6adba-fe33-41f3-882e-aa128dfbcb5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37</Pages>
  <Words>15003</Words>
  <Characters>97615</Characters>
  <Application>Microsoft Office Word</Application>
  <DocSecurity>0</DocSecurity>
  <Lines>813</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VALEC - ENGENHARIA, CONSTRUÇÕES E FERROVIAS S</vt:lpstr>
      <vt:lpstr>VALEC - ENGENHARIA, CONSTRUÇÕES E FERROVIAS S</vt:lpstr>
    </vt:vector>
  </TitlesOfParts>
  <Company/>
  <LinksUpToDate>false</LinksUpToDate>
  <CharactersWithSpaces>112394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VALEC - ENGENHARIA, CONSTRUÇÕES E FERROVIAS S</dc:title>
  <dc:subject/>
  <dc:creator>Benjamim da Silva Teixeira</dc:creator>
  <cp:keywords/>
  <dc:description/>
  <cp:lastModifiedBy>Meg Sarkis Simão Rosa</cp:lastModifiedBy>
  <cp:revision>5</cp:revision>
  <cp:lastPrinted>2021-08-30T13:23:00Z</cp:lastPrinted>
  <dcterms:created xsi:type="dcterms:W3CDTF">2021-12-20T23:41:00Z</dcterms:created>
  <dcterms:modified xsi:type="dcterms:W3CDTF">2021-12-23T19:49:00Z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0x01010054127F94A21D1A4DB519421285941FE9</vt:lpwstr>
  </property>
</Properties>
</file>