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5292"/>
        <w:gridCol w:w="2301"/>
        <w:gridCol w:w="2148"/>
        <w:gridCol w:w="726"/>
      </w:tblGrid>
      <w:tr w:rsidR="00EE5736" w:rsidRPr="00EE5736" w14:paraId="1D43F5C8" w14:textId="77777777" w:rsidTr="00EE5736">
        <w:trPr>
          <w:trHeight w:val="227"/>
        </w:trPr>
        <w:tc>
          <w:tcPr>
            <w:tcW w:w="5000" w:type="pct"/>
            <w:gridSpan w:val="4"/>
            <w:tcBorders>
              <w:top w:val="nil"/>
              <w:left w:val="nil"/>
              <w:bottom w:val="nil"/>
              <w:right w:val="nil"/>
            </w:tcBorders>
            <w:shd w:val="clear" w:color="auto" w:fill="auto"/>
            <w:noWrap/>
            <w:vAlign w:val="bottom"/>
            <w:hideMark/>
          </w:tcPr>
          <w:p w14:paraId="166434A2" w14:textId="77777777" w:rsidR="00EE5736" w:rsidRPr="00EE5736" w:rsidRDefault="00EE5736">
            <w:pPr>
              <w:jc w:val="center"/>
              <w:rPr>
                <w:rFonts w:asciiTheme="majorHAnsi" w:hAnsiTheme="majorHAnsi" w:cs="Arial"/>
                <w:b/>
                <w:bCs/>
                <w:sz w:val="16"/>
                <w:szCs w:val="16"/>
              </w:rPr>
            </w:pPr>
            <w:r w:rsidRPr="00EE5736">
              <w:rPr>
                <w:rFonts w:asciiTheme="majorHAnsi" w:hAnsiTheme="majorHAnsi" w:cs="Arial"/>
                <w:b/>
                <w:bCs/>
                <w:sz w:val="16"/>
                <w:szCs w:val="16"/>
              </w:rPr>
              <w:t>VALEC ENGENHARIA, CONSTRUÇÕES E FERROVIAS S/A</w:t>
            </w:r>
          </w:p>
        </w:tc>
      </w:tr>
      <w:tr w:rsidR="00EE5736" w:rsidRPr="00EE5736" w14:paraId="4405989B" w14:textId="77777777" w:rsidTr="00EE5736">
        <w:trPr>
          <w:trHeight w:val="227"/>
        </w:trPr>
        <w:tc>
          <w:tcPr>
            <w:tcW w:w="5000" w:type="pct"/>
            <w:gridSpan w:val="4"/>
            <w:tcBorders>
              <w:top w:val="nil"/>
              <w:left w:val="nil"/>
              <w:bottom w:val="nil"/>
              <w:right w:val="nil"/>
            </w:tcBorders>
            <w:shd w:val="clear" w:color="auto" w:fill="auto"/>
            <w:noWrap/>
            <w:vAlign w:val="bottom"/>
            <w:hideMark/>
          </w:tcPr>
          <w:p w14:paraId="5338C5B5" w14:textId="77777777" w:rsidR="00EE5736" w:rsidRPr="00EE5736" w:rsidRDefault="00EE5736">
            <w:pPr>
              <w:jc w:val="center"/>
              <w:rPr>
                <w:rFonts w:asciiTheme="majorHAnsi" w:hAnsiTheme="majorHAnsi" w:cs="Arial"/>
                <w:b/>
                <w:bCs/>
                <w:sz w:val="16"/>
                <w:szCs w:val="16"/>
              </w:rPr>
            </w:pPr>
            <w:r w:rsidRPr="00EE5736">
              <w:rPr>
                <w:rFonts w:asciiTheme="majorHAnsi" w:hAnsiTheme="majorHAnsi" w:cs="Arial"/>
                <w:b/>
                <w:bCs/>
                <w:sz w:val="16"/>
                <w:szCs w:val="16"/>
              </w:rPr>
              <w:t>BALANÇO PATRIMONIAL</w:t>
            </w:r>
          </w:p>
        </w:tc>
      </w:tr>
      <w:tr w:rsidR="00EE5736" w:rsidRPr="00EE5736" w14:paraId="4257EFC6" w14:textId="77777777" w:rsidTr="00EE5736">
        <w:trPr>
          <w:trHeight w:val="227"/>
        </w:trPr>
        <w:tc>
          <w:tcPr>
            <w:tcW w:w="5000" w:type="pct"/>
            <w:gridSpan w:val="4"/>
            <w:tcBorders>
              <w:top w:val="nil"/>
              <w:left w:val="nil"/>
              <w:bottom w:val="nil"/>
              <w:right w:val="nil"/>
            </w:tcBorders>
            <w:shd w:val="clear" w:color="auto" w:fill="auto"/>
            <w:noWrap/>
            <w:vAlign w:val="bottom"/>
            <w:hideMark/>
          </w:tcPr>
          <w:p w14:paraId="25BC42B5" w14:textId="77777777" w:rsidR="00EE5736" w:rsidRPr="00EE5736" w:rsidRDefault="00EE5736">
            <w:pPr>
              <w:jc w:val="center"/>
              <w:rPr>
                <w:rFonts w:asciiTheme="majorHAnsi" w:hAnsiTheme="majorHAnsi" w:cs="Arial"/>
                <w:b/>
                <w:bCs/>
                <w:sz w:val="16"/>
                <w:szCs w:val="16"/>
              </w:rPr>
            </w:pPr>
            <w:r w:rsidRPr="00EE5736">
              <w:rPr>
                <w:rFonts w:asciiTheme="majorHAnsi" w:hAnsiTheme="majorHAnsi" w:cs="Arial"/>
                <w:b/>
                <w:bCs/>
                <w:sz w:val="16"/>
                <w:szCs w:val="16"/>
              </w:rPr>
              <w:t>3º TRIMESTRE 2021</w:t>
            </w:r>
          </w:p>
        </w:tc>
      </w:tr>
      <w:tr w:rsidR="00EE5736" w:rsidRPr="00EE5736" w14:paraId="1F339DCC" w14:textId="77777777" w:rsidTr="00EE5736">
        <w:trPr>
          <w:trHeight w:val="227"/>
        </w:trPr>
        <w:tc>
          <w:tcPr>
            <w:tcW w:w="5000" w:type="pct"/>
            <w:gridSpan w:val="4"/>
            <w:tcBorders>
              <w:top w:val="nil"/>
              <w:left w:val="nil"/>
              <w:bottom w:val="nil"/>
              <w:right w:val="nil"/>
            </w:tcBorders>
            <w:shd w:val="clear" w:color="auto" w:fill="auto"/>
            <w:noWrap/>
            <w:vAlign w:val="bottom"/>
            <w:hideMark/>
          </w:tcPr>
          <w:p w14:paraId="452B0A36" w14:textId="56C6CE5C" w:rsidR="00EE5736" w:rsidRPr="00EE5736" w:rsidRDefault="00EE5736">
            <w:pPr>
              <w:jc w:val="center"/>
              <w:rPr>
                <w:rFonts w:asciiTheme="majorHAnsi" w:hAnsiTheme="majorHAnsi" w:cs="Arial"/>
                <w:b/>
                <w:bCs/>
                <w:sz w:val="16"/>
                <w:szCs w:val="16"/>
              </w:rPr>
            </w:pPr>
            <w:r w:rsidRPr="00EE5736">
              <w:rPr>
                <w:rFonts w:asciiTheme="majorHAnsi" w:hAnsiTheme="majorHAnsi" w:cs="Arial"/>
                <w:b/>
                <w:bCs/>
                <w:sz w:val="16"/>
                <w:szCs w:val="16"/>
              </w:rPr>
              <w:t>A T I V O</w:t>
            </w:r>
            <w:r>
              <w:rPr>
                <w:rFonts w:asciiTheme="majorHAnsi" w:hAnsiTheme="majorHAnsi" w:cs="Arial"/>
                <w:b/>
                <w:bCs/>
                <w:sz w:val="16"/>
                <w:szCs w:val="16"/>
              </w:rPr>
              <w:t xml:space="preserve"> (R$)</w:t>
            </w:r>
          </w:p>
        </w:tc>
      </w:tr>
      <w:tr w:rsidR="00EE5736" w:rsidRPr="00EE5736" w14:paraId="6FE8CFAB" w14:textId="77777777" w:rsidTr="00EE5736">
        <w:trPr>
          <w:trHeight w:val="227"/>
        </w:trPr>
        <w:tc>
          <w:tcPr>
            <w:tcW w:w="2528" w:type="pct"/>
            <w:tcBorders>
              <w:top w:val="nil"/>
              <w:left w:val="nil"/>
              <w:bottom w:val="nil"/>
              <w:right w:val="nil"/>
            </w:tcBorders>
            <w:shd w:val="clear" w:color="auto" w:fill="auto"/>
            <w:noWrap/>
            <w:vAlign w:val="bottom"/>
            <w:hideMark/>
          </w:tcPr>
          <w:p w14:paraId="50A413FC" w14:textId="77777777" w:rsidR="00EE5736" w:rsidRPr="00EE5736" w:rsidRDefault="00EE5736">
            <w:pPr>
              <w:jc w:val="right"/>
              <w:rPr>
                <w:rFonts w:asciiTheme="majorHAnsi" w:hAnsiTheme="majorHAnsi"/>
                <w:sz w:val="16"/>
                <w:szCs w:val="16"/>
              </w:rPr>
            </w:pPr>
          </w:p>
        </w:tc>
        <w:tc>
          <w:tcPr>
            <w:tcW w:w="1099" w:type="pct"/>
            <w:tcBorders>
              <w:top w:val="nil"/>
              <w:left w:val="nil"/>
              <w:bottom w:val="nil"/>
              <w:right w:val="nil"/>
            </w:tcBorders>
            <w:shd w:val="clear" w:color="auto" w:fill="auto"/>
            <w:noWrap/>
            <w:vAlign w:val="bottom"/>
            <w:hideMark/>
          </w:tcPr>
          <w:p w14:paraId="419F9864" w14:textId="77777777" w:rsidR="00EE5736" w:rsidRPr="00EE5736" w:rsidRDefault="00EE5736" w:rsidP="00EE5736">
            <w:pPr>
              <w:jc w:val="right"/>
              <w:rPr>
                <w:rFonts w:asciiTheme="majorHAnsi" w:hAnsiTheme="majorHAnsi" w:cs="Arial"/>
                <w:b/>
                <w:bCs/>
                <w:sz w:val="16"/>
                <w:szCs w:val="16"/>
              </w:rPr>
            </w:pPr>
            <w:r w:rsidRPr="00EE5736">
              <w:rPr>
                <w:rFonts w:asciiTheme="majorHAnsi" w:hAnsiTheme="majorHAnsi" w:cs="Arial"/>
                <w:b/>
                <w:bCs/>
                <w:sz w:val="16"/>
                <w:szCs w:val="16"/>
              </w:rPr>
              <w:t>30/09/2021</w:t>
            </w:r>
          </w:p>
        </w:tc>
        <w:tc>
          <w:tcPr>
            <w:tcW w:w="1026" w:type="pct"/>
            <w:tcBorders>
              <w:top w:val="nil"/>
              <w:left w:val="nil"/>
              <w:bottom w:val="nil"/>
              <w:right w:val="nil"/>
            </w:tcBorders>
            <w:shd w:val="clear" w:color="auto" w:fill="auto"/>
            <w:noWrap/>
            <w:vAlign w:val="bottom"/>
            <w:hideMark/>
          </w:tcPr>
          <w:p w14:paraId="22A6191C" w14:textId="77777777" w:rsidR="00EE5736" w:rsidRPr="00EE5736" w:rsidRDefault="00EE5736" w:rsidP="00EE5736">
            <w:pPr>
              <w:jc w:val="right"/>
              <w:rPr>
                <w:rFonts w:asciiTheme="majorHAnsi" w:hAnsiTheme="majorHAnsi" w:cs="Arial"/>
                <w:b/>
                <w:bCs/>
                <w:sz w:val="16"/>
                <w:szCs w:val="16"/>
              </w:rPr>
            </w:pPr>
            <w:r w:rsidRPr="00EE5736">
              <w:rPr>
                <w:rFonts w:asciiTheme="majorHAnsi" w:hAnsiTheme="majorHAnsi" w:cs="Arial"/>
                <w:b/>
                <w:bCs/>
                <w:sz w:val="16"/>
                <w:szCs w:val="16"/>
              </w:rPr>
              <w:t>31/12/2020</w:t>
            </w:r>
          </w:p>
        </w:tc>
        <w:tc>
          <w:tcPr>
            <w:tcW w:w="347" w:type="pct"/>
            <w:tcBorders>
              <w:top w:val="nil"/>
              <w:left w:val="nil"/>
              <w:bottom w:val="nil"/>
              <w:right w:val="nil"/>
            </w:tcBorders>
            <w:shd w:val="clear" w:color="auto" w:fill="auto"/>
            <w:noWrap/>
            <w:vAlign w:val="center"/>
            <w:hideMark/>
          </w:tcPr>
          <w:p w14:paraId="591E0669" w14:textId="02CD6963"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Nota</w:t>
            </w:r>
          </w:p>
        </w:tc>
      </w:tr>
      <w:tr w:rsidR="00EE5736" w:rsidRPr="00EE5736" w14:paraId="13FBDE86" w14:textId="77777777" w:rsidTr="00EE5736">
        <w:trPr>
          <w:trHeight w:val="227"/>
        </w:trPr>
        <w:tc>
          <w:tcPr>
            <w:tcW w:w="2528" w:type="pct"/>
            <w:tcBorders>
              <w:top w:val="nil"/>
              <w:left w:val="nil"/>
              <w:bottom w:val="nil"/>
              <w:right w:val="nil"/>
            </w:tcBorders>
            <w:shd w:val="clear" w:color="auto" w:fill="auto"/>
            <w:noWrap/>
            <w:vAlign w:val="bottom"/>
            <w:hideMark/>
          </w:tcPr>
          <w:p w14:paraId="725F414A" w14:textId="77777777" w:rsidR="00EE5736" w:rsidRPr="00EE5736" w:rsidRDefault="00EE5736">
            <w:pPr>
              <w:jc w:val="right"/>
              <w:rPr>
                <w:rFonts w:asciiTheme="majorHAnsi" w:hAnsiTheme="majorHAnsi" w:cs="Arial"/>
                <w:b/>
                <w:bCs/>
                <w:sz w:val="16"/>
                <w:szCs w:val="16"/>
              </w:rPr>
            </w:pPr>
          </w:p>
        </w:tc>
        <w:tc>
          <w:tcPr>
            <w:tcW w:w="1099" w:type="pct"/>
            <w:tcBorders>
              <w:top w:val="nil"/>
              <w:left w:val="nil"/>
              <w:bottom w:val="nil"/>
              <w:right w:val="nil"/>
            </w:tcBorders>
            <w:shd w:val="clear" w:color="auto" w:fill="auto"/>
            <w:noWrap/>
            <w:vAlign w:val="bottom"/>
            <w:hideMark/>
          </w:tcPr>
          <w:p w14:paraId="4B58AC38" w14:textId="77777777" w:rsidR="00EE5736" w:rsidRPr="00EE5736" w:rsidRDefault="00EE5736" w:rsidP="00EE5736">
            <w:pPr>
              <w:jc w:val="right"/>
              <w:rPr>
                <w:rFonts w:asciiTheme="majorHAnsi" w:hAnsiTheme="majorHAnsi"/>
                <w:sz w:val="16"/>
                <w:szCs w:val="16"/>
              </w:rPr>
            </w:pPr>
          </w:p>
        </w:tc>
        <w:tc>
          <w:tcPr>
            <w:tcW w:w="1026" w:type="pct"/>
            <w:tcBorders>
              <w:top w:val="nil"/>
              <w:left w:val="nil"/>
              <w:bottom w:val="nil"/>
              <w:right w:val="nil"/>
            </w:tcBorders>
            <w:shd w:val="clear" w:color="auto" w:fill="auto"/>
            <w:noWrap/>
            <w:vAlign w:val="bottom"/>
            <w:hideMark/>
          </w:tcPr>
          <w:p w14:paraId="23D3AF65" w14:textId="77777777" w:rsidR="00EE5736" w:rsidRPr="00EE5736" w:rsidRDefault="00EE5736" w:rsidP="00EE5736">
            <w:pPr>
              <w:jc w:val="right"/>
              <w:rPr>
                <w:rFonts w:asciiTheme="majorHAnsi" w:hAnsiTheme="majorHAnsi"/>
                <w:sz w:val="16"/>
                <w:szCs w:val="16"/>
              </w:rPr>
            </w:pPr>
          </w:p>
        </w:tc>
        <w:tc>
          <w:tcPr>
            <w:tcW w:w="347" w:type="pct"/>
            <w:tcBorders>
              <w:top w:val="nil"/>
              <w:left w:val="nil"/>
              <w:bottom w:val="nil"/>
              <w:right w:val="nil"/>
            </w:tcBorders>
            <w:shd w:val="clear" w:color="auto" w:fill="auto"/>
            <w:noWrap/>
            <w:vAlign w:val="center"/>
            <w:hideMark/>
          </w:tcPr>
          <w:p w14:paraId="0AFC815F" w14:textId="77777777" w:rsidR="00EE5736" w:rsidRPr="00EE5736" w:rsidRDefault="00EE5736">
            <w:pPr>
              <w:rPr>
                <w:rFonts w:asciiTheme="majorHAnsi" w:hAnsiTheme="majorHAnsi"/>
                <w:sz w:val="16"/>
                <w:szCs w:val="16"/>
              </w:rPr>
            </w:pPr>
          </w:p>
        </w:tc>
      </w:tr>
      <w:tr w:rsidR="00EE5736" w:rsidRPr="00EE5736" w14:paraId="0671AF57" w14:textId="77777777" w:rsidTr="00EE5736">
        <w:trPr>
          <w:trHeight w:val="227"/>
        </w:trPr>
        <w:tc>
          <w:tcPr>
            <w:tcW w:w="2528" w:type="pct"/>
            <w:tcBorders>
              <w:top w:val="nil"/>
              <w:left w:val="nil"/>
              <w:bottom w:val="nil"/>
              <w:right w:val="nil"/>
            </w:tcBorders>
            <w:shd w:val="clear" w:color="auto" w:fill="auto"/>
            <w:noWrap/>
            <w:vAlign w:val="bottom"/>
            <w:hideMark/>
          </w:tcPr>
          <w:p w14:paraId="40947952" w14:textId="77777777" w:rsidR="00EE5736" w:rsidRPr="00EE5736" w:rsidRDefault="00EE5736">
            <w:pPr>
              <w:rPr>
                <w:rFonts w:asciiTheme="majorHAnsi" w:hAnsiTheme="majorHAnsi" w:cs="Arial"/>
                <w:b/>
                <w:bCs/>
                <w:sz w:val="16"/>
                <w:szCs w:val="16"/>
              </w:rPr>
            </w:pPr>
            <w:r w:rsidRPr="00EE5736">
              <w:rPr>
                <w:rFonts w:asciiTheme="majorHAnsi" w:hAnsiTheme="majorHAnsi" w:cs="Arial"/>
                <w:b/>
                <w:bCs/>
                <w:sz w:val="16"/>
                <w:szCs w:val="16"/>
              </w:rPr>
              <w:t>ATIVO CIRCULANTE</w:t>
            </w:r>
          </w:p>
        </w:tc>
        <w:tc>
          <w:tcPr>
            <w:tcW w:w="1099" w:type="pct"/>
            <w:tcBorders>
              <w:top w:val="nil"/>
              <w:left w:val="nil"/>
              <w:bottom w:val="nil"/>
              <w:right w:val="nil"/>
            </w:tcBorders>
            <w:shd w:val="clear" w:color="auto" w:fill="auto"/>
            <w:noWrap/>
            <w:vAlign w:val="bottom"/>
            <w:hideMark/>
          </w:tcPr>
          <w:p w14:paraId="1AFF12F0" w14:textId="77777777" w:rsidR="00EE5736" w:rsidRPr="00EE5736" w:rsidRDefault="00EE5736" w:rsidP="00EE5736">
            <w:pPr>
              <w:jc w:val="right"/>
              <w:rPr>
                <w:rFonts w:asciiTheme="majorHAnsi" w:hAnsiTheme="majorHAnsi" w:cs="Arial"/>
                <w:b/>
                <w:bCs/>
                <w:sz w:val="16"/>
                <w:szCs w:val="16"/>
              </w:rPr>
            </w:pPr>
            <w:r w:rsidRPr="00EE5736">
              <w:rPr>
                <w:rFonts w:asciiTheme="majorHAnsi" w:hAnsiTheme="majorHAnsi" w:cs="Arial"/>
                <w:b/>
                <w:bCs/>
                <w:sz w:val="16"/>
                <w:szCs w:val="16"/>
              </w:rPr>
              <w:t xml:space="preserve">                        89.418.325 </w:t>
            </w:r>
          </w:p>
        </w:tc>
        <w:tc>
          <w:tcPr>
            <w:tcW w:w="1026" w:type="pct"/>
            <w:tcBorders>
              <w:top w:val="nil"/>
              <w:left w:val="nil"/>
              <w:bottom w:val="nil"/>
              <w:right w:val="nil"/>
            </w:tcBorders>
            <w:shd w:val="clear" w:color="auto" w:fill="auto"/>
            <w:noWrap/>
            <w:vAlign w:val="bottom"/>
            <w:hideMark/>
          </w:tcPr>
          <w:p w14:paraId="468633FD" w14:textId="77777777" w:rsidR="00EE5736" w:rsidRPr="00EE5736" w:rsidRDefault="00EE5736" w:rsidP="00EE5736">
            <w:pPr>
              <w:jc w:val="right"/>
              <w:rPr>
                <w:rFonts w:asciiTheme="majorHAnsi" w:hAnsiTheme="majorHAnsi" w:cs="Arial"/>
                <w:b/>
                <w:bCs/>
                <w:sz w:val="16"/>
                <w:szCs w:val="16"/>
              </w:rPr>
            </w:pPr>
            <w:r w:rsidRPr="00EE5736">
              <w:rPr>
                <w:rFonts w:asciiTheme="majorHAnsi" w:hAnsiTheme="majorHAnsi" w:cs="Arial"/>
                <w:b/>
                <w:bCs/>
                <w:sz w:val="16"/>
                <w:szCs w:val="16"/>
              </w:rPr>
              <w:t xml:space="preserve">                     42.056.476 </w:t>
            </w:r>
          </w:p>
        </w:tc>
        <w:tc>
          <w:tcPr>
            <w:tcW w:w="347" w:type="pct"/>
            <w:tcBorders>
              <w:top w:val="nil"/>
              <w:left w:val="nil"/>
              <w:bottom w:val="nil"/>
              <w:right w:val="nil"/>
            </w:tcBorders>
            <w:shd w:val="clear" w:color="auto" w:fill="auto"/>
            <w:noWrap/>
            <w:vAlign w:val="center"/>
            <w:hideMark/>
          </w:tcPr>
          <w:p w14:paraId="25855098" w14:textId="77777777" w:rsidR="00EE5736" w:rsidRPr="00EE5736" w:rsidRDefault="00EE5736">
            <w:pPr>
              <w:rPr>
                <w:rFonts w:asciiTheme="majorHAnsi" w:hAnsiTheme="majorHAnsi" w:cs="Arial"/>
                <w:b/>
                <w:bCs/>
                <w:sz w:val="16"/>
                <w:szCs w:val="16"/>
              </w:rPr>
            </w:pPr>
          </w:p>
        </w:tc>
      </w:tr>
      <w:tr w:rsidR="00EE5736" w:rsidRPr="00EE5736" w14:paraId="4739C841" w14:textId="77777777" w:rsidTr="00EE5736">
        <w:trPr>
          <w:trHeight w:val="227"/>
        </w:trPr>
        <w:tc>
          <w:tcPr>
            <w:tcW w:w="2528" w:type="pct"/>
            <w:tcBorders>
              <w:top w:val="nil"/>
              <w:left w:val="nil"/>
              <w:bottom w:val="nil"/>
              <w:right w:val="nil"/>
            </w:tcBorders>
            <w:shd w:val="clear" w:color="auto" w:fill="auto"/>
            <w:noWrap/>
            <w:vAlign w:val="bottom"/>
            <w:hideMark/>
          </w:tcPr>
          <w:p w14:paraId="0EB73F29" w14:textId="77777777" w:rsidR="00EE5736" w:rsidRPr="00EE5736" w:rsidRDefault="00EE5736">
            <w:pPr>
              <w:rPr>
                <w:rFonts w:asciiTheme="majorHAnsi" w:hAnsiTheme="majorHAnsi" w:cs="Arial"/>
                <w:b/>
                <w:bCs/>
                <w:sz w:val="16"/>
                <w:szCs w:val="16"/>
              </w:rPr>
            </w:pPr>
            <w:r w:rsidRPr="00EE5736">
              <w:rPr>
                <w:rFonts w:asciiTheme="majorHAnsi" w:hAnsiTheme="majorHAnsi" w:cs="Arial"/>
                <w:b/>
                <w:bCs/>
                <w:sz w:val="16"/>
                <w:szCs w:val="16"/>
              </w:rPr>
              <w:t xml:space="preserve">     Disponível</w:t>
            </w:r>
          </w:p>
        </w:tc>
        <w:tc>
          <w:tcPr>
            <w:tcW w:w="1099" w:type="pct"/>
            <w:tcBorders>
              <w:top w:val="nil"/>
              <w:left w:val="nil"/>
              <w:bottom w:val="nil"/>
              <w:right w:val="nil"/>
            </w:tcBorders>
            <w:shd w:val="clear" w:color="auto" w:fill="auto"/>
            <w:noWrap/>
            <w:vAlign w:val="bottom"/>
            <w:hideMark/>
          </w:tcPr>
          <w:p w14:paraId="26FECB8E" w14:textId="77777777" w:rsidR="00EE5736" w:rsidRPr="00EE5736" w:rsidRDefault="00EE5736" w:rsidP="00EE5736">
            <w:pPr>
              <w:jc w:val="right"/>
              <w:rPr>
                <w:rFonts w:asciiTheme="majorHAnsi" w:hAnsiTheme="majorHAnsi" w:cs="Arial"/>
                <w:b/>
                <w:bCs/>
                <w:sz w:val="16"/>
                <w:szCs w:val="16"/>
              </w:rPr>
            </w:pPr>
            <w:r w:rsidRPr="00EE5736">
              <w:rPr>
                <w:rFonts w:asciiTheme="majorHAnsi" w:hAnsiTheme="majorHAnsi" w:cs="Arial"/>
                <w:b/>
                <w:bCs/>
                <w:sz w:val="16"/>
                <w:szCs w:val="16"/>
              </w:rPr>
              <w:t xml:space="preserve">                        68.809.385 </w:t>
            </w:r>
          </w:p>
        </w:tc>
        <w:tc>
          <w:tcPr>
            <w:tcW w:w="1026" w:type="pct"/>
            <w:tcBorders>
              <w:top w:val="nil"/>
              <w:left w:val="nil"/>
              <w:bottom w:val="nil"/>
              <w:right w:val="nil"/>
            </w:tcBorders>
            <w:shd w:val="clear" w:color="auto" w:fill="auto"/>
            <w:noWrap/>
            <w:vAlign w:val="bottom"/>
            <w:hideMark/>
          </w:tcPr>
          <w:p w14:paraId="17D3E140" w14:textId="77777777" w:rsidR="00EE5736" w:rsidRPr="00EE5736" w:rsidRDefault="00EE5736" w:rsidP="00EE5736">
            <w:pPr>
              <w:jc w:val="right"/>
              <w:rPr>
                <w:rFonts w:asciiTheme="majorHAnsi" w:hAnsiTheme="majorHAnsi" w:cs="Arial"/>
                <w:b/>
                <w:bCs/>
                <w:sz w:val="16"/>
                <w:szCs w:val="16"/>
              </w:rPr>
            </w:pPr>
            <w:r w:rsidRPr="00EE5736">
              <w:rPr>
                <w:rFonts w:asciiTheme="majorHAnsi" w:hAnsiTheme="majorHAnsi" w:cs="Arial"/>
                <w:b/>
                <w:bCs/>
                <w:sz w:val="16"/>
                <w:szCs w:val="16"/>
              </w:rPr>
              <w:t xml:space="preserve">                     32.350.978 </w:t>
            </w:r>
          </w:p>
        </w:tc>
        <w:tc>
          <w:tcPr>
            <w:tcW w:w="347" w:type="pct"/>
            <w:tcBorders>
              <w:top w:val="nil"/>
              <w:left w:val="nil"/>
              <w:bottom w:val="nil"/>
              <w:right w:val="nil"/>
            </w:tcBorders>
            <w:shd w:val="clear" w:color="auto" w:fill="auto"/>
            <w:noWrap/>
            <w:vAlign w:val="center"/>
            <w:hideMark/>
          </w:tcPr>
          <w:p w14:paraId="367525D9" w14:textId="77777777" w:rsidR="00EE5736" w:rsidRPr="00EE5736" w:rsidRDefault="00EE5736">
            <w:pPr>
              <w:rPr>
                <w:rFonts w:asciiTheme="majorHAnsi" w:hAnsiTheme="majorHAnsi" w:cs="Arial"/>
                <w:b/>
                <w:bCs/>
                <w:sz w:val="16"/>
                <w:szCs w:val="16"/>
              </w:rPr>
            </w:pPr>
          </w:p>
        </w:tc>
      </w:tr>
      <w:tr w:rsidR="00EE5736" w:rsidRPr="00EE5736" w14:paraId="15BFA781" w14:textId="77777777" w:rsidTr="00EE5736">
        <w:trPr>
          <w:trHeight w:val="227"/>
        </w:trPr>
        <w:tc>
          <w:tcPr>
            <w:tcW w:w="2528" w:type="pct"/>
            <w:tcBorders>
              <w:top w:val="nil"/>
              <w:left w:val="nil"/>
              <w:bottom w:val="nil"/>
              <w:right w:val="nil"/>
            </w:tcBorders>
            <w:shd w:val="clear" w:color="auto" w:fill="auto"/>
            <w:noWrap/>
            <w:vAlign w:val="bottom"/>
            <w:hideMark/>
          </w:tcPr>
          <w:p w14:paraId="0EC437F6"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Conta Vinculada</w:t>
            </w:r>
          </w:p>
        </w:tc>
        <w:tc>
          <w:tcPr>
            <w:tcW w:w="1099" w:type="pct"/>
            <w:tcBorders>
              <w:top w:val="nil"/>
              <w:left w:val="nil"/>
              <w:bottom w:val="nil"/>
              <w:right w:val="nil"/>
            </w:tcBorders>
            <w:shd w:val="clear" w:color="auto" w:fill="auto"/>
            <w:noWrap/>
            <w:vAlign w:val="bottom"/>
            <w:hideMark/>
          </w:tcPr>
          <w:p w14:paraId="18A3A3BF"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68.809.385 </w:t>
            </w:r>
          </w:p>
        </w:tc>
        <w:tc>
          <w:tcPr>
            <w:tcW w:w="1026" w:type="pct"/>
            <w:tcBorders>
              <w:top w:val="nil"/>
              <w:left w:val="nil"/>
              <w:bottom w:val="nil"/>
              <w:right w:val="nil"/>
            </w:tcBorders>
            <w:shd w:val="clear" w:color="auto" w:fill="auto"/>
            <w:noWrap/>
            <w:vAlign w:val="bottom"/>
            <w:hideMark/>
          </w:tcPr>
          <w:p w14:paraId="58CDA5E2"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32.350.978 </w:t>
            </w:r>
          </w:p>
        </w:tc>
        <w:tc>
          <w:tcPr>
            <w:tcW w:w="347" w:type="pct"/>
            <w:tcBorders>
              <w:top w:val="nil"/>
              <w:left w:val="nil"/>
              <w:bottom w:val="nil"/>
              <w:right w:val="nil"/>
            </w:tcBorders>
            <w:shd w:val="clear" w:color="auto" w:fill="auto"/>
            <w:noWrap/>
            <w:vAlign w:val="bottom"/>
            <w:hideMark/>
          </w:tcPr>
          <w:p w14:paraId="6461C496"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(3)</w:t>
            </w:r>
          </w:p>
        </w:tc>
      </w:tr>
      <w:tr w:rsidR="00EE5736" w:rsidRPr="00EE5736" w14:paraId="3F723E79" w14:textId="77777777" w:rsidTr="00EE5736">
        <w:trPr>
          <w:trHeight w:val="227"/>
        </w:trPr>
        <w:tc>
          <w:tcPr>
            <w:tcW w:w="2528" w:type="pct"/>
            <w:tcBorders>
              <w:top w:val="nil"/>
              <w:left w:val="nil"/>
              <w:bottom w:val="nil"/>
              <w:right w:val="nil"/>
            </w:tcBorders>
            <w:shd w:val="clear" w:color="auto" w:fill="auto"/>
            <w:noWrap/>
            <w:vAlign w:val="bottom"/>
            <w:hideMark/>
          </w:tcPr>
          <w:p w14:paraId="7F79F900" w14:textId="77777777" w:rsidR="00EE5736" w:rsidRPr="00EE5736" w:rsidRDefault="00EE5736">
            <w:pPr>
              <w:rPr>
                <w:rFonts w:asciiTheme="majorHAnsi" w:hAnsiTheme="majorHAnsi" w:cs="Arial"/>
                <w:b/>
                <w:bCs/>
                <w:sz w:val="16"/>
                <w:szCs w:val="16"/>
              </w:rPr>
            </w:pPr>
            <w:r w:rsidRPr="00EE5736">
              <w:rPr>
                <w:rFonts w:asciiTheme="majorHAnsi" w:hAnsiTheme="majorHAnsi" w:cs="Arial"/>
                <w:b/>
                <w:bCs/>
                <w:sz w:val="16"/>
                <w:szCs w:val="16"/>
              </w:rPr>
              <w:t xml:space="preserve">     Direitos Realizáveis</w:t>
            </w:r>
          </w:p>
        </w:tc>
        <w:tc>
          <w:tcPr>
            <w:tcW w:w="1099" w:type="pct"/>
            <w:tcBorders>
              <w:top w:val="nil"/>
              <w:left w:val="nil"/>
              <w:bottom w:val="nil"/>
              <w:right w:val="nil"/>
            </w:tcBorders>
            <w:shd w:val="clear" w:color="auto" w:fill="auto"/>
            <w:noWrap/>
            <w:vAlign w:val="bottom"/>
            <w:hideMark/>
          </w:tcPr>
          <w:p w14:paraId="05526EEA" w14:textId="77777777" w:rsidR="00EE5736" w:rsidRPr="00EE5736" w:rsidRDefault="00EE5736" w:rsidP="00EE5736">
            <w:pPr>
              <w:jc w:val="right"/>
              <w:rPr>
                <w:rFonts w:asciiTheme="majorHAnsi" w:hAnsiTheme="majorHAnsi" w:cs="Arial"/>
                <w:b/>
                <w:bCs/>
                <w:sz w:val="16"/>
                <w:szCs w:val="16"/>
              </w:rPr>
            </w:pPr>
            <w:r w:rsidRPr="00EE5736">
              <w:rPr>
                <w:rFonts w:asciiTheme="majorHAnsi" w:hAnsiTheme="majorHAnsi" w:cs="Arial"/>
                <w:b/>
                <w:bCs/>
                <w:sz w:val="16"/>
                <w:szCs w:val="16"/>
              </w:rPr>
              <w:t xml:space="preserve">                        20.608.940 </w:t>
            </w:r>
          </w:p>
        </w:tc>
        <w:tc>
          <w:tcPr>
            <w:tcW w:w="1026" w:type="pct"/>
            <w:tcBorders>
              <w:top w:val="nil"/>
              <w:left w:val="nil"/>
              <w:bottom w:val="nil"/>
              <w:right w:val="nil"/>
            </w:tcBorders>
            <w:shd w:val="clear" w:color="auto" w:fill="auto"/>
            <w:noWrap/>
            <w:vAlign w:val="bottom"/>
            <w:hideMark/>
          </w:tcPr>
          <w:p w14:paraId="4675A880" w14:textId="77777777" w:rsidR="00EE5736" w:rsidRPr="00EE5736" w:rsidRDefault="00EE5736" w:rsidP="00EE5736">
            <w:pPr>
              <w:jc w:val="right"/>
              <w:rPr>
                <w:rFonts w:asciiTheme="majorHAnsi" w:hAnsiTheme="majorHAnsi" w:cs="Arial"/>
                <w:b/>
                <w:bCs/>
                <w:sz w:val="16"/>
                <w:szCs w:val="16"/>
              </w:rPr>
            </w:pPr>
            <w:r w:rsidRPr="00EE5736">
              <w:rPr>
                <w:rFonts w:asciiTheme="majorHAnsi" w:hAnsiTheme="majorHAnsi" w:cs="Arial"/>
                <w:b/>
                <w:bCs/>
                <w:sz w:val="16"/>
                <w:szCs w:val="16"/>
              </w:rPr>
              <w:t xml:space="preserve">                       9.705.498 </w:t>
            </w:r>
          </w:p>
        </w:tc>
        <w:tc>
          <w:tcPr>
            <w:tcW w:w="347" w:type="pct"/>
            <w:tcBorders>
              <w:top w:val="nil"/>
              <w:left w:val="nil"/>
              <w:bottom w:val="nil"/>
              <w:right w:val="nil"/>
            </w:tcBorders>
            <w:shd w:val="clear" w:color="auto" w:fill="auto"/>
            <w:noWrap/>
            <w:vAlign w:val="center"/>
            <w:hideMark/>
          </w:tcPr>
          <w:p w14:paraId="2ACE17C2" w14:textId="77777777" w:rsidR="00EE5736" w:rsidRPr="00EE5736" w:rsidRDefault="00EE5736">
            <w:pPr>
              <w:rPr>
                <w:rFonts w:asciiTheme="majorHAnsi" w:hAnsiTheme="majorHAnsi" w:cs="Arial"/>
                <w:b/>
                <w:bCs/>
                <w:sz w:val="16"/>
                <w:szCs w:val="16"/>
              </w:rPr>
            </w:pPr>
          </w:p>
        </w:tc>
      </w:tr>
      <w:tr w:rsidR="00EE5736" w:rsidRPr="00EE5736" w14:paraId="31785FC7" w14:textId="77777777" w:rsidTr="00EE5736">
        <w:trPr>
          <w:trHeight w:val="227"/>
        </w:trPr>
        <w:tc>
          <w:tcPr>
            <w:tcW w:w="2528" w:type="pct"/>
            <w:tcBorders>
              <w:top w:val="nil"/>
              <w:left w:val="nil"/>
              <w:bottom w:val="nil"/>
              <w:right w:val="nil"/>
            </w:tcBorders>
            <w:shd w:val="clear" w:color="auto" w:fill="auto"/>
            <w:noWrap/>
            <w:vAlign w:val="bottom"/>
            <w:hideMark/>
          </w:tcPr>
          <w:p w14:paraId="1CD38F5C" w14:textId="53CE0025"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Adiantamentos Concedidos</w:t>
            </w:r>
          </w:p>
        </w:tc>
        <w:tc>
          <w:tcPr>
            <w:tcW w:w="1099" w:type="pct"/>
            <w:tcBorders>
              <w:top w:val="nil"/>
              <w:left w:val="nil"/>
              <w:bottom w:val="nil"/>
              <w:right w:val="nil"/>
            </w:tcBorders>
            <w:shd w:val="clear" w:color="auto" w:fill="auto"/>
            <w:noWrap/>
            <w:vAlign w:val="bottom"/>
            <w:hideMark/>
          </w:tcPr>
          <w:p w14:paraId="7B2F895F"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3.114.758 </w:t>
            </w:r>
          </w:p>
        </w:tc>
        <w:tc>
          <w:tcPr>
            <w:tcW w:w="1026" w:type="pct"/>
            <w:tcBorders>
              <w:top w:val="nil"/>
              <w:left w:val="nil"/>
              <w:bottom w:val="nil"/>
              <w:right w:val="nil"/>
            </w:tcBorders>
            <w:shd w:val="clear" w:color="auto" w:fill="auto"/>
            <w:noWrap/>
            <w:vAlign w:val="bottom"/>
            <w:hideMark/>
          </w:tcPr>
          <w:p w14:paraId="69B5F041"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677.873 </w:t>
            </w:r>
          </w:p>
        </w:tc>
        <w:tc>
          <w:tcPr>
            <w:tcW w:w="347" w:type="pct"/>
            <w:tcBorders>
              <w:top w:val="nil"/>
              <w:left w:val="nil"/>
              <w:bottom w:val="nil"/>
              <w:right w:val="nil"/>
            </w:tcBorders>
            <w:shd w:val="clear" w:color="auto" w:fill="auto"/>
            <w:noWrap/>
            <w:vAlign w:val="center"/>
            <w:hideMark/>
          </w:tcPr>
          <w:p w14:paraId="03CED970"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(4a)</w:t>
            </w:r>
          </w:p>
        </w:tc>
      </w:tr>
      <w:tr w:rsidR="00EE5736" w:rsidRPr="00EE5736" w14:paraId="7FCAE7A4" w14:textId="77777777" w:rsidTr="00EE5736">
        <w:trPr>
          <w:trHeight w:val="227"/>
        </w:trPr>
        <w:tc>
          <w:tcPr>
            <w:tcW w:w="2528" w:type="pct"/>
            <w:tcBorders>
              <w:top w:val="nil"/>
              <w:left w:val="nil"/>
              <w:bottom w:val="nil"/>
              <w:right w:val="nil"/>
            </w:tcBorders>
            <w:shd w:val="clear" w:color="auto" w:fill="auto"/>
            <w:noWrap/>
            <w:vAlign w:val="bottom"/>
            <w:hideMark/>
          </w:tcPr>
          <w:p w14:paraId="71FF10B5"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Permissões p/uso de pátios a receber</w:t>
            </w:r>
          </w:p>
        </w:tc>
        <w:tc>
          <w:tcPr>
            <w:tcW w:w="1099" w:type="pct"/>
            <w:tcBorders>
              <w:top w:val="nil"/>
              <w:left w:val="nil"/>
              <w:bottom w:val="nil"/>
              <w:right w:val="nil"/>
            </w:tcBorders>
            <w:shd w:val="clear" w:color="auto" w:fill="auto"/>
            <w:noWrap/>
            <w:vAlign w:val="bottom"/>
            <w:hideMark/>
          </w:tcPr>
          <w:p w14:paraId="6130F187"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1.777.734 </w:t>
            </w:r>
          </w:p>
        </w:tc>
        <w:tc>
          <w:tcPr>
            <w:tcW w:w="1026" w:type="pct"/>
            <w:tcBorders>
              <w:top w:val="nil"/>
              <w:left w:val="nil"/>
              <w:bottom w:val="nil"/>
              <w:right w:val="nil"/>
            </w:tcBorders>
            <w:shd w:val="clear" w:color="auto" w:fill="auto"/>
            <w:noWrap/>
            <w:vAlign w:val="bottom"/>
            <w:hideMark/>
          </w:tcPr>
          <w:p w14:paraId="2DAEB8F6"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1.487.338 </w:t>
            </w:r>
          </w:p>
        </w:tc>
        <w:tc>
          <w:tcPr>
            <w:tcW w:w="347" w:type="pct"/>
            <w:tcBorders>
              <w:top w:val="nil"/>
              <w:left w:val="nil"/>
              <w:bottom w:val="nil"/>
              <w:right w:val="nil"/>
            </w:tcBorders>
            <w:shd w:val="clear" w:color="auto" w:fill="auto"/>
            <w:noWrap/>
            <w:vAlign w:val="center"/>
            <w:hideMark/>
          </w:tcPr>
          <w:p w14:paraId="22FA84F1"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(6a)</w:t>
            </w:r>
          </w:p>
        </w:tc>
      </w:tr>
      <w:tr w:rsidR="00EE5736" w:rsidRPr="00EE5736" w14:paraId="6F143F55" w14:textId="77777777" w:rsidTr="00EE5736">
        <w:trPr>
          <w:trHeight w:val="227"/>
        </w:trPr>
        <w:tc>
          <w:tcPr>
            <w:tcW w:w="2528" w:type="pct"/>
            <w:tcBorders>
              <w:top w:val="nil"/>
              <w:left w:val="nil"/>
              <w:bottom w:val="nil"/>
              <w:right w:val="nil"/>
            </w:tcBorders>
            <w:shd w:val="clear" w:color="auto" w:fill="auto"/>
            <w:noWrap/>
            <w:vAlign w:val="bottom"/>
            <w:hideMark/>
          </w:tcPr>
          <w:p w14:paraId="26257378"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Créditos tributários a compensar</w:t>
            </w:r>
          </w:p>
        </w:tc>
        <w:tc>
          <w:tcPr>
            <w:tcW w:w="1099" w:type="pct"/>
            <w:tcBorders>
              <w:top w:val="nil"/>
              <w:left w:val="nil"/>
              <w:bottom w:val="nil"/>
              <w:right w:val="nil"/>
            </w:tcBorders>
            <w:shd w:val="clear" w:color="auto" w:fill="auto"/>
            <w:noWrap/>
            <w:vAlign w:val="bottom"/>
            <w:hideMark/>
          </w:tcPr>
          <w:p w14:paraId="05CB83DC"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1.897.945 </w:t>
            </w:r>
          </w:p>
        </w:tc>
        <w:tc>
          <w:tcPr>
            <w:tcW w:w="1026" w:type="pct"/>
            <w:tcBorders>
              <w:top w:val="nil"/>
              <w:left w:val="nil"/>
              <w:bottom w:val="nil"/>
              <w:right w:val="nil"/>
            </w:tcBorders>
            <w:shd w:val="clear" w:color="auto" w:fill="auto"/>
            <w:noWrap/>
            <w:vAlign w:val="bottom"/>
            <w:hideMark/>
          </w:tcPr>
          <w:p w14:paraId="6B8E4A6A"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1.679.580 </w:t>
            </w:r>
          </w:p>
        </w:tc>
        <w:tc>
          <w:tcPr>
            <w:tcW w:w="347" w:type="pct"/>
            <w:tcBorders>
              <w:top w:val="nil"/>
              <w:left w:val="nil"/>
              <w:bottom w:val="nil"/>
              <w:right w:val="nil"/>
            </w:tcBorders>
            <w:shd w:val="clear" w:color="auto" w:fill="auto"/>
            <w:noWrap/>
            <w:vAlign w:val="center"/>
            <w:hideMark/>
          </w:tcPr>
          <w:p w14:paraId="4CC9A6E3"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(4b)</w:t>
            </w:r>
          </w:p>
        </w:tc>
      </w:tr>
      <w:tr w:rsidR="00EE5736" w:rsidRPr="00EE5736" w14:paraId="3255ED37" w14:textId="77777777" w:rsidTr="00EE5736">
        <w:trPr>
          <w:trHeight w:val="227"/>
        </w:trPr>
        <w:tc>
          <w:tcPr>
            <w:tcW w:w="2528" w:type="pct"/>
            <w:tcBorders>
              <w:top w:val="nil"/>
              <w:left w:val="nil"/>
              <w:bottom w:val="nil"/>
              <w:right w:val="nil"/>
            </w:tcBorders>
            <w:shd w:val="clear" w:color="auto" w:fill="auto"/>
            <w:noWrap/>
            <w:vAlign w:val="bottom"/>
            <w:hideMark/>
          </w:tcPr>
          <w:p w14:paraId="76CE9D28"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Outros Créditos a Receber</w:t>
            </w:r>
          </w:p>
        </w:tc>
        <w:tc>
          <w:tcPr>
            <w:tcW w:w="1099" w:type="pct"/>
            <w:tcBorders>
              <w:top w:val="nil"/>
              <w:left w:val="nil"/>
              <w:bottom w:val="nil"/>
              <w:right w:val="nil"/>
            </w:tcBorders>
            <w:shd w:val="clear" w:color="auto" w:fill="auto"/>
            <w:noWrap/>
            <w:vAlign w:val="bottom"/>
            <w:hideMark/>
          </w:tcPr>
          <w:p w14:paraId="6F6FFC58"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26.201.324 </w:t>
            </w:r>
          </w:p>
        </w:tc>
        <w:tc>
          <w:tcPr>
            <w:tcW w:w="1026" w:type="pct"/>
            <w:tcBorders>
              <w:top w:val="nil"/>
              <w:left w:val="nil"/>
              <w:bottom w:val="nil"/>
              <w:right w:val="nil"/>
            </w:tcBorders>
            <w:shd w:val="clear" w:color="auto" w:fill="auto"/>
            <w:noWrap/>
            <w:vAlign w:val="bottom"/>
            <w:hideMark/>
          </w:tcPr>
          <w:p w14:paraId="36309CB4"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18.243.528 </w:t>
            </w:r>
          </w:p>
        </w:tc>
        <w:tc>
          <w:tcPr>
            <w:tcW w:w="347" w:type="pct"/>
            <w:tcBorders>
              <w:top w:val="nil"/>
              <w:left w:val="nil"/>
              <w:bottom w:val="nil"/>
              <w:right w:val="nil"/>
            </w:tcBorders>
            <w:shd w:val="clear" w:color="auto" w:fill="auto"/>
            <w:noWrap/>
            <w:vAlign w:val="center"/>
            <w:hideMark/>
          </w:tcPr>
          <w:p w14:paraId="01F86C0D"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(4c)</w:t>
            </w:r>
          </w:p>
        </w:tc>
      </w:tr>
      <w:tr w:rsidR="00EE5736" w:rsidRPr="00EE5736" w14:paraId="41E26BB7" w14:textId="77777777" w:rsidTr="00EE5736">
        <w:trPr>
          <w:trHeight w:val="227"/>
        </w:trPr>
        <w:tc>
          <w:tcPr>
            <w:tcW w:w="2528" w:type="pct"/>
            <w:tcBorders>
              <w:top w:val="nil"/>
              <w:left w:val="nil"/>
              <w:bottom w:val="nil"/>
              <w:right w:val="nil"/>
            </w:tcBorders>
            <w:shd w:val="clear" w:color="auto" w:fill="auto"/>
            <w:noWrap/>
            <w:vAlign w:val="bottom"/>
            <w:hideMark/>
          </w:tcPr>
          <w:p w14:paraId="257A1D31"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Ajuste p/ Perda Demais Créditos</w:t>
            </w:r>
          </w:p>
        </w:tc>
        <w:tc>
          <w:tcPr>
            <w:tcW w:w="1099" w:type="pct"/>
            <w:tcBorders>
              <w:top w:val="nil"/>
              <w:left w:val="nil"/>
              <w:bottom w:val="nil"/>
              <w:right w:val="nil"/>
            </w:tcBorders>
            <w:shd w:val="clear" w:color="auto" w:fill="auto"/>
            <w:noWrap/>
            <w:vAlign w:val="bottom"/>
            <w:hideMark/>
          </w:tcPr>
          <w:p w14:paraId="58BEB2D9"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(12.382.821)</w:t>
            </w:r>
          </w:p>
        </w:tc>
        <w:tc>
          <w:tcPr>
            <w:tcW w:w="1026" w:type="pct"/>
            <w:tcBorders>
              <w:top w:val="nil"/>
              <w:left w:val="nil"/>
              <w:bottom w:val="nil"/>
              <w:right w:val="nil"/>
            </w:tcBorders>
            <w:shd w:val="clear" w:color="auto" w:fill="auto"/>
            <w:noWrap/>
            <w:vAlign w:val="bottom"/>
            <w:hideMark/>
          </w:tcPr>
          <w:p w14:paraId="26E004B4"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(12.382.821)</w:t>
            </w:r>
          </w:p>
        </w:tc>
        <w:tc>
          <w:tcPr>
            <w:tcW w:w="347" w:type="pct"/>
            <w:tcBorders>
              <w:top w:val="nil"/>
              <w:left w:val="nil"/>
              <w:bottom w:val="nil"/>
              <w:right w:val="nil"/>
            </w:tcBorders>
            <w:shd w:val="clear" w:color="auto" w:fill="auto"/>
            <w:noWrap/>
            <w:vAlign w:val="center"/>
            <w:hideMark/>
          </w:tcPr>
          <w:p w14:paraId="7B212702"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(4c)</w:t>
            </w:r>
          </w:p>
        </w:tc>
      </w:tr>
      <w:tr w:rsidR="00EE5736" w:rsidRPr="00EE5736" w14:paraId="04BF2A98" w14:textId="77777777" w:rsidTr="00EE5736">
        <w:trPr>
          <w:trHeight w:val="227"/>
        </w:trPr>
        <w:tc>
          <w:tcPr>
            <w:tcW w:w="2528" w:type="pct"/>
            <w:tcBorders>
              <w:top w:val="nil"/>
              <w:left w:val="nil"/>
              <w:bottom w:val="nil"/>
              <w:right w:val="nil"/>
            </w:tcBorders>
            <w:shd w:val="clear" w:color="auto" w:fill="auto"/>
            <w:noWrap/>
            <w:vAlign w:val="bottom"/>
            <w:hideMark/>
          </w:tcPr>
          <w:p w14:paraId="264B2C37" w14:textId="77777777" w:rsidR="00EE5736" w:rsidRPr="00EE5736" w:rsidRDefault="00EE5736">
            <w:pPr>
              <w:jc w:val="right"/>
              <w:rPr>
                <w:rFonts w:asciiTheme="majorHAnsi" w:hAnsiTheme="majorHAnsi" w:cs="Arial"/>
                <w:sz w:val="16"/>
                <w:szCs w:val="16"/>
              </w:rPr>
            </w:pPr>
          </w:p>
        </w:tc>
        <w:tc>
          <w:tcPr>
            <w:tcW w:w="1099" w:type="pct"/>
            <w:tcBorders>
              <w:top w:val="nil"/>
              <w:left w:val="nil"/>
              <w:bottom w:val="nil"/>
              <w:right w:val="nil"/>
            </w:tcBorders>
            <w:shd w:val="clear" w:color="auto" w:fill="auto"/>
            <w:noWrap/>
            <w:vAlign w:val="bottom"/>
            <w:hideMark/>
          </w:tcPr>
          <w:p w14:paraId="2CEC0090" w14:textId="77777777" w:rsidR="00EE5736" w:rsidRPr="00EE5736" w:rsidRDefault="00EE5736" w:rsidP="00EE5736">
            <w:pPr>
              <w:jc w:val="right"/>
              <w:rPr>
                <w:rFonts w:asciiTheme="majorHAnsi" w:hAnsiTheme="majorHAnsi"/>
                <w:sz w:val="16"/>
                <w:szCs w:val="16"/>
              </w:rPr>
            </w:pPr>
          </w:p>
        </w:tc>
        <w:tc>
          <w:tcPr>
            <w:tcW w:w="1026" w:type="pct"/>
            <w:tcBorders>
              <w:top w:val="nil"/>
              <w:left w:val="nil"/>
              <w:bottom w:val="nil"/>
              <w:right w:val="nil"/>
            </w:tcBorders>
            <w:shd w:val="clear" w:color="auto" w:fill="auto"/>
            <w:noWrap/>
            <w:vAlign w:val="bottom"/>
            <w:hideMark/>
          </w:tcPr>
          <w:p w14:paraId="74DE7232" w14:textId="77777777" w:rsidR="00EE5736" w:rsidRPr="00EE5736" w:rsidRDefault="00EE5736" w:rsidP="00EE5736">
            <w:pPr>
              <w:jc w:val="right"/>
              <w:rPr>
                <w:rFonts w:asciiTheme="majorHAnsi" w:hAnsiTheme="majorHAnsi"/>
                <w:sz w:val="16"/>
                <w:szCs w:val="16"/>
              </w:rPr>
            </w:pPr>
          </w:p>
        </w:tc>
        <w:tc>
          <w:tcPr>
            <w:tcW w:w="347" w:type="pct"/>
            <w:tcBorders>
              <w:top w:val="nil"/>
              <w:left w:val="nil"/>
              <w:bottom w:val="nil"/>
              <w:right w:val="nil"/>
            </w:tcBorders>
            <w:shd w:val="clear" w:color="auto" w:fill="auto"/>
            <w:noWrap/>
            <w:vAlign w:val="center"/>
            <w:hideMark/>
          </w:tcPr>
          <w:p w14:paraId="14CFD8DC" w14:textId="77777777" w:rsidR="00EE5736" w:rsidRPr="00EE5736" w:rsidRDefault="00EE5736">
            <w:pPr>
              <w:jc w:val="right"/>
              <w:rPr>
                <w:rFonts w:asciiTheme="majorHAnsi" w:hAnsiTheme="majorHAnsi"/>
                <w:sz w:val="16"/>
                <w:szCs w:val="16"/>
              </w:rPr>
            </w:pPr>
          </w:p>
        </w:tc>
      </w:tr>
      <w:tr w:rsidR="00EE5736" w:rsidRPr="00EE5736" w14:paraId="3BFBB987" w14:textId="77777777" w:rsidTr="00EE5736">
        <w:trPr>
          <w:trHeight w:val="227"/>
        </w:trPr>
        <w:tc>
          <w:tcPr>
            <w:tcW w:w="2528" w:type="pct"/>
            <w:tcBorders>
              <w:top w:val="nil"/>
              <w:left w:val="nil"/>
              <w:bottom w:val="nil"/>
              <w:right w:val="nil"/>
            </w:tcBorders>
            <w:shd w:val="clear" w:color="auto" w:fill="auto"/>
            <w:noWrap/>
            <w:vAlign w:val="bottom"/>
            <w:hideMark/>
          </w:tcPr>
          <w:p w14:paraId="34D1C550" w14:textId="77777777" w:rsidR="00EE5736" w:rsidRPr="00EE5736" w:rsidRDefault="00EE5736">
            <w:pPr>
              <w:rPr>
                <w:rFonts w:asciiTheme="majorHAnsi" w:hAnsiTheme="majorHAnsi" w:cs="Arial"/>
                <w:b/>
                <w:bCs/>
                <w:sz w:val="16"/>
                <w:szCs w:val="16"/>
              </w:rPr>
            </w:pPr>
            <w:r w:rsidRPr="00EE5736">
              <w:rPr>
                <w:rFonts w:asciiTheme="majorHAnsi" w:hAnsiTheme="majorHAnsi" w:cs="Arial"/>
                <w:b/>
                <w:bCs/>
                <w:sz w:val="16"/>
                <w:szCs w:val="16"/>
              </w:rPr>
              <w:t>ATIVO NÃO CIRCULANTE</w:t>
            </w:r>
          </w:p>
        </w:tc>
        <w:tc>
          <w:tcPr>
            <w:tcW w:w="1099" w:type="pct"/>
            <w:tcBorders>
              <w:top w:val="nil"/>
              <w:left w:val="nil"/>
              <w:bottom w:val="nil"/>
              <w:right w:val="nil"/>
            </w:tcBorders>
            <w:shd w:val="clear" w:color="auto" w:fill="auto"/>
            <w:noWrap/>
            <w:vAlign w:val="bottom"/>
            <w:hideMark/>
          </w:tcPr>
          <w:p w14:paraId="6E8B5B76" w14:textId="77777777" w:rsidR="00EE5736" w:rsidRPr="00EE5736" w:rsidRDefault="00EE5736" w:rsidP="00EE5736">
            <w:pPr>
              <w:jc w:val="right"/>
              <w:rPr>
                <w:rFonts w:asciiTheme="majorHAnsi" w:hAnsiTheme="majorHAnsi" w:cs="Arial"/>
                <w:b/>
                <w:bCs/>
                <w:sz w:val="16"/>
                <w:szCs w:val="16"/>
              </w:rPr>
            </w:pPr>
            <w:r w:rsidRPr="00EE5736">
              <w:rPr>
                <w:rFonts w:asciiTheme="majorHAnsi" w:hAnsiTheme="majorHAnsi" w:cs="Arial"/>
                <w:b/>
                <w:bCs/>
                <w:sz w:val="16"/>
                <w:szCs w:val="16"/>
              </w:rPr>
              <w:t xml:space="preserve">                  3.965.269.866 </w:t>
            </w:r>
          </w:p>
        </w:tc>
        <w:tc>
          <w:tcPr>
            <w:tcW w:w="1026" w:type="pct"/>
            <w:tcBorders>
              <w:top w:val="nil"/>
              <w:left w:val="nil"/>
              <w:bottom w:val="nil"/>
              <w:right w:val="nil"/>
            </w:tcBorders>
            <w:shd w:val="clear" w:color="auto" w:fill="auto"/>
            <w:noWrap/>
            <w:vAlign w:val="bottom"/>
            <w:hideMark/>
          </w:tcPr>
          <w:p w14:paraId="7340B00E" w14:textId="77777777" w:rsidR="00EE5736" w:rsidRPr="00EE5736" w:rsidRDefault="00EE5736" w:rsidP="00EE5736">
            <w:pPr>
              <w:jc w:val="right"/>
              <w:rPr>
                <w:rFonts w:asciiTheme="majorHAnsi" w:hAnsiTheme="majorHAnsi" w:cs="Arial"/>
                <w:b/>
                <w:bCs/>
                <w:sz w:val="16"/>
                <w:szCs w:val="16"/>
              </w:rPr>
            </w:pPr>
            <w:r w:rsidRPr="00EE5736">
              <w:rPr>
                <w:rFonts w:asciiTheme="majorHAnsi" w:hAnsiTheme="majorHAnsi" w:cs="Arial"/>
                <w:b/>
                <w:bCs/>
                <w:sz w:val="16"/>
                <w:szCs w:val="16"/>
              </w:rPr>
              <w:t xml:space="preserve">               3.701.631.852 </w:t>
            </w:r>
          </w:p>
        </w:tc>
        <w:tc>
          <w:tcPr>
            <w:tcW w:w="347" w:type="pct"/>
            <w:tcBorders>
              <w:top w:val="nil"/>
              <w:left w:val="nil"/>
              <w:bottom w:val="nil"/>
              <w:right w:val="nil"/>
            </w:tcBorders>
            <w:shd w:val="clear" w:color="auto" w:fill="auto"/>
            <w:noWrap/>
            <w:vAlign w:val="center"/>
            <w:hideMark/>
          </w:tcPr>
          <w:p w14:paraId="13AF0266" w14:textId="77777777" w:rsidR="00EE5736" w:rsidRPr="00EE5736" w:rsidRDefault="00EE5736">
            <w:pPr>
              <w:rPr>
                <w:rFonts w:asciiTheme="majorHAnsi" w:hAnsiTheme="majorHAnsi" w:cs="Arial"/>
                <w:b/>
                <w:bCs/>
                <w:sz w:val="16"/>
                <w:szCs w:val="16"/>
              </w:rPr>
            </w:pPr>
          </w:p>
        </w:tc>
      </w:tr>
      <w:tr w:rsidR="00EE5736" w:rsidRPr="00EE5736" w14:paraId="5496D5A9" w14:textId="77777777" w:rsidTr="00EE5736">
        <w:trPr>
          <w:trHeight w:val="227"/>
        </w:trPr>
        <w:tc>
          <w:tcPr>
            <w:tcW w:w="2528" w:type="pct"/>
            <w:tcBorders>
              <w:top w:val="nil"/>
              <w:left w:val="nil"/>
              <w:bottom w:val="nil"/>
              <w:right w:val="nil"/>
            </w:tcBorders>
            <w:shd w:val="clear" w:color="auto" w:fill="auto"/>
            <w:noWrap/>
            <w:vAlign w:val="bottom"/>
            <w:hideMark/>
          </w:tcPr>
          <w:p w14:paraId="7B9F4193" w14:textId="77777777" w:rsidR="00EE5736" w:rsidRPr="00EE5736" w:rsidRDefault="00EE5736">
            <w:pPr>
              <w:rPr>
                <w:rFonts w:asciiTheme="majorHAnsi" w:hAnsiTheme="majorHAnsi" w:cs="Arial"/>
                <w:b/>
                <w:bCs/>
                <w:sz w:val="16"/>
                <w:szCs w:val="16"/>
              </w:rPr>
            </w:pPr>
            <w:r w:rsidRPr="00EE5736">
              <w:rPr>
                <w:rFonts w:asciiTheme="majorHAnsi" w:hAnsiTheme="majorHAnsi" w:cs="Arial"/>
                <w:b/>
                <w:bCs/>
                <w:sz w:val="16"/>
                <w:szCs w:val="16"/>
              </w:rPr>
              <w:t xml:space="preserve">      Realizável a Longo Prazo</w:t>
            </w:r>
          </w:p>
        </w:tc>
        <w:tc>
          <w:tcPr>
            <w:tcW w:w="1099" w:type="pct"/>
            <w:tcBorders>
              <w:top w:val="nil"/>
              <w:left w:val="nil"/>
              <w:bottom w:val="nil"/>
              <w:right w:val="nil"/>
            </w:tcBorders>
            <w:shd w:val="clear" w:color="auto" w:fill="auto"/>
            <w:noWrap/>
            <w:vAlign w:val="bottom"/>
            <w:hideMark/>
          </w:tcPr>
          <w:p w14:paraId="27A38D61" w14:textId="77777777" w:rsidR="00EE5736" w:rsidRPr="00EE5736" w:rsidRDefault="00EE5736" w:rsidP="00EE5736">
            <w:pPr>
              <w:jc w:val="right"/>
              <w:rPr>
                <w:rFonts w:asciiTheme="majorHAnsi" w:hAnsiTheme="majorHAnsi" w:cs="Arial"/>
                <w:b/>
                <w:bCs/>
                <w:sz w:val="16"/>
                <w:szCs w:val="16"/>
              </w:rPr>
            </w:pPr>
            <w:r w:rsidRPr="00EE5736">
              <w:rPr>
                <w:rFonts w:asciiTheme="majorHAnsi" w:hAnsiTheme="majorHAnsi" w:cs="Arial"/>
                <w:b/>
                <w:bCs/>
                <w:sz w:val="16"/>
                <w:szCs w:val="16"/>
              </w:rPr>
              <w:t xml:space="preserve">                      131.064.394 </w:t>
            </w:r>
          </w:p>
        </w:tc>
        <w:tc>
          <w:tcPr>
            <w:tcW w:w="1026" w:type="pct"/>
            <w:tcBorders>
              <w:top w:val="nil"/>
              <w:left w:val="nil"/>
              <w:bottom w:val="nil"/>
              <w:right w:val="nil"/>
            </w:tcBorders>
            <w:shd w:val="clear" w:color="auto" w:fill="auto"/>
            <w:noWrap/>
            <w:vAlign w:val="bottom"/>
            <w:hideMark/>
          </w:tcPr>
          <w:p w14:paraId="48738825" w14:textId="77777777" w:rsidR="00EE5736" w:rsidRPr="00EE5736" w:rsidRDefault="00EE5736" w:rsidP="00EE5736">
            <w:pPr>
              <w:jc w:val="right"/>
              <w:rPr>
                <w:rFonts w:asciiTheme="majorHAnsi" w:hAnsiTheme="majorHAnsi" w:cs="Arial"/>
                <w:b/>
                <w:bCs/>
                <w:sz w:val="16"/>
                <w:szCs w:val="16"/>
              </w:rPr>
            </w:pPr>
            <w:r w:rsidRPr="00EE5736">
              <w:rPr>
                <w:rFonts w:asciiTheme="majorHAnsi" w:hAnsiTheme="majorHAnsi" w:cs="Arial"/>
                <w:b/>
                <w:bCs/>
                <w:sz w:val="16"/>
                <w:szCs w:val="16"/>
              </w:rPr>
              <w:t xml:space="preserve">                  115.922.885 </w:t>
            </w:r>
          </w:p>
        </w:tc>
        <w:tc>
          <w:tcPr>
            <w:tcW w:w="347" w:type="pct"/>
            <w:tcBorders>
              <w:top w:val="nil"/>
              <w:left w:val="nil"/>
              <w:bottom w:val="nil"/>
              <w:right w:val="nil"/>
            </w:tcBorders>
            <w:shd w:val="clear" w:color="auto" w:fill="auto"/>
            <w:noWrap/>
            <w:vAlign w:val="center"/>
            <w:hideMark/>
          </w:tcPr>
          <w:p w14:paraId="133ADF57" w14:textId="77777777" w:rsidR="00EE5736" w:rsidRPr="00EE5736" w:rsidRDefault="00EE5736">
            <w:pPr>
              <w:rPr>
                <w:rFonts w:asciiTheme="majorHAnsi" w:hAnsiTheme="majorHAnsi" w:cs="Arial"/>
                <w:b/>
                <w:bCs/>
                <w:sz w:val="16"/>
                <w:szCs w:val="16"/>
              </w:rPr>
            </w:pPr>
          </w:p>
        </w:tc>
      </w:tr>
      <w:tr w:rsidR="00EE5736" w:rsidRPr="00EE5736" w14:paraId="384C7980" w14:textId="77777777" w:rsidTr="00EE5736">
        <w:trPr>
          <w:trHeight w:val="227"/>
        </w:trPr>
        <w:tc>
          <w:tcPr>
            <w:tcW w:w="2528" w:type="pct"/>
            <w:tcBorders>
              <w:top w:val="nil"/>
              <w:left w:val="nil"/>
              <w:bottom w:val="nil"/>
              <w:right w:val="nil"/>
            </w:tcBorders>
            <w:shd w:val="clear" w:color="auto" w:fill="auto"/>
            <w:noWrap/>
            <w:vAlign w:val="bottom"/>
            <w:hideMark/>
          </w:tcPr>
          <w:p w14:paraId="398F920E"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Depósitos de Cauções</w:t>
            </w:r>
          </w:p>
        </w:tc>
        <w:tc>
          <w:tcPr>
            <w:tcW w:w="1099" w:type="pct"/>
            <w:tcBorders>
              <w:top w:val="nil"/>
              <w:left w:val="nil"/>
              <w:bottom w:val="nil"/>
              <w:right w:val="nil"/>
            </w:tcBorders>
            <w:shd w:val="clear" w:color="auto" w:fill="auto"/>
            <w:noWrap/>
            <w:vAlign w:val="bottom"/>
            <w:hideMark/>
          </w:tcPr>
          <w:p w14:paraId="53E2FEDF"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257.879 </w:t>
            </w:r>
          </w:p>
        </w:tc>
        <w:tc>
          <w:tcPr>
            <w:tcW w:w="1026" w:type="pct"/>
            <w:tcBorders>
              <w:top w:val="nil"/>
              <w:left w:val="nil"/>
              <w:bottom w:val="nil"/>
              <w:right w:val="nil"/>
            </w:tcBorders>
            <w:shd w:val="clear" w:color="auto" w:fill="auto"/>
            <w:noWrap/>
            <w:vAlign w:val="bottom"/>
            <w:hideMark/>
          </w:tcPr>
          <w:p w14:paraId="46589E68"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233.338 </w:t>
            </w:r>
          </w:p>
        </w:tc>
        <w:tc>
          <w:tcPr>
            <w:tcW w:w="347" w:type="pct"/>
            <w:tcBorders>
              <w:top w:val="nil"/>
              <w:left w:val="nil"/>
              <w:bottom w:val="nil"/>
              <w:right w:val="nil"/>
            </w:tcBorders>
            <w:shd w:val="clear" w:color="auto" w:fill="auto"/>
            <w:noWrap/>
            <w:vAlign w:val="center"/>
            <w:hideMark/>
          </w:tcPr>
          <w:p w14:paraId="50C1DD1D"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(5a)</w:t>
            </w:r>
          </w:p>
        </w:tc>
      </w:tr>
      <w:tr w:rsidR="00EE5736" w:rsidRPr="00EE5736" w14:paraId="50082438" w14:textId="77777777" w:rsidTr="00EE5736">
        <w:trPr>
          <w:trHeight w:val="227"/>
        </w:trPr>
        <w:tc>
          <w:tcPr>
            <w:tcW w:w="2528" w:type="pct"/>
            <w:tcBorders>
              <w:top w:val="nil"/>
              <w:left w:val="nil"/>
              <w:bottom w:val="nil"/>
              <w:right w:val="nil"/>
            </w:tcBorders>
            <w:shd w:val="clear" w:color="auto" w:fill="auto"/>
            <w:noWrap/>
            <w:vAlign w:val="bottom"/>
            <w:hideMark/>
          </w:tcPr>
          <w:p w14:paraId="68DE06C7"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Depósitos Judiciais</w:t>
            </w:r>
          </w:p>
        </w:tc>
        <w:tc>
          <w:tcPr>
            <w:tcW w:w="1099" w:type="pct"/>
            <w:tcBorders>
              <w:top w:val="nil"/>
              <w:left w:val="nil"/>
              <w:bottom w:val="nil"/>
              <w:right w:val="nil"/>
            </w:tcBorders>
            <w:shd w:val="clear" w:color="auto" w:fill="auto"/>
            <w:noWrap/>
            <w:vAlign w:val="bottom"/>
            <w:hideMark/>
          </w:tcPr>
          <w:p w14:paraId="28B6F3FC"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89.710.625 </w:t>
            </w:r>
          </w:p>
        </w:tc>
        <w:tc>
          <w:tcPr>
            <w:tcW w:w="1026" w:type="pct"/>
            <w:tcBorders>
              <w:top w:val="nil"/>
              <w:left w:val="nil"/>
              <w:bottom w:val="nil"/>
              <w:right w:val="nil"/>
            </w:tcBorders>
            <w:shd w:val="clear" w:color="auto" w:fill="auto"/>
            <w:noWrap/>
            <w:vAlign w:val="bottom"/>
            <w:hideMark/>
          </w:tcPr>
          <w:p w14:paraId="0DBACF69"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90.154.987 </w:t>
            </w:r>
          </w:p>
        </w:tc>
        <w:tc>
          <w:tcPr>
            <w:tcW w:w="347" w:type="pct"/>
            <w:tcBorders>
              <w:top w:val="nil"/>
              <w:left w:val="nil"/>
              <w:bottom w:val="nil"/>
              <w:right w:val="nil"/>
            </w:tcBorders>
            <w:shd w:val="clear" w:color="auto" w:fill="auto"/>
            <w:noWrap/>
            <w:vAlign w:val="center"/>
            <w:hideMark/>
          </w:tcPr>
          <w:p w14:paraId="52B39FD9"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(5b)</w:t>
            </w:r>
          </w:p>
        </w:tc>
      </w:tr>
      <w:tr w:rsidR="00EE5736" w:rsidRPr="00EE5736" w14:paraId="1A1A5410" w14:textId="77777777" w:rsidTr="00EE5736">
        <w:trPr>
          <w:trHeight w:val="227"/>
        </w:trPr>
        <w:tc>
          <w:tcPr>
            <w:tcW w:w="2528" w:type="pct"/>
            <w:tcBorders>
              <w:top w:val="nil"/>
              <w:left w:val="nil"/>
              <w:bottom w:val="nil"/>
              <w:right w:val="nil"/>
            </w:tcBorders>
            <w:shd w:val="clear" w:color="auto" w:fill="auto"/>
            <w:noWrap/>
            <w:vAlign w:val="bottom"/>
            <w:hideMark/>
          </w:tcPr>
          <w:p w14:paraId="636250C2"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Permissões p/uso de pátios a receber</w:t>
            </w:r>
          </w:p>
        </w:tc>
        <w:tc>
          <w:tcPr>
            <w:tcW w:w="1099" w:type="pct"/>
            <w:tcBorders>
              <w:top w:val="nil"/>
              <w:left w:val="nil"/>
              <w:bottom w:val="nil"/>
              <w:right w:val="nil"/>
            </w:tcBorders>
            <w:shd w:val="clear" w:color="auto" w:fill="auto"/>
            <w:noWrap/>
            <w:vAlign w:val="bottom"/>
            <w:hideMark/>
          </w:tcPr>
          <w:p w14:paraId="4DC10934"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41.058.367 </w:t>
            </w:r>
          </w:p>
        </w:tc>
        <w:tc>
          <w:tcPr>
            <w:tcW w:w="1026" w:type="pct"/>
            <w:tcBorders>
              <w:top w:val="nil"/>
              <w:left w:val="nil"/>
              <w:bottom w:val="nil"/>
              <w:right w:val="nil"/>
            </w:tcBorders>
            <w:shd w:val="clear" w:color="auto" w:fill="auto"/>
            <w:noWrap/>
            <w:vAlign w:val="bottom"/>
            <w:hideMark/>
          </w:tcPr>
          <w:p w14:paraId="018AEADC"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25.488.517 </w:t>
            </w:r>
          </w:p>
        </w:tc>
        <w:tc>
          <w:tcPr>
            <w:tcW w:w="347" w:type="pct"/>
            <w:tcBorders>
              <w:top w:val="nil"/>
              <w:left w:val="nil"/>
              <w:bottom w:val="nil"/>
              <w:right w:val="nil"/>
            </w:tcBorders>
            <w:shd w:val="clear" w:color="auto" w:fill="auto"/>
            <w:noWrap/>
            <w:vAlign w:val="center"/>
            <w:hideMark/>
          </w:tcPr>
          <w:p w14:paraId="49609AAA"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(6b)</w:t>
            </w:r>
          </w:p>
        </w:tc>
      </w:tr>
      <w:tr w:rsidR="00EE5736" w:rsidRPr="00EE5736" w14:paraId="734851F0" w14:textId="77777777" w:rsidTr="00EE5736">
        <w:trPr>
          <w:trHeight w:val="227"/>
        </w:trPr>
        <w:tc>
          <w:tcPr>
            <w:tcW w:w="2528" w:type="pct"/>
            <w:tcBorders>
              <w:top w:val="nil"/>
              <w:left w:val="nil"/>
              <w:bottom w:val="nil"/>
              <w:right w:val="nil"/>
            </w:tcBorders>
            <w:shd w:val="clear" w:color="auto" w:fill="auto"/>
            <w:noWrap/>
            <w:vAlign w:val="bottom"/>
            <w:hideMark/>
          </w:tcPr>
          <w:p w14:paraId="7F17A2C1" w14:textId="4F8FAEB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Valores a Receber (Assist. Médica- Geipot)</w:t>
            </w:r>
          </w:p>
        </w:tc>
        <w:tc>
          <w:tcPr>
            <w:tcW w:w="1099" w:type="pct"/>
            <w:tcBorders>
              <w:top w:val="nil"/>
              <w:left w:val="nil"/>
              <w:bottom w:val="nil"/>
              <w:right w:val="nil"/>
            </w:tcBorders>
            <w:shd w:val="clear" w:color="auto" w:fill="auto"/>
            <w:noWrap/>
            <w:vAlign w:val="bottom"/>
            <w:hideMark/>
          </w:tcPr>
          <w:p w14:paraId="48CBC81D"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37.523 </w:t>
            </w:r>
          </w:p>
        </w:tc>
        <w:tc>
          <w:tcPr>
            <w:tcW w:w="1026" w:type="pct"/>
            <w:tcBorders>
              <w:top w:val="nil"/>
              <w:left w:val="nil"/>
              <w:bottom w:val="nil"/>
              <w:right w:val="nil"/>
            </w:tcBorders>
            <w:shd w:val="clear" w:color="auto" w:fill="auto"/>
            <w:noWrap/>
            <w:vAlign w:val="bottom"/>
            <w:hideMark/>
          </w:tcPr>
          <w:p w14:paraId="4CC8E011"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46.043 </w:t>
            </w:r>
          </w:p>
        </w:tc>
        <w:tc>
          <w:tcPr>
            <w:tcW w:w="347" w:type="pct"/>
            <w:tcBorders>
              <w:top w:val="nil"/>
              <w:left w:val="nil"/>
              <w:bottom w:val="nil"/>
              <w:right w:val="nil"/>
            </w:tcBorders>
            <w:shd w:val="clear" w:color="auto" w:fill="auto"/>
            <w:noWrap/>
            <w:vAlign w:val="center"/>
            <w:hideMark/>
          </w:tcPr>
          <w:p w14:paraId="5148DCB8"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(5c)</w:t>
            </w:r>
          </w:p>
        </w:tc>
      </w:tr>
      <w:tr w:rsidR="00EE5736" w:rsidRPr="00EE5736" w14:paraId="3BEB374E" w14:textId="77777777" w:rsidTr="00EE5736">
        <w:trPr>
          <w:trHeight w:val="227"/>
        </w:trPr>
        <w:tc>
          <w:tcPr>
            <w:tcW w:w="2528" w:type="pct"/>
            <w:tcBorders>
              <w:top w:val="nil"/>
              <w:left w:val="nil"/>
              <w:bottom w:val="nil"/>
              <w:right w:val="nil"/>
            </w:tcBorders>
            <w:shd w:val="clear" w:color="auto" w:fill="auto"/>
            <w:noWrap/>
            <w:vAlign w:val="bottom"/>
            <w:hideMark/>
          </w:tcPr>
          <w:p w14:paraId="7791536E" w14:textId="77777777" w:rsidR="00EE5736" w:rsidRPr="00EE5736" w:rsidRDefault="00EE5736">
            <w:pPr>
              <w:rPr>
                <w:rFonts w:asciiTheme="majorHAnsi" w:hAnsiTheme="majorHAnsi" w:cs="Arial"/>
                <w:b/>
                <w:bCs/>
                <w:sz w:val="16"/>
                <w:szCs w:val="16"/>
              </w:rPr>
            </w:pPr>
            <w:r w:rsidRPr="00EE5736">
              <w:rPr>
                <w:rFonts w:asciiTheme="majorHAnsi" w:hAnsiTheme="majorHAnsi" w:cs="Arial"/>
                <w:b/>
                <w:bCs/>
                <w:sz w:val="16"/>
                <w:szCs w:val="16"/>
              </w:rPr>
              <w:t xml:space="preserve">      Investimentos</w:t>
            </w:r>
          </w:p>
        </w:tc>
        <w:tc>
          <w:tcPr>
            <w:tcW w:w="1099" w:type="pct"/>
            <w:tcBorders>
              <w:top w:val="nil"/>
              <w:left w:val="nil"/>
              <w:bottom w:val="nil"/>
              <w:right w:val="nil"/>
            </w:tcBorders>
            <w:shd w:val="clear" w:color="auto" w:fill="auto"/>
            <w:noWrap/>
            <w:vAlign w:val="bottom"/>
            <w:hideMark/>
          </w:tcPr>
          <w:p w14:paraId="1D3AA9C2" w14:textId="77777777" w:rsidR="00EE5736" w:rsidRPr="00EE5736" w:rsidRDefault="00EE5736" w:rsidP="00EE5736">
            <w:pPr>
              <w:jc w:val="right"/>
              <w:rPr>
                <w:rFonts w:asciiTheme="majorHAnsi" w:hAnsiTheme="majorHAnsi" w:cs="Arial"/>
                <w:b/>
                <w:bCs/>
                <w:sz w:val="16"/>
                <w:szCs w:val="16"/>
              </w:rPr>
            </w:pPr>
            <w:r w:rsidRPr="00EE5736">
              <w:rPr>
                <w:rFonts w:asciiTheme="majorHAnsi" w:hAnsiTheme="majorHAnsi" w:cs="Arial"/>
                <w:b/>
                <w:bCs/>
                <w:sz w:val="16"/>
                <w:szCs w:val="16"/>
              </w:rPr>
              <w:t xml:space="preserve">                      927.551.786 </w:t>
            </w:r>
          </w:p>
        </w:tc>
        <w:tc>
          <w:tcPr>
            <w:tcW w:w="1026" w:type="pct"/>
            <w:tcBorders>
              <w:top w:val="nil"/>
              <w:left w:val="nil"/>
              <w:bottom w:val="nil"/>
              <w:right w:val="nil"/>
            </w:tcBorders>
            <w:shd w:val="clear" w:color="auto" w:fill="auto"/>
            <w:noWrap/>
            <w:vAlign w:val="bottom"/>
            <w:hideMark/>
          </w:tcPr>
          <w:p w14:paraId="6E8F489F" w14:textId="77777777" w:rsidR="00EE5736" w:rsidRPr="00EE5736" w:rsidRDefault="00EE5736" w:rsidP="00EE5736">
            <w:pPr>
              <w:jc w:val="right"/>
              <w:rPr>
                <w:rFonts w:asciiTheme="majorHAnsi" w:hAnsiTheme="majorHAnsi" w:cs="Arial"/>
                <w:b/>
                <w:bCs/>
                <w:sz w:val="16"/>
                <w:szCs w:val="16"/>
              </w:rPr>
            </w:pPr>
            <w:r w:rsidRPr="00EE5736">
              <w:rPr>
                <w:rFonts w:asciiTheme="majorHAnsi" w:hAnsiTheme="majorHAnsi" w:cs="Arial"/>
                <w:b/>
                <w:bCs/>
                <w:sz w:val="16"/>
                <w:szCs w:val="16"/>
              </w:rPr>
              <w:t xml:space="preserve">                  959.800.293 </w:t>
            </w:r>
          </w:p>
        </w:tc>
        <w:tc>
          <w:tcPr>
            <w:tcW w:w="347" w:type="pct"/>
            <w:tcBorders>
              <w:top w:val="nil"/>
              <w:left w:val="nil"/>
              <w:bottom w:val="nil"/>
              <w:right w:val="nil"/>
            </w:tcBorders>
            <w:shd w:val="clear" w:color="auto" w:fill="auto"/>
            <w:noWrap/>
            <w:vAlign w:val="bottom"/>
            <w:hideMark/>
          </w:tcPr>
          <w:p w14:paraId="09E1F11A"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(7)</w:t>
            </w:r>
          </w:p>
        </w:tc>
      </w:tr>
      <w:tr w:rsidR="00EE5736" w:rsidRPr="00EE5736" w14:paraId="54FC02C8" w14:textId="77777777" w:rsidTr="00EE5736">
        <w:trPr>
          <w:trHeight w:val="227"/>
        </w:trPr>
        <w:tc>
          <w:tcPr>
            <w:tcW w:w="2528" w:type="pct"/>
            <w:tcBorders>
              <w:top w:val="nil"/>
              <w:left w:val="nil"/>
              <w:bottom w:val="nil"/>
              <w:right w:val="nil"/>
            </w:tcBorders>
            <w:shd w:val="clear" w:color="auto" w:fill="auto"/>
            <w:noWrap/>
            <w:vAlign w:val="bottom"/>
            <w:hideMark/>
          </w:tcPr>
          <w:p w14:paraId="49B58267"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Participação Societária - MEP</w:t>
            </w:r>
          </w:p>
        </w:tc>
        <w:tc>
          <w:tcPr>
            <w:tcW w:w="1099" w:type="pct"/>
            <w:tcBorders>
              <w:top w:val="nil"/>
              <w:left w:val="nil"/>
              <w:bottom w:val="nil"/>
              <w:right w:val="nil"/>
            </w:tcBorders>
            <w:shd w:val="clear" w:color="auto" w:fill="auto"/>
            <w:noWrap/>
            <w:vAlign w:val="bottom"/>
            <w:hideMark/>
          </w:tcPr>
          <w:p w14:paraId="535885CE"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927.525.508 </w:t>
            </w:r>
          </w:p>
        </w:tc>
        <w:tc>
          <w:tcPr>
            <w:tcW w:w="1026" w:type="pct"/>
            <w:tcBorders>
              <w:top w:val="nil"/>
              <w:left w:val="nil"/>
              <w:bottom w:val="nil"/>
              <w:right w:val="nil"/>
            </w:tcBorders>
            <w:shd w:val="clear" w:color="auto" w:fill="auto"/>
            <w:noWrap/>
            <w:vAlign w:val="bottom"/>
            <w:hideMark/>
          </w:tcPr>
          <w:p w14:paraId="06120841"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959.774.015 </w:t>
            </w:r>
          </w:p>
        </w:tc>
        <w:tc>
          <w:tcPr>
            <w:tcW w:w="347" w:type="pct"/>
            <w:tcBorders>
              <w:top w:val="nil"/>
              <w:left w:val="nil"/>
              <w:bottom w:val="nil"/>
              <w:right w:val="nil"/>
            </w:tcBorders>
            <w:shd w:val="clear" w:color="auto" w:fill="auto"/>
            <w:noWrap/>
            <w:vAlign w:val="center"/>
            <w:hideMark/>
          </w:tcPr>
          <w:p w14:paraId="7CD365F9"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(7b)</w:t>
            </w:r>
          </w:p>
        </w:tc>
      </w:tr>
      <w:tr w:rsidR="00EE5736" w:rsidRPr="00EE5736" w14:paraId="70FF34CB" w14:textId="77777777" w:rsidTr="00EE5736">
        <w:trPr>
          <w:trHeight w:val="227"/>
        </w:trPr>
        <w:tc>
          <w:tcPr>
            <w:tcW w:w="2528" w:type="pct"/>
            <w:tcBorders>
              <w:top w:val="nil"/>
              <w:left w:val="nil"/>
              <w:bottom w:val="nil"/>
              <w:right w:val="nil"/>
            </w:tcBorders>
            <w:shd w:val="clear" w:color="auto" w:fill="auto"/>
            <w:noWrap/>
            <w:vAlign w:val="bottom"/>
            <w:hideMark/>
          </w:tcPr>
          <w:p w14:paraId="6303A046"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Participação Societária - CUSTO</w:t>
            </w:r>
          </w:p>
        </w:tc>
        <w:tc>
          <w:tcPr>
            <w:tcW w:w="1099" w:type="pct"/>
            <w:tcBorders>
              <w:top w:val="nil"/>
              <w:left w:val="nil"/>
              <w:bottom w:val="nil"/>
              <w:right w:val="nil"/>
            </w:tcBorders>
            <w:shd w:val="clear" w:color="auto" w:fill="auto"/>
            <w:noWrap/>
            <w:vAlign w:val="bottom"/>
            <w:hideMark/>
          </w:tcPr>
          <w:p w14:paraId="1D2893AB"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26.278 </w:t>
            </w:r>
          </w:p>
        </w:tc>
        <w:tc>
          <w:tcPr>
            <w:tcW w:w="1026" w:type="pct"/>
            <w:tcBorders>
              <w:top w:val="nil"/>
              <w:left w:val="nil"/>
              <w:bottom w:val="nil"/>
              <w:right w:val="nil"/>
            </w:tcBorders>
            <w:shd w:val="clear" w:color="auto" w:fill="auto"/>
            <w:noWrap/>
            <w:vAlign w:val="bottom"/>
            <w:hideMark/>
          </w:tcPr>
          <w:p w14:paraId="38B5D2B9"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26.278 </w:t>
            </w:r>
          </w:p>
        </w:tc>
        <w:tc>
          <w:tcPr>
            <w:tcW w:w="347" w:type="pct"/>
            <w:tcBorders>
              <w:top w:val="nil"/>
              <w:left w:val="nil"/>
              <w:bottom w:val="nil"/>
              <w:right w:val="nil"/>
            </w:tcBorders>
            <w:shd w:val="clear" w:color="auto" w:fill="auto"/>
            <w:noWrap/>
            <w:vAlign w:val="center"/>
            <w:hideMark/>
          </w:tcPr>
          <w:p w14:paraId="3261E79D"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(7a)</w:t>
            </w:r>
          </w:p>
        </w:tc>
      </w:tr>
      <w:tr w:rsidR="00EE5736" w:rsidRPr="00EE5736" w14:paraId="3E549F49" w14:textId="77777777" w:rsidTr="00EE5736">
        <w:trPr>
          <w:trHeight w:val="227"/>
        </w:trPr>
        <w:tc>
          <w:tcPr>
            <w:tcW w:w="2528" w:type="pct"/>
            <w:tcBorders>
              <w:top w:val="nil"/>
              <w:left w:val="nil"/>
              <w:bottom w:val="nil"/>
              <w:right w:val="nil"/>
            </w:tcBorders>
            <w:shd w:val="clear" w:color="auto" w:fill="auto"/>
            <w:noWrap/>
            <w:vAlign w:val="bottom"/>
            <w:hideMark/>
          </w:tcPr>
          <w:p w14:paraId="0611F04A" w14:textId="77777777" w:rsidR="00EE5736" w:rsidRPr="00EE5736" w:rsidRDefault="00EE5736">
            <w:pPr>
              <w:rPr>
                <w:rFonts w:asciiTheme="majorHAnsi" w:hAnsiTheme="majorHAnsi" w:cs="Arial"/>
                <w:b/>
                <w:bCs/>
                <w:sz w:val="16"/>
                <w:szCs w:val="16"/>
              </w:rPr>
            </w:pPr>
            <w:r w:rsidRPr="00EE5736">
              <w:rPr>
                <w:rFonts w:asciiTheme="majorHAnsi" w:hAnsiTheme="majorHAnsi" w:cs="Arial"/>
                <w:b/>
                <w:bCs/>
                <w:sz w:val="16"/>
                <w:szCs w:val="16"/>
              </w:rPr>
              <w:t xml:space="preserve">      Imobilizado</w:t>
            </w:r>
          </w:p>
        </w:tc>
        <w:tc>
          <w:tcPr>
            <w:tcW w:w="1099" w:type="pct"/>
            <w:tcBorders>
              <w:top w:val="nil"/>
              <w:left w:val="nil"/>
              <w:bottom w:val="nil"/>
              <w:right w:val="nil"/>
            </w:tcBorders>
            <w:shd w:val="clear" w:color="auto" w:fill="auto"/>
            <w:noWrap/>
            <w:vAlign w:val="bottom"/>
            <w:hideMark/>
          </w:tcPr>
          <w:p w14:paraId="793C0046" w14:textId="77777777" w:rsidR="00EE5736" w:rsidRPr="00EE5736" w:rsidRDefault="00EE5736" w:rsidP="00EE5736">
            <w:pPr>
              <w:jc w:val="right"/>
              <w:rPr>
                <w:rFonts w:asciiTheme="majorHAnsi" w:hAnsiTheme="majorHAnsi" w:cs="Arial"/>
                <w:b/>
                <w:bCs/>
                <w:sz w:val="16"/>
                <w:szCs w:val="16"/>
              </w:rPr>
            </w:pPr>
            <w:r w:rsidRPr="00EE5736">
              <w:rPr>
                <w:rFonts w:asciiTheme="majorHAnsi" w:hAnsiTheme="majorHAnsi" w:cs="Arial"/>
                <w:b/>
                <w:bCs/>
                <w:sz w:val="16"/>
                <w:szCs w:val="16"/>
              </w:rPr>
              <w:t xml:space="preserve">                  2.880.397.951 </w:t>
            </w:r>
          </w:p>
        </w:tc>
        <w:tc>
          <w:tcPr>
            <w:tcW w:w="1026" w:type="pct"/>
            <w:tcBorders>
              <w:top w:val="nil"/>
              <w:left w:val="nil"/>
              <w:bottom w:val="nil"/>
              <w:right w:val="nil"/>
            </w:tcBorders>
            <w:shd w:val="clear" w:color="auto" w:fill="auto"/>
            <w:noWrap/>
            <w:vAlign w:val="bottom"/>
            <w:hideMark/>
          </w:tcPr>
          <w:p w14:paraId="0DE382E1" w14:textId="77777777" w:rsidR="00EE5736" w:rsidRPr="00EE5736" w:rsidRDefault="00EE5736" w:rsidP="00EE5736">
            <w:pPr>
              <w:jc w:val="right"/>
              <w:rPr>
                <w:rFonts w:asciiTheme="majorHAnsi" w:hAnsiTheme="majorHAnsi" w:cs="Arial"/>
                <w:b/>
                <w:bCs/>
                <w:sz w:val="16"/>
                <w:szCs w:val="16"/>
              </w:rPr>
            </w:pPr>
            <w:r w:rsidRPr="00EE5736">
              <w:rPr>
                <w:rFonts w:asciiTheme="majorHAnsi" w:hAnsiTheme="majorHAnsi" w:cs="Arial"/>
                <w:b/>
                <w:bCs/>
                <w:sz w:val="16"/>
                <w:szCs w:val="16"/>
              </w:rPr>
              <w:t xml:space="preserve">               2.615.171.591 </w:t>
            </w:r>
          </w:p>
        </w:tc>
        <w:tc>
          <w:tcPr>
            <w:tcW w:w="347" w:type="pct"/>
            <w:tcBorders>
              <w:top w:val="nil"/>
              <w:left w:val="nil"/>
              <w:bottom w:val="nil"/>
              <w:right w:val="nil"/>
            </w:tcBorders>
            <w:shd w:val="clear" w:color="auto" w:fill="auto"/>
            <w:noWrap/>
            <w:vAlign w:val="bottom"/>
            <w:hideMark/>
          </w:tcPr>
          <w:p w14:paraId="6C20B88B"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(8)</w:t>
            </w:r>
          </w:p>
        </w:tc>
      </w:tr>
      <w:tr w:rsidR="00EE5736" w:rsidRPr="00EE5736" w14:paraId="75BC8277" w14:textId="77777777" w:rsidTr="00EE5736">
        <w:trPr>
          <w:trHeight w:val="227"/>
        </w:trPr>
        <w:tc>
          <w:tcPr>
            <w:tcW w:w="2528" w:type="pct"/>
            <w:tcBorders>
              <w:top w:val="nil"/>
              <w:left w:val="nil"/>
              <w:bottom w:val="nil"/>
              <w:right w:val="nil"/>
            </w:tcBorders>
            <w:shd w:val="clear" w:color="auto" w:fill="auto"/>
            <w:noWrap/>
            <w:vAlign w:val="bottom"/>
            <w:hideMark/>
          </w:tcPr>
          <w:p w14:paraId="4F6F97D9" w14:textId="77777777" w:rsidR="00EE5736" w:rsidRPr="00EE5736" w:rsidRDefault="00EE5736">
            <w:pPr>
              <w:rPr>
                <w:rFonts w:asciiTheme="majorHAnsi" w:hAnsiTheme="majorHAnsi" w:cs="Arial"/>
                <w:b/>
                <w:bCs/>
                <w:sz w:val="16"/>
                <w:szCs w:val="16"/>
              </w:rPr>
            </w:pPr>
            <w:r w:rsidRPr="00EE5736">
              <w:rPr>
                <w:rFonts w:asciiTheme="majorHAnsi" w:hAnsiTheme="majorHAnsi" w:cs="Arial"/>
                <w:b/>
                <w:bCs/>
                <w:sz w:val="16"/>
                <w:szCs w:val="16"/>
              </w:rPr>
              <w:t xml:space="preserve">              Terrenos </w:t>
            </w:r>
          </w:p>
        </w:tc>
        <w:tc>
          <w:tcPr>
            <w:tcW w:w="1099" w:type="pct"/>
            <w:tcBorders>
              <w:top w:val="nil"/>
              <w:left w:val="nil"/>
              <w:bottom w:val="nil"/>
              <w:right w:val="nil"/>
            </w:tcBorders>
            <w:shd w:val="clear" w:color="auto" w:fill="auto"/>
            <w:noWrap/>
            <w:vAlign w:val="bottom"/>
            <w:hideMark/>
          </w:tcPr>
          <w:p w14:paraId="072141FE" w14:textId="77777777" w:rsidR="00EE5736" w:rsidRPr="00EE5736" w:rsidRDefault="00EE5736" w:rsidP="00EE5736">
            <w:pPr>
              <w:jc w:val="right"/>
              <w:rPr>
                <w:rFonts w:asciiTheme="majorHAnsi" w:hAnsiTheme="majorHAnsi" w:cs="Arial"/>
                <w:b/>
                <w:bCs/>
                <w:sz w:val="16"/>
                <w:szCs w:val="16"/>
              </w:rPr>
            </w:pPr>
            <w:r w:rsidRPr="00EE5736">
              <w:rPr>
                <w:rFonts w:asciiTheme="majorHAnsi" w:hAnsiTheme="majorHAnsi" w:cs="Arial"/>
                <w:b/>
                <w:bCs/>
                <w:sz w:val="16"/>
                <w:szCs w:val="16"/>
              </w:rPr>
              <w:t xml:space="preserve">                      406.316.953 </w:t>
            </w:r>
          </w:p>
        </w:tc>
        <w:tc>
          <w:tcPr>
            <w:tcW w:w="1026" w:type="pct"/>
            <w:tcBorders>
              <w:top w:val="nil"/>
              <w:left w:val="nil"/>
              <w:bottom w:val="nil"/>
              <w:right w:val="nil"/>
            </w:tcBorders>
            <w:shd w:val="clear" w:color="auto" w:fill="auto"/>
            <w:noWrap/>
            <w:vAlign w:val="bottom"/>
            <w:hideMark/>
          </w:tcPr>
          <w:p w14:paraId="21ED5ECE" w14:textId="77777777" w:rsidR="00EE5736" w:rsidRPr="00EE5736" w:rsidRDefault="00EE5736" w:rsidP="00EE5736">
            <w:pPr>
              <w:jc w:val="right"/>
              <w:rPr>
                <w:rFonts w:asciiTheme="majorHAnsi" w:hAnsiTheme="majorHAnsi" w:cs="Arial"/>
                <w:b/>
                <w:bCs/>
                <w:sz w:val="16"/>
                <w:szCs w:val="16"/>
              </w:rPr>
            </w:pPr>
            <w:r w:rsidRPr="00EE5736">
              <w:rPr>
                <w:rFonts w:asciiTheme="majorHAnsi" w:hAnsiTheme="majorHAnsi" w:cs="Arial"/>
                <w:b/>
                <w:bCs/>
                <w:sz w:val="16"/>
                <w:szCs w:val="16"/>
              </w:rPr>
              <w:t xml:space="preserve">                  404.877.899 </w:t>
            </w:r>
          </w:p>
        </w:tc>
        <w:tc>
          <w:tcPr>
            <w:tcW w:w="347" w:type="pct"/>
            <w:tcBorders>
              <w:top w:val="nil"/>
              <w:left w:val="nil"/>
              <w:bottom w:val="nil"/>
              <w:right w:val="nil"/>
            </w:tcBorders>
            <w:shd w:val="clear" w:color="auto" w:fill="auto"/>
            <w:noWrap/>
            <w:vAlign w:val="center"/>
            <w:hideMark/>
          </w:tcPr>
          <w:p w14:paraId="2A5ABAC9" w14:textId="77777777" w:rsidR="00EE5736" w:rsidRPr="00EE5736" w:rsidRDefault="00EE5736">
            <w:pPr>
              <w:rPr>
                <w:rFonts w:asciiTheme="majorHAnsi" w:hAnsiTheme="majorHAnsi" w:cs="Arial"/>
                <w:b/>
                <w:bCs/>
                <w:sz w:val="16"/>
                <w:szCs w:val="16"/>
              </w:rPr>
            </w:pPr>
          </w:p>
        </w:tc>
      </w:tr>
      <w:tr w:rsidR="00EE5736" w:rsidRPr="00EE5736" w14:paraId="6A456D8F" w14:textId="77777777" w:rsidTr="00EE5736">
        <w:trPr>
          <w:trHeight w:val="227"/>
        </w:trPr>
        <w:tc>
          <w:tcPr>
            <w:tcW w:w="2528" w:type="pct"/>
            <w:tcBorders>
              <w:top w:val="nil"/>
              <w:left w:val="nil"/>
              <w:bottom w:val="nil"/>
              <w:right w:val="nil"/>
            </w:tcBorders>
            <w:shd w:val="clear" w:color="auto" w:fill="auto"/>
            <w:noWrap/>
            <w:vAlign w:val="bottom"/>
            <w:hideMark/>
          </w:tcPr>
          <w:p w14:paraId="5BE5FA14" w14:textId="77777777" w:rsidR="00EE5736" w:rsidRPr="00EE5736" w:rsidRDefault="00EE5736">
            <w:pPr>
              <w:rPr>
                <w:rFonts w:asciiTheme="majorHAnsi" w:hAnsiTheme="majorHAnsi" w:cs="Arial"/>
                <w:b/>
                <w:bCs/>
                <w:sz w:val="16"/>
                <w:szCs w:val="16"/>
              </w:rPr>
            </w:pPr>
            <w:r w:rsidRPr="00EE5736">
              <w:rPr>
                <w:rFonts w:asciiTheme="majorHAnsi" w:hAnsiTheme="majorHAnsi" w:cs="Arial"/>
                <w:b/>
                <w:bCs/>
                <w:sz w:val="16"/>
                <w:szCs w:val="16"/>
              </w:rPr>
              <w:t xml:space="preserve">              Geral </w:t>
            </w:r>
          </w:p>
        </w:tc>
        <w:tc>
          <w:tcPr>
            <w:tcW w:w="1099" w:type="pct"/>
            <w:tcBorders>
              <w:top w:val="nil"/>
              <w:left w:val="nil"/>
              <w:bottom w:val="nil"/>
              <w:right w:val="nil"/>
            </w:tcBorders>
            <w:shd w:val="clear" w:color="auto" w:fill="auto"/>
            <w:noWrap/>
            <w:vAlign w:val="bottom"/>
            <w:hideMark/>
          </w:tcPr>
          <w:p w14:paraId="20B7AC02" w14:textId="77777777" w:rsidR="00EE5736" w:rsidRPr="00EE5736" w:rsidRDefault="00EE5736" w:rsidP="00EE5736">
            <w:pPr>
              <w:jc w:val="right"/>
              <w:rPr>
                <w:rFonts w:asciiTheme="majorHAnsi" w:hAnsiTheme="majorHAnsi" w:cs="Arial"/>
                <w:b/>
                <w:bCs/>
                <w:sz w:val="16"/>
                <w:szCs w:val="16"/>
              </w:rPr>
            </w:pPr>
            <w:r w:rsidRPr="00EE5736">
              <w:rPr>
                <w:rFonts w:asciiTheme="majorHAnsi" w:hAnsiTheme="majorHAnsi" w:cs="Arial"/>
                <w:b/>
                <w:bCs/>
                <w:sz w:val="16"/>
                <w:szCs w:val="16"/>
              </w:rPr>
              <w:t xml:space="preserve">                          9.787.007 </w:t>
            </w:r>
          </w:p>
        </w:tc>
        <w:tc>
          <w:tcPr>
            <w:tcW w:w="1026" w:type="pct"/>
            <w:tcBorders>
              <w:top w:val="nil"/>
              <w:left w:val="nil"/>
              <w:bottom w:val="nil"/>
              <w:right w:val="nil"/>
            </w:tcBorders>
            <w:shd w:val="clear" w:color="auto" w:fill="auto"/>
            <w:noWrap/>
            <w:vAlign w:val="bottom"/>
            <w:hideMark/>
          </w:tcPr>
          <w:p w14:paraId="414E7AEE" w14:textId="77777777" w:rsidR="00EE5736" w:rsidRPr="00EE5736" w:rsidRDefault="00EE5736" w:rsidP="00EE5736">
            <w:pPr>
              <w:jc w:val="right"/>
              <w:rPr>
                <w:rFonts w:asciiTheme="majorHAnsi" w:hAnsiTheme="majorHAnsi" w:cs="Arial"/>
                <w:b/>
                <w:bCs/>
                <w:sz w:val="16"/>
                <w:szCs w:val="16"/>
              </w:rPr>
            </w:pPr>
            <w:r w:rsidRPr="00EE5736">
              <w:rPr>
                <w:rFonts w:asciiTheme="majorHAnsi" w:hAnsiTheme="majorHAnsi" w:cs="Arial"/>
                <w:b/>
                <w:bCs/>
                <w:sz w:val="16"/>
                <w:szCs w:val="16"/>
              </w:rPr>
              <w:t xml:space="preserve">                     11.313.961 </w:t>
            </w:r>
          </w:p>
        </w:tc>
        <w:tc>
          <w:tcPr>
            <w:tcW w:w="347" w:type="pct"/>
            <w:tcBorders>
              <w:top w:val="nil"/>
              <w:left w:val="nil"/>
              <w:bottom w:val="nil"/>
              <w:right w:val="nil"/>
            </w:tcBorders>
            <w:shd w:val="clear" w:color="auto" w:fill="auto"/>
            <w:noWrap/>
            <w:vAlign w:val="center"/>
            <w:hideMark/>
          </w:tcPr>
          <w:p w14:paraId="7ACECAC2" w14:textId="77777777" w:rsidR="00EE5736" w:rsidRPr="00EE5736" w:rsidRDefault="00EE5736">
            <w:pPr>
              <w:rPr>
                <w:rFonts w:asciiTheme="majorHAnsi" w:hAnsiTheme="majorHAnsi" w:cs="Arial"/>
                <w:b/>
                <w:bCs/>
                <w:sz w:val="16"/>
                <w:szCs w:val="16"/>
              </w:rPr>
            </w:pPr>
          </w:p>
        </w:tc>
      </w:tr>
      <w:tr w:rsidR="00EE5736" w:rsidRPr="00EE5736" w14:paraId="5FA9EDFA" w14:textId="77777777" w:rsidTr="00EE5736">
        <w:trPr>
          <w:trHeight w:val="227"/>
        </w:trPr>
        <w:tc>
          <w:tcPr>
            <w:tcW w:w="2528" w:type="pct"/>
            <w:tcBorders>
              <w:top w:val="nil"/>
              <w:left w:val="nil"/>
              <w:bottom w:val="nil"/>
              <w:right w:val="nil"/>
            </w:tcBorders>
            <w:shd w:val="clear" w:color="auto" w:fill="auto"/>
            <w:noWrap/>
            <w:vAlign w:val="bottom"/>
            <w:hideMark/>
          </w:tcPr>
          <w:p w14:paraId="0488F52C"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Bens Imóveis </w:t>
            </w:r>
          </w:p>
        </w:tc>
        <w:tc>
          <w:tcPr>
            <w:tcW w:w="1099" w:type="pct"/>
            <w:tcBorders>
              <w:top w:val="nil"/>
              <w:left w:val="nil"/>
              <w:bottom w:val="nil"/>
              <w:right w:val="nil"/>
            </w:tcBorders>
            <w:shd w:val="clear" w:color="auto" w:fill="auto"/>
            <w:noWrap/>
            <w:vAlign w:val="bottom"/>
            <w:hideMark/>
          </w:tcPr>
          <w:p w14:paraId="153253E2"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2.361.441 </w:t>
            </w:r>
          </w:p>
        </w:tc>
        <w:tc>
          <w:tcPr>
            <w:tcW w:w="1026" w:type="pct"/>
            <w:tcBorders>
              <w:top w:val="nil"/>
              <w:left w:val="nil"/>
              <w:bottom w:val="nil"/>
              <w:right w:val="nil"/>
            </w:tcBorders>
            <w:shd w:val="clear" w:color="auto" w:fill="auto"/>
            <w:noWrap/>
            <w:vAlign w:val="bottom"/>
            <w:hideMark/>
          </w:tcPr>
          <w:p w14:paraId="46C8AFBC"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6.324.576 </w:t>
            </w:r>
          </w:p>
        </w:tc>
        <w:tc>
          <w:tcPr>
            <w:tcW w:w="347" w:type="pct"/>
            <w:tcBorders>
              <w:top w:val="nil"/>
              <w:left w:val="nil"/>
              <w:bottom w:val="nil"/>
              <w:right w:val="nil"/>
            </w:tcBorders>
            <w:shd w:val="clear" w:color="auto" w:fill="auto"/>
            <w:noWrap/>
            <w:vAlign w:val="center"/>
            <w:hideMark/>
          </w:tcPr>
          <w:p w14:paraId="1C0AA6B3" w14:textId="77777777" w:rsidR="00EE5736" w:rsidRPr="00EE5736" w:rsidRDefault="00EE5736">
            <w:pPr>
              <w:rPr>
                <w:rFonts w:asciiTheme="majorHAnsi" w:hAnsiTheme="majorHAnsi" w:cs="Arial"/>
                <w:sz w:val="16"/>
                <w:szCs w:val="16"/>
              </w:rPr>
            </w:pPr>
          </w:p>
        </w:tc>
      </w:tr>
      <w:tr w:rsidR="00EE5736" w:rsidRPr="00EE5736" w14:paraId="7E2348B1" w14:textId="77777777" w:rsidTr="00EE5736">
        <w:trPr>
          <w:trHeight w:val="227"/>
        </w:trPr>
        <w:tc>
          <w:tcPr>
            <w:tcW w:w="2528" w:type="pct"/>
            <w:tcBorders>
              <w:top w:val="nil"/>
              <w:left w:val="nil"/>
              <w:bottom w:val="nil"/>
              <w:right w:val="nil"/>
            </w:tcBorders>
            <w:shd w:val="clear" w:color="auto" w:fill="auto"/>
            <w:noWrap/>
            <w:vAlign w:val="bottom"/>
            <w:hideMark/>
          </w:tcPr>
          <w:p w14:paraId="151B7E91"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Bens Móveis </w:t>
            </w:r>
          </w:p>
        </w:tc>
        <w:tc>
          <w:tcPr>
            <w:tcW w:w="1099" w:type="pct"/>
            <w:tcBorders>
              <w:top w:val="nil"/>
              <w:left w:val="nil"/>
              <w:bottom w:val="nil"/>
              <w:right w:val="nil"/>
            </w:tcBorders>
            <w:shd w:val="clear" w:color="auto" w:fill="auto"/>
            <w:noWrap/>
            <w:vAlign w:val="bottom"/>
            <w:hideMark/>
          </w:tcPr>
          <w:p w14:paraId="5AD345FC"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38.415.848 </w:t>
            </w:r>
          </w:p>
        </w:tc>
        <w:tc>
          <w:tcPr>
            <w:tcW w:w="1026" w:type="pct"/>
            <w:tcBorders>
              <w:top w:val="nil"/>
              <w:left w:val="nil"/>
              <w:bottom w:val="nil"/>
              <w:right w:val="nil"/>
            </w:tcBorders>
            <w:shd w:val="clear" w:color="auto" w:fill="auto"/>
            <w:noWrap/>
            <w:vAlign w:val="bottom"/>
            <w:hideMark/>
          </w:tcPr>
          <w:p w14:paraId="7630AF0F"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36.950.427 </w:t>
            </w:r>
          </w:p>
        </w:tc>
        <w:tc>
          <w:tcPr>
            <w:tcW w:w="347" w:type="pct"/>
            <w:tcBorders>
              <w:top w:val="nil"/>
              <w:left w:val="nil"/>
              <w:bottom w:val="nil"/>
              <w:right w:val="nil"/>
            </w:tcBorders>
            <w:shd w:val="clear" w:color="auto" w:fill="auto"/>
            <w:noWrap/>
            <w:vAlign w:val="center"/>
            <w:hideMark/>
          </w:tcPr>
          <w:p w14:paraId="44B8BC79" w14:textId="77777777" w:rsidR="00EE5736" w:rsidRPr="00EE5736" w:rsidRDefault="00EE5736">
            <w:pPr>
              <w:rPr>
                <w:rFonts w:asciiTheme="majorHAnsi" w:hAnsiTheme="majorHAnsi" w:cs="Arial"/>
                <w:sz w:val="16"/>
                <w:szCs w:val="16"/>
              </w:rPr>
            </w:pPr>
          </w:p>
        </w:tc>
      </w:tr>
      <w:tr w:rsidR="00EE5736" w:rsidRPr="00EE5736" w14:paraId="10CB0026" w14:textId="77777777" w:rsidTr="00EE5736">
        <w:trPr>
          <w:trHeight w:val="227"/>
        </w:trPr>
        <w:tc>
          <w:tcPr>
            <w:tcW w:w="2528" w:type="pct"/>
            <w:tcBorders>
              <w:top w:val="nil"/>
              <w:left w:val="nil"/>
              <w:bottom w:val="nil"/>
              <w:right w:val="nil"/>
            </w:tcBorders>
            <w:shd w:val="clear" w:color="auto" w:fill="auto"/>
            <w:noWrap/>
            <w:vAlign w:val="bottom"/>
            <w:hideMark/>
          </w:tcPr>
          <w:p w14:paraId="2AA8AD3B"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(Depreciações Acumuladas -Bens Imóveis)</w:t>
            </w:r>
          </w:p>
        </w:tc>
        <w:tc>
          <w:tcPr>
            <w:tcW w:w="1099" w:type="pct"/>
            <w:tcBorders>
              <w:top w:val="nil"/>
              <w:left w:val="nil"/>
              <w:bottom w:val="nil"/>
              <w:right w:val="nil"/>
            </w:tcBorders>
            <w:shd w:val="clear" w:color="auto" w:fill="auto"/>
            <w:noWrap/>
            <w:vAlign w:val="bottom"/>
            <w:hideMark/>
          </w:tcPr>
          <w:p w14:paraId="240A7EE3"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(2.138.948)</w:t>
            </w:r>
          </w:p>
        </w:tc>
        <w:tc>
          <w:tcPr>
            <w:tcW w:w="1026" w:type="pct"/>
            <w:tcBorders>
              <w:top w:val="nil"/>
              <w:left w:val="nil"/>
              <w:bottom w:val="nil"/>
              <w:right w:val="nil"/>
            </w:tcBorders>
            <w:shd w:val="clear" w:color="auto" w:fill="auto"/>
            <w:noWrap/>
            <w:vAlign w:val="bottom"/>
            <w:hideMark/>
          </w:tcPr>
          <w:p w14:paraId="41B284C2"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(5.680.648)</w:t>
            </w:r>
          </w:p>
        </w:tc>
        <w:tc>
          <w:tcPr>
            <w:tcW w:w="347" w:type="pct"/>
            <w:tcBorders>
              <w:top w:val="nil"/>
              <w:left w:val="nil"/>
              <w:bottom w:val="nil"/>
              <w:right w:val="nil"/>
            </w:tcBorders>
            <w:shd w:val="clear" w:color="auto" w:fill="auto"/>
            <w:noWrap/>
            <w:vAlign w:val="center"/>
            <w:hideMark/>
          </w:tcPr>
          <w:p w14:paraId="789BEC73" w14:textId="77777777" w:rsidR="00EE5736" w:rsidRPr="00EE5736" w:rsidRDefault="00EE5736">
            <w:pPr>
              <w:rPr>
                <w:rFonts w:asciiTheme="majorHAnsi" w:hAnsiTheme="majorHAnsi" w:cs="Arial"/>
                <w:sz w:val="16"/>
                <w:szCs w:val="16"/>
              </w:rPr>
            </w:pPr>
          </w:p>
        </w:tc>
      </w:tr>
      <w:tr w:rsidR="00EE5736" w:rsidRPr="00EE5736" w14:paraId="1284592E" w14:textId="77777777" w:rsidTr="00EE5736">
        <w:trPr>
          <w:trHeight w:val="227"/>
        </w:trPr>
        <w:tc>
          <w:tcPr>
            <w:tcW w:w="2528" w:type="pct"/>
            <w:tcBorders>
              <w:top w:val="nil"/>
              <w:left w:val="nil"/>
              <w:bottom w:val="nil"/>
              <w:right w:val="nil"/>
            </w:tcBorders>
            <w:shd w:val="clear" w:color="auto" w:fill="auto"/>
            <w:noWrap/>
            <w:vAlign w:val="bottom"/>
            <w:hideMark/>
          </w:tcPr>
          <w:p w14:paraId="56D17BC2"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(Depreciações Acumuladas -Bens Móveis)</w:t>
            </w:r>
          </w:p>
        </w:tc>
        <w:tc>
          <w:tcPr>
            <w:tcW w:w="1099" w:type="pct"/>
            <w:tcBorders>
              <w:top w:val="nil"/>
              <w:left w:val="nil"/>
              <w:bottom w:val="nil"/>
              <w:right w:val="nil"/>
            </w:tcBorders>
            <w:shd w:val="clear" w:color="auto" w:fill="auto"/>
            <w:noWrap/>
            <w:vAlign w:val="bottom"/>
            <w:hideMark/>
          </w:tcPr>
          <w:p w14:paraId="3D85A608"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(28.834.240)</w:t>
            </w:r>
          </w:p>
        </w:tc>
        <w:tc>
          <w:tcPr>
            <w:tcW w:w="1026" w:type="pct"/>
            <w:tcBorders>
              <w:top w:val="nil"/>
              <w:left w:val="nil"/>
              <w:bottom w:val="nil"/>
              <w:right w:val="nil"/>
            </w:tcBorders>
            <w:shd w:val="clear" w:color="auto" w:fill="auto"/>
            <w:noWrap/>
            <w:vAlign w:val="bottom"/>
            <w:hideMark/>
          </w:tcPr>
          <w:p w14:paraId="4B3F519B"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(26.263.300)</w:t>
            </w:r>
          </w:p>
        </w:tc>
        <w:tc>
          <w:tcPr>
            <w:tcW w:w="347" w:type="pct"/>
            <w:tcBorders>
              <w:top w:val="nil"/>
              <w:left w:val="nil"/>
              <w:bottom w:val="nil"/>
              <w:right w:val="nil"/>
            </w:tcBorders>
            <w:shd w:val="clear" w:color="auto" w:fill="auto"/>
            <w:noWrap/>
            <w:vAlign w:val="center"/>
            <w:hideMark/>
          </w:tcPr>
          <w:p w14:paraId="572A72D6" w14:textId="77777777" w:rsidR="00EE5736" w:rsidRPr="00EE5736" w:rsidRDefault="00EE5736">
            <w:pPr>
              <w:rPr>
                <w:rFonts w:asciiTheme="majorHAnsi" w:hAnsiTheme="majorHAnsi" w:cs="Arial"/>
                <w:sz w:val="16"/>
                <w:szCs w:val="16"/>
              </w:rPr>
            </w:pPr>
          </w:p>
        </w:tc>
      </w:tr>
      <w:tr w:rsidR="00EE5736" w:rsidRPr="00EE5736" w14:paraId="3271A85A" w14:textId="77777777" w:rsidTr="00EE5736">
        <w:trPr>
          <w:trHeight w:val="227"/>
        </w:trPr>
        <w:tc>
          <w:tcPr>
            <w:tcW w:w="2528" w:type="pct"/>
            <w:tcBorders>
              <w:top w:val="nil"/>
              <w:left w:val="nil"/>
              <w:bottom w:val="nil"/>
              <w:right w:val="nil"/>
            </w:tcBorders>
            <w:shd w:val="clear" w:color="auto" w:fill="auto"/>
            <w:noWrap/>
            <w:vAlign w:val="bottom"/>
            <w:hideMark/>
          </w:tcPr>
          <w:p w14:paraId="7A5E0097"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(Redução ao Valor Recuperável - Bens Móveis)</w:t>
            </w:r>
          </w:p>
        </w:tc>
        <w:tc>
          <w:tcPr>
            <w:tcW w:w="1099" w:type="pct"/>
            <w:tcBorders>
              <w:top w:val="nil"/>
              <w:left w:val="nil"/>
              <w:bottom w:val="nil"/>
              <w:right w:val="nil"/>
            </w:tcBorders>
            <w:shd w:val="clear" w:color="auto" w:fill="auto"/>
            <w:noWrap/>
            <w:vAlign w:val="bottom"/>
            <w:hideMark/>
          </w:tcPr>
          <w:p w14:paraId="03499A9E"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(17.094)</w:t>
            </w:r>
          </w:p>
        </w:tc>
        <w:tc>
          <w:tcPr>
            <w:tcW w:w="1026" w:type="pct"/>
            <w:tcBorders>
              <w:top w:val="nil"/>
              <w:left w:val="nil"/>
              <w:bottom w:val="nil"/>
              <w:right w:val="nil"/>
            </w:tcBorders>
            <w:shd w:val="clear" w:color="auto" w:fill="auto"/>
            <w:noWrap/>
            <w:vAlign w:val="bottom"/>
            <w:hideMark/>
          </w:tcPr>
          <w:p w14:paraId="39BD5952"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(17.094)</w:t>
            </w:r>
          </w:p>
        </w:tc>
        <w:tc>
          <w:tcPr>
            <w:tcW w:w="347" w:type="pct"/>
            <w:tcBorders>
              <w:top w:val="nil"/>
              <w:left w:val="nil"/>
              <w:bottom w:val="nil"/>
              <w:right w:val="nil"/>
            </w:tcBorders>
            <w:shd w:val="clear" w:color="auto" w:fill="auto"/>
            <w:noWrap/>
            <w:vAlign w:val="center"/>
            <w:hideMark/>
          </w:tcPr>
          <w:p w14:paraId="301861EE" w14:textId="77777777" w:rsidR="00EE5736" w:rsidRPr="00EE5736" w:rsidRDefault="00EE5736">
            <w:pPr>
              <w:rPr>
                <w:rFonts w:asciiTheme="majorHAnsi" w:hAnsiTheme="majorHAnsi" w:cs="Arial"/>
                <w:sz w:val="16"/>
                <w:szCs w:val="16"/>
              </w:rPr>
            </w:pPr>
          </w:p>
        </w:tc>
      </w:tr>
      <w:tr w:rsidR="00EE5736" w:rsidRPr="00EE5736" w14:paraId="5CF16D72" w14:textId="77777777" w:rsidTr="00EE5736">
        <w:trPr>
          <w:trHeight w:val="227"/>
        </w:trPr>
        <w:tc>
          <w:tcPr>
            <w:tcW w:w="2528" w:type="pct"/>
            <w:tcBorders>
              <w:top w:val="nil"/>
              <w:left w:val="nil"/>
              <w:bottom w:val="nil"/>
              <w:right w:val="nil"/>
            </w:tcBorders>
            <w:shd w:val="clear" w:color="auto" w:fill="auto"/>
            <w:noWrap/>
            <w:vAlign w:val="bottom"/>
            <w:hideMark/>
          </w:tcPr>
          <w:p w14:paraId="4D5443B6" w14:textId="77777777" w:rsidR="00EE5736" w:rsidRPr="00EE5736" w:rsidRDefault="00EE5736">
            <w:pPr>
              <w:rPr>
                <w:rFonts w:asciiTheme="majorHAnsi" w:hAnsiTheme="majorHAnsi" w:cs="Arial"/>
                <w:b/>
                <w:bCs/>
                <w:sz w:val="16"/>
                <w:szCs w:val="16"/>
              </w:rPr>
            </w:pPr>
            <w:r w:rsidRPr="00EE5736">
              <w:rPr>
                <w:rFonts w:asciiTheme="majorHAnsi" w:hAnsiTheme="majorHAnsi" w:cs="Arial"/>
                <w:b/>
                <w:bCs/>
                <w:sz w:val="16"/>
                <w:szCs w:val="16"/>
              </w:rPr>
              <w:t xml:space="preserve">             FNS - Ferrovia Norte-Sul</w:t>
            </w:r>
          </w:p>
        </w:tc>
        <w:tc>
          <w:tcPr>
            <w:tcW w:w="1099" w:type="pct"/>
            <w:tcBorders>
              <w:top w:val="nil"/>
              <w:left w:val="nil"/>
              <w:bottom w:val="nil"/>
              <w:right w:val="nil"/>
            </w:tcBorders>
            <w:shd w:val="clear" w:color="auto" w:fill="auto"/>
            <w:noWrap/>
            <w:vAlign w:val="bottom"/>
            <w:hideMark/>
          </w:tcPr>
          <w:p w14:paraId="34B66DBE" w14:textId="77777777" w:rsidR="00EE5736" w:rsidRPr="00EE5736" w:rsidRDefault="00EE5736" w:rsidP="00EE5736">
            <w:pPr>
              <w:jc w:val="right"/>
              <w:rPr>
                <w:rFonts w:asciiTheme="majorHAnsi" w:hAnsiTheme="majorHAnsi" w:cs="Arial"/>
                <w:b/>
                <w:bCs/>
                <w:sz w:val="16"/>
                <w:szCs w:val="16"/>
              </w:rPr>
            </w:pPr>
            <w:r w:rsidRPr="00EE5736">
              <w:rPr>
                <w:rFonts w:asciiTheme="majorHAnsi" w:hAnsiTheme="majorHAnsi" w:cs="Arial"/>
                <w:b/>
                <w:bCs/>
                <w:sz w:val="16"/>
                <w:szCs w:val="16"/>
              </w:rPr>
              <w:t xml:space="preserve">                        11.479.463 </w:t>
            </w:r>
          </w:p>
        </w:tc>
        <w:tc>
          <w:tcPr>
            <w:tcW w:w="1026" w:type="pct"/>
            <w:tcBorders>
              <w:top w:val="nil"/>
              <w:left w:val="nil"/>
              <w:bottom w:val="nil"/>
              <w:right w:val="nil"/>
            </w:tcBorders>
            <w:shd w:val="clear" w:color="auto" w:fill="auto"/>
            <w:noWrap/>
            <w:vAlign w:val="bottom"/>
            <w:hideMark/>
          </w:tcPr>
          <w:p w14:paraId="559CD695" w14:textId="77777777" w:rsidR="00EE5736" w:rsidRPr="00EE5736" w:rsidRDefault="00EE5736" w:rsidP="00EE5736">
            <w:pPr>
              <w:jc w:val="right"/>
              <w:rPr>
                <w:rFonts w:asciiTheme="majorHAnsi" w:hAnsiTheme="majorHAnsi" w:cs="Arial"/>
                <w:b/>
                <w:bCs/>
                <w:sz w:val="16"/>
                <w:szCs w:val="16"/>
              </w:rPr>
            </w:pPr>
            <w:r w:rsidRPr="00EE5736">
              <w:rPr>
                <w:rFonts w:asciiTheme="majorHAnsi" w:hAnsiTheme="majorHAnsi" w:cs="Arial"/>
                <w:b/>
                <w:bCs/>
                <w:sz w:val="16"/>
                <w:szCs w:val="16"/>
              </w:rPr>
              <w:t xml:space="preserve">                                      -   </w:t>
            </w:r>
          </w:p>
        </w:tc>
        <w:tc>
          <w:tcPr>
            <w:tcW w:w="347" w:type="pct"/>
            <w:tcBorders>
              <w:top w:val="nil"/>
              <w:left w:val="nil"/>
              <w:bottom w:val="nil"/>
              <w:right w:val="nil"/>
            </w:tcBorders>
            <w:shd w:val="clear" w:color="auto" w:fill="auto"/>
            <w:noWrap/>
            <w:vAlign w:val="center"/>
            <w:hideMark/>
          </w:tcPr>
          <w:p w14:paraId="7CE0F3AF" w14:textId="77777777" w:rsidR="00EE5736" w:rsidRPr="00EE5736" w:rsidRDefault="00EE5736">
            <w:pPr>
              <w:rPr>
                <w:rFonts w:asciiTheme="majorHAnsi" w:hAnsiTheme="majorHAnsi" w:cs="Arial"/>
                <w:b/>
                <w:bCs/>
                <w:sz w:val="16"/>
                <w:szCs w:val="16"/>
              </w:rPr>
            </w:pPr>
          </w:p>
        </w:tc>
      </w:tr>
      <w:tr w:rsidR="00EE5736" w:rsidRPr="00EE5736" w14:paraId="61589A9D" w14:textId="77777777" w:rsidTr="00EE5736">
        <w:trPr>
          <w:trHeight w:val="227"/>
        </w:trPr>
        <w:tc>
          <w:tcPr>
            <w:tcW w:w="2528" w:type="pct"/>
            <w:tcBorders>
              <w:top w:val="nil"/>
              <w:left w:val="nil"/>
              <w:bottom w:val="nil"/>
              <w:right w:val="nil"/>
            </w:tcBorders>
            <w:shd w:val="clear" w:color="auto" w:fill="auto"/>
            <w:noWrap/>
            <w:vAlign w:val="bottom"/>
            <w:hideMark/>
          </w:tcPr>
          <w:p w14:paraId="35008568"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Implantação de Ferrovias - FNS</w:t>
            </w:r>
          </w:p>
        </w:tc>
        <w:tc>
          <w:tcPr>
            <w:tcW w:w="1099" w:type="pct"/>
            <w:tcBorders>
              <w:top w:val="nil"/>
              <w:left w:val="nil"/>
              <w:bottom w:val="nil"/>
              <w:right w:val="nil"/>
            </w:tcBorders>
            <w:shd w:val="clear" w:color="auto" w:fill="auto"/>
            <w:noWrap/>
            <w:vAlign w:val="bottom"/>
            <w:hideMark/>
          </w:tcPr>
          <w:p w14:paraId="700ABC32"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   </w:t>
            </w:r>
          </w:p>
        </w:tc>
        <w:tc>
          <w:tcPr>
            <w:tcW w:w="1026" w:type="pct"/>
            <w:tcBorders>
              <w:top w:val="nil"/>
              <w:left w:val="nil"/>
              <w:bottom w:val="nil"/>
              <w:right w:val="nil"/>
            </w:tcBorders>
            <w:shd w:val="clear" w:color="auto" w:fill="auto"/>
            <w:noWrap/>
            <w:vAlign w:val="bottom"/>
            <w:hideMark/>
          </w:tcPr>
          <w:p w14:paraId="66E2CD10"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49.144.521 </w:t>
            </w:r>
          </w:p>
        </w:tc>
        <w:tc>
          <w:tcPr>
            <w:tcW w:w="347" w:type="pct"/>
            <w:tcBorders>
              <w:top w:val="nil"/>
              <w:left w:val="nil"/>
              <w:bottom w:val="nil"/>
              <w:right w:val="nil"/>
            </w:tcBorders>
            <w:shd w:val="clear" w:color="auto" w:fill="auto"/>
            <w:noWrap/>
            <w:vAlign w:val="center"/>
            <w:hideMark/>
          </w:tcPr>
          <w:p w14:paraId="25E1C53E" w14:textId="77777777" w:rsidR="00EE5736" w:rsidRPr="00EE5736" w:rsidRDefault="00EE5736">
            <w:pPr>
              <w:rPr>
                <w:rFonts w:asciiTheme="majorHAnsi" w:hAnsiTheme="majorHAnsi" w:cs="Arial"/>
                <w:sz w:val="16"/>
                <w:szCs w:val="16"/>
              </w:rPr>
            </w:pPr>
          </w:p>
        </w:tc>
      </w:tr>
      <w:tr w:rsidR="00EE5736" w:rsidRPr="00EE5736" w14:paraId="0D46DA82" w14:textId="77777777" w:rsidTr="00EE5736">
        <w:trPr>
          <w:trHeight w:val="227"/>
        </w:trPr>
        <w:tc>
          <w:tcPr>
            <w:tcW w:w="2528" w:type="pct"/>
            <w:tcBorders>
              <w:top w:val="nil"/>
              <w:left w:val="nil"/>
              <w:bottom w:val="nil"/>
              <w:right w:val="nil"/>
            </w:tcBorders>
            <w:shd w:val="clear" w:color="auto" w:fill="auto"/>
            <w:noWrap/>
            <w:vAlign w:val="bottom"/>
            <w:hideMark/>
          </w:tcPr>
          <w:p w14:paraId="1F3050A1"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Estudos e Projetos - FNS</w:t>
            </w:r>
          </w:p>
        </w:tc>
        <w:tc>
          <w:tcPr>
            <w:tcW w:w="1099" w:type="pct"/>
            <w:tcBorders>
              <w:top w:val="nil"/>
              <w:left w:val="nil"/>
              <w:bottom w:val="nil"/>
              <w:right w:val="nil"/>
            </w:tcBorders>
            <w:shd w:val="clear" w:color="auto" w:fill="auto"/>
            <w:noWrap/>
            <w:vAlign w:val="bottom"/>
            <w:hideMark/>
          </w:tcPr>
          <w:p w14:paraId="1B91F0EE"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   </w:t>
            </w:r>
          </w:p>
        </w:tc>
        <w:tc>
          <w:tcPr>
            <w:tcW w:w="1026" w:type="pct"/>
            <w:tcBorders>
              <w:top w:val="nil"/>
              <w:left w:val="nil"/>
              <w:bottom w:val="nil"/>
              <w:right w:val="nil"/>
            </w:tcBorders>
            <w:shd w:val="clear" w:color="auto" w:fill="auto"/>
            <w:noWrap/>
            <w:vAlign w:val="bottom"/>
            <w:hideMark/>
          </w:tcPr>
          <w:p w14:paraId="48D49607"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   </w:t>
            </w:r>
          </w:p>
        </w:tc>
        <w:tc>
          <w:tcPr>
            <w:tcW w:w="347" w:type="pct"/>
            <w:tcBorders>
              <w:top w:val="nil"/>
              <w:left w:val="nil"/>
              <w:bottom w:val="nil"/>
              <w:right w:val="nil"/>
            </w:tcBorders>
            <w:shd w:val="clear" w:color="auto" w:fill="auto"/>
            <w:noWrap/>
            <w:vAlign w:val="center"/>
            <w:hideMark/>
          </w:tcPr>
          <w:p w14:paraId="1E8C73E5" w14:textId="77777777" w:rsidR="00EE5736" w:rsidRPr="00EE5736" w:rsidRDefault="00EE5736">
            <w:pPr>
              <w:rPr>
                <w:rFonts w:asciiTheme="majorHAnsi" w:hAnsiTheme="majorHAnsi" w:cs="Arial"/>
                <w:sz w:val="16"/>
                <w:szCs w:val="16"/>
              </w:rPr>
            </w:pPr>
          </w:p>
        </w:tc>
      </w:tr>
      <w:tr w:rsidR="00EE5736" w:rsidRPr="00EE5736" w14:paraId="6C103FAD" w14:textId="77777777" w:rsidTr="00EE5736">
        <w:trPr>
          <w:trHeight w:val="227"/>
        </w:trPr>
        <w:tc>
          <w:tcPr>
            <w:tcW w:w="2528" w:type="pct"/>
            <w:tcBorders>
              <w:top w:val="nil"/>
              <w:left w:val="nil"/>
              <w:bottom w:val="nil"/>
              <w:right w:val="nil"/>
            </w:tcBorders>
            <w:shd w:val="clear" w:color="auto" w:fill="auto"/>
            <w:noWrap/>
            <w:vAlign w:val="bottom"/>
            <w:hideMark/>
          </w:tcPr>
          <w:p w14:paraId="7239572F"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Ativo de Concessão Imóveis - FNS</w:t>
            </w:r>
          </w:p>
        </w:tc>
        <w:tc>
          <w:tcPr>
            <w:tcW w:w="1099" w:type="pct"/>
            <w:tcBorders>
              <w:top w:val="nil"/>
              <w:left w:val="nil"/>
              <w:bottom w:val="nil"/>
              <w:right w:val="nil"/>
            </w:tcBorders>
            <w:shd w:val="clear" w:color="auto" w:fill="auto"/>
            <w:noWrap/>
            <w:vAlign w:val="bottom"/>
            <w:hideMark/>
          </w:tcPr>
          <w:p w14:paraId="1CD29B7D"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12.282.571.618 </w:t>
            </w:r>
          </w:p>
        </w:tc>
        <w:tc>
          <w:tcPr>
            <w:tcW w:w="1026" w:type="pct"/>
            <w:tcBorders>
              <w:top w:val="nil"/>
              <w:left w:val="nil"/>
              <w:bottom w:val="nil"/>
              <w:right w:val="nil"/>
            </w:tcBorders>
            <w:shd w:val="clear" w:color="auto" w:fill="auto"/>
            <w:noWrap/>
            <w:vAlign w:val="bottom"/>
            <w:hideMark/>
          </w:tcPr>
          <w:p w14:paraId="56A3D629"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12.221.663.667 </w:t>
            </w:r>
          </w:p>
        </w:tc>
        <w:tc>
          <w:tcPr>
            <w:tcW w:w="347" w:type="pct"/>
            <w:tcBorders>
              <w:top w:val="nil"/>
              <w:left w:val="nil"/>
              <w:bottom w:val="nil"/>
              <w:right w:val="nil"/>
            </w:tcBorders>
            <w:shd w:val="clear" w:color="auto" w:fill="auto"/>
            <w:noWrap/>
            <w:vAlign w:val="center"/>
            <w:hideMark/>
          </w:tcPr>
          <w:p w14:paraId="665BD53C" w14:textId="77777777" w:rsidR="00EE5736" w:rsidRPr="00EE5736" w:rsidRDefault="00EE5736">
            <w:pPr>
              <w:rPr>
                <w:rFonts w:asciiTheme="majorHAnsi" w:hAnsiTheme="majorHAnsi" w:cs="Arial"/>
                <w:sz w:val="16"/>
                <w:szCs w:val="16"/>
              </w:rPr>
            </w:pPr>
          </w:p>
        </w:tc>
      </w:tr>
      <w:tr w:rsidR="00EE5736" w:rsidRPr="00EE5736" w14:paraId="494EA91D" w14:textId="77777777" w:rsidTr="00EE5736">
        <w:trPr>
          <w:trHeight w:val="227"/>
        </w:trPr>
        <w:tc>
          <w:tcPr>
            <w:tcW w:w="2528" w:type="pct"/>
            <w:tcBorders>
              <w:top w:val="nil"/>
              <w:left w:val="nil"/>
              <w:bottom w:val="nil"/>
              <w:right w:val="nil"/>
            </w:tcBorders>
            <w:shd w:val="clear" w:color="auto" w:fill="auto"/>
            <w:noWrap/>
            <w:vAlign w:val="bottom"/>
            <w:hideMark/>
          </w:tcPr>
          <w:p w14:paraId="4667CABB"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CMT Lei 8.200/91 - FNS</w:t>
            </w:r>
          </w:p>
        </w:tc>
        <w:tc>
          <w:tcPr>
            <w:tcW w:w="1099" w:type="pct"/>
            <w:tcBorders>
              <w:top w:val="nil"/>
              <w:left w:val="nil"/>
              <w:bottom w:val="nil"/>
              <w:right w:val="nil"/>
            </w:tcBorders>
            <w:shd w:val="clear" w:color="auto" w:fill="auto"/>
            <w:noWrap/>
            <w:vAlign w:val="bottom"/>
            <w:hideMark/>
          </w:tcPr>
          <w:p w14:paraId="16D93D94"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   </w:t>
            </w:r>
          </w:p>
        </w:tc>
        <w:tc>
          <w:tcPr>
            <w:tcW w:w="1026" w:type="pct"/>
            <w:tcBorders>
              <w:top w:val="nil"/>
              <w:left w:val="nil"/>
              <w:bottom w:val="nil"/>
              <w:right w:val="nil"/>
            </w:tcBorders>
            <w:shd w:val="clear" w:color="auto" w:fill="auto"/>
            <w:noWrap/>
            <w:vAlign w:val="bottom"/>
            <w:hideMark/>
          </w:tcPr>
          <w:p w14:paraId="271C21D8"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283.967 </w:t>
            </w:r>
          </w:p>
        </w:tc>
        <w:tc>
          <w:tcPr>
            <w:tcW w:w="347" w:type="pct"/>
            <w:tcBorders>
              <w:top w:val="nil"/>
              <w:left w:val="nil"/>
              <w:bottom w:val="nil"/>
              <w:right w:val="nil"/>
            </w:tcBorders>
            <w:shd w:val="clear" w:color="auto" w:fill="auto"/>
            <w:noWrap/>
            <w:vAlign w:val="center"/>
            <w:hideMark/>
          </w:tcPr>
          <w:p w14:paraId="7D4B3574" w14:textId="77777777" w:rsidR="00EE5736" w:rsidRPr="00EE5736" w:rsidRDefault="00EE5736">
            <w:pPr>
              <w:rPr>
                <w:rFonts w:asciiTheme="majorHAnsi" w:hAnsiTheme="majorHAnsi" w:cs="Arial"/>
                <w:sz w:val="16"/>
                <w:szCs w:val="16"/>
              </w:rPr>
            </w:pPr>
          </w:p>
        </w:tc>
      </w:tr>
      <w:tr w:rsidR="00EE5736" w:rsidRPr="00EE5736" w14:paraId="1FAFED46" w14:textId="77777777" w:rsidTr="00EE5736">
        <w:trPr>
          <w:trHeight w:val="227"/>
        </w:trPr>
        <w:tc>
          <w:tcPr>
            <w:tcW w:w="2528" w:type="pct"/>
            <w:tcBorders>
              <w:top w:val="nil"/>
              <w:left w:val="nil"/>
              <w:bottom w:val="nil"/>
              <w:right w:val="nil"/>
            </w:tcBorders>
            <w:shd w:val="clear" w:color="auto" w:fill="auto"/>
            <w:noWrap/>
            <w:vAlign w:val="bottom"/>
            <w:hideMark/>
          </w:tcPr>
          <w:p w14:paraId="69BA8EAE"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(Redução ao Valor Recuperável - FNS)</w:t>
            </w:r>
          </w:p>
        </w:tc>
        <w:tc>
          <w:tcPr>
            <w:tcW w:w="1099" w:type="pct"/>
            <w:tcBorders>
              <w:top w:val="nil"/>
              <w:left w:val="nil"/>
              <w:bottom w:val="nil"/>
              <w:right w:val="nil"/>
            </w:tcBorders>
            <w:shd w:val="clear" w:color="auto" w:fill="auto"/>
            <w:noWrap/>
            <w:vAlign w:val="bottom"/>
            <w:hideMark/>
          </w:tcPr>
          <w:p w14:paraId="35009E8D"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(11.354.416.372)</w:t>
            </w:r>
          </w:p>
        </w:tc>
        <w:tc>
          <w:tcPr>
            <w:tcW w:w="1026" w:type="pct"/>
            <w:tcBorders>
              <w:top w:val="nil"/>
              <w:left w:val="nil"/>
              <w:bottom w:val="nil"/>
              <w:right w:val="nil"/>
            </w:tcBorders>
            <w:shd w:val="clear" w:color="auto" w:fill="auto"/>
            <w:noWrap/>
            <w:vAlign w:val="bottom"/>
            <w:hideMark/>
          </w:tcPr>
          <w:p w14:paraId="73CF4BEE"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(11.354.416.372)</w:t>
            </w:r>
          </w:p>
        </w:tc>
        <w:tc>
          <w:tcPr>
            <w:tcW w:w="347" w:type="pct"/>
            <w:tcBorders>
              <w:top w:val="nil"/>
              <w:left w:val="nil"/>
              <w:bottom w:val="nil"/>
              <w:right w:val="nil"/>
            </w:tcBorders>
            <w:shd w:val="clear" w:color="auto" w:fill="auto"/>
            <w:noWrap/>
            <w:vAlign w:val="center"/>
            <w:hideMark/>
          </w:tcPr>
          <w:p w14:paraId="72A0D8F4" w14:textId="77777777" w:rsidR="00EE5736" w:rsidRPr="00EE5736" w:rsidRDefault="00EE5736">
            <w:pPr>
              <w:rPr>
                <w:rFonts w:asciiTheme="majorHAnsi" w:hAnsiTheme="majorHAnsi" w:cs="Arial"/>
                <w:sz w:val="16"/>
                <w:szCs w:val="16"/>
              </w:rPr>
            </w:pPr>
          </w:p>
        </w:tc>
      </w:tr>
      <w:tr w:rsidR="00EE5736" w:rsidRPr="00EE5736" w14:paraId="48464EA5" w14:textId="77777777" w:rsidTr="00EE5736">
        <w:trPr>
          <w:trHeight w:val="227"/>
        </w:trPr>
        <w:tc>
          <w:tcPr>
            <w:tcW w:w="2528" w:type="pct"/>
            <w:tcBorders>
              <w:top w:val="nil"/>
              <w:left w:val="nil"/>
              <w:bottom w:val="nil"/>
              <w:right w:val="nil"/>
            </w:tcBorders>
            <w:shd w:val="clear" w:color="auto" w:fill="auto"/>
            <w:noWrap/>
            <w:vAlign w:val="bottom"/>
            <w:hideMark/>
          </w:tcPr>
          <w:p w14:paraId="3B2E47CF"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(Depreciações Acumuladas - FNS)</w:t>
            </w:r>
          </w:p>
        </w:tc>
        <w:tc>
          <w:tcPr>
            <w:tcW w:w="1099" w:type="pct"/>
            <w:tcBorders>
              <w:top w:val="nil"/>
              <w:left w:val="nil"/>
              <w:bottom w:val="nil"/>
              <w:right w:val="nil"/>
            </w:tcBorders>
            <w:shd w:val="clear" w:color="auto" w:fill="auto"/>
            <w:noWrap/>
            <w:vAlign w:val="bottom"/>
            <w:hideMark/>
          </w:tcPr>
          <w:p w14:paraId="79859E92"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(916.675.783)</w:t>
            </w:r>
          </w:p>
        </w:tc>
        <w:tc>
          <w:tcPr>
            <w:tcW w:w="1026" w:type="pct"/>
            <w:tcBorders>
              <w:top w:val="nil"/>
              <w:left w:val="nil"/>
              <w:bottom w:val="nil"/>
              <w:right w:val="nil"/>
            </w:tcBorders>
            <w:shd w:val="clear" w:color="auto" w:fill="auto"/>
            <w:noWrap/>
            <w:vAlign w:val="bottom"/>
            <w:hideMark/>
          </w:tcPr>
          <w:p w14:paraId="16214718"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(916.675.783)</w:t>
            </w:r>
          </w:p>
        </w:tc>
        <w:tc>
          <w:tcPr>
            <w:tcW w:w="347" w:type="pct"/>
            <w:tcBorders>
              <w:top w:val="nil"/>
              <w:left w:val="nil"/>
              <w:bottom w:val="nil"/>
              <w:right w:val="nil"/>
            </w:tcBorders>
            <w:shd w:val="clear" w:color="auto" w:fill="auto"/>
            <w:noWrap/>
            <w:vAlign w:val="center"/>
            <w:hideMark/>
          </w:tcPr>
          <w:p w14:paraId="15B12788" w14:textId="77777777" w:rsidR="00EE5736" w:rsidRPr="00EE5736" w:rsidRDefault="00EE5736">
            <w:pPr>
              <w:rPr>
                <w:rFonts w:asciiTheme="majorHAnsi" w:hAnsiTheme="majorHAnsi" w:cs="Arial"/>
                <w:sz w:val="16"/>
                <w:szCs w:val="16"/>
              </w:rPr>
            </w:pPr>
          </w:p>
        </w:tc>
      </w:tr>
      <w:tr w:rsidR="00EE5736" w:rsidRPr="00EE5736" w14:paraId="619C8DCC" w14:textId="77777777" w:rsidTr="00EE5736">
        <w:trPr>
          <w:trHeight w:val="227"/>
        </w:trPr>
        <w:tc>
          <w:tcPr>
            <w:tcW w:w="2528" w:type="pct"/>
            <w:tcBorders>
              <w:top w:val="nil"/>
              <w:left w:val="nil"/>
              <w:bottom w:val="nil"/>
              <w:right w:val="nil"/>
            </w:tcBorders>
            <w:shd w:val="clear" w:color="auto" w:fill="auto"/>
            <w:noWrap/>
            <w:vAlign w:val="bottom"/>
            <w:hideMark/>
          </w:tcPr>
          <w:p w14:paraId="4C43D94C"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w:t>
            </w:r>
            <w:r w:rsidRPr="00EE5736">
              <w:rPr>
                <w:rFonts w:asciiTheme="majorHAnsi" w:hAnsiTheme="majorHAnsi" w:cs="Arial"/>
                <w:b/>
                <w:bCs/>
                <w:sz w:val="16"/>
                <w:szCs w:val="16"/>
              </w:rPr>
              <w:t>FIOL - Ferrovia de Integração Oeste Leste</w:t>
            </w:r>
          </w:p>
        </w:tc>
        <w:tc>
          <w:tcPr>
            <w:tcW w:w="1099" w:type="pct"/>
            <w:tcBorders>
              <w:top w:val="nil"/>
              <w:left w:val="nil"/>
              <w:bottom w:val="nil"/>
              <w:right w:val="nil"/>
            </w:tcBorders>
            <w:shd w:val="clear" w:color="auto" w:fill="auto"/>
            <w:noWrap/>
            <w:vAlign w:val="bottom"/>
            <w:hideMark/>
          </w:tcPr>
          <w:p w14:paraId="61F40BC7" w14:textId="77777777" w:rsidR="00EE5736" w:rsidRPr="00EE5736" w:rsidRDefault="00EE5736" w:rsidP="00EE5736">
            <w:pPr>
              <w:jc w:val="right"/>
              <w:rPr>
                <w:rFonts w:asciiTheme="majorHAnsi" w:hAnsiTheme="majorHAnsi" w:cs="Arial"/>
                <w:b/>
                <w:bCs/>
                <w:sz w:val="16"/>
                <w:szCs w:val="16"/>
              </w:rPr>
            </w:pPr>
            <w:r w:rsidRPr="00EE5736">
              <w:rPr>
                <w:rFonts w:asciiTheme="majorHAnsi" w:hAnsiTheme="majorHAnsi" w:cs="Arial"/>
                <w:b/>
                <w:bCs/>
                <w:sz w:val="16"/>
                <w:szCs w:val="16"/>
              </w:rPr>
              <w:t xml:space="preserve">                  2.287.379.507 </w:t>
            </w:r>
          </w:p>
        </w:tc>
        <w:tc>
          <w:tcPr>
            <w:tcW w:w="1026" w:type="pct"/>
            <w:tcBorders>
              <w:top w:val="nil"/>
              <w:left w:val="nil"/>
              <w:bottom w:val="nil"/>
              <w:right w:val="nil"/>
            </w:tcBorders>
            <w:shd w:val="clear" w:color="auto" w:fill="auto"/>
            <w:noWrap/>
            <w:vAlign w:val="bottom"/>
            <w:hideMark/>
          </w:tcPr>
          <w:p w14:paraId="6A74C2F5" w14:textId="77777777" w:rsidR="00EE5736" w:rsidRPr="00EE5736" w:rsidRDefault="00EE5736" w:rsidP="00EE5736">
            <w:pPr>
              <w:jc w:val="right"/>
              <w:rPr>
                <w:rFonts w:asciiTheme="majorHAnsi" w:hAnsiTheme="majorHAnsi" w:cs="Arial"/>
                <w:b/>
                <w:bCs/>
                <w:sz w:val="16"/>
                <w:szCs w:val="16"/>
              </w:rPr>
            </w:pPr>
            <w:r w:rsidRPr="00EE5736">
              <w:rPr>
                <w:rFonts w:asciiTheme="majorHAnsi" w:hAnsiTheme="majorHAnsi" w:cs="Arial"/>
                <w:b/>
                <w:bCs/>
                <w:sz w:val="16"/>
                <w:szCs w:val="16"/>
              </w:rPr>
              <w:t xml:space="preserve">               2.033.281.106 </w:t>
            </w:r>
          </w:p>
        </w:tc>
        <w:tc>
          <w:tcPr>
            <w:tcW w:w="347" w:type="pct"/>
            <w:tcBorders>
              <w:top w:val="nil"/>
              <w:left w:val="nil"/>
              <w:bottom w:val="nil"/>
              <w:right w:val="nil"/>
            </w:tcBorders>
            <w:shd w:val="clear" w:color="auto" w:fill="auto"/>
            <w:noWrap/>
            <w:vAlign w:val="center"/>
            <w:hideMark/>
          </w:tcPr>
          <w:p w14:paraId="1C681FE6" w14:textId="77777777" w:rsidR="00EE5736" w:rsidRPr="00EE5736" w:rsidRDefault="00EE5736">
            <w:pPr>
              <w:rPr>
                <w:rFonts w:asciiTheme="majorHAnsi" w:hAnsiTheme="majorHAnsi" w:cs="Arial"/>
                <w:b/>
                <w:bCs/>
                <w:sz w:val="16"/>
                <w:szCs w:val="16"/>
              </w:rPr>
            </w:pPr>
          </w:p>
        </w:tc>
      </w:tr>
      <w:tr w:rsidR="00EE5736" w:rsidRPr="00EE5736" w14:paraId="56CA82D1" w14:textId="77777777" w:rsidTr="00EE5736">
        <w:trPr>
          <w:trHeight w:val="227"/>
        </w:trPr>
        <w:tc>
          <w:tcPr>
            <w:tcW w:w="2528" w:type="pct"/>
            <w:tcBorders>
              <w:top w:val="nil"/>
              <w:left w:val="nil"/>
              <w:bottom w:val="nil"/>
              <w:right w:val="nil"/>
            </w:tcBorders>
            <w:shd w:val="clear" w:color="auto" w:fill="auto"/>
            <w:noWrap/>
            <w:vAlign w:val="bottom"/>
            <w:hideMark/>
          </w:tcPr>
          <w:p w14:paraId="4DF8C3BE"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Implantação de Ferrovias - FIOL</w:t>
            </w:r>
          </w:p>
        </w:tc>
        <w:tc>
          <w:tcPr>
            <w:tcW w:w="1099" w:type="pct"/>
            <w:tcBorders>
              <w:top w:val="nil"/>
              <w:left w:val="nil"/>
              <w:bottom w:val="nil"/>
              <w:right w:val="nil"/>
            </w:tcBorders>
            <w:shd w:val="clear" w:color="auto" w:fill="auto"/>
            <w:noWrap/>
            <w:vAlign w:val="bottom"/>
            <w:hideMark/>
          </w:tcPr>
          <w:p w14:paraId="5B7A3ACB"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2.026.769.227 </w:t>
            </w:r>
          </w:p>
        </w:tc>
        <w:tc>
          <w:tcPr>
            <w:tcW w:w="1026" w:type="pct"/>
            <w:tcBorders>
              <w:top w:val="nil"/>
              <w:left w:val="nil"/>
              <w:bottom w:val="nil"/>
              <w:right w:val="nil"/>
            </w:tcBorders>
            <w:shd w:val="clear" w:color="auto" w:fill="auto"/>
            <w:noWrap/>
            <w:vAlign w:val="bottom"/>
            <w:hideMark/>
          </w:tcPr>
          <w:p w14:paraId="7B2E77BA"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5.275.090.026 </w:t>
            </w:r>
          </w:p>
        </w:tc>
        <w:tc>
          <w:tcPr>
            <w:tcW w:w="347" w:type="pct"/>
            <w:tcBorders>
              <w:top w:val="nil"/>
              <w:left w:val="nil"/>
              <w:bottom w:val="nil"/>
              <w:right w:val="nil"/>
            </w:tcBorders>
            <w:shd w:val="clear" w:color="auto" w:fill="auto"/>
            <w:noWrap/>
            <w:vAlign w:val="center"/>
            <w:hideMark/>
          </w:tcPr>
          <w:p w14:paraId="40B40FAF" w14:textId="77777777" w:rsidR="00EE5736" w:rsidRPr="00EE5736" w:rsidRDefault="00EE5736">
            <w:pPr>
              <w:rPr>
                <w:rFonts w:asciiTheme="majorHAnsi" w:hAnsiTheme="majorHAnsi" w:cs="Arial"/>
                <w:sz w:val="16"/>
                <w:szCs w:val="16"/>
              </w:rPr>
            </w:pPr>
          </w:p>
        </w:tc>
      </w:tr>
      <w:tr w:rsidR="00EE5736" w:rsidRPr="00EE5736" w14:paraId="246FB1A1" w14:textId="77777777" w:rsidTr="00EE5736">
        <w:trPr>
          <w:trHeight w:val="227"/>
        </w:trPr>
        <w:tc>
          <w:tcPr>
            <w:tcW w:w="2528" w:type="pct"/>
            <w:tcBorders>
              <w:top w:val="nil"/>
              <w:left w:val="nil"/>
              <w:bottom w:val="nil"/>
              <w:right w:val="nil"/>
            </w:tcBorders>
            <w:shd w:val="clear" w:color="auto" w:fill="auto"/>
            <w:noWrap/>
            <w:vAlign w:val="bottom"/>
            <w:hideMark/>
          </w:tcPr>
          <w:p w14:paraId="32096863"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Estudos e Projetos - FIOL</w:t>
            </w:r>
          </w:p>
        </w:tc>
        <w:tc>
          <w:tcPr>
            <w:tcW w:w="1099" w:type="pct"/>
            <w:tcBorders>
              <w:top w:val="nil"/>
              <w:left w:val="nil"/>
              <w:bottom w:val="nil"/>
              <w:right w:val="nil"/>
            </w:tcBorders>
            <w:shd w:val="clear" w:color="auto" w:fill="auto"/>
            <w:noWrap/>
            <w:vAlign w:val="bottom"/>
            <w:hideMark/>
          </w:tcPr>
          <w:p w14:paraId="2DF67D5A"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640.740 </w:t>
            </w:r>
          </w:p>
        </w:tc>
        <w:tc>
          <w:tcPr>
            <w:tcW w:w="1026" w:type="pct"/>
            <w:tcBorders>
              <w:top w:val="nil"/>
              <w:left w:val="nil"/>
              <w:bottom w:val="nil"/>
              <w:right w:val="nil"/>
            </w:tcBorders>
            <w:shd w:val="clear" w:color="auto" w:fill="auto"/>
            <w:noWrap/>
            <w:vAlign w:val="bottom"/>
            <w:hideMark/>
          </w:tcPr>
          <w:p w14:paraId="6433A1F0"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4.128.336 </w:t>
            </w:r>
          </w:p>
        </w:tc>
        <w:tc>
          <w:tcPr>
            <w:tcW w:w="347" w:type="pct"/>
            <w:tcBorders>
              <w:top w:val="nil"/>
              <w:left w:val="nil"/>
              <w:bottom w:val="nil"/>
              <w:right w:val="nil"/>
            </w:tcBorders>
            <w:shd w:val="clear" w:color="auto" w:fill="auto"/>
            <w:noWrap/>
            <w:vAlign w:val="center"/>
            <w:hideMark/>
          </w:tcPr>
          <w:p w14:paraId="2BD84F87" w14:textId="77777777" w:rsidR="00EE5736" w:rsidRPr="00EE5736" w:rsidRDefault="00EE5736">
            <w:pPr>
              <w:rPr>
                <w:rFonts w:asciiTheme="majorHAnsi" w:hAnsiTheme="majorHAnsi" w:cs="Arial"/>
                <w:sz w:val="16"/>
                <w:szCs w:val="16"/>
              </w:rPr>
            </w:pPr>
          </w:p>
        </w:tc>
      </w:tr>
      <w:tr w:rsidR="00EE5736" w:rsidRPr="00EE5736" w14:paraId="6E9A5A04" w14:textId="77777777" w:rsidTr="00EE5736">
        <w:trPr>
          <w:trHeight w:val="227"/>
        </w:trPr>
        <w:tc>
          <w:tcPr>
            <w:tcW w:w="2528" w:type="pct"/>
            <w:tcBorders>
              <w:top w:val="nil"/>
              <w:left w:val="nil"/>
              <w:bottom w:val="nil"/>
              <w:right w:val="nil"/>
            </w:tcBorders>
            <w:shd w:val="clear" w:color="auto" w:fill="auto"/>
            <w:noWrap/>
            <w:vAlign w:val="bottom"/>
            <w:hideMark/>
          </w:tcPr>
          <w:p w14:paraId="6BFE412E"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Ativos de Concessão Imóveis - FIOL I</w:t>
            </w:r>
          </w:p>
        </w:tc>
        <w:tc>
          <w:tcPr>
            <w:tcW w:w="1099" w:type="pct"/>
            <w:tcBorders>
              <w:top w:val="nil"/>
              <w:left w:val="nil"/>
              <w:bottom w:val="nil"/>
              <w:right w:val="nil"/>
            </w:tcBorders>
            <w:shd w:val="clear" w:color="auto" w:fill="auto"/>
            <w:noWrap/>
            <w:vAlign w:val="bottom"/>
            <w:hideMark/>
          </w:tcPr>
          <w:p w14:paraId="14177DCC"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3.505.906.796 </w:t>
            </w:r>
          </w:p>
        </w:tc>
        <w:tc>
          <w:tcPr>
            <w:tcW w:w="1026" w:type="pct"/>
            <w:tcBorders>
              <w:top w:val="nil"/>
              <w:left w:val="nil"/>
              <w:bottom w:val="nil"/>
              <w:right w:val="nil"/>
            </w:tcBorders>
            <w:shd w:val="clear" w:color="auto" w:fill="auto"/>
            <w:noWrap/>
            <w:vAlign w:val="bottom"/>
            <w:hideMark/>
          </w:tcPr>
          <w:p w14:paraId="6441A6CA"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   </w:t>
            </w:r>
          </w:p>
        </w:tc>
        <w:tc>
          <w:tcPr>
            <w:tcW w:w="347" w:type="pct"/>
            <w:tcBorders>
              <w:top w:val="nil"/>
              <w:left w:val="nil"/>
              <w:bottom w:val="nil"/>
              <w:right w:val="nil"/>
            </w:tcBorders>
            <w:shd w:val="clear" w:color="auto" w:fill="auto"/>
            <w:noWrap/>
            <w:vAlign w:val="center"/>
            <w:hideMark/>
          </w:tcPr>
          <w:p w14:paraId="45A88F9D" w14:textId="77777777" w:rsidR="00EE5736" w:rsidRPr="00EE5736" w:rsidRDefault="00EE5736">
            <w:pPr>
              <w:rPr>
                <w:rFonts w:asciiTheme="majorHAnsi" w:hAnsiTheme="majorHAnsi" w:cs="Arial"/>
                <w:sz w:val="16"/>
                <w:szCs w:val="16"/>
              </w:rPr>
            </w:pPr>
          </w:p>
        </w:tc>
      </w:tr>
      <w:tr w:rsidR="00EE5736" w:rsidRPr="00EE5736" w14:paraId="2AD589B6" w14:textId="77777777" w:rsidTr="00EE5736">
        <w:trPr>
          <w:trHeight w:val="227"/>
        </w:trPr>
        <w:tc>
          <w:tcPr>
            <w:tcW w:w="2528" w:type="pct"/>
            <w:tcBorders>
              <w:top w:val="nil"/>
              <w:left w:val="nil"/>
              <w:bottom w:val="nil"/>
              <w:right w:val="nil"/>
            </w:tcBorders>
            <w:shd w:val="clear" w:color="auto" w:fill="auto"/>
            <w:noWrap/>
            <w:vAlign w:val="bottom"/>
            <w:hideMark/>
          </w:tcPr>
          <w:p w14:paraId="327C3F71" w14:textId="57F9D59D"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(Redução ao Valor Recuperável -FIOL I)</w:t>
            </w:r>
          </w:p>
        </w:tc>
        <w:tc>
          <w:tcPr>
            <w:tcW w:w="1099" w:type="pct"/>
            <w:tcBorders>
              <w:top w:val="nil"/>
              <w:left w:val="nil"/>
              <w:bottom w:val="nil"/>
              <w:right w:val="nil"/>
            </w:tcBorders>
            <w:shd w:val="clear" w:color="auto" w:fill="auto"/>
            <w:noWrap/>
            <w:vAlign w:val="bottom"/>
            <w:hideMark/>
          </w:tcPr>
          <w:p w14:paraId="639AB2C8"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(3.245.937.256)</w:t>
            </w:r>
          </w:p>
        </w:tc>
        <w:tc>
          <w:tcPr>
            <w:tcW w:w="1026" w:type="pct"/>
            <w:tcBorders>
              <w:top w:val="nil"/>
              <w:left w:val="nil"/>
              <w:bottom w:val="nil"/>
              <w:right w:val="nil"/>
            </w:tcBorders>
            <w:shd w:val="clear" w:color="auto" w:fill="auto"/>
            <w:noWrap/>
            <w:vAlign w:val="bottom"/>
            <w:hideMark/>
          </w:tcPr>
          <w:p w14:paraId="40C98F9A"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(3.245.937.256)</w:t>
            </w:r>
          </w:p>
        </w:tc>
        <w:tc>
          <w:tcPr>
            <w:tcW w:w="347" w:type="pct"/>
            <w:tcBorders>
              <w:top w:val="nil"/>
              <w:left w:val="nil"/>
              <w:bottom w:val="nil"/>
              <w:right w:val="nil"/>
            </w:tcBorders>
            <w:shd w:val="clear" w:color="auto" w:fill="auto"/>
            <w:noWrap/>
            <w:vAlign w:val="center"/>
            <w:hideMark/>
          </w:tcPr>
          <w:p w14:paraId="0F96E4D5" w14:textId="77777777" w:rsidR="00EE5736" w:rsidRPr="00EE5736" w:rsidRDefault="00EE5736">
            <w:pPr>
              <w:rPr>
                <w:rFonts w:asciiTheme="majorHAnsi" w:hAnsiTheme="majorHAnsi" w:cs="Arial"/>
                <w:sz w:val="16"/>
                <w:szCs w:val="16"/>
              </w:rPr>
            </w:pPr>
          </w:p>
        </w:tc>
      </w:tr>
      <w:tr w:rsidR="00EE5736" w:rsidRPr="00EE5736" w14:paraId="32FFD437" w14:textId="77777777" w:rsidTr="00EE5736">
        <w:trPr>
          <w:trHeight w:val="227"/>
        </w:trPr>
        <w:tc>
          <w:tcPr>
            <w:tcW w:w="2528" w:type="pct"/>
            <w:tcBorders>
              <w:top w:val="nil"/>
              <w:left w:val="nil"/>
              <w:bottom w:val="nil"/>
              <w:right w:val="nil"/>
            </w:tcBorders>
            <w:shd w:val="clear" w:color="auto" w:fill="auto"/>
            <w:noWrap/>
            <w:vAlign w:val="bottom"/>
            <w:hideMark/>
          </w:tcPr>
          <w:p w14:paraId="5D10C5C9" w14:textId="77777777" w:rsidR="00EE5736" w:rsidRPr="00EE5736" w:rsidRDefault="00EE5736">
            <w:pPr>
              <w:rPr>
                <w:rFonts w:asciiTheme="majorHAnsi" w:hAnsiTheme="majorHAnsi" w:cs="Arial"/>
                <w:b/>
                <w:bCs/>
                <w:sz w:val="16"/>
                <w:szCs w:val="16"/>
              </w:rPr>
            </w:pPr>
            <w:r w:rsidRPr="00EE5736">
              <w:rPr>
                <w:rFonts w:asciiTheme="majorHAnsi" w:hAnsiTheme="majorHAnsi" w:cs="Arial"/>
                <w:b/>
                <w:bCs/>
                <w:sz w:val="16"/>
                <w:szCs w:val="16"/>
              </w:rPr>
              <w:t xml:space="preserve">              Outros</w:t>
            </w:r>
          </w:p>
        </w:tc>
        <w:tc>
          <w:tcPr>
            <w:tcW w:w="1099" w:type="pct"/>
            <w:tcBorders>
              <w:top w:val="nil"/>
              <w:left w:val="nil"/>
              <w:bottom w:val="nil"/>
              <w:right w:val="nil"/>
            </w:tcBorders>
            <w:shd w:val="clear" w:color="auto" w:fill="auto"/>
            <w:noWrap/>
            <w:vAlign w:val="bottom"/>
            <w:hideMark/>
          </w:tcPr>
          <w:p w14:paraId="67809279" w14:textId="77777777" w:rsidR="00EE5736" w:rsidRPr="00EE5736" w:rsidRDefault="00EE5736" w:rsidP="00EE5736">
            <w:pPr>
              <w:jc w:val="right"/>
              <w:rPr>
                <w:rFonts w:asciiTheme="majorHAnsi" w:hAnsiTheme="majorHAnsi" w:cs="Arial"/>
                <w:b/>
                <w:bCs/>
                <w:sz w:val="16"/>
                <w:szCs w:val="16"/>
              </w:rPr>
            </w:pPr>
            <w:r w:rsidRPr="00EE5736">
              <w:rPr>
                <w:rFonts w:asciiTheme="majorHAnsi" w:hAnsiTheme="majorHAnsi" w:cs="Arial"/>
                <w:b/>
                <w:bCs/>
                <w:sz w:val="16"/>
                <w:szCs w:val="16"/>
              </w:rPr>
              <w:t xml:space="preserve">                      165.435.021 </w:t>
            </w:r>
          </w:p>
        </w:tc>
        <w:tc>
          <w:tcPr>
            <w:tcW w:w="1026" w:type="pct"/>
            <w:tcBorders>
              <w:top w:val="nil"/>
              <w:left w:val="nil"/>
              <w:bottom w:val="nil"/>
              <w:right w:val="nil"/>
            </w:tcBorders>
            <w:shd w:val="clear" w:color="auto" w:fill="auto"/>
            <w:noWrap/>
            <w:vAlign w:val="bottom"/>
            <w:hideMark/>
          </w:tcPr>
          <w:p w14:paraId="4A801FB9" w14:textId="77777777" w:rsidR="00EE5736" w:rsidRPr="00EE5736" w:rsidRDefault="00EE5736" w:rsidP="00EE5736">
            <w:pPr>
              <w:jc w:val="right"/>
              <w:rPr>
                <w:rFonts w:asciiTheme="majorHAnsi" w:hAnsiTheme="majorHAnsi" w:cs="Arial"/>
                <w:b/>
                <w:bCs/>
                <w:sz w:val="16"/>
                <w:szCs w:val="16"/>
              </w:rPr>
            </w:pPr>
            <w:r w:rsidRPr="00EE5736">
              <w:rPr>
                <w:rFonts w:asciiTheme="majorHAnsi" w:hAnsiTheme="majorHAnsi" w:cs="Arial"/>
                <w:b/>
                <w:bCs/>
                <w:sz w:val="16"/>
                <w:szCs w:val="16"/>
              </w:rPr>
              <w:t xml:space="preserve">                  165.698.625 </w:t>
            </w:r>
          </w:p>
        </w:tc>
        <w:tc>
          <w:tcPr>
            <w:tcW w:w="347" w:type="pct"/>
            <w:tcBorders>
              <w:top w:val="nil"/>
              <w:left w:val="nil"/>
              <w:bottom w:val="nil"/>
              <w:right w:val="nil"/>
            </w:tcBorders>
            <w:shd w:val="clear" w:color="auto" w:fill="auto"/>
            <w:noWrap/>
            <w:vAlign w:val="center"/>
            <w:hideMark/>
          </w:tcPr>
          <w:p w14:paraId="304DC809" w14:textId="77777777" w:rsidR="00EE5736" w:rsidRPr="00EE5736" w:rsidRDefault="00EE5736">
            <w:pPr>
              <w:rPr>
                <w:rFonts w:asciiTheme="majorHAnsi" w:hAnsiTheme="majorHAnsi" w:cs="Arial"/>
                <w:b/>
                <w:bCs/>
                <w:sz w:val="16"/>
                <w:szCs w:val="16"/>
              </w:rPr>
            </w:pPr>
          </w:p>
        </w:tc>
      </w:tr>
      <w:tr w:rsidR="00EE5736" w:rsidRPr="00EE5736" w14:paraId="7D6A529B" w14:textId="77777777" w:rsidTr="00EE5736">
        <w:trPr>
          <w:trHeight w:val="227"/>
        </w:trPr>
        <w:tc>
          <w:tcPr>
            <w:tcW w:w="2528" w:type="pct"/>
            <w:tcBorders>
              <w:top w:val="nil"/>
              <w:left w:val="nil"/>
              <w:bottom w:val="nil"/>
              <w:right w:val="nil"/>
            </w:tcBorders>
            <w:shd w:val="clear" w:color="auto" w:fill="auto"/>
            <w:noWrap/>
            <w:vAlign w:val="bottom"/>
            <w:hideMark/>
          </w:tcPr>
          <w:p w14:paraId="1B7D1EBF"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Estudos e Projetos - Outros</w:t>
            </w:r>
          </w:p>
        </w:tc>
        <w:tc>
          <w:tcPr>
            <w:tcW w:w="1099" w:type="pct"/>
            <w:tcBorders>
              <w:top w:val="nil"/>
              <w:left w:val="nil"/>
              <w:bottom w:val="nil"/>
              <w:right w:val="nil"/>
            </w:tcBorders>
            <w:shd w:val="clear" w:color="auto" w:fill="auto"/>
            <w:noWrap/>
            <w:vAlign w:val="bottom"/>
            <w:hideMark/>
          </w:tcPr>
          <w:p w14:paraId="2A1133EB"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157.510.633 </w:t>
            </w:r>
          </w:p>
        </w:tc>
        <w:tc>
          <w:tcPr>
            <w:tcW w:w="1026" w:type="pct"/>
            <w:tcBorders>
              <w:top w:val="nil"/>
              <w:left w:val="nil"/>
              <w:bottom w:val="nil"/>
              <w:right w:val="nil"/>
            </w:tcBorders>
            <w:shd w:val="clear" w:color="auto" w:fill="auto"/>
            <w:noWrap/>
            <w:vAlign w:val="bottom"/>
            <w:hideMark/>
          </w:tcPr>
          <w:p w14:paraId="7101907D"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157.502.969 </w:t>
            </w:r>
          </w:p>
        </w:tc>
        <w:tc>
          <w:tcPr>
            <w:tcW w:w="347" w:type="pct"/>
            <w:tcBorders>
              <w:top w:val="nil"/>
              <w:left w:val="nil"/>
              <w:bottom w:val="nil"/>
              <w:right w:val="nil"/>
            </w:tcBorders>
            <w:shd w:val="clear" w:color="auto" w:fill="auto"/>
            <w:noWrap/>
            <w:vAlign w:val="center"/>
            <w:hideMark/>
          </w:tcPr>
          <w:p w14:paraId="64110E9C" w14:textId="77777777" w:rsidR="00EE5736" w:rsidRPr="00EE5736" w:rsidRDefault="00EE5736">
            <w:pPr>
              <w:rPr>
                <w:rFonts w:asciiTheme="majorHAnsi" w:hAnsiTheme="majorHAnsi" w:cs="Arial"/>
                <w:sz w:val="16"/>
                <w:szCs w:val="16"/>
              </w:rPr>
            </w:pPr>
          </w:p>
        </w:tc>
      </w:tr>
      <w:tr w:rsidR="00EE5736" w:rsidRPr="00EE5736" w14:paraId="6803EDD4" w14:textId="77777777" w:rsidTr="00EE5736">
        <w:trPr>
          <w:trHeight w:val="227"/>
        </w:trPr>
        <w:tc>
          <w:tcPr>
            <w:tcW w:w="2528" w:type="pct"/>
            <w:tcBorders>
              <w:top w:val="nil"/>
              <w:left w:val="nil"/>
              <w:bottom w:val="nil"/>
              <w:right w:val="nil"/>
            </w:tcBorders>
            <w:shd w:val="clear" w:color="auto" w:fill="auto"/>
            <w:noWrap/>
            <w:vAlign w:val="bottom"/>
            <w:hideMark/>
          </w:tcPr>
          <w:p w14:paraId="72EFFFA3"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Ativo de Concessão Imóveis - Pátios</w:t>
            </w:r>
          </w:p>
        </w:tc>
        <w:tc>
          <w:tcPr>
            <w:tcW w:w="1099" w:type="pct"/>
            <w:tcBorders>
              <w:top w:val="nil"/>
              <w:left w:val="nil"/>
              <w:bottom w:val="nil"/>
              <w:right w:val="nil"/>
            </w:tcBorders>
            <w:shd w:val="clear" w:color="auto" w:fill="auto"/>
            <w:noWrap/>
            <w:vAlign w:val="bottom"/>
            <w:hideMark/>
          </w:tcPr>
          <w:p w14:paraId="7C2F0FD0"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9.009.461 </w:t>
            </w:r>
          </w:p>
        </w:tc>
        <w:tc>
          <w:tcPr>
            <w:tcW w:w="1026" w:type="pct"/>
            <w:tcBorders>
              <w:top w:val="nil"/>
              <w:left w:val="nil"/>
              <w:bottom w:val="nil"/>
              <w:right w:val="nil"/>
            </w:tcBorders>
            <w:shd w:val="clear" w:color="auto" w:fill="auto"/>
            <w:noWrap/>
            <w:vAlign w:val="bottom"/>
            <w:hideMark/>
          </w:tcPr>
          <w:p w14:paraId="347EABA7"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9.009.461 </w:t>
            </w:r>
          </w:p>
        </w:tc>
        <w:tc>
          <w:tcPr>
            <w:tcW w:w="347" w:type="pct"/>
            <w:tcBorders>
              <w:top w:val="nil"/>
              <w:left w:val="nil"/>
              <w:bottom w:val="nil"/>
              <w:right w:val="nil"/>
            </w:tcBorders>
            <w:shd w:val="clear" w:color="auto" w:fill="auto"/>
            <w:noWrap/>
            <w:vAlign w:val="center"/>
            <w:hideMark/>
          </w:tcPr>
          <w:p w14:paraId="7A8C00B4" w14:textId="77777777" w:rsidR="00EE5736" w:rsidRPr="00EE5736" w:rsidRDefault="00EE5736">
            <w:pPr>
              <w:rPr>
                <w:rFonts w:asciiTheme="majorHAnsi" w:hAnsiTheme="majorHAnsi" w:cs="Arial"/>
                <w:sz w:val="16"/>
                <w:szCs w:val="16"/>
              </w:rPr>
            </w:pPr>
          </w:p>
        </w:tc>
      </w:tr>
      <w:tr w:rsidR="00EE5736" w:rsidRPr="00EE5736" w14:paraId="54C000CD" w14:textId="77777777" w:rsidTr="00EE5736">
        <w:trPr>
          <w:trHeight w:val="227"/>
        </w:trPr>
        <w:tc>
          <w:tcPr>
            <w:tcW w:w="2528" w:type="pct"/>
            <w:tcBorders>
              <w:top w:val="nil"/>
              <w:left w:val="nil"/>
              <w:bottom w:val="nil"/>
              <w:right w:val="nil"/>
            </w:tcBorders>
            <w:shd w:val="clear" w:color="auto" w:fill="auto"/>
            <w:noWrap/>
            <w:vAlign w:val="bottom"/>
            <w:hideMark/>
          </w:tcPr>
          <w:p w14:paraId="79C7C257"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(Depreciações Acumuladas - Pátios)</w:t>
            </w:r>
          </w:p>
        </w:tc>
        <w:tc>
          <w:tcPr>
            <w:tcW w:w="1099" w:type="pct"/>
            <w:tcBorders>
              <w:top w:val="nil"/>
              <w:left w:val="nil"/>
              <w:bottom w:val="nil"/>
              <w:right w:val="nil"/>
            </w:tcBorders>
            <w:shd w:val="clear" w:color="auto" w:fill="auto"/>
            <w:noWrap/>
            <w:vAlign w:val="bottom"/>
            <w:hideMark/>
          </w:tcPr>
          <w:p w14:paraId="7F778C1F"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(1.085.073)</w:t>
            </w:r>
          </w:p>
        </w:tc>
        <w:tc>
          <w:tcPr>
            <w:tcW w:w="1026" w:type="pct"/>
            <w:tcBorders>
              <w:top w:val="nil"/>
              <w:left w:val="nil"/>
              <w:bottom w:val="nil"/>
              <w:right w:val="nil"/>
            </w:tcBorders>
            <w:shd w:val="clear" w:color="auto" w:fill="auto"/>
            <w:noWrap/>
            <w:vAlign w:val="bottom"/>
            <w:hideMark/>
          </w:tcPr>
          <w:p w14:paraId="28477FAB"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(813.805)</w:t>
            </w:r>
          </w:p>
        </w:tc>
        <w:tc>
          <w:tcPr>
            <w:tcW w:w="347" w:type="pct"/>
            <w:tcBorders>
              <w:top w:val="nil"/>
              <w:left w:val="nil"/>
              <w:bottom w:val="nil"/>
              <w:right w:val="nil"/>
            </w:tcBorders>
            <w:shd w:val="clear" w:color="auto" w:fill="auto"/>
            <w:noWrap/>
            <w:vAlign w:val="center"/>
            <w:hideMark/>
          </w:tcPr>
          <w:p w14:paraId="59F98714" w14:textId="77777777" w:rsidR="00EE5736" w:rsidRPr="00EE5736" w:rsidRDefault="00EE5736">
            <w:pPr>
              <w:rPr>
                <w:rFonts w:asciiTheme="majorHAnsi" w:hAnsiTheme="majorHAnsi" w:cs="Arial"/>
                <w:sz w:val="16"/>
                <w:szCs w:val="16"/>
              </w:rPr>
            </w:pPr>
          </w:p>
        </w:tc>
      </w:tr>
      <w:tr w:rsidR="00EE5736" w:rsidRPr="00EE5736" w14:paraId="27B7A444" w14:textId="77777777" w:rsidTr="00EE5736">
        <w:trPr>
          <w:trHeight w:val="227"/>
        </w:trPr>
        <w:tc>
          <w:tcPr>
            <w:tcW w:w="2528" w:type="pct"/>
            <w:tcBorders>
              <w:top w:val="nil"/>
              <w:left w:val="nil"/>
              <w:bottom w:val="nil"/>
              <w:right w:val="nil"/>
            </w:tcBorders>
            <w:shd w:val="clear" w:color="auto" w:fill="auto"/>
            <w:noWrap/>
            <w:vAlign w:val="bottom"/>
            <w:hideMark/>
          </w:tcPr>
          <w:p w14:paraId="05F8BA0B" w14:textId="77777777" w:rsidR="00EE5736" w:rsidRPr="00EE5736" w:rsidRDefault="00EE5736">
            <w:pPr>
              <w:rPr>
                <w:rFonts w:asciiTheme="majorHAnsi" w:hAnsiTheme="majorHAnsi" w:cs="Arial"/>
                <w:b/>
                <w:bCs/>
                <w:sz w:val="16"/>
                <w:szCs w:val="16"/>
              </w:rPr>
            </w:pPr>
            <w:r w:rsidRPr="00EE5736">
              <w:rPr>
                <w:rFonts w:asciiTheme="majorHAnsi" w:hAnsiTheme="majorHAnsi" w:cs="Arial"/>
                <w:b/>
                <w:bCs/>
                <w:sz w:val="16"/>
                <w:szCs w:val="16"/>
              </w:rPr>
              <w:t xml:space="preserve">     Direito de Uso</w:t>
            </w:r>
          </w:p>
        </w:tc>
        <w:tc>
          <w:tcPr>
            <w:tcW w:w="1099" w:type="pct"/>
            <w:tcBorders>
              <w:top w:val="nil"/>
              <w:left w:val="nil"/>
              <w:bottom w:val="nil"/>
              <w:right w:val="nil"/>
            </w:tcBorders>
            <w:shd w:val="clear" w:color="auto" w:fill="auto"/>
            <w:noWrap/>
            <w:vAlign w:val="bottom"/>
            <w:hideMark/>
          </w:tcPr>
          <w:p w14:paraId="3205EE2C" w14:textId="77777777" w:rsidR="00EE5736" w:rsidRPr="00EE5736" w:rsidRDefault="00EE5736" w:rsidP="00EE5736">
            <w:pPr>
              <w:jc w:val="right"/>
              <w:rPr>
                <w:rFonts w:asciiTheme="majorHAnsi" w:hAnsiTheme="majorHAnsi" w:cs="Arial"/>
                <w:b/>
                <w:bCs/>
                <w:sz w:val="16"/>
                <w:szCs w:val="16"/>
              </w:rPr>
            </w:pPr>
            <w:r w:rsidRPr="00EE5736">
              <w:rPr>
                <w:rFonts w:asciiTheme="majorHAnsi" w:hAnsiTheme="majorHAnsi" w:cs="Arial"/>
                <w:b/>
                <w:bCs/>
                <w:sz w:val="16"/>
                <w:szCs w:val="16"/>
              </w:rPr>
              <w:t xml:space="preserve">                        22.851.651 </w:t>
            </w:r>
          </w:p>
        </w:tc>
        <w:tc>
          <w:tcPr>
            <w:tcW w:w="1026" w:type="pct"/>
            <w:tcBorders>
              <w:top w:val="nil"/>
              <w:left w:val="nil"/>
              <w:bottom w:val="nil"/>
              <w:right w:val="nil"/>
            </w:tcBorders>
            <w:shd w:val="clear" w:color="auto" w:fill="auto"/>
            <w:noWrap/>
            <w:vAlign w:val="bottom"/>
            <w:hideMark/>
          </w:tcPr>
          <w:p w14:paraId="288ECDFA" w14:textId="77777777" w:rsidR="00EE5736" w:rsidRPr="00EE5736" w:rsidRDefault="00EE5736" w:rsidP="00EE5736">
            <w:pPr>
              <w:jc w:val="right"/>
              <w:rPr>
                <w:rFonts w:asciiTheme="majorHAnsi" w:hAnsiTheme="majorHAnsi" w:cs="Arial"/>
                <w:b/>
                <w:bCs/>
                <w:sz w:val="16"/>
                <w:szCs w:val="16"/>
              </w:rPr>
            </w:pPr>
            <w:r w:rsidRPr="00EE5736">
              <w:rPr>
                <w:rFonts w:asciiTheme="majorHAnsi" w:hAnsiTheme="majorHAnsi" w:cs="Arial"/>
                <w:b/>
                <w:bCs/>
                <w:sz w:val="16"/>
                <w:szCs w:val="16"/>
              </w:rPr>
              <w:t xml:space="preserve">                       6.044.654 </w:t>
            </w:r>
          </w:p>
        </w:tc>
        <w:tc>
          <w:tcPr>
            <w:tcW w:w="347" w:type="pct"/>
            <w:tcBorders>
              <w:top w:val="nil"/>
              <w:left w:val="nil"/>
              <w:bottom w:val="nil"/>
              <w:right w:val="nil"/>
            </w:tcBorders>
            <w:shd w:val="clear" w:color="auto" w:fill="auto"/>
            <w:noWrap/>
            <w:vAlign w:val="bottom"/>
            <w:hideMark/>
          </w:tcPr>
          <w:p w14:paraId="0980A7F2"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(13)</w:t>
            </w:r>
          </w:p>
        </w:tc>
      </w:tr>
      <w:tr w:rsidR="00EE5736" w:rsidRPr="00EE5736" w14:paraId="53962430" w14:textId="77777777" w:rsidTr="00EE5736">
        <w:trPr>
          <w:trHeight w:val="227"/>
        </w:trPr>
        <w:tc>
          <w:tcPr>
            <w:tcW w:w="2528" w:type="pct"/>
            <w:tcBorders>
              <w:top w:val="nil"/>
              <w:left w:val="nil"/>
              <w:bottom w:val="nil"/>
              <w:right w:val="nil"/>
            </w:tcBorders>
            <w:shd w:val="clear" w:color="auto" w:fill="auto"/>
            <w:noWrap/>
            <w:vAlign w:val="bottom"/>
            <w:hideMark/>
          </w:tcPr>
          <w:p w14:paraId="4B2584C4"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Direito de Uso de Veículos e Imóveis</w:t>
            </w:r>
          </w:p>
        </w:tc>
        <w:tc>
          <w:tcPr>
            <w:tcW w:w="1099" w:type="pct"/>
            <w:tcBorders>
              <w:top w:val="nil"/>
              <w:left w:val="nil"/>
              <w:bottom w:val="nil"/>
              <w:right w:val="nil"/>
            </w:tcBorders>
            <w:shd w:val="clear" w:color="auto" w:fill="auto"/>
            <w:noWrap/>
            <w:vAlign w:val="bottom"/>
            <w:hideMark/>
          </w:tcPr>
          <w:p w14:paraId="796338A7"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57.207.327 </w:t>
            </w:r>
          </w:p>
        </w:tc>
        <w:tc>
          <w:tcPr>
            <w:tcW w:w="1026" w:type="pct"/>
            <w:tcBorders>
              <w:top w:val="nil"/>
              <w:left w:val="nil"/>
              <w:bottom w:val="nil"/>
              <w:right w:val="nil"/>
            </w:tcBorders>
            <w:shd w:val="clear" w:color="auto" w:fill="auto"/>
            <w:noWrap/>
            <w:vAlign w:val="bottom"/>
            <w:hideMark/>
          </w:tcPr>
          <w:p w14:paraId="6E815C9F"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36.138.032 </w:t>
            </w:r>
          </w:p>
        </w:tc>
        <w:tc>
          <w:tcPr>
            <w:tcW w:w="347" w:type="pct"/>
            <w:tcBorders>
              <w:top w:val="nil"/>
              <w:left w:val="nil"/>
              <w:bottom w:val="nil"/>
              <w:right w:val="nil"/>
            </w:tcBorders>
            <w:shd w:val="clear" w:color="auto" w:fill="auto"/>
            <w:noWrap/>
            <w:vAlign w:val="center"/>
            <w:hideMark/>
          </w:tcPr>
          <w:p w14:paraId="73CB26A3" w14:textId="77777777" w:rsidR="00EE5736" w:rsidRPr="00EE5736" w:rsidRDefault="00EE5736">
            <w:pPr>
              <w:rPr>
                <w:rFonts w:asciiTheme="majorHAnsi" w:hAnsiTheme="majorHAnsi" w:cs="Arial"/>
                <w:sz w:val="16"/>
                <w:szCs w:val="16"/>
              </w:rPr>
            </w:pPr>
          </w:p>
        </w:tc>
      </w:tr>
      <w:tr w:rsidR="00EE5736" w:rsidRPr="00EE5736" w14:paraId="7B995D6F" w14:textId="77777777" w:rsidTr="00EE5736">
        <w:trPr>
          <w:trHeight w:val="227"/>
        </w:trPr>
        <w:tc>
          <w:tcPr>
            <w:tcW w:w="2528" w:type="pct"/>
            <w:tcBorders>
              <w:top w:val="nil"/>
              <w:left w:val="nil"/>
              <w:bottom w:val="nil"/>
              <w:right w:val="nil"/>
            </w:tcBorders>
            <w:shd w:val="clear" w:color="auto" w:fill="auto"/>
            <w:noWrap/>
            <w:vAlign w:val="bottom"/>
            <w:hideMark/>
          </w:tcPr>
          <w:p w14:paraId="41F731B6" w14:textId="39424FCF"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(Depreciação Acumulada - Direito de Uso)</w:t>
            </w:r>
          </w:p>
        </w:tc>
        <w:tc>
          <w:tcPr>
            <w:tcW w:w="1099" w:type="pct"/>
            <w:tcBorders>
              <w:top w:val="nil"/>
              <w:left w:val="nil"/>
              <w:bottom w:val="nil"/>
              <w:right w:val="nil"/>
            </w:tcBorders>
            <w:shd w:val="clear" w:color="auto" w:fill="auto"/>
            <w:noWrap/>
            <w:vAlign w:val="bottom"/>
            <w:hideMark/>
          </w:tcPr>
          <w:p w14:paraId="433AD8A7"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(34.355.676)</w:t>
            </w:r>
          </w:p>
        </w:tc>
        <w:tc>
          <w:tcPr>
            <w:tcW w:w="1026" w:type="pct"/>
            <w:tcBorders>
              <w:top w:val="nil"/>
              <w:left w:val="nil"/>
              <w:bottom w:val="nil"/>
              <w:right w:val="nil"/>
            </w:tcBorders>
            <w:shd w:val="clear" w:color="auto" w:fill="auto"/>
            <w:noWrap/>
            <w:vAlign w:val="bottom"/>
            <w:hideMark/>
          </w:tcPr>
          <w:p w14:paraId="439647B9"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(30.093.378)</w:t>
            </w:r>
          </w:p>
        </w:tc>
        <w:tc>
          <w:tcPr>
            <w:tcW w:w="347" w:type="pct"/>
            <w:tcBorders>
              <w:top w:val="nil"/>
              <w:left w:val="nil"/>
              <w:bottom w:val="nil"/>
              <w:right w:val="nil"/>
            </w:tcBorders>
            <w:shd w:val="clear" w:color="auto" w:fill="auto"/>
            <w:noWrap/>
            <w:vAlign w:val="center"/>
            <w:hideMark/>
          </w:tcPr>
          <w:p w14:paraId="774A61DD" w14:textId="77777777" w:rsidR="00EE5736" w:rsidRPr="00EE5736" w:rsidRDefault="00EE5736">
            <w:pPr>
              <w:rPr>
                <w:rFonts w:asciiTheme="majorHAnsi" w:hAnsiTheme="majorHAnsi" w:cs="Arial"/>
                <w:sz w:val="16"/>
                <w:szCs w:val="16"/>
              </w:rPr>
            </w:pPr>
          </w:p>
        </w:tc>
      </w:tr>
      <w:tr w:rsidR="00EE5736" w:rsidRPr="00EE5736" w14:paraId="414A07B1" w14:textId="77777777" w:rsidTr="00EE5736">
        <w:trPr>
          <w:trHeight w:val="227"/>
        </w:trPr>
        <w:tc>
          <w:tcPr>
            <w:tcW w:w="2528" w:type="pct"/>
            <w:tcBorders>
              <w:top w:val="nil"/>
              <w:left w:val="nil"/>
              <w:bottom w:val="nil"/>
              <w:right w:val="nil"/>
            </w:tcBorders>
            <w:shd w:val="clear" w:color="auto" w:fill="auto"/>
            <w:noWrap/>
            <w:vAlign w:val="bottom"/>
            <w:hideMark/>
          </w:tcPr>
          <w:p w14:paraId="4D5D54F7" w14:textId="77777777" w:rsidR="00EE5736" w:rsidRPr="00EE5736" w:rsidRDefault="00EE5736">
            <w:pPr>
              <w:rPr>
                <w:rFonts w:asciiTheme="majorHAnsi" w:hAnsiTheme="majorHAnsi" w:cs="Arial"/>
                <w:b/>
                <w:bCs/>
                <w:sz w:val="16"/>
                <w:szCs w:val="16"/>
              </w:rPr>
            </w:pPr>
            <w:r w:rsidRPr="00EE5736">
              <w:rPr>
                <w:rFonts w:asciiTheme="majorHAnsi" w:hAnsiTheme="majorHAnsi" w:cs="Arial"/>
                <w:b/>
                <w:bCs/>
                <w:sz w:val="16"/>
                <w:szCs w:val="16"/>
              </w:rPr>
              <w:t xml:space="preserve">      Intangível</w:t>
            </w:r>
          </w:p>
        </w:tc>
        <w:tc>
          <w:tcPr>
            <w:tcW w:w="1099" w:type="pct"/>
            <w:tcBorders>
              <w:top w:val="nil"/>
              <w:left w:val="nil"/>
              <w:bottom w:val="nil"/>
              <w:right w:val="nil"/>
            </w:tcBorders>
            <w:shd w:val="clear" w:color="auto" w:fill="auto"/>
            <w:noWrap/>
            <w:vAlign w:val="bottom"/>
            <w:hideMark/>
          </w:tcPr>
          <w:p w14:paraId="10915D3A" w14:textId="77777777" w:rsidR="00EE5736" w:rsidRPr="00EE5736" w:rsidRDefault="00EE5736" w:rsidP="00EE5736">
            <w:pPr>
              <w:jc w:val="right"/>
              <w:rPr>
                <w:rFonts w:asciiTheme="majorHAnsi" w:hAnsiTheme="majorHAnsi" w:cs="Arial"/>
                <w:b/>
                <w:bCs/>
                <w:sz w:val="16"/>
                <w:szCs w:val="16"/>
              </w:rPr>
            </w:pPr>
            <w:r w:rsidRPr="00EE5736">
              <w:rPr>
                <w:rFonts w:asciiTheme="majorHAnsi" w:hAnsiTheme="majorHAnsi" w:cs="Arial"/>
                <w:b/>
                <w:bCs/>
                <w:sz w:val="16"/>
                <w:szCs w:val="16"/>
              </w:rPr>
              <w:t xml:space="preserve">                          3.404.084 </w:t>
            </w:r>
          </w:p>
        </w:tc>
        <w:tc>
          <w:tcPr>
            <w:tcW w:w="1026" w:type="pct"/>
            <w:tcBorders>
              <w:top w:val="nil"/>
              <w:left w:val="nil"/>
              <w:bottom w:val="nil"/>
              <w:right w:val="nil"/>
            </w:tcBorders>
            <w:shd w:val="clear" w:color="auto" w:fill="auto"/>
            <w:noWrap/>
            <w:vAlign w:val="bottom"/>
            <w:hideMark/>
          </w:tcPr>
          <w:p w14:paraId="33B23736" w14:textId="77777777" w:rsidR="00EE5736" w:rsidRPr="00EE5736" w:rsidRDefault="00EE5736" w:rsidP="00EE5736">
            <w:pPr>
              <w:jc w:val="right"/>
              <w:rPr>
                <w:rFonts w:asciiTheme="majorHAnsi" w:hAnsiTheme="majorHAnsi" w:cs="Arial"/>
                <w:b/>
                <w:bCs/>
                <w:sz w:val="16"/>
                <w:szCs w:val="16"/>
              </w:rPr>
            </w:pPr>
            <w:r w:rsidRPr="00EE5736">
              <w:rPr>
                <w:rFonts w:asciiTheme="majorHAnsi" w:hAnsiTheme="majorHAnsi" w:cs="Arial"/>
                <w:b/>
                <w:bCs/>
                <w:sz w:val="16"/>
                <w:szCs w:val="16"/>
              </w:rPr>
              <w:t xml:space="preserve">                       4.692.429 </w:t>
            </w:r>
          </w:p>
        </w:tc>
        <w:tc>
          <w:tcPr>
            <w:tcW w:w="347" w:type="pct"/>
            <w:tcBorders>
              <w:top w:val="nil"/>
              <w:left w:val="nil"/>
              <w:bottom w:val="nil"/>
              <w:right w:val="nil"/>
            </w:tcBorders>
            <w:shd w:val="clear" w:color="auto" w:fill="auto"/>
            <w:noWrap/>
            <w:vAlign w:val="bottom"/>
            <w:hideMark/>
          </w:tcPr>
          <w:p w14:paraId="56FCF4D9"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(9)</w:t>
            </w:r>
          </w:p>
        </w:tc>
      </w:tr>
      <w:tr w:rsidR="00EE5736" w:rsidRPr="00EE5736" w14:paraId="188520D8" w14:textId="77777777" w:rsidTr="00EE5736">
        <w:trPr>
          <w:trHeight w:val="227"/>
        </w:trPr>
        <w:tc>
          <w:tcPr>
            <w:tcW w:w="2528" w:type="pct"/>
            <w:tcBorders>
              <w:top w:val="nil"/>
              <w:left w:val="nil"/>
              <w:bottom w:val="nil"/>
              <w:right w:val="nil"/>
            </w:tcBorders>
            <w:shd w:val="clear" w:color="auto" w:fill="auto"/>
            <w:noWrap/>
            <w:vAlign w:val="bottom"/>
            <w:hideMark/>
          </w:tcPr>
          <w:p w14:paraId="5015E97E"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Direito de uso de Comunicação</w:t>
            </w:r>
          </w:p>
        </w:tc>
        <w:tc>
          <w:tcPr>
            <w:tcW w:w="1099" w:type="pct"/>
            <w:tcBorders>
              <w:top w:val="nil"/>
              <w:left w:val="nil"/>
              <w:bottom w:val="nil"/>
              <w:right w:val="nil"/>
            </w:tcBorders>
            <w:shd w:val="clear" w:color="auto" w:fill="auto"/>
            <w:noWrap/>
            <w:vAlign w:val="bottom"/>
            <w:hideMark/>
          </w:tcPr>
          <w:p w14:paraId="73AB5898"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139.790 </w:t>
            </w:r>
          </w:p>
        </w:tc>
        <w:tc>
          <w:tcPr>
            <w:tcW w:w="1026" w:type="pct"/>
            <w:tcBorders>
              <w:top w:val="nil"/>
              <w:left w:val="nil"/>
              <w:bottom w:val="nil"/>
              <w:right w:val="nil"/>
            </w:tcBorders>
            <w:shd w:val="clear" w:color="auto" w:fill="auto"/>
            <w:noWrap/>
            <w:vAlign w:val="bottom"/>
            <w:hideMark/>
          </w:tcPr>
          <w:p w14:paraId="0F72A68C"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139.790 </w:t>
            </w:r>
          </w:p>
        </w:tc>
        <w:tc>
          <w:tcPr>
            <w:tcW w:w="347" w:type="pct"/>
            <w:tcBorders>
              <w:top w:val="nil"/>
              <w:left w:val="nil"/>
              <w:bottom w:val="nil"/>
              <w:right w:val="nil"/>
            </w:tcBorders>
            <w:shd w:val="clear" w:color="auto" w:fill="auto"/>
            <w:noWrap/>
            <w:vAlign w:val="center"/>
            <w:hideMark/>
          </w:tcPr>
          <w:p w14:paraId="3C6C0EEB" w14:textId="77777777" w:rsidR="00EE5736" w:rsidRPr="00EE5736" w:rsidRDefault="00EE5736">
            <w:pPr>
              <w:rPr>
                <w:rFonts w:asciiTheme="majorHAnsi" w:hAnsiTheme="majorHAnsi" w:cs="Arial"/>
                <w:sz w:val="16"/>
                <w:szCs w:val="16"/>
              </w:rPr>
            </w:pPr>
          </w:p>
        </w:tc>
      </w:tr>
      <w:tr w:rsidR="00EE5736" w:rsidRPr="00EE5736" w14:paraId="2C2CB2F3" w14:textId="77777777" w:rsidTr="00EE5736">
        <w:trPr>
          <w:trHeight w:val="227"/>
        </w:trPr>
        <w:tc>
          <w:tcPr>
            <w:tcW w:w="2528" w:type="pct"/>
            <w:tcBorders>
              <w:top w:val="nil"/>
              <w:left w:val="nil"/>
              <w:bottom w:val="nil"/>
              <w:right w:val="nil"/>
            </w:tcBorders>
            <w:shd w:val="clear" w:color="auto" w:fill="auto"/>
            <w:noWrap/>
            <w:vAlign w:val="bottom"/>
            <w:hideMark/>
          </w:tcPr>
          <w:p w14:paraId="4649BF48"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Software</w:t>
            </w:r>
          </w:p>
        </w:tc>
        <w:tc>
          <w:tcPr>
            <w:tcW w:w="1099" w:type="pct"/>
            <w:tcBorders>
              <w:top w:val="nil"/>
              <w:left w:val="nil"/>
              <w:bottom w:val="nil"/>
              <w:right w:val="nil"/>
            </w:tcBorders>
            <w:shd w:val="clear" w:color="auto" w:fill="auto"/>
            <w:noWrap/>
            <w:vAlign w:val="bottom"/>
            <w:hideMark/>
          </w:tcPr>
          <w:p w14:paraId="163C0B92"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11.731.207 </w:t>
            </w:r>
          </w:p>
        </w:tc>
        <w:tc>
          <w:tcPr>
            <w:tcW w:w="1026" w:type="pct"/>
            <w:tcBorders>
              <w:top w:val="nil"/>
              <w:left w:val="nil"/>
              <w:bottom w:val="nil"/>
              <w:right w:val="nil"/>
            </w:tcBorders>
            <w:shd w:val="clear" w:color="auto" w:fill="auto"/>
            <w:noWrap/>
            <w:vAlign w:val="bottom"/>
            <w:hideMark/>
          </w:tcPr>
          <w:p w14:paraId="18948E6C"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11.428.470 </w:t>
            </w:r>
          </w:p>
        </w:tc>
        <w:tc>
          <w:tcPr>
            <w:tcW w:w="347" w:type="pct"/>
            <w:tcBorders>
              <w:top w:val="nil"/>
              <w:left w:val="nil"/>
              <w:bottom w:val="nil"/>
              <w:right w:val="nil"/>
            </w:tcBorders>
            <w:shd w:val="clear" w:color="auto" w:fill="auto"/>
            <w:noWrap/>
            <w:vAlign w:val="center"/>
            <w:hideMark/>
          </w:tcPr>
          <w:p w14:paraId="1628896C" w14:textId="77777777" w:rsidR="00EE5736" w:rsidRPr="00EE5736" w:rsidRDefault="00EE5736">
            <w:pPr>
              <w:rPr>
                <w:rFonts w:asciiTheme="majorHAnsi" w:hAnsiTheme="majorHAnsi" w:cs="Arial"/>
                <w:sz w:val="16"/>
                <w:szCs w:val="16"/>
              </w:rPr>
            </w:pPr>
          </w:p>
        </w:tc>
      </w:tr>
      <w:tr w:rsidR="00EE5736" w:rsidRPr="00EE5736" w14:paraId="2D7C1477" w14:textId="77777777" w:rsidTr="00EE5736">
        <w:trPr>
          <w:trHeight w:val="227"/>
        </w:trPr>
        <w:tc>
          <w:tcPr>
            <w:tcW w:w="2528" w:type="pct"/>
            <w:tcBorders>
              <w:top w:val="nil"/>
              <w:left w:val="nil"/>
              <w:bottom w:val="nil"/>
              <w:right w:val="nil"/>
            </w:tcBorders>
            <w:shd w:val="clear" w:color="auto" w:fill="auto"/>
            <w:noWrap/>
            <w:vAlign w:val="bottom"/>
            <w:hideMark/>
          </w:tcPr>
          <w:p w14:paraId="49D9EF64"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(Amortizações Acumuladas)</w:t>
            </w:r>
          </w:p>
        </w:tc>
        <w:tc>
          <w:tcPr>
            <w:tcW w:w="1099" w:type="pct"/>
            <w:tcBorders>
              <w:top w:val="nil"/>
              <w:left w:val="nil"/>
              <w:bottom w:val="nil"/>
              <w:right w:val="nil"/>
            </w:tcBorders>
            <w:shd w:val="clear" w:color="auto" w:fill="auto"/>
            <w:noWrap/>
            <w:vAlign w:val="bottom"/>
            <w:hideMark/>
          </w:tcPr>
          <w:p w14:paraId="48C1A45F"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(8.466.913)</w:t>
            </w:r>
          </w:p>
        </w:tc>
        <w:tc>
          <w:tcPr>
            <w:tcW w:w="1026" w:type="pct"/>
            <w:tcBorders>
              <w:top w:val="nil"/>
              <w:left w:val="nil"/>
              <w:bottom w:val="nil"/>
              <w:right w:val="nil"/>
            </w:tcBorders>
            <w:shd w:val="clear" w:color="auto" w:fill="auto"/>
            <w:noWrap/>
            <w:vAlign w:val="bottom"/>
            <w:hideMark/>
          </w:tcPr>
          <w:p w14:paraId="47CBB092" w14:textId="77777777" w:rsidR="00EE5736" w:rsidRPr="00EE5736" w:rsidRDefault="00EE5736" w:rsidP="00EE5736">
            <w:pPr>
              <w:jc w:val="right"/>
              <w:rPr>
                <w:rFonts w:asciiTheme="majorHAnsi" w:hAnsiTheme="majorHAnsi" w:cs="Arial"/>
                <w:sz w:val="16"/>
                <w:szCs w:val="16"/>
              </w:rPr>
            </w:pPr>
            <w:r w:rsidRPr="00EE5736">
              <w:rPr>
                <w:rFonts w:asciiTheme="majorHAnsi" w:hAnsiTheme="majorHAnsi" w:cs="Arial"/>
                <w:sz w:val="16"/>
                <w:szCs w:val="16"/>
              </w:rPr>
              <w:t xml:space="preserve">                     (6.875.831)</w:t>
            </w:r>
          </w:p>
        </w:tc>
        <w:tc>
          <w:tcPr>
            <w:tcW w:w="347" w:type="pct"/>
            <w:tcBorders>
              <w:top w:val="nil"/>
              <w:left w:val="nil"/>
              <w:bottom w:val="nil"/>
              <w:right w:val="nil"/>
            </w:tcBorders>
            <w:shd w:val="clear" w:color="auto" w:fill="auto"/>
            <w:noWrap/>
            <w:vAlign w:val="center"/>
            <w:hideMark/>
          </w:tcPr>
          <w:p w14:paraId="6C41A5A1" w14:textId="77777777" w:rsidR="00EE5736" w:rsidRPr="00EE5736" w:rsidRDefault="00EE5736">
            <w:pPr>
              <w:rPr>
                <w:rFonts w:asciiTheme="majorHAnsi" w:hAnsiTheme="majorHAnsi" w:cs="Arial"/>
                <w:sz w:val="16"/>
                <w:szCs w:val="16"/>
              </w:rPr>
            </w:pPr>
          </w:p>
        </w:tc>
      </w:tr>
      <w:tr w:rsidR="00EE5736" w:rsidRPr="00EE5736" w14:paraId="044BFD6A" w14:textId="77777777" w:rsidTr="00EE5736">
        <w:trPr>
          <w:trHeight w:val="227"/>
        </w:trPr>
        <w:tc>
          <w:tcPr>
            <w:tcW w:w="2528" w:type="pct"/>
            <w:tcBorders>
              <w:top w:val="nil"/>
              <w:left w:val="nil"/>
              <w:bottom w:val="nil"/>
              <w:right w:val="nil"/>
            </w:tcBorders>
            <w:shd w:val="clear" w:color="auto" w:fill="auto"/>
            <w:noWrap/>
            <w:vAlign w:val="bottom"/>
            <w:hideMark/>
          </w:tcPr>
          <w:p w14:paraId="0C29E031" w14:textId="77777777" w:rsidR="00EE5736" w:rsidRPr="00EE5736" w:rsidRDefault="00EE5736">
            <w:pPr>
              <w:jc w:val="right"/>
              <w:rPr>
                <w:rFonts w:asciiTheme="majorHAnsi" w:hAnsiTheme="majorHAnsi"/>
                <w:sz w:val="16"/>
                <w:szCs w:val="16"/>
              </w:rPr>
            </w:pPr>
          </w:p>
        </w:tc>
        <w:tc>
          <w:tcPr>
            <w:tcW w:w="1099" w:type="pct"/>
            <w:tcBorders>
              <w:top w:val="nil"/>
              <w:left w:val="nil"/>
              <w:bottom w:val="nil"/>
              <w:right w:val="nil"/>
            </w:tcBorders>
            <w:shd w:val="clear" w:color="auto" w:fill="auto"/>
            <w:noWrap/>
            <w:vAlign w:val="bottom"/>
            <w:hideMark/>
          </w:tcPr>
          <w:p w14:paraId="3D8A6BCD" w14:textId="77777777" w:rsidR="00EE5736" w:rsidRPr="00EE5736" w:rsidRDefault="00EE5736" w:rsidP="00EE5736">
            <w:pPr>
              <w:jc w:val="right"/>
              <w:rPr>
                <w:rFonts w:asciiTheme="majorHAnsi" w:hAnsiTheme="majorHAnsi"/>
                <w:sz w:val="16"/>
                <w:szCs w:val="16"/>
              </w:rPr>
            </w:pPr>
          </w:p>
        </w:tc>
        <w:tc>
          <w:tcPr>
            <w:tcW w:w="1026" w:type="pct"/>
            <w:tcBorders>
              <w:top w:val="nil"/>
              <w:left w:val="nil"/>
              <w:bottom w:val="nil"/>
              <w:right w:val="nil"/>
            </w:tcBorders>
            <w:shd w:val="clear" w:color="auto" w:fill="auto"/>
            <w:noWrap/>
            <w:vAlign w:val="bottom"/>
            <w:hideMark/>
          </w:tcPr>
          <w:p w14:paraId="02567390" w14:textId="77777777" w:rsidR="00EE5736" w:rsidRPr="00EE5736" w:rsidRDefault="00EE5736" w:rsidP="00EE5736">
            <w:pPr>
              <w:jc w:val="right"/>
              <w:rPr>
                <w:rFonts w:asciiTheme="majorHAnsi" w:hAnsiTheme="majorHAnsi"/>
                <w:sz w:val="16"/>
                <w:szCs w:val="16"/>
              </w:rPr>
            </w:pPr>
          </w:p>
        </w:tc>
        <w:tc>
          <w:tcPr>
            <w:tcW w:w="347" w:type="pct"/>
            <w:tcBorders>
              <w:top w:val="nil"/>
              <w:left w:val="nil"/>
              <w:bottom w:val="nil"/>
              <w:right w:val="nil"/>
            </w:tcBorders>
            <w:shd w:val="clear" w:color="auto" w:fill="auto"/>
            <w:noWrap/>
            <w:vAlign w:val="center"/>
            <w:hideMark/>
          </w:tcPr>
          <w:p w14:paraId="499C17DB" w14:textId="77777777" w:rsidR="00EE5736" w:rsidRPr="00EE5736" w:rsidRDefault="00EE5736">
            <w:pPr>
              <w:rPr>
                <w:rFonts w:asciiTheme="majorHAnsi" w:hAnsiTheme="majorHAnsi"/>
                <w:sz w:val="16"/>
                <w:szCs w:val="16"/>
              </w:rPr>
            </w:pPr>
          </w:p>
        </w:tc>
      </w:tr>
      <w:tr w:rsidR="00EE5736" w:rsidRPr="00EE5736" w14:paraId="1F5A4A52" w14:textId="77777777" w:rsidTr="00EE5736">
        <w:trPr>
          <w:trHeight w:val="227"/>
        </w:trPr>
        <w:tc>
          <w:tcPr>
            <w:tcW w:w="2528" w:type="pct"/>
            <w:tcBorders>
              <w:top w:val="nil"/>
              <w:left w:val="nil"/>
              <w:bottom w:val="nil"/>
              <w:right w:val="nil"/>
            </w:tcBorders>
            <w:shd w:val="clear" w:color="auto" w:fill="auto"/>
            <w:noWrap/>
            <w:vAlign w:val="bottom"/>
            <w:hideMark/>
          </w:tcPr>
          <w:p w14:paraId="069F1BD8" w14:textId="77777777" w:rsidR="00EE5736" w:rsidRPr="00EE5736" w:rsidRDefault="00EE5736">
            <w:pPr>
              <w:rPr>
                <w:rFonts w:asciiTheme="majorHAnsi" w:hAnsiTheme="majorHAnsi" w:cs="Arial"/>
                <w:b/>
                <w:bCs/>
                <w:sz w:val="16"/>
                <w:szCs w:val="16"/>
              </w:rPr>
            </w:pPr>
            <w:r w:rsidRPr="00EE5736">
              <w:rPr>
                <w:rFonts w:asciiTheme="majorHAnsi" w:hAnsiTheme="majorHAnsi" w:cs="Arial"/>
                <w:b/>
                <w:bCs/>
                <w:sz w:val="16"/>
                <w:szCs w:val="16"/>
              </w:rPr>
              <w:t>TOTAL DO ATIVO</w:t>
            </w:r>
          </w:p>
        </w:tc>
        <w:tc>
          <w:tcPr>
            <w:tcW w:w="1099" w:type="pct"/>
            <w:tcBorders>
              <w:top w:val="nil"/>
              <w:left w:val="nil"/>
              <w:bottom w:val="nil"/>
              <w:right w:val="nil"/>
            </w:tcBorders>
            <w:shd w:val="clear" w:color="auto" w:fill="auto"/>
            <w:noWrap/>
            <w:vAlign w:val="bottom"/>
            <w:hideMark/>
          </w:tcPr>
          <w:p w14:paraId="20FBDEB3" w14:textId="77777777" w:rsidR="00EE5736" w:rsidRPr="00EE5736" w:rsidRDefault="00EE5736" w:rsidP="00EE5736">
            <w:pPr>
              <w:jc w:val="right"/>
              <w:rPr>
                <w:rFonts w:asciiTheme="majorHAnsi" w:hAnsiTheme="majorHAnsi" w:cs="Arial"/>
                <w:b/>
                <w:bCs/>
                <w:sz w:val="16"/>
                <w:szCs w:val="16"/>
              </w:rPr>
            </w:pPr>
            <w:r w:rsidRPr="00EE5736">
              <w:rPr>
                <w:rFonts w:asciiTheme="majorHAnsi" w:hAnsiTheme="majorHAnsi" w:cs="Arial"/>
                <w:b/>
                <w:bCs/>
                <w:sz w:val="16"/>
                <w:szCs w:val="16"/>
              </w:rPr>
              <w:t xml:space="preserve">                  4.054.688.191 </w:t>
            </w:r>
          </w:p>
        </w:tc>
        <w:tc>
          <w:tcPr>
            <w:tcW w:w="1026" w:type="pct"/>
            <w:tcBorders>
              <w:top w:val="nil"/>
              <w:left w:val="nil"/>
              <w:bottom w:val="nil"/>
              <w:right w:val="nil"/>
            </w:tcBorders>
            <w:shd w:val="clear" w:color="auto" w:fill="auto"/>
            <w:noWrap/>
            <w:vAlign w:val="bottom"/>
            <w:hideMark/>
          </w:tcPr>
          <w:p w14:paraId="799B3976" w14:textId="77777777" w:rsidR="00EE5736" w:rsidRPr="00EE5736" w:rsidRDefault="00EE5736" w:rsidP="00EE5736">
            <w:pPr>
              <w:jc w:val="right"/>
              <w:rPr>
                <w:rFonts w:asciiTheme="majorHAnsi" w:hAnsiTheme="majorHAnsi" w:cs="Arial"/>
                <w:b/>
                <w:bCs/>
                <w:sz w:val="16"/>
                <w:szCs w:val="16"/>
              </w:rPr>
            </w:pPr>
            <w:r w:rsidRPr="00EE5736">
              <w:rPr>
                <w:rFonts w:asciiTheme="majorHAnsi" w:hAnsiTheme="majorHAnsi" w:cs="Arial"/>
                <w:b/>
                <w:bCs/>
                <w:sz w:val="16"/>
                <w:szCs w:val="16"/>
              </w:rPr>
              <w:t xml:space="preserve">               3.743.688.328 </w:t>
            </w:r>
          </w:p>
        </w:tc>
        <w:tc>
          <w:tcPr>
            <w:tcW w:w="347" w:type="pct"/>
            <w:tcBorders>
              <w:top w:val="nil"/>
              <w:left w:val="nil"/>
              <w:bottom w:val="nil"/>
              <w:right w:val="nil"/>
            </w:tcBorders>
            <w:shd w:val="clear" w:color="auto" w:fill="auto"/>
            <w:noWrap/>
            <w:vAlign w:val="center"/>
            <w:hideMark/>
          </w:tcPr>
          <w:p w14:paraId="52F86C29" w14:textId="77777777" w:rsidR="00EE5736" w:rsidRPr="00EE5736" w:rsidRDefault="00EE5736">
            <w:pPr>
              <w:jc w:val="right"/>
              <w:rPr>
                <w:rFonts w:asciiTheme="majorHAnsi" w:hAnsiTheme="majorHAnsi" w:cs="Arial"/>
                <w:b/>
                <w:bCs/>
                <w:sz w:val="16"/>
                <w:szCs w:val="16"/>
              </w:rPr>
            </w:pPr>
          </w:p>
        </w:tc>
      </w:tr>
      <w:tr w:rsidR="00EE5736" w:rsidRPr="00EE5736" w14:paraId="7BBE2738" w14:textId="77777777" w:rsidTr="00EE5736">
        <w:trPr>
          <w:trHeight w:val="227"/>
        </w:trPr>
        <w:tc>
          <w:tcPr>
            <w:tcW w:w="2528" w:type="pct"/>
            <w:tcBorders>
              <w:top w:val="nil"/>
              <w:left w:val="nil"/>
              <w:bottom w:val="nil"/>
              <w:right w:val="nil"/>
            </w:tcBorders>
            <w:shd w:val="clear" w:color="auto" w:fill="auto"/>
            <w:noWrap/>
            <w:vAlign w:val="bottom"/>
            <w:hideMark/>
          </w:tcPr>
          <w:p w14:paraId="5FE3A4BB" w14:textId="77777777" w:rsidR="00EE5736" w:rsidRPr="00EE5736" w:rsidRDefault="00EE5736">
            <w:pPr>
              <w:jc w:val="right"/>
              <w:rPr>
                <w:rFonts w:asciiTheme="majorHAnsi" w:hAnsiTheme="majorHAnsi"/>
                <w:sz w:val="16"/>
                <w:szCs w:val="16"/>
              </w:rPr>
            </w:pPr>
          </w:p>
        </w:tc>
        <w:tc>
          <w:tcPr>
            <w:tcW w:w="1099" w:type="pct"/>
            <w:tcBorders>
              <w:top w:val="nil"/>
              <w:left w:val="nil"/>
              <w:bottom w:val="nil"/>
              <w:right w:val="nil"/>
            </w:tcBorders>
            <w:shd w:val="clear" w:color="auto" w:fill="auto"/>
            <w:noWrap/>
            <w:vAlign w:val="bottom"/>
            <w:hideMark/>
          </w:tcPr>
          <w:p w14:paraId="3B3382D5" w14:textId="77777777" w:rsidR="00EE5736" w:rsidRPr="00EE5736" w:rsidRDefault="00EE5736">
            <w:pPr>
              <w:rPr>
                <w:rFonts w:asciiTheme="majorHAnsi" w:hAnsiTheme="majorHAnsi"/>
                <w:sz w:val="16"/>
                <w:szCs w:val="16"/>
              </w:rPr>
            </w:pPr>
          </w:p>
        </w:tc>
        <w:tc>
          <w:tcPr>
            <w:tcW w:w="1026" w:type="pct"/>
            <w:tcBorders>
              <w:top w:val="nil"/>
              <w:left w:val="nil"/>
              <w:bottom w:val="nil"/>
              <w:right w:val="nil"/>
            </w:tcBorders>
            <w:shd w:val="clear" w:color="auto" w:fill="auto"/>
            <w:noWrap/>
            <w:vAlign w:val="bottom"/>
            <w:hideMark/>
          </w:tcPr>
          <w:p w14:paraId="422F0A9B" w14:textId="77777777" w:rsidR="00EE5736" w:rsidRPr="00EE5736" w:rsidRDefault="00EE5736">
            <w:pPr>
              <w:rPr>
                <w:rFonts w:asciiTheme="majorHAnsi" w:hAnsiTheme="majorHAnsi"/>
                <w:sz w:val="16"/>
                <w:szCs w:val="16"/>
              </w:rPr>
            </w:pPr>
          </w:p>
        </w:tc>
        <w:tc>
          <w:tcPr>
            <w:tcW w:w="347" w:type="pct"/>
            <w:tcBorders>
              <w:top w:val="nil"/>
              <w:left w:val="nil"/>
              <w:bottom w:val="nil"/>
              <w:right w:val="nil"/>
            </w:tcBorders>
            <w:shd w:val="clear" w:color="auto" w:fill="auto"/>
            <w:noWrap/>
            <w:vAlign w:val="center"/>
            <w:hideMark/>
          </w:tcPr>
          <w:p w14:paraId="21B6C55C" w14:textId="77777777" w:rsidR="00EE5736" w:rsidRPr="00EE5736" w:rsidRDefault="00EE5736">
            <w:pPr>
              <w:rPr>
                <w:rFonts w:asciiTheme="majorHAnsi" w:hAnsiTheme="majorHAnsi"/>
                <w:sz w:val="16"/>
                <w:szCs w:val="16"/>
              </w:rPr>
            </w:pPr>
          </w:p>
        </w:tc>
      </w:tr>
      <w:tr w:rsidR="00EE5736" w:rsidRPr="00EE5736" w14:paraId="43E21381" w14:textId="77777777" w:rsidTr="00EE5736">
        <w:trPr>
          <w:trHeight w:val="227"/>
        </w:trPr>
        <w:tc>
          <w:tcPr>
            <w:tcW w:w="5000" w:type="pct"/>
            <w:gridSpan w:val="4"/>
            <w:tcBorders>
              <w:top w:val="nil"/>
              <w:left w:val="nil"/>
              <w:bottom w:val="nil"/>
              <w:right w:val="nil"/>
            </w:tcBorders>
            <w:shd w:val="clear" w:color="auto" w:fill="auto"/>
            <w:noWrap/>
            <w:vAlign w:val="bottom"/>
            <w:hideMark/>
          </w:tcPr>
          <w:p w14:paraId="48F39684" w14:textId="77777777" w:rsidR="00EE5736" w:rsidRPr="00EE5736" w:rsidRDefault="00EE5736">
            <w:pPr>
              <w:jc w:val="center"/>
              <w:rPr>
                <w:rFonts w:asciiTheme="majorHAnsi" w:hAnsiTheme="majorHAnsi" w:cs="Arial"/>
                <w:sz w:val="16"/>
                <w:szCs w:val="16"/>
              </w:rPr>
            </w:pPr>
            <w:r w:rsidRPr="00EE5736">
              <w:rPr>
                <w:rFonts w:asciiTheme="majorHAnsi" w:hAnsiTheme="majorHAnsi" w:cs="Arial"/>
                <w:sz w:val="16"/>
                <w:szCs w:val="16"/>
              </w:rPr>
              <w:t>(As Notas Explicativas são parte integrante das demonstrações contábeis intermediárias)</w:t>
            </w:r>
          </w:p>
        </w:tc>
      </w:tr>
    </w:tbl>
    <w:p w14:paraId="2E0B7413" w14:textId="77777777" w:rsidR="00EE5736" w:rsidRDefault="00EE5736" w:rsidP="002E2B5B">
      <w:pPr>
        <w:pStyle w:val="Ttulo1"/>
        <w:tabs>
          <w:tab w:val="left" w:pos="1701"/>
        </w:tabs>
        <w:ind w:right="-142"/>
        <w:rPr>
          <w:rFonts w:ascii="Calibri" w:hAnsi="Calibri" w:cs="Calibri"/>
          <w:szCs w:val="22"/>
        </w:rPr>
      </w:pPr>
    </w:p>
    <w:tbl>
      <w:tblPr>
        <w:tblW w:w="5000" w:type="pct"/>
        <w:tblCellMar>
          <w:left w:w="70" w:type="dxa"/>
          <w:right w:w="70" w:type="dxa"/>
        </w:tblCellMar>
        <w:tblLook w:val="04A0" w:firstRow="1" w:lastRow="0" w:firstColumn="1" w:lastColumn="0" w:noHBand="0" w:noVBand="1"/>
      </w:tblPr>
      <w:tblGrid>
        <w:gridCol w:w="5587"/>
        <w:gridCol w:w="2278"/>
        <w:gridCol w:w="1972"/>
        <w:gridCol w:w="630"/>
      </w:tblGrid>
      <w:tr w:rsidR="00EE5736" w:rsidRPr="00EE5736" w14:paraId="6A03F56D" w14:textId="77777777" w:rsidTr="00EE5736">
        <w:trPr>
          <w:trHeight w:hRule="exact" w:val="227"/>
        </w:trPr>
        <w:tc>
          <w:tcPr>
            <w:tcW w:w="5000" w:type="pct"/>
            <w:gridSpan w:val="4"/>
            <w:tcBorders>
              <w:top w:val="nil"/>
              <w:left w:val="nil"/>
              <w:bottom w:val="nil"/>
              <w:right w:val="nil"/>
            </w:tcBorders>
            <w:shd w:val="clear" w:color="auto" w:fill="auto"/>
            <w:noWrap/>
            <w:vAlign w:val="bottom"/>
            <w:hideMark/>
          </w:tcPr>
          <w:p w14:paraId="59AA0162" w14:textId="77777777" w:rsidR="00EE5736" w:rsidRPr="00EE5736" w:rsidRDefault="00EE5736">
            <w:pPr>
              <w:jc w:val="center"/>
              <w:rPr>
                <w:rFonts w:asciiTheme="majorHAnsi" w:hAnsiTheme="majorHAnsi" w:cs="Arial"/>
                <w:b/>
                <w:bCs/>
                <w:sz w:val="16"/>
                <w:szCs w:val="16"/>
              </w:rPr>
            </w:pPr>
            <w:r w:rsidRPr="00EE5736">
              <w:rPr>
                <w:rFonts w:asciiTheme="majorHAnsi" w:hAnsiTheme="majorHAnsi" w:cs="Arial"/>
                <w:b/>
                <w:bCs/>
                <w:sz w:val="16"/>
                <w:szCs w:val="16"/>
              </w:rPr>
              <w:t>VALEC ENGENHARIA, CONSTRUÇÕES E FERROVIAS S/A</w:t>
            </w:r>
          </w:p>
        </w:tc>
      </w:tr>
      <w:tr w:rsidR="00EE5736" w:rsidRPr="00EE5736" w14:paraId="3E57A2BB" w14:textId="77777777" w:rsidTr="00EE5736">
        <w:trPr>
          <w:trHeight w:hRule="exact" w:val="227"/>
        </w:trPr>
        <w:tc>
          <w:tcPr>
            <w:tcW w:w="5000" w:type="pct"/>
            <w:gridSpan w:val="4"/>
            <w:tcBorders>
              <w:top w:val="nil"/>
              <w:left w:val="nil"/>
              <w:bottom w:val="nil"/>
              <w:right w:val="nil"/>
            </w:tcBorders>
            <w:shd w:val="clear" w:color="auto" w:fill="auto"/>
            <w:noWrap/>
            <w:vAlign w:val="bottom"/>
            <w:hideMark/>
          </w:tcPr>
          <w:p w14:paraId="34EB34DC" w14:textId="77777777" w:rsidR="00EE5736" w:rsidRPr="00EE5736" w:rsidRDefault="00EE5736">
            <w:pPr>
              <w:jc w:val="center"/>
              <w:rPr>
                <w:rFonts w:asciiTheme="majorHAnsi" w:hAnsiTheme="majorHAnsi" w:cs="Arial"/>
                <w:b/>
                <w:bCs/>
                <w:sz w:val="16"/>
                <w:szCs w:val="16"/>
              </w:rPr>
            </w:pPr>
            <w:r w:rsidRPr="00EE5736">
              <w:rPr>
                <w:rFonts w:asciiTheme="majorHAnsi" w:hAnsiTheme="majorHAnsi" w:cs="Arial"/>
                <w:b/>
                <w:bCs/>
                <w:sz w:val="16"/>
                <w:szCs w:val="16"/>
              </w:rPr>
              <w:t>BALANÇO PATRIMONIAL</w:t>
            </w:r>
          </w:p>
        </w:tc>
      </w:tr>
      <w:tr w:rsidR="00EE5736" w:rsidRPr="00EE5736" w14:paraId="0B8329C1" w14:textId="77777777" w:rsidTr="00EE5736">
        <w:trPr>
          <w:trHeight w:hRule="exact" w:val="227"/>
        </w:trPr>
        <w:tc>
          <w:tcPr>
            <w:tcW w:w="5000" w:type="pct"/>
            <w:gridSpan w:val="4"/>
            <w:tcBorders>
              <w:top w:val="nil"/>
              <w:left w:val="nil"/>
              <w:bottom w:val="nil"/>
              <w:right w:val="nil"/>
            </w:tcBorders>
            <w:shd w:val="clear" w:color="auto" w:fill="auto"/>
            <w:noWrap/>
            <w:vAlign w:val="bottom"/>
            <w:hideMark/>
          </w:tcPr>
          <w:p w14:paraId="430AAC5C" w14:textId="77777777" w:rsidR="00EE5736" w:rsidRPr="00EE5736" w:rsidRDefault="00EE5736">
            <w:pPr>
              <w:jc w:val="center"/>
              <w:rPr>
                <w:rFonts w:asciiTheme="majorHAnsi" w:hAnsiTheme="majorHAnsi" w:cs="Arial"/>
                <w:b/>
                <w:bCs/>
                <w:sz w:val="16"/>
                <w:szCs w:val="16"/>
              </w:rPr>
            </w:pPr>
            <w:r w:rsidRPr="00EE5736">
              <w:rPr>
                <w:rFonts w:asciiTheme="majorHAnsi" w:hAnsiTheme="majorHAnsi" w:cs="Arial"/>
                <w:b/>
                <w:bCs/>
                <w:sz w:val="16"/>
                <w:szCs w:val="16"/>
              </w:rPr>
              <w:t>3º TRIMESTRE 2021</w:t>
            </w:r>
          </w:p>
        </w:tc>
      </w:tr>
      <w:tr w:rsidR="00EE5736" w:rsidRPr="00EE5736" w14:paraId="2B69FC23" w14:textId="77777777" w:rsidTr="00EE5736">
        <w:trPr>
          <w:trHeight w:hRule="exact" w:val="227"/>
        </w:trPr>
        <w:tc>
          <w:tcPr>
            <w:tcW w:w="5000" w:type="pct"/>
            <w:gridSpan w:val="4"/>
            <w:tcBorders>
              <w:top w:val="nil"/>
              <w:left w:val="nil"/>
              <w:bottom w:val="nil"/>
              <w:right w:val="nil"/>
            </w:tcBorders>
            <w:shd w:val="clear" w:color="auto" w:fill="auto"/>
            <w:noWrap/>
            <w:vAlign w:val="bottom"/>
            <w:hideMark/>
          </w:tcPr>
          <w:p w14:paraId="462F9B6A" w14:textId="7004C684" w:rsidR="00EE5736" w:rsidRPr="00EE5736" w:rsidRDefault="00EE5736">
            <w:pPr>
              <w:jc w:val="center"/>
              <w:rPr>
                <w:rFonts w:asciiTheme="majorHAnsi" w:hAnsiTheme="majorHAnsi" w:cs="Arial"/>
                <w:b/>
                <w:bCs/>
                <w:sz w:val="16"/>
                <w:szCs w:val="16"/>
              </w:rPr>
            </w:pPr>
            <w:r w:rsidRPr="00EE5736">
              <w:rPr>
                <w:rFonts w:asciiTheme="majorHAnsi" w:hAnsiTheme="majorHAnsi" w:cs="Arial"/>
                <w:b/>
                <w:bCs/>
                <w:sz w:val="16"/>
                <w:szCs w:val="16"/>
              </w:rPr>
              <w:t xml:space="preserve">P A S </w:t>
            </w:r>
            <w:proofErr w:type="spellStart"/>
            <w:r w:rsidRPr="00EE5736">
              <w:rPr>
                <w:rFonts w:asciiTheme="majorHAnsi" w:hAnsiTheme="majorHAnsi" w:cs="Arial"/>
                <w:b/>
                <w:bCs/>
                <w:sz w:val="16"/>
                <w:szCs w:val="16"/>
              </w:rPr>
              <w:t>S</w:t>
            </w:r>
            <w:proofErr w:type="spellEnd"/>
            <w:r w:rsidRPr="00EE5736">
              <w:rPr>
                <w:rFonts w:asciiTheme="majorHAnsi" w:hAnsiTheme="majorHAnsi" w:cs="Arial"/>
                <w:b/>
                <w:bCs/>
                <w:sz w:val="16"/>
                <w:szCs w:val="16"/>
              </w:rPr>
              <w:t xml:space="preserve"> I V O</w:t>
            </w:r>
            <w:r>
              <w:rPr>
                <w:rFonts w:asciiTheme="majorHAnsi" w:hAnsiTheme="majorHAnsi" w:cs="Arial"/>
                <w:b/>
                <w:bCs/>
                <w:sz w:val="16"/>
                <w:szCs w:val="16"/>
              </w:rPr>
              <w:t xml:space="preserve"> (R$)</w:t>
            </w:r>
          </w:p>
        </w:tc>
      </w:tr>
      <w:tr w:rsidR="00EE5736" w:rsidRPr="00EE5736" w14:paraId="5547A456" w14:textId="77777777" w:rsidTr="00EE5736">
        <w:trPr>
          <w:trHeight w:hRule="exact" w:val="227"/>
        </w:trPr>
        <w:tc>
          <w:tcPr>
            <w:tcW w:w="2669" w:type="pct"/>
            <w:tcBorders>
              <w:top w:val="nil"/>
              <w:left w:val="nil"/>
              <w:bottom w:val="nil"/>
              <w:right w:val="nil"/>
            </w:tcBorders>
            <w:shd w:val="clear" w:color="auto" w:fill="auto"/>
            <w:noWrap/>
            <w:vAlign w:val="bottom"/>
            <w:hideMark/>
          </w:tcPr>
          <w:p w14:paraId="1BFAA142" w14:textId="77777777" w:rsidR="00EE5736" w:rsidRPr="00EE5736" w:rsidRDefault="00EE5736">
            <w:pPr>
              <w:jc w:val="center"/>
              <w:rPr>
                <w:rFonts w:asciiTheme="majorHAnsi" w:hAnsiTheme="majorHAnsi" w:cs="Arial"/>
                <w:b/>
                <w:bCs/>
                <w:sz w:val="16"/>
                <w:szCs w:val="16"/>
              </w:rPr>
            </w:pPr>
          </w:p>
        </w:tc>
        <w:tc>
          <w:tcPr>
            <w:tcW w:w="1088" w:type="pct"/>
            <w:tcBorders>
              <w:top w:val="nil"/>
              <w:left w:val="nil"/>
              <w:bottom w:val="nil"/>
              <w:right w:val="nil"/>
            </w:tcBorders>
            <w:shd w:val="clear" w:color="auto" w:fill="auto"/>
            <w:noWrap/>
            <w:vAlign w:val="bottom"/>
            <w:hideMark/>
          </w:tcPr>
          <w:p w14:paraId="790932F2" w14:textId="77777777" w:rsidR="00EE5736" w:rsidRPr="00EE5736" w:rsidRDefault="00EE5736">
            <w:pPr>
              <w:jc w:val="center"/>
              <w:rPr>
                <w:rFonts w:asciiTheme="majorHAnsi" w:hAnsiTheme="majorHAnsi"/>
                <w:sz w:val="16"/>
                <w:szCs w:val="16"/>
              </w:rPr>
            </w:pPr>
          </w:p>
        </w:tc>
        <w:tc>
          <w:tcPr>
            <w:tcW w:w="942" w:type="pct"/>
            <w:tcBorders>
              <w:top w:val="nil"/>
              <w:left w:val="nil"/>
              <w:bottom w:val="nil"/>
              <w:right w:val="nil"/>
            </w:tcBorders>
            <w:shd w:val="clear" w:color="auto" w:fill="auto"/>
            <w:noWrap/>
            <w:vAlign w:val="bottom"/>
            <w:hideMark/>
          </w:tcPr>
          <w:p w14:paraId="70F4632D" w14:textId="77777777" w:rsidR="00EE5736" w:rsidRPr="00EE5736" w:rsidRDefault="00EE5736">
            <w:pPr>
              <w:jc w:val="center"/>
              <w:rPr>
                <w:rFonts w:asciiTheme="majorHAnsi" w:hAnsiTheme="majorHAnsi"/>
                <w:sz w:val="16"/>
                <w:szCs w:val="16"/>
              </w:rPr>
            </w:pPr>
          </w:p>
        </w:tc>
        <w:tc>
          <w:tcPr>
            <w:tcW w:w="301" w:type="pct"/>
            <w:tcBorders>
              <w:top w:val="nil"/>
              <w:left w:val="nil"/>
              <w:bottom w:val="nil"/>
              <w:right w:val="nil"/>
            </w:tcBorders>
            <w:shd w:val="clear" w:color="auto" w:fill="auto"/>
            <w:noWrap/>
            <w:vAlign w:val="center"/>
            <w:hideMark/>
          </w:tcPr>
          <w:p w14:paraId="6A8D9986" w14:textId="77777777" w:rsidR="00EE5736" w:rsidRPr="00EE5736" w:rsidRDefault="00EE5736">
            <w:pPr>
              <w:jc w:val="center"/>
              <w:rPr>
                <w:rFonts w:asciiTheme="majorHAnsi" w:hAnsiTheme="majorHAnsi"/>
                <w:sz w:val="16"/>
                <w:szCs w:val="16"/>
              </w:rPr>
            </w:pPr>
          </w:p>
        </w:tc>
      </w:tr>
      <w:tr w:rsidR="00EE5736" w:rsidRPr="00EE5736" w14:paraId="5D889BE5" w14:textId="77777777" w:rsidTr="00EE5736">
        <w:trPr>
          <w:trHeight w:hRule="exact" w:val="227"/>
        </w:trPr>
        <w:tc>
          <w:tcPr>
            <w:tcW w:w="2669" w:type="pct"/>
            <w:tcBorders>
              <w:top w:val="nil"/>
              <w:left w:val="nil"/>
              <w:bottom w:val="nil"/>
              <w:right w:val="nil"/>
            </w:tcBorders>
            <w:shd w:val="clear" w:color="auto" w:fill="auto"/>
            <w:noWrap/>
            <w:vAlign w:val="bottom"/>
            <w:hideMark/>
          </w:tcPr>
          <w:p w14:paraId="38785E58" w14:textId="77777777" w:rsidR="00EE5736" w:rsidRPr="00EE5736" w:rsidRDefault="00EE5736">
            <w:pPr>
              <w:jc w:val="center"/>
              <w:rPr>
                <w:rFonts w:asciiTheme="majorHAnsi" w:hAnsiTheme="majorHAnsi"/>
                <w:sz w:val="16"/>
                <w:szCs w:val="16"/>
              </w:rPr>
            </w:pPr>
          </w:p>
        </w:tc>
        <w:tc>
          <w:tcPr>
            <w:tcW w:w="1088" w:type="pct"/>
            <w:tcBorders>
              <w:top w:val="nil"/>
              <w:left w:val="nil"/>
              <w:bottom w:val="nil"/>
              <w:right w:val="nil"/>
            </w:tcBorders>
            <w:shd w:val="clear" w:color="auto" w:fill="auto"/>
            <w:noWrap/>
            <w:vAlign w:val="bottom"/>
            <w:hideMark/>
          </w:tcPr>
          <w:p w14:paraId="7CC82D68"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30/09/2021</w:t>
            </w:r>
          </w:p>
        </w:tc>
        <w:tc>
          <w:tcPr>
            <w:tcW w:w="942" w:type="pct"/>
            <w:tcBorders>
              <w:top w:val="nil"/>
              <w:left w:val="nil"/>
              <w:bottom w:val="nil"/>
              <w:right w:val="nil"/>
            </w:tcBorders>
            <w:shd w:val="clear" w:color="auto" w:fill="auto"/>
            <w:noWrap/>
            <w:vAlign w:val="bottom"/>
            <w:hideMark/>
          </w:tcPr>
          <w:p w14:paraId="2682EE03"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31/12/2020</w:t>
            </w:r>
          </w:p>
        </w:tc>
        <w:tc>
          <w:tcPr>
            <w:tcW w:w="301" w:type="pct"/>
            <w:tcBorders>
              <w:top w:val="nil"/>
              <w:left w:val="nil"/>
              <w:bottom w:val="nil"/>
              <w:right w:val="nil"/>
            </w:tcBorders>
            <w:shd w:val="clear" w:color="auto" w:fill="auto"/>
            <w:noWrap/>
            <w:vAlign w:val="center"/>
            <w:hideMark/>
          </w:tcPr>
          <w:p w14:paraId="07F1AD0E" w14:textId="02FB835C"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Nota</w:t>
            </w:r>
          </w:p>
        </w:tc>
      </w:tr>
      <w:tr w:rsidR="00EE5736" w:rsidRPr="00EE5736" w14:paraId="6ACE2454" w14:textId="77777777" w:rsidTr="00EE5736">
        <w:trPr>
          <w:trHeight w:hRule="exact" w:val="227"/>
        </w:trPr>
        <w:tc>
          <w:tcPr>
            <w:tcW w:w="2669" w:type="pct"/>
            <w:tcBorders>
              <w:top w:val="nil"/>
              <w:left w:val="nil"/>
              <w:bottom w:val="nil"/>
              <w:right w:val="nil"/>
            </w:tcBorders>
            <w:shd w:val="clear" w:color="auto" w:fill="auto"/>
            <w:noWrap/>
            <w:vAlign w:val="bottom"/>
            <w:hideMark/>
          </w:tcPr>
          <w:p w14:paraId="5CD187AA" w14:textId="05EB1939" w:rsidR="00EE5736" w:rsidRPr="00EE5736" w:rsidRDefault="00EE5736">
            <w:pPr>
              <w:jc w:val="center"/>
              <w:rPr>
                <w:rFonts w:asciiTheme="majorHAnsi" w:hAnsiTheme="majorHAnsi" w:cs="Arial"/>
                <w:b/>
                <w:bCs/>
                <w:sz w:val="16"/>
                <w:szCs w:val="16"/>
              </w:rPr>
            </w:pPr>
          </w:p>
        </w:tc>
        <w:tc>
          <w:tcPr>
            <w:tcW w:w="1088" w:type="pct"/>
            <w:tcBorders>
              <w:top w:val="nil"/>
              <w:left w:val="nil"/>
              <w:bottom w:val="nil"/>
              <w:right w:val="nil"/>
            </w:tcBorders>
            <w:shd w:val="clear" w:color="auto" w:fill="auto"/>
            <w:noWrap/>
            <w:vAlign w:val="bottom"/>
            <w:hideMark/>
          </w:tcPr>
          <w:p w14:paraId="6D4E7F0A" w14:textId="77777777" w:rsidR="00EE5736" w:rsidRPr="00EE5736" w:rsidRDefault="00EE5736">
            <w:pPr>
              <w:jc w:val="center"/>
              <w:rPr>
                <w:rFonts w:asciiTheme="majorHAnsi" w:hAnsiTheme="majorHAnsi" w:cs="Arial"/>
                <w:b/>
                <w:bCs/>
                <w:sz w:val="16"/>
                <w:szCs w:val="16"/>
              </w:rPr>
            </w:pPr>
          </w:p>
        </w:tc>
        <w:tc>
          <w:tcPr>
            <w:tcW w:w="942" w:type="pct"/>
            <w:tcBorders>
              <w:top w:val="nil"/>
              <w:left w:val="nil"/>
              <w:bottom w:val="nil"/>
              <w:right w:val="nil"/>
            </w:tcBorders>
            <w:shd w:val="clear" w:color="auto" w:fill="auto"/>
            <w:noWrap/>
            <w:vAlign w:val="bottom"/>
            <w:hideMark/>
          </w:tcPr>
          <w:p w14:paraId="776C8D41" w14:textId="77777777" w:rsidR="00EE5736" w:rsidRPr="00EE5736" w:rsidRDefault="00EE5736">
            <w:pPr>
              <w:jc w:val="right"/>
              <w:rPr>
                <w:rFonts w:asciiTheme="majorHAnsi" w:hAnsiTheme="majorHAnsi"/>
                <w:sz w:val="16"/>
                <w:szCs w:val="16"/>
              </w:rPr>
            </w:pPr>
          </w:p>
        </w:tc>
        <w:tc>
          <w:tcPr>
            <w:tcW w:w="301" w:type="pct"/>
            <w:tcBorders>
              <w:top w:val="nil"/>
              <w:left w:val="nil"/>
              <w:bottom w:val="nil"/>
              <w:right w:val="nil"/>
            </w:tcBorders>
            <w:shd w:val="clear" w:color="auto" w:fill="auto"/>
            <w:noWrap/>
            <w:vAlign w:val="center"/>
            <w:hideMark/>
          </w:tcPr>
          <w:p w14:paraId="1A73E2BD" w14:textId="77777777" w:rsidR="00EE5736" w:rsidRPr="00EE5736" w:rsidRDefault="00EE5736">
            <w:pPr>
              <w:jc w:val="right"/>
              <w:rPr>
                <w:rFonts w:asciiTheme="majorHAnsi" w:hAnsiTheme="majorHAnsi"/>
                <w:sz w:val="16"/>
                <w:szCs w:val="16"/>
              </w:rPr>
            </w:pPr>
          </w:p>
        </w:tc>
      </w:tr>
      <w:tr w:rsidR="00EE5736" w:rsidRPr="00EE5736" w14:paraId="22914F4C" w14:textId="77777777" w:rsidTr="00EE5736">
        <w:trPr>
          <w:trHeight w:hRule="exact" w:val="227"/>
        </w:trPr>
        <w:tc>
          <w:tcPr>
            <w:tcW w:w="2669" w:type="pct"/>
            <w:tcBorders>
              <w:top w:val="nil"/>
              <w:left w:val="nil"/>
              <w:bottom w:val="nil"/>
              <w:right w:val="nil"/>
            </w:tcBorders>
            <w:shd w:val="clear" w:color="auto" w:fill="auto"/>
            <w:noWrap/>
            <w:vAlign w:val="bottom"/>
            <w:hideMark/>
          </w:tcPr>
          <w:p w14:paraId="43454134" w14:textId="77777777" w:rsidR="00EE5736" w:rsidRPr="00EE5736" w:rsidRDefault="00EE5736">
            <w:pPr>
              <w:jc w:val="center"/>
              <w:rPr>
                <w:rFonts w:asciiTheme="majorHAnsi" w:hAnsiTheme="majorHAnsi" w:cs="Arial"/>
                <w:b/>
                <w:bCs/>
                <w:sz w:val="16"/>
                <w:szCs w:val="16"/>
              </w:rPr>
            </w:pPr>
          </w:p>
        </w:tc>
        <w:tc>
          <w:tcPr>
            <w:tcW w:w="1088" w:type="pct"/>
            <w:tcBorders>
              <w:top w:val="nil"/>
              <w:left w:val="nil"/>
              <w:bottom w:val="nil"/>
              <w:right w:val="nil"/>
            </w:tcBorders>
            <w:shd w:val="clear" w:color="auto" w:fill="auto"/>
            <w:noWrap/>
            <w:vAlign w:val="bottom"/>
            <w:hideMark/>
          </w:tcPr>
          <w:p w14:paraId="52E342DA" w14:textId="77777777" w:rsidR="00EE5736" w:rsidRPr="00EE5736" w:rsidRDefault="00EE5736">
            <w:pPr>
              <w:rPr>
                <w:rFonts w:asciiTheme="majorHAnsi" w:hAnsiTheme="majorHAnsi"/>
                <w:sz w:val="16"/>
                <w:szCs w:val="16"/>
              </w:rPr>
            </w:pPr>
          </w:p>
        </w:tc>
        <w:tc>
          <w:tcPr>
            <w:tcW w:w="942" w:type="pct"/>
            <w:tcBorders>
              <w:top w:val="nil"/>
              <w:left w:val="nil"/>
              <w:bottom w:val="nil"/>
              <w:right w:val="nil"/>
            </w:tcBorders>
            <w:shd w:val="clear" w:color="auto" w:fill="auto"/>
            <w:noWrap/>
            <w:vAlign w:val="center"/>
            <w:hideMark/>
          </w:tcPr>
          <w:p w14:paraId="738892AA" w14:textId="77777777" w:rsidR="00EE5736" w:rsidRPr="00EE5736" w:rsidRDefault="00EE5736">
            <w:pPr>
              <w:rPr>
                <w:rFonts w:asciiTheme="majorHAnsi" w:hAnsiTheme="majorHAnsi"/>
                <w:sz w:val="16"/>
                <w:szCs w:val="16"/>
              </w:rPr>
            </w:pPr>
          </w:p>
        </w:tc>
        <w:tc>
          <w:tcPr>
            <w:tcW w:w="301" w:type="pct"/>
            <w:tcBorders>
              <w:top w:val="nil"/>
              <w:left w:val="nil"/>
              <w:bottom w:val="nil"/>
              <w:right w:val="nil"/>
            </w:tcBorders>
            <w:shd w:val="clear" w:color="auto" w:fill="auto"/>
            <w:noWrap/>
            <w:vAlign w:val="center"/>
            <w:hideMark/>
          </w:tcPr>
          <w:p w14:paraId="596F6C0F" w14:textId="77777777" w:rsidR="00EE5736" w:rsidRPr="00EE5736" w:rsidRDefault="00EE5736">
            <w:pPr>
              <w:jc w:val="center"/>
              <w:rPr>
                <w:rFonts w:asciiTheme="majorHAnsi" w:hAnsiTheme="majorHAnsi"/>
                <w:sz w:val="16"/>
                <w:szCs w:val="16"/>
              </w:rPr>
            </w:pPr>
          </w:p>
        </w:tc>
      </w:tr>
      <w:tr w:rsidR="00EE5736" w:rsidRPr="00EE5736" w14:paraId="3AE159FF" w14:textId="77777777" w:rsidTr="00EE5736">
        <w:trPr>
          <w:trHeight w:hRule="exact" w:val="227"/>
        </w:trPr>
        <w:tc>
          <w:tcPr>
            <w:tcW w:w="2669" w:type="pct"/>
            <w:tcBorders>
              <w:top w:val="nil"/>
              <w:left w:val="nil"/>
              <w:bottom w:val="nil"/>
              <w:right w:val="nil"/>
            </w:tcBorders>
            <w:shd w:val="clear" w:color="auto" w:fill="auto"/>
            <w:noWrap/>
            <w:vAlign w:val="bottom"/>
            <w:hideMark/>
          </w:tcPr>
          <w:p w14:paraId="3B9BD3E7" w14:textId="77777777" w:rsidR="00EE5736" w:rsidRPr="00EE5736" w:rsidRDefault="00EE5736">
            <w:pPr>
              <w:rPr>
                <w:rFonts w:asciiTheme="majorHAnsi" w:hAnsiTheme="majorHAnsi" w:cs="Arial"/>
                <w:b/>
                <w:bCs/>
                <w:sz w:val="16"/>
                <w:szCs w:val="16"/>
              </w:rPr>
            </w:pPr>
            <w:r w:rsidRPr="00EE5736">
              <w:rPr>
                <w:rFonts w:asciiTheme="majorHAnsi" w:hAnsiTheme="majorHAnsi" w:cs="Arial"/>
                <w:b/>
                <w:bCs/>
                <w:sz w:val="16"/>
                <w:szCs w:val="16"/>
              </w:rPr>
              <w:t>PASSIVO CIRCULANTE</w:t>
            </w:r>
          </w:p>
        </w:tc>
        <w:tc>
          <w:tcPr>
            <w:tcW w:w="1088" w:type="pct"/>
            <w:tcBorders>
              <w:top w:val="nil"/>
              <w:left w:val="nil"/>
              <w:bottom w:val="nil"/>
              <w:right w:val="nil"/>
            </w:tcBorders>
            <w:shd w:val="clear" w:color="auto" w:fill="auto"/>
            <w:noWrap/>
            <w:vAlign w:val="bottom"/>
            <w:hideMark/>
          </w:tcPr>
          <w:p w14:paraId="641D0EB8"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 xml:space="preserve">                      349.804.985 </w:t>
            </w:r>
          </w:p>
        </w:tc>
        <w:tc>
          <w:tcPr>
            <w:tcW w:w="942" w:type="pct"/>
            <w:tcBorders>
              <w:top w:val="nil"/>
              <w:left w:val="nil"/>
              <w:bottom w:val="nil"/>
              <w:right w:val="nil"/>
            </w:tcBorders>
            <w:shd w:val="clear" w:color="auto" w:fill="auto"/>
            <w:noWrap/>
            <w:vAlign w:val="bottom"/>
            <w:hideMark/>
          </w:tcPr>
          <w:p w14:paraId="49CAA5D3"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 xml:space="preserve">                318.636.324 </w:t>
            </w:r>
          </w:p>
        </w:tc>
        <w:tc>
          <w:tcPr>
            <w:tcW w:w="301" w:type="pct"/>
            <w:tcBorders>
              <w:top w:val="nil"/>
              <w:left w:val="nil"/>
              <w:bottom w:val="nil"/>
              <w:right w:val="nil"/>
            </w:tcBorders>
            <w:shd w:val="clear" w:color="auto" w:fill="auto"/>
            <w:noWrap/>
            <w:vAlign w:val="center"/>
            <w:hideMark/>
          </w:tcPr>
          <w:p w14:paraId="7E486897" w14:textId="77777777" w:rsidR="00EE5736" w:rsidRPr="00EE5736" w:rsidRDefault="00EE5736">
            <w:pPr>
              <w:jc w:val="right"/>
              <w:rPr>
                <w:rFonts w:asciiTheme="majorHAnsi" w:hAnsiTheme="majorHAnsi" w:cs="Arial"/>
                <w:b/>
                <w:bCs/>
                <w:sz w:val="16"/>
                <w:szCs w:val="16"/>
              </w:rPr>
            </w:pPr>
          </w:p>
        </w:tc>
      </w:tr>
      <w:tr w:rsidR="00EE5736" w:rsidRPr="00EE5736" w14:paraId="31E73638" w14:textId="77777777" w:rsidTr="00EE5736">
        <w:trPr>
          <w:trHeight w:hRule="exact" w:val="227"/>
        </w:trPr>
        <w:tc>
          <w:tcPr>
            <w:tcW w:w="2669" w:type="pct"/>
            <w:tcBorders>
              <w:top w:val="nil"/>
              <w:left w:val="nil"/>
              <w:bottom w:val="nil"/>
              <w:right w:val="nil"/>
            </w:tcBorders>
            <w:shd w:val="clear" w:color="auto" w:fill="auto"/>
            <w:noWrap/>
            <w:vAlign w:val="bottom"/>
            <w:hideMark/>
          </w:tcPr>
          <w:p w14:paraId="72467043"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Fornecedores</w:t>
            </w:r>
          </w:p>
        </w:tc>
        <w:tc>
          <w:tcPr>
            <w:tcW w:w="1088" w:type="pct"/>
            <w:tcBorders>
              <w:top w:val="nil"/>
              <w:left w:val="nil"/>
              <w:bottom w:val="nil"/>
              <w:right w:val="nil"/>
            </w:tcBorders>
            <w:shd w:val="clear" w:color="auto" w:fill="auto"/>
            <w:noWrap/>
            <w:vAlign w:val="bottom"/>
            <w:hideMark/>
          </w:tcPr>
          <w:p w14:paraId="134DB85F"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255.867 </w:t>
            </w:r>
          </w:p>
        </w:tc>
        <w:tc>
          <w:tcPr>
            <w:tcW w:w="942" w:type="pct"/>
            <w:tcBorders>
              <w:top w:val="nil"/>
              <w:left w:val="nil"/>
              <w:bottom w:val="nil"/>
              <w:right w:val="nil"/>
            </w:tcBorders>
            <w:shd w:val="clear" w:color="auto" w:fill="auto"/>
            <w:noWrap/>
            <w:vAlign w:val="bottom"/>
            <w:hideMark/>
          </w:tcPr>
          <w:p w14:paraId="27A6DC12"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   </w:t>
            </w:r>
          </w:p>
        </w:tc>
        <w:tc>
          <w:tcPr>
            <w:tcW w:w="301" w:type="pct"/>
            <w:tcBorders>
              <w:top w:val="nil"/>
              <w:left w:val="nil"/>
              <w:bottom w:val="nil"/>
              <w:right w:val="nil"/>
            </w:tcBorders>
            <w:shd w:val="clear" w:color="auto" w:fill="auto"/>
            <w:noWrap/>
            <w:vAlign w:val="center"/>
            <w:hideMark/>
          </w:tcPr>
          <w:p w14:paraId="475563EC" w14:textId="77777777" w:rsidR="00EE5736" w:rsidRPr="00EE5736" w:rsidRDefault="00EE5736">
            <w:pPr>
              <w:jc w:val="center"/>
              <w:rPr>
                <w:rFonts w:asciiTheme="majorHAnsi" w:hAnsiTheme="majorHAnsi" w:cs="Arial"/>
                <w:sz w:val="16"/>
                <w:szCs w:val="16"/>
              </w:rPr>
            </w:pPr>
            <w:r w:rsidRPr="00EE5736">
              <w:rPr>
                <w:rFonts w:asciiTheme="majorHAnsi" w:hAnsiTheme="majorHAnsi" w:cs="Arial"/>
                <w:sz w:val="16"/>
                <w:szCs w:val="16"/>
              </w:rPr>
              <w:t>(10a)</w:t>
            </w:r>
          </w:p>
        </w:tc>
      </w:tr>
      <w:tr w:rsidR="00EE5736" w:rsidRPr="00EE5736" w14:paraId="2A3EAF8E" w14:textId="77777777" w:rsidTr="00EE5736">
        <w:trPr>
          <w:trHeight w:hRule="exact" w:val="227"/>
        </w:trPr>
        <w:tc>
          <w:tcPr>
            <w:tcW w:w="2669" w:type="pct"/>
            <w:tcBorders>
              <w:top w:val="nil"/>
              <w:left w:val="nil"/>
              <w:bottom w:val="nil"/>
              <w:right w:val="nil"/>
            </w:tcBorders>
            <w:shd w:val="clear" w:color="auto" w:fill="auto"/>
            <w:noWrap/>
            <w:vAlign w:val="bottom"/>
            <w:hideMark/>
          </w:tcPr>
          <w:p w14:paraId="0E17C1E3"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Provisão de 13º salário e férias c/encargos  </w:t>
            </w:r>
          </w:p>
        </w:tc>
        <w:tc>
          <w:tcPr>
            <w:tcW w:w="1088" w:type="pct"/>
            <w:tcBorders>
              <w:top w:val="nil"/>
              <w:left w:val="nil"/>
              <w:bottom w:val="nil"/>
              <w:right w:val="nil"/>
            </w:tcBorders>
            <w:shd w:val="clear" w:color="auto" w:fill="auto"/>
            <w:noWrap/>
            <w:vAlign w:val="bottom"/>
            <w:hideMark/>
          </w:tcPr>
          <w:p w14:paraId="4075D624"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17.396.158 </w:t>
            </w:r>
          </w:p>
        </w:tc>
        <w:tc>
          <w:tcPr>
            <w:tcW w:w="942" w:type="pct"/>
            <w:tcBorders>
              <w:top w:val="nil"/>
              <w:left w:val="nil"/>
              <w:bottom w:val="nil"/>
              <w:right w:val="nil"/>
            </w:tcBorders>
            <w:shd w:val="clear" w:color="auto" w:fill="auto"/>
            <w:noWrap/>
            <w:vAlign w:val="bottom"/>
            <w:hideMark/>
          </w:tcPr>
          <w:p w14:paraId="03A4F128"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14.675.584 </w:t>
            </w:r>
          </w:p>
        </w:tc>
        <w:tc>
          <w:tcPr>
            <w:tcW w:w="301" w:type="pct"/>
            <w:tcBorders>
              <w:top w:val="nil"/>
              <w:left w:val="nil"/>
              <w:bottom w:val="nil"/>
              <w:right w:val="nil"/>
            </w:tcBorders>
            <w:shd w:val="clear" w:color="auto" w:fill="auto"/>
            <w:noWrap/>
            <w:vAlign w:val="center"/>
            <w:hideMark/>
          </w:tcPr>
          <w:p w14:paraId="69C44958" w14:textId="77777777" w:rsidR="00EE5736" w:rsidRPr="00EE5736" w:rsidRDefault="00EE5736">
            <w:pPr>
              <w:jc w:val="center"/>
              <w:rPr>
                <w:rFonts w:asciiTheme="majorHAnsi" w:hAnsiTheme="majorHAnsi" w:cs="Arial"/>
                <w:sz w:val="16"/>
                <w:szCs w:val="16"/>
              </w:rPr>
            </w:pPr>
            <w:r w:rsidRPr="00EE5736">
              <w:rPr>
                <w:rFonts w:asciiTheme="majorHAnsi" w:hAnsiTheme="majorHAnsi" w:cs="Arial"/>
                <w:sz w:val="16"/>
                <w:szCs w:val="16"/>
              </w:rPr>
              <w:t>(10c)</w:t>
            </w:r>
          </w:p>
        </w:tc>
      </w:tr>
      <w:tr w:rsidR="00EE5736" w:rsidRPr="00EE5736" w14:paraId="206864C2" w14:textId="77777777" w:rsidTr="00EE5736">
        <w:trPr>
          <w:trHeight w:hRule="exact" w:val="227"/>
        </w:trPr>
        <w:tc>
          <w:tcPr>
            <w:tcW w:w="2669" w:type="pct"/>
            <w:tcBorders>
              <w:top w:val="nil"/>
              <w:left w:val="nil"/>
              <w:bottom w:val="nil"/>
              <w:right w:val="nil"/>
            </w:tcBorders>
            <w:shd w:val="clear" w:color="auto" w:fill="auto"/>
            <w:noWrap/>
            <w:vAlign w:val="bottom"/>
            <w:hideMark/>
          </w:tcPr>
          <w:p w14:paraId="41E1945B"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Salários a pagar</w:t>
            </w:r>
          </w:p>
        </w:tc>
        <w:tc>
          <w:tcPr>
            <w:tcW w:w="1088" w:type="pct"/>
            <w:tcBorders>
              <w:top w:val="nil"/>
              <w:left w:val="nil"/>
              <w:bottom w:val="nil"/>
              <w:right w:val="nil"/>
            </w:tcBorders>
            <w:shd w:val="clear" w:color="auto" w:fill="auto"/>
            <w:noWrap/>
            <w:vAlign w:val="bottom"/>
            <w:hideMark/>
          </w:tcPr>
          <w:p w14:paraId="060542A0"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4.616.050 </w:t>
            </w:r>
          </w:p>
        </w:tc>
        <w:tc>
          <w:tcPr>
            <w:tcW w:w="942" w:type="pct"/>
            <w:tcBorders>
              <w:top w:val="nil"/>
              <w:left w:val="nil"/>
              <w:bottom w:val="nil"/>
              <w:right w:val="nil"/>
            </w:tcBorders>
            <w:shd w:val="clear" w:color="auto" w:fill="auto"/>
            <w:noWrap/>
            <w:vAlign w:val="bottom"/>
            <w:hideMark/>
          </w:tcPr>
          <w:p w14:paraId="12D9A641"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5.559.214 </w:t>
            </w:r>
          </w:p>
        </w:tc>
        <w:tc>
          <w:tcPr>
            <w:tcW w:w="301" w:type="pct"/>
            <w:tcBorders>
              <w:top w:val="nil"/>
              <w:left w:val="nil"/>
              <w:bottom w:val="nil"/>
              <w:right w:val="nil"/>
            </w:tcBorders>
            <w:shd w:val="clear" w:color="auto" w:fill="auto"/>
            <w:noWrap/>
            <w:vAlign w:val="center"/>
            <w:hideMark/>
          </w:tcPr>
          <w:p w14:paraId="42CBD2F2" w14:textId="77777777" w:rsidR="00EE5736" w:rsidRPr="00EE5736" w:rsidRDefault="00EE5736">
            <w:pPr>
              <w:jc w:val="right"/>
              <w:rPr>
                <w:rFonts w:asciiTheme="majorHAnsi" w:hAnsiTheme="majorHAnsi" w:cs="Arial"/>
                <w:sz w:val="16"/>
                <w:szCs w:val="16"/>
              </w:rPr>
            </w:pPr>
          </w:p>
        </w:tc>
      </w:tr>
      <w:tr w:rsidR="00EE5736" w:rsidRPr="00EE5736" w14:paraId="40694A6C" w14:textId="77777777" w:rsidTr="00EE5736">
        <w:trPr>
          <w:trHeight w:hRule="exact" w:val="227"/>
        </w:trPr>
        <w:tc>
          <w:tcPr>
            <w:tcW w:w="2669" w:type="pct"/>
            <w:tcBorders>
              <w:top w:val="nil"/>
              <w:left w:val="nil"/>
              <w:bottom w:val="nil"/>
              <w:right w:val="nil"/>
            </w:tcBorders>
            <w:shd w:val="clear" w:color="auto" w:fill="auto"/>
            <w:noWrap/>
            <w:vAlign w:val="bottom"/>
            <w:hideMark/>
          </w:tcPr>
          <w:p w14:paraId="5FEE2DF5"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Encargos a pagar        </w:t>
            </w:r>
          </w:p>
        </w:tc>
        <w:tc>
          <w:tcPr>
            <w:tcW w:w="1088" w:type="pct"/>
            <w:tcBorders>
              <w:top w:val="nil"/>
              <w:left w:val="nil"/>
              <w:bottom w:val="nil"/>
              <w:right w:val="nil"/>
            </w:tcBorders>
            <w:shd w:val="clear" w:color="auto" w:fill="auto"/>
            <w:noWrap/>
            <w:vAlign w:val="bottom"/>
            <w:hideMark/>
          </w:tcPr>
          <w:p w14:paraId="4F65F4C8"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272.434 </w:t>
            </w:r>
          </w:p>
        </w:tc>
        <w:tc>
          <w:tcPr>
            <w:tcW w:w="942" w:type="pct"/>
            <w:tcBorders>
              <w:top w:val="nil"/>
              <w:left w:val="nil"/>
              <w:bottom w:val="nil"/>
              <w:right w:val="nil"/>
            </w:tcBorders>
            <w:shd w:val="clear" w:color="auto" w:fill="auto"/>
            <w:noWrap/>
            <w:vAlign w:val="bottom"/>
            <w:hideMark/>
          </w:tcPr>
          <w:p w14:paraId="156C8243"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312.821 </w:t>
            </w:r>
          </w:p>
        </w:tc>
        <w:tc>
          <w:tcPr>
            <w:tcW w:w="301" w:type="pct"/>
            <w:tcBorders>
              <w:top w:val="nil"/>
              <w:left w:val="nil"/>
              <w:bottom w:val="nil"/>
              <w:right w:val="nil"/>
            </w:tcBorders>
            <w:shd w:val="clear" w:color="auto" w:fill="auto"/>
            <w:noWrap/>
            <w:vAlign w:val="center"/>
            <w:hideMark/>
          </w:tcPr>
          <w:p w14:paraId="7ECE0380" w14:textId="77777777" w:rsidR="00EE5736" w:rsidRPr="00EE5736" w:rsidRDefault="00EE5736">
            <w:pPr>
              <w:jc w:val="right"/>
              <w:rPr>
                <w:rFonts w:asciiTheme="majorHAnsi" w:hAnsiTheme="majorHAnsi" w:cs="Arial"/>
                <w:sz w:val="16"/>
                <w:szCs w:val="16"/>
              </w:rPr>
            </w:pPr>
          </w:p>
        </w:tc>
      </w:tr>
      <w:tr w:rsidR="00EE5736" w:rsidRPr="00EE5736" w14:paraId="40C5D27D" w14:textId="77777777" w:rsidTr="00EE5736">
        <w:trPr>
          <w:trHeight w:hRule="exact" w:val="227"/>
        </w:trPr>
        <w:tc>
          <w:tcPr>
            <w:tcW w:w="2669" w:type="pct"/>
            <w:tcBorders>
              <w:top w:val="nil"/>
              <w:left w:val="nil"/>
              <w:bottom w:val="nil"/>
              <w:right w:val="nil"/>
            </w:tcBorders>
            <w:shd w:val="clear" w:color="auto" w:fill="auto"/>
            <w:noWrap/>
            <w:vAlign w:val="bottom"/>
            <w:hideMark/>
          </w:tcPr>
          <w:p w14:paraId="2258F411"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Tributos retidos a recolher</w:t>
            </w:r>
          </w:p>
        </w:tc>
        <w:tc>
          <w:tcPr>
            <w:tcW w:w="1088" w:type="pct"/>
            <w:tcBorders>
              <w:top w:val="nil"/>
              <w:left w:val="nil"/>
              <w:bottom w:val="nil"/>
              <w:right w:val="nil"/>
            </w:tcBorders>
            <w:shd w:val="clear" w:color="auto" w:fill="auto"/>
            <w:noWrap/>
            <w:vAlign w:val="bottom"/>
            <w:hideMark/>
          </w:tcPr>
          <w:p w14:paraId="4997FA0E"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309.630 </w:t>
            </w:r>
          </w:p>
        </w:tc>
        <w:tc>
          <w:tcPr>
            <w:tcW w:w="942" w:type="pct"/>
            <w:tcBorders>
              <w:top w:val="nil"/>
              <w:left w:val="nil"/>
              <w:bottom w:val="nil"/>
              <w:right w:val="nil"/>
            </w:tcBorders>
            <w:shd w:val="clear" w:color="auto" w:fill="auto"/>
            <w:noWrap/>
            <w:vAlign w:val="bottom"/>
            <w:hideMark/>
          </w:tcPr>
          <w:p w14:paraId="6660C8AB"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295.239 </w:t>
            </w:r>
          </w:p>
        </w:tc>
        <w:tc>
          <w:tcPr>
            <w:tcW w:w="301" w:type="pct"/>
            <w:tcBorders>
              <w:top w:val="nil"/>
              <w:left w:val="nil"/>
              <w:bottom w:val="nil"/>
              <w:right w:val="nil"/>
            </w:tcBorders>
            <w:shd w:val="clear" w:color="auto" w:fill="auto"/>
            <w:noWrap/>
            <w:vAlign w:val="center"/>
            <w:hideMark/>
          </w:tcPr>
          <w:p w14:paraId="29FF434E" w14:textId="77777777" w:rsidR="00EE5736" w:rsidRPr="00EE5736" w:rsidRDefault="00EE5736">
            <w:pPr>
              <w:jc w:val="right"/>
              <w:rPr>
                <w:rFonts w:asciiTheme="majorHAnsi" w:hAnsiTheme="majorHAnsi" w:cs="Arial"/>
                <w:sz w:val="16"/>
                <w:szCs w:val="16"/>
              </w:rPr>
            </w:pPr>
          </w:p>
        </w:tc>
      </w:tr>
      <w:tr w:rsidR="00EE5736" w:rsidRPr="00EE5736" w14:paraId="335D252C" w14:textId="77777777" w:rsidTr="00EE5736">
        <w:trPr>
          <w:trHeight w:hRule="exact" w:val="227"/>
        </w:trPr>
        <w:tc>
          <w:tcPr>
            <w:tcW w:w="2669" w:type="pct"/>
            <w:tcBorders>
              <w:top w:val="nil"/>
              <w:left w:val="nil"/>
              <w:bottom w:val="nil"/>
              <w:right w:val="nil"/>
            </w:tcBorders>
            <w:shd w:val="clear" w:color="auto" w:fill="auto"/>
            <w:noWrap/>
            <w:vAlign w:val="bottom"/>
            <w:hideMark/>
          </w:tcPr>
          <w:p w14:paraId="0028E65F"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Receita a diferir - Subconcessão FIOL</w:t>
            </w:r>
          </w:p>
        </w:tc>
        <w:tc>
          <w:tcPr>
            <w:tcW w:w="1088" w:type="pct"/>
            <w:tcBorders>
              <w:top w:val="nil"/>
              <w:left w:val="nil"/>
              <w:bottom w:val="nil"/>
              <w:right w:val="nil"/>
            </w:tcBorders>
            <w:shd w:val="clear" w:color="auto" w:fill="auto"/>
            <w:noWrap/>
            <w:vAlign w:val="bottom"/>
            <w:hideMark/>
          </w:tcPr>
          <w:p w14:paraId="3C1A7FA3"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2.182.000 </w:t>
            </w:r>
          </w:p>
        </w:tc>
        <w:tc>
          <w:tcPr>
            <w:tcW w:w="942" w:type="pct"/>
            <w:tcBorders>
              <w:top w:val="nil"/>
              <w:left w:val="nil"/>
              <w:bottom w:val="nil"/>
              <w:right w:val="nil"/>
            </w:tcBorders>
            <w:shd w:val="clear" w:color="auto" w:fill="auto"/>
            <w:noWrap/>
            <w:vAlign w:val="bottom"/>
            <w:hideMark/>
          </w:tcPr>
          <w:p w14:paraId="5F9F61BD"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   </w:t>
            </w:r>
          </w:p>
        </w:tc>
        <w:tc>
          <w:tcPr>
            <w:tcW w:w="301" w:type="pct"/>
            <w:tcBorders>
              <w:top w:val="nil"/>
              <w:left w:val="nil"/>
              <w:bottom w:val="nil"/>
              <w:right w:val="nil"/>
            </w:tcBorders>
            <w:shd w:val="clear" w:color="auto" w:fill="auto"/>
            <w:noWrap/>
            <w:vAlign w:val="center"/>
            <w:hideMark/>
          </w:tcPr>
          <w:p w14:paraId="00756981" w14:textId="77777777" w:rsidR="00EE5736" w:rsidRPr="00EE5736" w:rsidRDefault="00EE5736">
            <w:pPr>
              <w:jc w:val="right"/>
              <w:rPr>
                <w:rFonts w:asciiTheme="majorHAnsi" w:hAnsiTheme="majorHAnsi" w:cs="Arial"/>
                <w:sz w:val="16"/>
                <w:szCs w:val="16"/>
              </w:rPr>
            </w:pPr>
          </w:p>
        </w:tc>
      </w:tr>
      <w:tr w:rsidR="00EE5736" w:rsidRPr="00EE5736" w14:paraId="26C46CDF" w14:textId="77777777" w:rsidTr="00EE5736">
        <w:trPr>
          <w:trHeight w:hRule="exact" w:val="227"/>
        </w:trPr>
        <w:tc>
          <w:tcPr>
            <w:tcW w:w="2669" w:type="pct"/>
            <w:tcBorders>
              <w:top w:val="nil"/>
              <w:left w:val="nil"/>
              <w:bottom w:val="nil"/>
              <w:right w:val="nil"/>
            </w:tcBorders>
            <w:shd w:val="clear" w:color="auto" w:fill="auto"/>
            <w:noWrap/>
            <w:vAlign w:val="bottom"/>
            <w:hideMark/>
          </w:tcPr>
          <w:p w14:paraId="1767E261"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Receita a diferir - Pátios e Terminais</w:t>
            </w:r>
          </w:p>
        </w:tc>
        <w:tc>
          <w:tcPr>
            <w:tcW w:w="1088" w:type="pct"/>
            <w:tcBorders>
              <w:top w:val="nil"/>
              <w:left w:val="nil"/>
              <w:bottom w:val="nil"/>
              <w:right w:val="nil"/>
            </w:tcBorders>
            <w:shd w:val="clear" w:color="auto" w:fill="auto"/>
            <w:noWrap/>
            <w:vAlign w:val="bottom"/>
            <w:hideMark/>
          </w:tcPr>
          <w:p w14:paraId="0764569B"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3.070.781 </w:t>
            </w:r>
          </w:p>
        </w:tc>
        <w:tc>
          <w:tcPr>
            <w:tcW w:w="942" w:type="pct"/>
            <w:tcBorders>
              <w:top w:val="nil"/>
              <w:left w:val="nil"/>
              <w:bottom w:val="nil"/>
              <w:right w:val="nil"/>
            </w:tcBorders>
            <w:shd w:val="clear" w:color="auto" w:fill="auto"/>
            <w:noWrap/>
            <w:vAlign w:val="bottom"/>
            <w:hideMark/>
          </w:tcPr>
          <w:p w14:paraId="2F5B2C59"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2.271.695 </w:t>
            </w:r>
          </w:p>
        </w:tc>
        <w:tc>
          <w:tcPr>
            <w:tcW w:w="301" w:type="pct"/>
            <w:tcBorders>
              <w:top w:val="nil"/>
              <w:left w:val="nil"/>
              <w:bottom w:val="nil"/>
              <w:right w:val="nil"/>
            </w:tcBorders>
            <w:shd w:val="clear" w:color="auto" w:fill="auto"/>
            <w:noWrap/>
            <w:vAlign w:val="bottom"/>
            <w:hideMark/>
          </w:tcPr>
          <w:p w14:paraId="57C11EB8"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(12)</w:t>
            </w:r>
          </w:p>
        </w:tc>
      </w:tr>
      <w:tr w:rsidR="00EE5736" w:rsidRPr="00EE5736" w14:paraId="6AB3C880" w14:textId="77777777" w:rsidTr="00EE5736">
        <w:trPr>
          <w:trHeight w:hRule="exact" w:val="227"/>
        </w:trPr>
        <w:tc>
          <w:tcPr>
            <w:tcW w:w="2669" w:type="pct"/>
            <w:tcBorders>
              <w:top w:val="nil"/>
              <w:left w:val="nil"/>
              <w:bottom w:val="nil"/>
              <w:right w:val="nil"/>
            </w:tcBorders>
            <w:shd w:val="clear" w:color="auto" w:fill="auto"/>
            <w:noWrap/>
            <w:vAlign w:val="bottom"/>
            <w:hideMark/>
          </w:tcPr>
          <w:p w14:paraId="58917815"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Retenções s/ salários a pagar</w:t>
            </w:r>
          </w:p>
        </w:tc>
        <w:tc>
          <w:tcPr>
            <w:tcW w:w="1088" w:type="pct"/>
            <w:tcBorders>
              <w:top w:val="nil"/>
              <w:left w:val="nil"/>
              <w:bottom w:val="nil"/>
              <w:right w:val="nil"/>
            </w:tcBorders>
            <w:shd w:val="clear" w:color="auto" w:fill="auto"/>
            <w:noWrap/>
            <w:vAlign w:val="bottom"/>
            <w:hideMark/>
          </w:tcPr>
          <w:p w14:paraId="5FB8ABFF"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505.322 </w:t>
            </w:r>
          </w:p>
        </w:tc>
        <w:tc>
          <w:tcPr>
            <w:tcW w:w="942" w:type="pct"/>
            <w:tcBorders>
              <w:top w:val="nil"/>
              <w:left w:val="nil"/>
              <w:bottom w:val="nil"/>
              <w:right w:val="nil"/>
            </w:tcBorders>
            <w:shd w:val="clear" w:color="auto" w:fill="auto"/>
            <w:noWrap/>
            <w:vAlign w:val="bottom"/>
            <w:hideMark/>
          </w:tcPr>
          <w:p w14:paraId="4AAB44D4"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485.451 </w:t>
            </w:r>
          </w:p>
        </w:tc>
        <w:tc>
          <w:tcPr>
            <w:tcW w:w="301" w:type="pct"/>
            <w:tcBorders>
              <w:top w:val="nil"/>
              <w:left w:val="nil"/>
              <w:bottom w:val="nil"/>
              <w:right w:val="nil"/>
            </w:tcBorders>
            <w:shd w:val="clear" w:color="auto" w:fill="auto"/>
            <w:noWrap/>
            <w:vAlign w:val="center"/>
            <w:hideMark/>
          </w:tcPr>
          <w:p w14:paraId="277C6823" w14:textId="77777777" w:rsidR="00EE5736" w:rsidRPr="00EE5736" w:rsidRDefault="00EE5736">
            <w:pPr>
              <w:jc w:val="right"/>
              <w:rPr>
                <w:rFonts w:asciiTheme="majorHAnsi" w:hAnsiTheme="majorHAnsi" w:cs="Arial"/>
                <w:sz w:val="16"/>
                <w:szCs w:val="16"/>
              </w:rPr>
            </w:pPr>
          </w:p>
        </w:tc>
      </w:tr>
      <w:tr w:rsidR="00EE5736" w:rsidRPr="00EE5736" w14:paraId="25181B5F" w14:textId="77777777" w:rsidTr="00EE5736">
        <w:trPr>
          <w:trHeight w:hRule="exact" w:val="227"/>
        </w:trPr>
        <w:tc>
          <w:tcPr>
            <w:tcW w:w="2669" w:type="pct"/>
            <w:tcBorders>
              <w:top w:val="nil"/>
              <w:left w:val="nil"/>
              <w:bottom w:val="nil"/>
              <w:right w:val="nil"/>
            </w:tcBorders>
            <w:shd w:val="clear" w:color="auto" w:fill="auto"/>
            <w:noWrap/>
            <w:vAlign w:val="bottom"/>
            <w:hideMark/>
          </w:tcPr>
          <w:p w14:paraId="0E1FC2C6"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Precatórios de Terceiros</w:t>
            </w:r>
          </w:p>
        </w:tc>
        <w:tc>
          <w:tcPr>
            <w:tcW w:w="1088" w:type="pct"/>
            <w:tcBorders>
              <w:top w:val="nil"/>
              <w:left w:val="nil"/>
              <w:bottom w:val="nil"/>
              <w:right w:val="nil"/>
            </w:tcBorders>
            <w:shd w:val="clear" w:color="auto" w:fill="auto"/>
            <w:noWrap/>
            <w:vAlign w:val="bottom"/>
            <w:hideMark/>
          </w:tcPr>
          <w:p w14:paraId="737FEB76"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641.192 </w:t>
            </w:r>
          </w:p>
        </w:tc>
        <w:tc>
          <w:tcPr>
            <w:tcW w:w="942" w:type="pct"/>
            <w:tcBorders>
              <w:top w:val="nil"/>
              <w:left w:val="nil"/>
              <w:bottom w:val="nil"/>
              <w:right w:val="nil"/>
            </w:tcBorders>
            <w:shd w:val="clear" w:color="auto" w:fill="auto"/>
            <w:noWrap/>
            <w:vAlign w:val="bottom"/>
            <w:hideMark/>
          </w:tcPr>
          <w:p w14:paraId="0D78FD4A"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   </w:t>
            </w:r>
          </w:p>
        </w:tc>
        <w:tc>
          <w:tcPr>
            <w:tcW w:w="301" w:type="pct"/>
            <w:tcBorders>
              <w:top w:val="nil"/>
              <w:left w:val="nil"/>
              <w:bottom w:val="nil"/>
              <w:right w:val="nil"/>
            </w:tcBorders>
            <w:shd w:val="clear" w:color="auto" w:fill="auto"/>
            <w:noWrap/>
            <w:vAlign w:val="center"/>
            <w:hideMark/>
          </w:tcPr>
          <w:p w14:paraId="7599B740" w14:textId="77777777" w:rsidR="00EE5736" w:rsidRPr="00EE5736" w:rsidRDefault="00EE5736">
            <w:pPr>
              <w:jc w:val="right"/>
              <w:rPr>
                <w:rFonts w:asciiTheme="majorHAnsi" w:hAnsiTheme="majorHAnsi" w:cs="Arial"/>
                <w:sz w:val="16"/>
                <w:szCs w:val="16"/>
              </w:rPr>
            </w:pPr>
          </w:p>
        </w:tc>
      </w:tr>
      <w:tr w:rsidR="00EE5736" w:rsidRPr="00EE5736" w14:paraId="15D50301" w14:textId="77777777" w:rsidTr="00EE5736">
        <w:trPr>
          <w:trHeight w:hRule="exact" w:val="227"/>
        </w:trPr>
        <w:tc>
          <w:tcPr>
            <w:tcW w:w="2669" w:type="pct"/>
            <w:tcBorders>
              <w:top w:val="nil"/>
              <w:left w:val="nil"/>
              <w:bottom w:val="nil"/>
              <w:right w:val="nil"/>
            </w:tcBorders>
            <w:shd w:val="clear" w:color="auto" w:fill="auto"/>
            <w:noWrap/>
            <w:vAlign w:val="bottom"/>
            <w:hideMark/>
          </w:tcPr>
          <w:p w14:paraId="28DECE93"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Provisões de Ações Trabalhistas/Cíveis</w:t>
            </w:r>
          </w:p>
        </w:tc>
        <w:tc>
          <w:tcPr>
            <w:tcW w:w="1088" w:type="pct"/>
            <w:tcBorders>
              <w:top w:val="nil"/>
              <w:left w:val="nil"/>
              <w:bottom w:val="nil"/>
              <w:right w:val="nil"/>
            </w:tcBorders>
            <w:shd w:val="clear" w:color="auto" w:fill="auto"/>
            <w:noWrap/>
            <w:vAlign w:val="bottom"/>
            <w:hideMark/>
          </w:tcPr>
          <w:p w14:paraId="06A7A6B0"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315.834.151 </w:t>
            </w:r>
          </w:p>
        </w:tc>
        <w:tc>
          <w:tcPr>
            <w:tcW w:w="942" w:type="pct"/>
            <w:tcBorders>
              <w:top w:val="nil"/>
              <w:left w:val="nil"/>
              <w:bottom w:val="nil"/>
              <w:right w:val="nil"/>
            </w:tcBorders>
            <w:shd w:val="clear" w:color="auto" w:fill="auto"/>
            <w:noWrap/>
            <w:vAlign w:val="bottom"/>
            <w:hideMark/>
          </w:tcPr>
          <w:p w14:paraId="68B253C6"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290.971.766 </w:t>
            </w:r>
          </w:p>
        </w:tc>
        <w:tc>
          <w:tcPr>
            <w:tcW w:w="301" w:type="pct"/>
            <w:tcBorders>
              <w:top w:val="nil"/>
              <w:left w:val="nil"/>
              <w:bottom w:val="nil"/>
              <w:right w:val="nil"/>
            </w:tcBorders>
            <w:shd w:val="clear" w:color="auto" w:fill="auto"/>
            <w:noWrap/>
            <w:vAlign w:val="center"/>
            <w:hideMark/>
          </w:tcPr>
          <w:p w14:paraId="1C44C8B8" w14:textId="77777777" w:rsidR="00EE5736" w:rsidRPr="00EE5736" w:rsidRDefault="00EE5736">
            <w:pPr>
              <w:jc w:val="center"/>
              <w:rPr>
                <w:rFonts w:asciiTheme="majorHAnsi" w:hAnsiTheme="majorHAnsi" w:cs="Arial"/>
                <w:sz w:val="16"/>
                <w:szCs w:val="16"/>
              </w:rPr>
            </w:pPr>
            <w:r w:rsidRPr="00EE5736">
              <w:rPr>
                <w:rFonts w:asciiTheme="majorHAnsi" w:hAnsiTheme="majorHAnsi" w:cs="Arial"/>
                <w:sz w:val="16"/>
                <w:szCs w:val="16"/>
              </w:rPr>
              <w:t>(11b)</w:t>
            </w:r>
          </w:p>
        </w:tc>
      </w:tr>
      <w:tr w:rsidR="00EE5736" w:rsidRPr="00EE5736" w14:paraId="4E7CF12C" w14:textId="77777777" w:rsidTr="00EE5736">
        <w:trPr>
          <w:trHeight w:hRule="exact" w:val="227"/>
        </w:trPr>
        <w:tc>
          <w:tcPr>
            <w:tcW w:w="2669" w:type="pct"/>
            <w:tcBorders>
              <w:top w:val="nil"/>
              <w:left w:val="nil"/>
              <w:bottom w:val="nil"/>
              <w:right w:val="nil"/>
            </w:tcBorders>
            <w:shd w:val="clear" w:color="auto" w:fill="auto"/>
            <w:noWrap/>
            <w:vAlign w:val="bottom"/>
            <w:hideMark/>
          </w:tcPr>
          <w:p w14:paraId="27E0EDC5"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Passivo de Arrendamento</w:t>
            </w:r>
          </w:p>
        </w:tc>
        <w:tc>
          <w:tcPr>
            <w:tcW w:w="1088" w:type="pct"/>
            <w:tcBorders>
              <w:top w:val="nil"/>
              <w:left w:val="nil"/>
              <w:bottom w:val="nil"/>
              <w:right w:val="nil"/>
            </w:tcBorders>
            <w:shd w:val="clear" w:color="auto" w:fill="auto"/>
            <w:noWrap/>
            <w:vAlign w:val="bottom"/>
            <w:hideMark/>
          </w:tcPr>
          <w:p w14:paraId="7B0E5F14"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4.721.400 </w:t>
            </w:r>
          </w:p>
        </w:tc>
        <w:tc>
          <w:tcPr>
            <w:tcW w:w="942" w:type="pct"/>
            <w:tcBorders>
              <w:top w:val="nil"/>
              <w:left w:val="nil"/>
              <w:bottom w:val="nil"/>
              <w:right w:val="nil"/>
            </w:tcBorders>
            <w:shd w:val="clear" w:color="auto" w:fill="auto"/>
            <w:noWrap/>
            <w:vAlign w:val="bottom"/>
            <w:hideMark/>
          </w:tcPr>
          <w:p w14:paraId="71626B2A"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4.064.554 </w:t>
            </w:r>
          </w:p>
        </w:tc>
        <w:tc>
          <w:tcPr>
            <w:tcW w:w="301" w:type="pct"/>
            <w:tcBorders>
              <w:top w:val="nil"/>
              <w:left w:val="nil"/>
              <w:bottom w:val="nil"/>
              <w:right w:val="nil"/>
            </w:tcBorders>
            <w:shd w:val="clear" w:color="auto" w:fill="auto"/>
            <w:noWrap/>
            <w:vAlign w:val="bottom"/>
            <w:hideMark/>
          </w:tcPr>
          <w:p w14:paraId="67B60F7C"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(13)</w:t>
            </w:r>
          </w:p>
        </w:tc>
      </w:tr>
      <w:tr w:rsidR="00EE5736" w:rsidRPr="00EE5736" w14:paraId="19A32776" w14:textId="77777777" w:rsidTr="00EE5736">
        <w:trPr>
          <w:trHeight w:hRule="exact" w:val="227"/>
        </w:trPr>
        <w:tc>
          <w:tcPr>
            <w:tcW w:w="2669" w:type="pct"/>
            <w:tcBorders>
              <w:top w:val="nil"/>
              <w:left w:val="nil"/>
              <w:bottom w:val="nil"/>
              <w:right w:val="nil"/>
            </w:tcBorders>
            <w:shd w:val="clear" w:color="auto" w:fill="auto"/>
            <w:noWrap/>
            <w:vAlign w:val="bottom"/>
            <w:hideMark/>
          </w:tcPr>
          <w:p w14:paraId="2A3CF8C2" w14:textId="77777777" w:rsidR="00EE5736" w:rsidRPr="00EE5736" w:rsidRDefault="00EE5736">
            <w:pPr>
              <w:rPr>
                <w:rFonts w:asciiTheme="majorHAnsi" w:hAnsiTheme="majorHAnsi" w:cs="Arial"/>
                <w:sz w:val="16"/>
                <w:szCs w:val="16"/>
              </w:rPr>
            </w:pPr>
          </w:p>
        </w:tc>
        <w:tc>
          <w:tcPr>
            <w:tcW w:w="1088" w:type="pct"/>
            <w:tcBorders>
              <w:top w:val="nil"/>
              <w:left w:val="nil"/>
              <w:bottom w:val="nil"/>
              <w:right w:val="nil"/>
            </w:tcBorders>
            <w:shd w:val="clear" w:color="auto" w:fill="auto"/>
            <w:noWrap/>
            <w:vAlign w:val="bottom"/>
            <w:hideMark/>
          </w:tcPr>
          <w:p w14:paraId="001FE0CE" w14:textId="77777777" w:rsidR="00EE5736" w:rsidRPr="00EE5736" w:rsidRDefault="00EE5736">
            <w:pPr>
              <w:rPr>
                <w:rFonts w:asciiTheme="majorHAnsi" w:hAnsiTheme="majorHAnsi"/>
                <w:sz w:val="16"/>
                <w:szCs w:val="16"/>
              </w:rPr>
            </w:pPr>
          </w:p>
        </w:tc>
        <w:tc>
          <w:tcPr>
            <w:tcW w:w="942" w:type="pct"/>
            <w:tcBorders>
              <w:top w:val="nil"/>
              <w:left w:val="nil"/>
              <w:bottom w:val="nil"/>
              <w:right w:val="nil"/>
            </w:tcBorders>
            <w:shd w:val="clear" w:color="auto" w:fill="auto"/>
            <w:noWrap/>
            <w:vAlign w:val="bottom"/>
            <w:hideMark/>
          </w:tcPr>
          <w:p w14:paraId="61FFE665" w14:textId="77777777" w:rsidR="00EE5736" w:rsidRPr="00EE5736" w:rsidRDefault="00EE5736">
            <w:pPr>
              <w:jc w:val="right"/>
              <w:rPr>
                <w:rFonts w:asciiTheme="majorHAnsi" w:hAnsiTheme="majorHAnsi"/>
                <w:sz w:val="16"/>
                <w:szCs w:val="16"/>
              </w:rPr>
            </w:pPr>
          </w:p>
        </w:tc>
        <w:tc>
          <w:tcPr>
            <w:tcW w:w="301" w:type="pct"/>
            <w:tcBorders>
              <w:top w:val="nil"/>
              <w:left w:val="nil"/>
              <w:bottom w:val="nil"/>
              <w:right w:val="nil"/>
            </w:tcBorders>
            <w:shd w:val="clear" w:color="auto" w:fill="auto"/>
            <w:noWrap/>
            <w:vAlign w:val="center"/>
            <w:hideMark/>
          </w:tcPr>
          <w:p w14:paraId="3136AD4D" w14:textId="77777777" w:rsidR="00EE5736" w:rsidRPr="00EE5736" w:rsidRDefault="00EE5736">
            <w:pPr>
              <w:jc w:val="right"/>
              <w:rPr>
                <w:rFonts w:asciiTheme="majorHAnsi" w:hAnsiTheme="majorHAnsi"/>
                <w:sz w:val="16"/>
                <w:szCs w:val="16"/>
              </w:rPr>
            </w:pPr>
          </w:p>
        </w:tc>
      </w:tr>
      <w:tr w:rsidR="00EE5736" w:rsidRPr="00EE5736" w14:paraId="05AB853C" w14:textId="77777777" w:rsidTr="00EE5736">
        <w:trPr>
          <w:trHeight w:hRule="exact" w:val="227"/>
        </w:trPr>
        <w:tc>
          <w:tcPr>
            <w:tcW w:w="2669" w:type="pct"/>
            <w:tcBorders>
              <w:top w:val="nil"/>
              <w:left w:val="nil"/>
              <w:bottom w:val="nil"/>
              <w:right w:val="nil"/>
            </w:tcBorders>
            <w:shd w:val="clear" w:color="auto" w:fill="auto"/>
            <w:noWrap/>
            <w:vAlign w:val="bottom"/>
            <w:hideMark/>
          </w:tcPr>
          <w:p w14:paraId="232D8E18" w14:textId="77777777" w:rsidR="00EE5736" w:rsidRPr="00EE5736" w:rsidRDefault="00EE5736">
            <w:pPr>
              <w:rPr>
                <w:rFonts w:asciiTheme="majorHAnsi" w:hAnsiTheme="majorHAnsi" w:cs="Arial"/>
                <w:b/>
                <w:bCs/>
                <w:sz w:val="16"/>
                <w:szCs w:val="16"/>
              </w:rPr>
            </w:pPr>
            <w:r w:rsidRPr="00EE5736">
              <w:rPr>
                <w:rFonts w:asciiTheme="majorHAnsi" w:hAnsiTheme="majorHAnsi" w:cs="Arial"/>
                <w:b/>
                <w:bCs/>
                <w:sz w:val="16"/>
                <w:szCs w:val="16"/>
              </w:rPr>
              <w:t>PASSIVO NÃO CIRCULANTE</w:t>
            </w:r>
          </w:p>
        </w:tc>
        <w:tc>
          <w:tcPr>
            <w:tcW w:w="1088" w:type="pct"/>
            <w:tcBorders>
              <w:top w:val="nil"/>
              <w:left w:val="nil"/>
              <w:bottom w:val="nil"/>
              <w:right w:val="nil"/>
            </w:tcBorders>
            <w:shd w:val="clear" w:color="auto" w:fill="auto"/>
            <w:noWrap/>
            <w:vAlign w:val="bottom"/>
            <w:hideMark/>
          </w:tcPr>
          <w:p w14:paraId="25B0F959"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 xml:space="preserve">                      646.369.063 </w:t>
            </w:r>
          </w:p>
        </w:tc>
        <w:tc>
          <w:tcPr>
            <w:tcW w:w="942" w:type="pct"/>
            <w:tcBorders>
              <w:top w:val="nil"/>
              <w:left w:val="nil"/>
              <w:bottom w:val="nil"/>
              <w:right w:val="nil"/>
            </w:tcBorders>
            <w:shd w:val="clear" w:color="auto" w:fill="auto"/>
            <w:noWrap/>
            <w:vAlign w:val="bottom"/>
            <w:hideMark/>
          </w:tcPr>
          <w:p w14:paraId="115AA1E1"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 xml:space="preserve">                542.347.474 </w:t>
            </w:r>
          </w:p>
        </w:tc>
        <w:tc>
          <w:tcPr>
            <w:tcW w:w="301" w:type="pct"/>
            <w:tcBorders>
              <w:top w:val="nil"/>
              <w:left w:val="nil"/>
              <w:bottom w:val="nil"/>
              <w:right w:val="nil"/>
            </w:tcBorders>
            <w:shd w:val="clear" w:color="auto" w:fill="auto"/>
            <w:noWrap/>
            <w:vAlign w:val="center"/>
            <w:hideMark/>
          </w:tcPr>
          <w:p w14:paraId="5D00E058" w14:textId="77777777" w:rsidR="00EE5736" w:rsidRPr="00EE5736" w:rsidRDefault="00EE5736">
            <w:pPr>
              <w:jc w:val="right"/>
              <w:rPr>
                <w:rFonts w:asciiTheme="majorHAnsi" w:hAnsiTheme="majorHAnsi" w:cs="Arial"/>
                <w:b/>
                <w:bCs/>
                <w:sz w:val="16"/>
                <w:szCs w:val="16"/>
              </w:rPr>
            </w:pPr>
          </w:p>
        </w:tc>
      </w:tr>
      <w:tr w:rsidR="00EE5736" w:rsidRPr="00EE5736" w14:paraId="7AAC5536" w14:textId="77777777" w:rsidTr="00EE5736">
        <w:trPr>
          <w:trHeight w:hRule="exact" w:val="227"/>
        </w:trPr>
        <w:tc>
          <w:tcPr>
            <w:tcW w:w="2669" w:type="pct"/>
            <w:tcBorders>
              <w:top w:val="nil"/>
              <w:left w:val="nil"/>
              <w:bottom w:val="nil"/>
              <w:right w:val="nil"/>
            </w:tcBorders>
            <w:shd w:val="clear" w:color="auto" w:fill="auto"/>
            <w:noWrap/>
            <w:vAlign w:val="bottom"/>
            <w:hideMark/>
          </w:tcPr>
          <w:p w14:paraId="20230C8A"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Fornecedores</w:t>
            </w:r>
          </w:p>
        </w:tc>
        <w:tc>
          <w:tcPr>
            <w:tcW w:w="1088" w:type="pct"/>
            <w:tcBorders>
              <w:top w:val="nil"/>
              <w:left w:val="nil"/>
              <w:bottom w:val="nil"/>
              <w:right w:val="nil"/>
            </w:tcBorders>
            <w:shd w:val="clear" w:color="auto" w:fill="auto"/>
            <w:noWrap/>
            <w:vAlign w:val="bottom"/>
            <w:hideMark/>
          </w:tcPr>
          <w:p w14:paraId="7BA4D761"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3.077.451 </w:t>
            </w:r>
          </w:p>
        </w:tc>
        <w:tc>
          <w:tcPr>
            <w:tcW w:w="942" w:type="pct"/>
            <w:tcBorders>
              <w:top w:val="nil"/>
              <w:left w:val="nil"/>
              <w:bottom w:val="nil"/>
              <w:right w:val="nil"/>
            </w:tcBorders>
            <w:shd w:val="clear" w:color="auto" w:fill="auto"/>
            <w:noWrap/>
            <w:vAlign w:val="bottom"/>
            <w:hideMark/>
          </w:tcPr>
          <w:p w14:paraId="7DE7AEDA"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3.077.451 </w:t>
            </w:r>
          </w:p>
        </w:tc>
        <w:tc>
          <w:tcPr>
            <w:tcW w:w="301" w:type="pct"/>
            <w:tcBorders>
              <w:top w:val="nil"/>
              <w:left w:val="nil"/>
              <w:bottom w:val="nil"/>
              <w:right w:val="nil"/>
            </w:tcBorders>
            <w:shd w:val="clear" w:color="auto" w:fill="auto"/>
            <w:noWrap/>
            <w:vAlign w:val="center"/>
            <w:hideMark/>
          </w:tcPr>
          <w:p w14:paraId="3C2BE2E6" w14:textId="77777777" w:rsidR="00EE5736" w:rsidRPr="00EE5736" w:rsidRDefault="00EE5736">
            <w:pPr>
              <w:jc w:val="right"/>
              <w:rPr>
                <w:rFonts w:asciiTheme="majorHAnsi" w:hAnsiTheme="majorHAnsi" w:cs="Arial"/>
                <w:sz w:val="16"/>
                <w:szCs w:val="16"/>
              </w:rPr>
            </w:pPr>
          </w:p>
        </w:tc>
      </w:tr>
      <w:tr w:rsidR="00EE5736" w:rsidRPr="00EE5736" w14:paraId="01DAD19D" w14:textId="77777777" w:rsidTr="00EE5736">
        <w:trPr>
          <w:trHeight w:hRule="exact" w:val="227"/>
        </w:trPr>
        <w:tc>
          <w:tcPr>
            <w:tcW w:w="2669" w:type="pct"/>
            <w:tcBorders>
              <w:top w:val="nil"/>
              <w:left w:val="nil"/>
              <w:bottom w:val="nil"/>
              <w:right w:val="nil"/>
            </w:tcBorders>
            <w:shd w:val="clear" w:color="auto" w:fill="auto"/>
            <w:noWrap/>
            <w:vAlign w:val="bottom"/>
            <w:hideMark/>
          </w:tcPr>
          <w:p w14:paraId="404DF9A5"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Depósitos retidos sobre fornecedores</w:t>
            </w:r>
          </w:p>
        </w:tc>
        <w:tc>
          <w:tcPr>
            <w:tcW w:w="1088" w:type="pct"/>
            <w:tcBorders>
              <w:top w:val="nil"/>
              <w:left w:val="nil"/>
              <w:bottom w:val="nil"/>
              <w:right w:val="nil"/>
            </w:tcBorders>
            <w:shd w:val="clear" w:color="auto" w:fill="auto"/>
            <w:noWrap/>
            <w:vAlign w:val="bottom"/>
            <w:hideMark/>
          </w:tcPr>
          <w:p w14:paraId="0A6F00B1"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39.314.898 </w:t>
            </w:r>
          </w:p>
        </w:tc>
        <w:tc>
          <w:tcPr>
            <w:tcW w:w="942" w:type="pct"/>
            <w:tcBorders>
              <w:top w:val="nil"/>
              <w:left w:val="nil"/>
              <w:bottom w:val="nil"/>
              <w:right w:val="nil"/>
            </w:tcBorders>
            <w:shd w:val="clear" w:color="auto" w:fill="auto"/>
            <w:noWrap/>
            <w:vAlign w:val="bottom"/>
            <w:hideMark/>
          </w:tcPr>
          <w:p w14:paraId="5F7A404B"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38.526.493 </w:t>
            </w:r>
          </w:p>
        </w:tc>
        <w:tc>
          <w:tcPr>
            <w:tcW w:w="301" w:type="pct"/>
            <w:tcBorders>
              <w:top w:val="nil"/>
              <w:left w:val="nil"/>
              <w:bottom w:val="nil"/>
              <w:right w:val="nil"/>
            </w:tcBorders>
            <w:shd w:val="clear" w:color="auto" w:fill="auto"/>
            <w:noWrap/>
            <w:vAlign w:val="center"/>
            <w:hideMark/>
          </w:tcPr>
          <w:p w14:paraId="70016DB6" w14:textId="77777777" w:rsidR="00EE5736" w:rsidRPr="00EE5736" w:rsidRDefault="00EE5736">
            <w:pPr>
              <w:jc w:val="center"/>
              <w:rPr>
                <w:rFonts w:asciiTheme="majorHAnsi" w:hAnsiTheme="majorHAnsi" w:cs="Arial"/>
                <w:sz w:val="16"/>
                <w:szCs w:val="16"/>
              </w:rPr>
            </w:pPr>
            <w:r w:rsidRPr="00EE5736">
              <w:rPr>
                <w:rFonts w:asciiTheme="majorHAnsi" w:hAnsiTheme="majorHAnsi" w:cs="Arial"/>
                <w:sz w:val="16"/>
                <w:szCs w:val="16"/>
              </w:rPr>
              <w:t>(11a)</w:t>
            </w:r>
          </w:p>
        </w:tc>
      </w:tr>
      <w:tr w:rsidR="00EE5736" w:rsidRPr="00EE5736" w14:paraId="6A10148C" w14:textId="77777777" w:rsidTr="00EE5736">
        <w:trPr>
          <w:trHeight w:hRule="exact" w:val="227"/>
        </w:trPr>
        <w:tc>
          <w:tcPr>
            <w:tcW w:w="2669" w:type="pct"/>
            <w:tcBorders>
              <w:top w:val="nil"/>
              <w:left w:val="nil"/>
              <w:bottom w:val="nil"/>
              <w:right w:val="nil"/>
            </w:tcBorders>
            <w:shd w:val="clear" w:color="auto" w:fill="auto"/>
            <w:noWrap/>
            <w:vAlign w:val="bottom"/>
            <w:hideMark/>
          </w:tcPr>
          <w:p w14:paraId="42A81621"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Provisões de Ações Trabalhistas/Cíveis</w:t>
            </w:r>
          </w:p>
        </w:tc>
        <w:tc>
          <w:tcPr>
            <w:tcW w:w="1088" w:type="pct"/>
            <w:tcBorders>
              <w:top w:val="nil"/>
              <w:left w:val="nil"/>
              <w:bottom w:val="nil"/>
              <w:right w:val="nil"/>
            </w:tcBorders>
            <w:shd w:val="clear" w:color="auto" w:fill="auto"/>
            <w:noWrap/>
            <w:vAlign w:val="bottom"/>
            <w:hideMark/>
          </w:tcPr>
          <w:p w14:paraId="4565BC45"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520.964.242 </w:t>
            </w:r>
          </w:p>
        </w:tc>
        <w:tc>
          <w:tcPr>
            <w:tcW w:w="942" w:type="pct"/>
            <w:tcBorders>
              <w:top w:val="nil"/>
              <w:left w:val="nil"/>
              <w:bottom w:val="nil"/>
              <w:right w:val="nil"/>
            </w:tcBorders>
            <w:shd w:val="clear" w:color="auto" w:fill="auto"/>
            <w:noWrap/>
            <w:vAlign w:val="bottom"/>
            <w:hideMark/>
          </w:tcPr>
          <w:p w14:paraId="6AF46A19"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475.158.953 </w:t>
            </w:r>
          </w:p>
        </w:tc>
        <w:tc>
          <w:tcPr>
            <w:tcW w:w="301" w:type="pct"/>
            <w:tcBorders>
              <w:top w:val="nil"/>
              <w:left w:val="nil"/>
              <w:bottom w:val="nil"/>
              <w:right w:val="nil"/>
            </w:tcBorders>
            <w:shd w:val="clear" w:color="auto" w:fill="auto"/>
            <w:noWrap/>
            <w:vAlign w:val="center"/>
            <w:hideMark/>
          </w:tcPr>
          <w:p w14:paraId="3D97226A"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(11b)</w:t>
            </w:r>
          </w:p>
        </w:tc>
      </w:tr>
      <w:tr w:rsidR="00EE5736" w:rsidRPr="00EE5736" w14:paraId="5E91BBA5" w14:textId="77777777" w:rsidTr="00EE5736">
        <w:trPr>
          <w:trHeight w:hRule="exact" w:val="227"/>
        </w:trPr>
        <w:tc>
          <w:tcPr>
            <w:tcW w:w="2669" w:type="pct"/>
            <w:tcBorders>
              <w:top w:val="nil"/>
              <w:left w:val="nil"/>
              <w:bottom w:val="nil"/>
              <w:right w:val="nil"/>
            </w:tcBorders>
            <w:shd w:val="clear" w:color="auto" w:fill="auto"/>
            <w:noWrap/>
            <w:vAlign w:val="bottom"/>
            <w:hideMark/>
          </w:tcPr>
          <w:p w14:paraId="05F1291D"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Depósitos de Cauções</w:t>
            </w:r>
          </w:p>
        </w:tc>
        <w:tc>
          <w:tcPr>
            <w:tcW w:w="1088" w:type="pct"/>
            <w:tcBorders>
              <w:top w:val="nil"/>
              <w:left w:val="nil"/>
              <w:bottom w:val="nil"/>
              <w:right w:val="nil"/>
            </w:tcBorders>
            <w:shd w:val="clear" w:color="auto" w:fill="auto"/>
            <w:noWrap/>
            <w:vAlign w:val="bottom"/>
            <w:hideMark/>
          </w:tcPr>
          <w:p w14:paraId="0FC2E061"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257.879 </w:t>
            </w:r>
          </w:p>
        </w:tc>
        <w:tc>
          <w:tcPr>
            <w:tcW w:w="942" w:type="pct"/>
            <w:tcBorders>
              <w:top w:val="nil"/>
              <w:left w:val="nil"/>
              <w:bottom w:val="nil"/>
              <w:right w:val="nil"/>
            </w:tcBorders>
            <w:shd w:val="clear" w:color="auto" w:fill="auto"/>
            <w:noWrap/>
            <w:vAlign w:val="bottom"/>
            <w:hideMark/>
          </w:tcPr>
          <w:p w14:paraId="4226AE79"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233.338 </w:t>
            </w:r>
          </w:p>
        </w:tc>
        <w:tc>
          <w:tcPr>
            <w:tcW w:w="301" w:type="pct"/>
            <w:tcBorders>
              <w:top w:val="nil"/>
              <w:left w:val="nil"/>
              <w:bottom w:val="nil"/>
              <w:right w:val="nil"/>
            </w:tcBorders>
            <w:shd w:val="clear" w:color="auto" w:fill="auto"/>
            <w:noWrap/>
            <w:vAlign w:val="center"/>
            <w:hideMark/>
          </w:tcPr>
          <w:p w14:paraId="61002B80"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(5a)</w:t>
            </w:r>
          </w:p>
        </w:tc>
      </w:tr>
      <w:tr w:rsidR="00EE5736" w:rsidRPr="00EE5736" w14:paraId="597A9857" w14:textId="77777777" w:rsidTr="00EE5736">
        <w:trPr>
          <w:trHeight w:hRule="exact" w:val="227"/>
        </w:trPr>
        <w:tc>
          <w:tcPr>
            <w:tcW w:w="2669" w:type="pct"/>
            <w:tcBorders>
              <w:top w:val="nil"/>
              <w:left w:val="nil"/>
              <w:bottom w:val="nil"/>
              <w:right w:val="nil"/>
            </w:tcBorders>
            <w:shd w:val="clear" w:color="auto" w:fill="auto"/>
            <w:noWrap/>
            <w:vAlign w:val="bottom"/>
            <w:hideMark/>
          </w:tcPr>
          <w:p w14:paraId="17D8833C"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Receita a diferir - Subconcessão FIOL</w:t>
            </w:r>
          </w:p>
        </w:tc>
        <w:tc>
          <w:tcPr>
            <w:tcW w:w="1088" w:type="pct"/>
            <w:tcBorders>
              <w:top w:val="nil"/>
              <w:left w:val="nil"/>
              <w:bottom w:val="nil"/>
              <w:right w:val="nil"/>
            </w:tcBorders>
            <w:shd w:val="clear" w:color="auto" w:fill="auto"/>
            <w:noWrap/>
            <w:vAlign w:val="bottom"/>
            <w:hideMark/>
          </w:tcPr>
          <w:p w14:paraId="682F438D"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30.548.000 </w:t>
            </w:r>
          </w:p>
        </w:tc>
        <w:tc>
          <w:tcPr>
            <w:tcW w:w="942" w:type="pct"/>
            <w:tcBorders>
              <w:top w:val="nil"/>
              <w:left w:val="nil"/>
              <w:bottom w:val="nil"/>
              <w:right w:val="nil"/>
            </w:tcBorders>
            <w:shd w:val="clear" w:color="auto" w:fill="auto"/>
            <w:noWrap/>
            <w:vAlign w:val="bottom"/>
            <w:hideMark/>
          </w:tcPr>
          <w:p w14:paraId="783F5F3F"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   </w:t>
            </w:r>
          </w:p>
        </w:tc>
        <w:tc>
          <w:tcPr>
            <w:tcW w:w="301" w:type="pct"/>
            <w:tcBorders>
              <w:top w:val="nil"/>
              <w:left w:val="nil"/>
              <w:bottom w:val="nil"/>
              <w:right w:val="nil"/>
            </w:tcBorders>
            <w:shd w:val="clear" w:color="auto" w:fill="auto"/>
            <w:noWrap/>
            <w:vAlign w:val="center"/>
            <w:hideMark/>
          </w:tcPr>
          <w:p w14:paraId="3235EAB9" w14:textId="77777777" w:rsidR="00EE5736" w:rsidRPr="00EE5736" w:rsidRDefault="00EE5736">
            <w:pPr>
              <w:jc w:val="right"/>
              <w:rPr>
                <w:rFonts w:asciiTheme="majorHAnsi" w:hAnsiTheme="majorHAnsi" w:cs="Arial"/>
                <w:sz w:val="16"/>
                <w:szCs w:val="16"/>
              </w:rPr>
            </w:pPr>
          </w:p>
        </w:tc>
      </w:tr>
      <w:tr w:rsidR="00EE5736" w:rsidRPr="00EE5736" w14:paraId="05084100" w14:textId="77777777" w:rsidTr="00EE5736">
        <w:trPr>
          <w:trHeight w:hRule="exact" w:val="227"/>
        </w:trPr>
        <w:tc>
          <w:tcPr>
            <w:tcW w:w="2669" w:type="pct"/>
            <w:tcBorders>
              <w:top w:val="nil"/>
              <w:left w:val="nil"/>
              <w:bottom w:val="nil"/>
              <w:right w:val="nil"/>
            </w:tcBorders>
            <w:shd w:val="clear" w:color="auto" w:fill="auto"/>
            <w:noWrap/>
            <w:vAlign w:val="bottom"/>
            <w:hideMark/>
          </w:tcPr>
          <w:p w14:paraId="4F333957"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Receita a diferir - Pátios e Terminais</w:t>
            </w:r>
          </w:p>
        </w:tc>
        <w:tc>
          <w:tcPr>
            <w:tcW w:w="1088" w:type="pct"/>
            <w:tcBorders>
              <w:top w:val="nil"/>
              <w:left w:val="nil"/>
              <w:bottom w:val="nil"/>
              <w:right w:val="nil"/>
            </w:tcBorders>
            <w:shd w:val="clear" w:color="auto" w:fill="auto"/>
            <w:noWrap/>
            <w:vAlign w:val="bottom"/>
            <w:hideMark/>
          </w:tcPr>
          <w:p w14:paraId="7B2BA27B"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34.076.343 </w:t>
            </w:r>
          </w:p>
        </w:tc>
        <w:tc>
          <w:tcPr>
            <w:tcW w:w="942" w:type="pct"/>
            <w:tcBorders>
              <w:top w:val="nil"/>
              <w:left w:val="nil"/>
              <w:bottom w:val="nil"/>
              <w:right w:val="nil"/>
            </w:tcBorders>
            <w:shd w:val="clear" w:color="auto" w:fill="auto"/>
            <w:noWrap/>
            <w:vAlign w:val="bottom"/>
            <w:hideMark/>
          </w:tcPr>
          <w:p w14:paraId="54054DC1"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23.371.139 </w:t>
            </w:r>
          </w:p>
        </w:tc>
        <w:tc>
          <w:tcPr>
            <w:tcW w:w="301" w:type="pct"/>
            <w:tcBorders>
              <w:top w:val="nil"/>
              <w:left w:val="nil"/>
              <w:bottom w:val="nil"/>
              <w:right w:val="nil"/>
            </w:tcBorders>
            <w:shd w:val="clear" w:color="auto" w:fill="auto"/>
            <w:noWrap/>
            <w:vAlign w:val="bottom"/>
            <w:hideMark/>
          </w:tcPr>
          <w:p w14:paraId="6A84D5BA"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(12)</w:t>
            </w:r>
          </w:p>
        </w:tc>
      </w:tr>
      <w:tr w:rsidR="00EE5736" w:rsidRPr="00EE5736" w14:paraId="3B581D07" w14:textId="77777777" w:rsidTr="00EE5736">
        <w:trPr>
          <w:trHeight w:hRule="exact" w:val="227"/>
        </w:trPr>
        <w:tc>
          <w:tcPr>
            <w:tcW w:w="2669" w:type="pct"/>
            <w:tcBorders>
              <w:top w:val="nil"/>
              <w:left w:val="nil"/>
              <w:bottom w:val="nil"/>
              <w:right w:val="nil"/>
            </w:tcBorders>
            <w:shd w:val="clear" w:color="auto" w:fill="auto"/>
            <w:noWrap/>
            <w:vAlign w:val="bottom"/>
            <w:hideMark/>
          </w:tcPr>
          <w:p w14:paraId="28B25D37"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Passivo de Arrendamento</w:t>
            </w:r>
          </w:p>
        </w:tc>
        <w:tc>
          <w:tcPr>
            <w:tcW w:w="1088" w:type="pct"/>
            <w:tcBorders>
              <w:top w:val="nil"/>
              <w:left w:val="nil"/>
              <w:bottom w:val="nil"/>
              <w:right w:val="nil"/>
            </w:tcBorders>
            <w:shd w:val="clear" w:color="auto" w:fill="auto"/>
            <w:noWrap/>
            <w:vAlign w:val="bottom"/>
            <w:hideMark/>
          </w:tcPr>
          <w:p w14:paraId="5DAED401"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18.130.250 </w:t>
            </w:r>
          </w:p>
        </w:tc>
        <w:tc>
          <w:tcPr>
            <w:tcW w:w="942" w:type="pct"/>
            <w:tcBorders>
              <w:top w:val="nil"/>
              <w:left w:val="nil"/>
              <w:bottom w:val="nil"/>
              <w:right w:val="nil"/>
            </w:tcBorders>
            <w:shd w:val="clear" w:color="auto" w:fill="auto"/>
            <w:noWrap/>
            <w:vAlign w:val="bottom"/>
            <w:hideMark/>
          </w:tcPr>
          <w:p w14:paraId="17082014"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1.980.100 </w:t>
            </w:r>
          </w:p>
        </w:tc>
        <w:tc>
          <w:tcPr>
            <w:tcW w:w="301" w:type="pct"/>
            <w:tcBorders>
              <w:top w:val="nil"/>
              <w:left w:val="nil"/>
              <w:bottom w:val="nil"/>
              <w:right w:val="nil"/>
            </w:tcBorders>
            <w:shd w:val="clear" w:color="auto" w:fill="auto"/>
            <w:noWrap/>
            <w:vAlign w:val="bottom"/>
            <w:hideMark/>
          </w:tcPr>
          <w:p w14:paraId="2DC36074"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(13)</w:t>
            </w:r>
          </w:p>
        </w:tc>
      </w:tr>
      <w:tr w:rsidR="00EE5736" w:rsidRPr="00EE5736" w14:paraId="37ABD911" w14:textId="77777777" w:rsidTr="00EE5736">
        <w:trPr>
          <w:trHeight w:hRule="exact" w:val="227"/>
        </w:trPr>
        <w:tc>
          <w:tcPr>
            <w:tcW w:w="2669" w:type="pct"/>
            <w:tcBorders>
              <w:top w:val="nil"/>
              <w:left w:val="nil"/>
              <w:bottom w:val="nil"/>
              <w:right w:val="nil"/>
            </w:tcBorders>
            <w:shd w:val="clear" w:color="auto" w:fill="auto"/>
            <w:noWrap/>
            <w:vAlign w:val="bottom"/>
            <w:hideMark/>
          </w:tcPr>
          <w:p w14:paraId="3E5E7C0C" w14:textId="77777777" w:rsidR="00EE5736" w:rsidRPr="00EE5736" w:rsidRDefault="00EE5736">
            <w:pPr>
              <w:rPr>
                <w:rFonts w:asciiTheme="majorHAnsi" w:hAnsiTheme="majorHAnsi" w:cs="Arial"/>
                <w:sz w:val="16"/>
                <w:szCs w:val="16"/>
              </w:rPr>
            </w:pPr>
          </w:p>
        </w:tc>
        <w:tc>
          <w:tcPr>
            <w:tcW w:w="1088" w:type="pct"/>
            <w:tcBorders>
              <w:top w:val="nil"/>
              <w:left w:val="nil"/>
              <w:bottom w:val="nil"/>
              <w:right w:val="nil"/>
            </w:tcBorders>
            <w:shd w:val="clear" w:color="auto" w:fill="auto"/>
            <w:noWrap/>
            <w:vAlign w:val="bottom"/>
            <w:hideMark/>
          </w:tcPr>
          <w:p w14:paraId="49C99E6B" w14:textId="77777777" w:rsidR="00EE5736" w:rsidRPr="00EE5736" w:rsidRDefault="00EE5736">
            <w:pPr>
              <w:rPr>
                <w:rFonts w:asciiTheme="majorHAnsi" w:hAnsiTheme="majorHAnsi"/>
                <w:sz w:val="16"/>
                <w:szCs w:val="16"/>
              </w:rPr>
            </w:pPr>
          </w:p>
        </w:tc>
        <w:tc>
          <w:tcPr>
            <w:tcW w:w="942" w:type="pct"/>
            <w:tcBorders>
              <w:top w:val="nil"/>
              <w:left w:val="nil"/>
              <w:bottom w:val="nil"/>
              <w:right w:val="nil"/>
            </w:tcBorders>
            <w:shd w:val="clear" w:color="auto" w:fill="auto"/>
            <w:noWrap/>
            <w:vAlign w:val="bottom"/>
            <w:hideMark/>
          </w:tcPr>
          <w:p w14:paraId="56CF4257" w14:textId="77777777" w:rsidR="00EE5736" w:rsidRPr="00EE5736" w:rsidRDefault="00EE5736">
            <w:pPr>
              <w:jc w:val="right"/>
              <w:rPr>
                <w:rFonts w:asciiTheme="majorHAnsi" w:hAnsiTheme="majorHAnsi"/>
                <w:sz w:val="16"/>
                <w:szCs w:val="16"/>
              </w:rPr>
            </w:pPr>
          </w:p>
        </w:tc>
        <w:tc>
          <w:tcPr>
            <w:tcW w:w="301" w:type="pct"/>
            <w:tcBorders>
              <w:top w:val="nil"/>
              <w:left w:val="nil"/>
              <w:bottom w:val="nil"/>
              <w:right w:val="nil"/>
            </w:tcBorders>
            <w:shd w:val="clear" w:color="auto" w:fill="auto"/>
            <w:noWrap/>
            <w:vAlign w:val="center"/>
            <w:hideMark/>
          </w:tcPr>
          <w:p w14:paraId="6830EAC8" w14:textId="77777777" w:rsidR="00EE5736" w:rsidRPr="00EE5736" w:rsidRDefault="00EE5736">
            <w:pPr>
              <w:jc w:val="right"/>
              <w:rPr>
                <w:rFonts w:asciiTheme="majorHAnsi" w:hAnsiTheme="majorHAnsi"/>
                <w:sz w:val="16"/>
                <w:szCs w:val="16"/>
              </w:rPr>
            </w:pPr>
          </w:p>
        </w:tc>
      </w:tr>
      <w:tr w:rsidR="00EE5736" w:rsidRPr="00EE5736" w14:paraId="052CE3E0" w14:textId="77777777" w:rsidTr="00EE5736">
        <w:trPr>
          <w:trHeight w:hRule="exact" w:val="227"/>
        </w:trPr>
        <w:tc>
          <w:tcPr>
            <w:tcW w:w="2669" w:type="pct"/>
            <w:tcBorders>
              <w:top w:val="nil"/>
              <w:left w:val="nil"/>
              <w:bottom w:val="nil"/>
              <w:right w:val="nil"/>
            </w:tcBorders>
            <w:shd w:val="clear" w:color="auto" w:fill="auto"/>
            <w:noWrap/>
            <w:vAlign w:val="bottom"/>
            <w:hideMark/>
          </w:tcPr>
          <w:p w14:paraId="56B335EB" w14:textId="77777777" w:rsidR="00EE5736" w:rsidRPr="00EE5736" w:rsidRDefault="00EE5736">
            <w:pPr>
              <w:rPr>
                <w:rFonts w:asciiTheme="majorHAnsi" w:hAnsiTheme="majorHAnsi" w:cs="Arial"/>
                <w:b/>
                <w:bCs/>
                <w:sz w:val="16"/>
                <w:szCs w:val="16"/>
              </w:rPr>
            </w:pPr>
            <w:r w:rsidRPr="00EE5736">
              <w:rPr>
                <w:rFonts w:asciiTheme="majorHAnsi" w:hAnsiTheme="majorHAnsi" w:cs="Arial"/>
                <w:b/>
                <w:bCs/>
                <w:sz w:val="16"/>
                <w:szCs w:val="16"/>
              </w:rPr>
              <w:t>PATRIMÔNIO LÍQUIDO</w:t>
            </w:r>
          </w:p>
        </w:tc>
        <w:tc>
          <w:tcPr>
            <w:tcW w:w="1088" w:type="pct"/>
            <w:tcBorders>
              <w:top w:val="nil"/>
              <w:left w:val="nil"/>
              <w:bottom w:val="nil"/>
              <w:right w:val="nil"/>
            </w:tcBorders>
            <w:shd w:val="clear" w:color="auto" w:fill="auto"/>
            <w:noWrap/>
            <w:vAlign w:val="bottom"/>
            <w:hideMark/>
          </w:tcPr>
          <w:p w14:paraId="342862EC"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 xml:space="preserve">                  3.058.514.144 </w:t>
            </w:r>
          </w:p>
        </w:tc>
        <w:tc>
          <w:tcPr>
            <w:tcW w:w="942" w:type="pct"/>
            <w:tcBorders>
              <w:top w:val="nil"/>
              <w:left w:val="nil"/>
              <w:bottom w:val="nil"/>
              <w:right w:val="nil"/>
            </w:tcBorders>
            <w:shd w:val="clear" w:color="auto" w:fill="auto"/>
            <w:noWrap/>
            <w:vAlign w:val="bottom"/>
            <w:hideMark/>
          </w:tcPr>
          <w:p w14:paraId="0C67B674"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 xml:space="preserve">            2.882.704.530 </w:t>
            </w:r>
          </w:p>
        </w:tc>
        <w:tc>
          <w:tcPr>
            <w:tcW w:w="301" w:type="pct"/>
            <w:tcBorders>
              <w:top w:val="nil"/>
              <w:left w:val="nil"/>
              <w:bottom w:val="nil"/>
              <w:right w:val="nil"/>
            </w:tcBorders>
            <w:shd w:val="clear" w:color="auto" w:fill="auto"/>
            <w:noWrap/>
            <w:vAlign w:val="center"/>
            <w:hideMark/>
          </w:tcPr>
          <w:p w14:paraId="01CF34E5" w14:textId="77777777" w:rsidR="00EE5736" w:rsidRPr="00EE5736" w:rsidRDefault="00EE5736">
            <w:pPr>
              <w:jc w:val="right"/>
              <w:rPr>
                <w:rFonts w:asciiTheme="majorHAnsi" w:hAnsiTheme="majorHAnsi" w:cs="Arial"/>
                <w:b/>
                <w:bCs/>
                <w:sz w:val="16"/>
                <w:szCs w:val="16"/>
              </w:rPr>
            </w:pPr>
          </w:p>
        </w:tc>
      </w:tr>
      <w:tr w:rsidR="00EE5736" w:rsidRPr="00EE5736" w14:paraId="4A5B16C5" w14:textId="77777777" w:rsidTr="00EE5736">
        <w:trPr>
          <w:trHeight w:hRule="exact" w:val="227"/>
        </w:trPr>
        <w:tc>
          <w:tcPr>
            <w:tcW w:w="2669" w:type="pct"/>
            <w:tcBorders>
              <w:top w:val="nil"/>
              <w:left w:val="nil"/>
              <w:bottom w:val="nil"/>
              <w:right w:val="nil"/>
            </w:tcBorders>
            <w:shd w:val="clear" w:color="auto" w:fill="auto"/>
            <w:noWrap/>
            <w:vAlign w:val="bottom"/>
            <w:hideMark/>
          </w:tcPr>
          <w:p w14:paraId="262EC213"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Capital Social</w:t>
            </w:r>
          </w:p>
        </w:tc>
        <w:tc>
          <w:tcPr>
            <w:tcW w:w="1088" w:type="pct"/>
            <w:tcBorders>
              <w:top w:val="nil"/>
              <w:left w:val="nil"/>
              <w:bottom w:val="nil"/>
              <w:right w:val="nil"/>
            </w:tcBorders>
            <w:shd w:val="clear" w:color="auto" w:fill="auto"/>
            <w:noWrap/>
            <w:vAlign w:val="bottom"/>
            <w:hideMark/>
          </w:tcPr>
          <w:p w14:paraId="6AD81820"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22.233.502.272 </w:t>
            </w:r>
          </w:p>
        </w:tc>
        <w:tc>
          <w:tcPr>
            <w:tcW w:w="942" w:type="pct"/>
            <w:tcBorders>
              <w:top w:val="nil"/>
              <w:left w:val="nil"/>
              <w:bottom w:val="nil"/>
              <w:right w:val="nil"/>
            </w:tcBorders>
            <w:shd w:val="clear" w:color="auto" w:fill="auto"/>
            <w:noWrap/>
            <w:vAlign w:val="bottom"/>
            <w:hideMark/>
          </w:tcPr>
          <w:p w14:paraId="7F226E48"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22.233.502.272 </w:t>
            </w:r>
          </w:p>
        </w:tc>
        <w:tc>
          <w:tcPr>
            <w:tcW w:w="301" w:type="pct"/>
            <w:tcBorders>
              <w:top w:val="nil"/>
              <w:left w:val="nil"/>
              <w:bottom w:val="nil"/>
              <w:right w:val="nil"/>
            </w:tcBorders>
            <w:shd w:val="clear" w:color="auto" w:fill="auto"/>
            <w:noWrap/>
            <w:vAlign w:val="center"/>
            <w:hideMark/>
          </w:tcPr>
          <w:p w14:paraId="66EDC2E7"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(14a)</w:t>
            </w:r>
          </w:p>
        </w:tc>
      </w:tr>
      <w:tr w:rsidR="00EE5736" w:rsidRPr="00EE5736" w14:paraId="46495963" w14:textId="77777777" w:rsidTr="00EE5736">
        <w:trPr>
          <w:trHeight w:hRule="exact" w:val="227"/>
        </w:trPr>
        <w:tc>
          <w:tcPr>
            <w:tcW w:w="2669" w:type="pct"/>
            <w:tcBorders>
              <w:top w:val="nil"/>
              <w:left w:val="nil"/>
              <w:bottom w:val="nil"/>
              <w:right w:val="nil"/>
            </w:tcBorders>
            <w:shd w:val="clear" w:color="auto" w:fill="auto"/>
            <w:noWrap/>
            <w:vAlign w:val="bottom"/>
            <w:hideMark/>
          </w:tcPr>
          <w:p w14:paraId="23857143"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Adiantamento para Futuro Aumento de Capital</w:t>
            </w:r>
          </w:p>
        </w:tc>
        <w:tc>
          <w:tcPr>
            <w:tcW w:w="1088" w:type="pct"/>
            <w:tcBorders>
              <w:top w:val="nil"/>
              <w:left w:val="nil"/>
              <w:bottom w:val="nil"/>
              <w:right w:val="nil"/>
            </w:tcBorders>
            <w:shd w:val="clear" w:color="auto" w:fill="auto"/>
            <w:noWrap/>
            <w:vAlign w:val="bottom"/>
            <w:hideMark/>
          </w:tcPr>
          <w:p w14:paraId="5156EE2E"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1.181.233.779 </w:t>
            </w:r>
          </w:p>
        </w:tc>
        <w:tc>
          <w:tcPr>
            <w:tcW w:w="942" w:type="pct"/>
            <w:tcBorders>
              <w:top w:val="nil"/>
              <w:left w:val="nil"/>
              <w:bottom w:val="nil"/>
              <w:right w:val="nil"/>
            </w:tcBorders>
            <w:shd w:val="clear" w:color="auto" w:fill="auto"/>
            <w:noWrap/>
            <w:vAlign w:val="bottom"/>
            <w:hideMark/>
          </w:tcPr>
          <w:p w14:paraId="0EFC488F"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903.489.907 </w:t>
            </w:r>
          </w:p>
        </w:tc>
        <w:tc>
          <w:tcPr>
            <w:tcW w:w="301" w:type="pct"/>
            <w:tcBorders>
              <w:top w:val="nil"/>
              <w:left w:val="nil"/>
              <w:bottom w:val="nil"/>
              <w:right w:val="nil"/>
            </w:tcBorders>
            <w:shd w:val="clear" w:color="auto" w:fill="auto"/>
            <w:noWrap/>
            <w:vAlign w:val="center"/>
            <w:hideMark/>
          </w:tcPr>
          <w:p w14:paraId="7F78545C"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(11c)</w:t>
            </w:r>
          </w:p>
        </w:tc>
      </w:tr>
      <w:tr w:rsidR="00EE5736" w:rsidRPr="00EE5736" w14:paraId="0DB15A72" w14:textId="77777777" w:rsidTr="00EE5736">
        <w:trPr>
          <w:trHeight w:hRule="exact" w:val="227"/>
        </w:trPr>
        <w:tc>
          <w:tcPr>
            <w:tcW w:w="2669" w:type="pct"/>
            <w:tcBorders>
              <w:top w:val="nil"/>
              <w:left w:val="nil"/>
              <w:bottom w:val="nil"/>
              <w:right w:val="nil"/>
            </w:tcBorders>
            <w:shd w:val="clear" w:color="auto" w:fill="auto"/>
            <w:noWrap/>
            <w:vAlign w:val="bottom"/>
            <w:hideMark/>
          </w:tcPr>
          <w:p w14:paraId="06F7107F"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Prejuízos Acumulados</w:t>
            </w:r>
          </w:p>
        </w:tc>
        <w:tc>
          <w:tcPr>
            <w:tcW w:w="1088" w:type="pct"/>
            <w:tcBorders>
              <w:top w:val="nil"/>
              <w:left w:val="nil"/>
              <w:bottom w:val="nil"/>
              <w:right w:val="nil"/>
            </w:tcBorders>
            <w:shd w:val="clear" w:color="auto" w:fill="auto"/>
            <w:noWrap/>
            <w:vAlign w:val="bottom"/>
            <w:hideMark/>
          </w:tcPr>
          <w:p w14:paraId="4F409055"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(20.356.221.907)</w:t>
            </w:r>
          </w:p>
        </w:tc>
        <w:tc>
          <w:tcPr>
            <w:tcW w:w="942" w:type="pct"/>
            <w:tcBorders>
              <w:top w:val="nil"/>
              <w:left w:val="nil"/>
              <w:bottom w:val="nil"/>
              <w:right w:val="nil"/>
            </w:tcBorders>
            <w:shd w:val="clear" w:color="auto" w:fill="auto"/>
            <w:noWrap/>
            <w:vAlign w:val="bottom"/>
            <w:hideMark/>
          </w:tcPr>
          <w:p w14:paraId="7AEDEF8E"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(20.254.287.649)</w:t>
            </w:r>
          </w:p>
        </w:tc>
        <w:tc>
          <w:tcPr>
            <w:tcW w:w="301" w:type="pct"/>
            <w:tcBorders>
              <w:top w:val="nil"/>
              <w:left w:val="nil"/>
              <w:bottom w:val="nil"/>
              <w:right w:val="nil"/>
            </w:tcBorders>
            <w:shd w:val="clear" w:color="auto" w:fill="auto"/>
            <w:noWrap/>
            <w:vAlign w:val="center"/>
            <w:hideMark/>
          </w:tcPr>
          <w:p w14:paraId="150C2342"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(14b)</w:t>
            </w:r>
          </w:p>
        </w:tc>
      </w:tr>
      <w:tr w:rsidR="00EE5736" w:rsidRPr="00EE5736" w14:paraId="46E0976D" w14:textId="77777777" w:rsidTr="00EE5736">
        <w:trPr>
          <w:trHeight w:hRule="exact" w:val="227"/>
        </w:trPr>
        <w:tc>
          <w:tcPr>
            <w:tcW w:w="2669" w:type="pct"/>
            <w:tcBorders>
              <w:top w:val="nil"/>
              <w:left w:val="nil"/>
              <w:bottom w:val="nil"/>
              <w:right w:val="nil"/>
            </w:tcBorders>
            <w:shd w:val="clear" w:color="auto" w:fill="auto"/>
            <w:noWrap/>
            <w:vAlign w:val="bottom"/>
            <w:hideMark/>
          </w:tcPr>
          <w:p w14:paraId="67E7751E" w14:textId="77777777" w:rsidR="00EE5736" w:rsidRPr="00EE5736" w:rsidRDefault="00EE5736">
            <w:pPr>
              <w:jc w:val="right"/>
              <w:rPr>
                <w:rFonts w:asciiTheme="majorHAnsi" w:hAnsiTheme="majorHAnsi" w:cs="Arial"/>
                <w:sz w:val="16"/>
                <w:szCs w:val="16"/>
              </w:rPr>
            </w:pPr>
          </w:p>
        </w:tc>
        <w:tc>
          <w:tcPr>
            <w:tcW w:w="1088" w:type="pct"/>
            <w:tcBorders>
              <w:top w:val="nil"/>
              <w:left w:val="nil"/>
              <w:bottom w:val="nil"/>
              <w:right w:val="nil"/>
            </w:tcBorders>
            <w:shd w:val="clear" w:color="auto" w:fill="auto"/>
            <w:noWrap/>
            <w:vAlign w:val="bottom"/>
            <w:hideMark/>
          </w:tcPr>
          <w:p w14:paraId="3584F876" w14:textId="77777777" w:rsidR="00EE5736" w:rsidRPr="00EE5736" w:rsidRDefault="00EE5736">
            <w:pPr>
              <w:rPr>
                <w:rFonts w:asciiTheme="majorHAnsi" w:hAnsiTheme="majorHAnsi"/>
                <w:sz w:val="16"/>
                <w:szCs w:val="16"/>
              </w:rPr>
            </w:pPr>
          </w:p>
        </w:tc>
        <w:tc>
          <w:tcPr>
            <w:tcW w:w="942" w:type="pct"/>
            <w:tcBorders>
              <w:top w:val="nil"/>
              <w:left w:val="nil"/>
              <w:bottom w:val="nil"/>
              <w:right w:val="nil"/>
            </w:tcBorders>
            <w:shd w:val="clear" w:color="auto" w:fill="auto"/>
            <w:noWrap/>
            <w:vAlign w:val="bottom"/>
            <w:hideMark/>
          </w:tcPr>
          <w:p w14:paraId="493C844F" w14:textId="77777777" w:rsidR="00EE5736" w:rsidRPr="00EE5736" w:rsidRDefault="00EE5736">
            <w:pPr>
              <w:jc w:val="right"/>
              <w:rPr>
                <w:rFonts w:asciiTheme="majorHAnsi" w:hAnsiTheme="majorHAnsi"/>
                <w:sz w:val="16"/>
                <w:szCs w:val="16"/>
              </w:rPr>
            </w:pPr>
          </w:p>
        </w:tc>
        <w:tc>
          <w:tcPr>
            <w:tcW w:w="301" w:type="pct"/>
            <w:tcBorders>
              <w:top w:val="nil"/>
              <w:left w:val="nil"/>
              <w:bottom w:val="nil"/>
              <w:right w:val="nil"/>
            </w:tcBorders>
            <w:shd w:val="clear" w:color="auto" w:fill="auto"/>
            <w:noWrap/>
            <w:vAlign w:val="center"/>
            <w:hideMark/>
          </w:tcPr>
          <w:p w14:paraId="31ACA271" w14:textId="77777777" w:rsidR="00EE5736" w:rsidRPr="00EE5736" w:rsidRDefault="00EE5736">
            <w:pPr>
              <w:rPr>
                <w:rFonts w:asciiTheme="majorHAnsi" w:hAnsiTheme="majorHAnsi"/>
                <w:sz w:val="16"/>
                <w:szCs w:val="16"/>
              </w:rPr>
            </w:pPr>
          </w:p>
        </w:tc>
      </w:tr>
      <w:tr w:rsidR="00EE5736" w:rsidRPr="00EE5736" w14:paraId="48CC3566" w14:textId="77777777" w:rsidTr="00EE5736">
        <w:trPr>
          <w:trHeight w:hRule="exact" w:val="227"/>
        </w:trPr>
        <w:tc>
          <w:tcPr>
            <w:tcW w:w="2669" w:type="pct"/>
            <w:tcBorders>
              <w:top w:val="nil"/>
              <w:left w:val="nil"/>
              <w:bottom w:val="nil"/>
              <w:right w:val="nil"/>
            </w:tcBorders>
            <w:shd w:val="clear" w:color="auto" w:fill="auto"/>
            <w:noWrap/>
            <w:vAlign w:val="bottom"/>
            <w:hideMark/>
          </w:tcPr>
          <w:p w14:paraId="311E0A4A" w14:textId="77777777" w:rsidR="00EE5736" w:rsidRPr="00EE5736" w:rsidRDefault="00EE5736">
            <w:pPr>
              <w:rPr>
                <w:rFonts w:asciiTheme="majorHAnsi" w:hAnsiTheme="majorHAnsi" w:cs="Arial"/>
                <w:b/>
                <w:bCs/>
                <w:sz w:val="16"/>
                <w:szCs w:val="16"/>
              </w:rPr>
            </w:pPr>
            <w:r w:rsidRPr="00EE5736">
              <w:rPr>
                <w:rFonts w:asciiTheme="majorHAnsi" w:hAnsiTheme="majorHAnsi" w:cs="Arial"/>
                <w:b/>
                <w:bCs/>
                <w:sz w:val="16"/>
                <w:szCs w:val="16"/>
              </w:rPr>
              <w:t>TOTAL DO PASSIVO</w:t>
            </w:r>
          </w:p>
        </w:tc>
        <w:tc>
          <w:tcPr>
            <w:tcW w:w="1088" w:type="pct"/>
            <w:tcBorders>
              <w:top w:val="nil"/>
              <w:left w:val="nil"/>
              <w:bottom w:val="nil"/>
              <w:right w:val="nil"/>
            </w:tcBorders>
            <w:shd w:val="clear" w:color="auto" w:fill="auto"/>
            <w:noWrap/>
            <w:vAlign w:val="bottom"/>
            <w:hideMark/>
          </w:tcPr>
          <w:p w14:paraId="687D7C9E"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 xml:space="preserve">                  4.054.688.191 </w:t>
            </w:r>
          </w:p>
        </w:tc>
        <w:tc>
          <w:tcPr>
            <w:tcW w:w="942" w:type="pct"/>
            <w:tcBorders>
              <w:top w:val="nil"/>
              <w:left w:val="nil"/>
              <w:bottom w:val="nil"/>
              <w:right w:val="nil"/>
            </w:tcBorders>
            <w:shd w:val="clear" w:color="auto" w:fill="auto"/>
            <w:noWrap/>
            <w:vAlign w:val="bottom"/>
            <w:hideMark/>
          </w:tcPr>
          <w:p w14:paraId="31229B08"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 xml:space="preserve">            3.743.688.328 </w:t>
            </w:r>
          </w:p>
        </w:tc>
        <w:tc>
          <w:tcPr>
            <w:tcW w:w="301" w:type="pct"/>
            <w:tcBorders>
              <w:top w:val="nil"/>
              <w:left w:val="nil"/>
              <w:bottom w:val="nil"/>
              <w:right w:val="nil"/>
            </w:tcBorders>
            <w:shd w:val="clear" w:color="auto" w:fill="auto"/>
            <w:noWrap/>
            <w:vAlign w:val="center"/>
            <w:hideMark/>
          </w:tcPr>
          <w:p w14:paraId="17A24F63" w14:textId="77777777" w:rsidR="00EE5736" w:rsidRPr="00EE5736" w:rsidRDefault="00EE5736">
            <w:pPr>
              <w:jc w:val="right"/>
              <w:rPr>
                <w:rFonts w:asciiTheme="majorHAnsi" w:hAnsiTheme="majorHAnsi" w:cs="Arial"/>
                <w:b/>
                <w:bCs/>
                <w:sz w:val="16"/>
                <w:szCs w:val="16"/>
              </w:rPr>
            </w:pPr>
          </w:p>
        </w:tc>
      </w:tr>
      <w:tr w:rsidR="00EE5736" w:rsidRPr="00EE5736" w14:paraId="6F145469" w14:textId="77777777" w:rsidTr="00EE5736">
        <w:trPr>
          <w:trHeight w:hRule="exact" w:val="227"/>
        </w:trPr>
        <w:tc>
          <w:tcPr>
            <w:tcW w:w="2669" w:type="pct"/>
            <w:tcBorders>
              <w:top w:val="nil"/>
              <w:left w:val="nil"/>
              <w:bottom w:val="nil"/>
              <w:right w:val="nil"/>
            </w:tcBorders>
            <w:shd w:val="clear" w:color="auto" w:fill="auto"/>
            <w:noWrap/>
            <w:vAlign w:val="bottom"/>
            <w:hideMark/>
          </w:tcPr>
          <w:p w14:paraId="5D2958E1" w14:textId="77777777" w:rsidR="00EE5736" w:rsidRPr="00EE5736" w:rsidRDefault="00EE5736">
            <w:pPr>
              <w:jc w:val="center"/>
              <w:rPr>
                <w:rFonts w:asciiTheme="majorHAnsi" w:hAnsiTheme="majorHAnsi"/>
                <w:sz w:val="16"/>
                <w:szCs w:val="16"/>
              </w:rPr>
            </w:pPr>
          </w:p>
        </w:tc>
        <w:tc>
          <w:tcPr>
            <w:tcW w:w="1088" w:type="pct"/>
            <w:tcBorders>
              <w:top w:val="nil"/>
              <w:left w:val="nil"/>
              <w:bottom w:val="nil"/>
              <w:right w:val="nil"/>
            </w:tcBorders>
            <w:shd w:val="clear" w:color="auto" w:fill="auto"/>
            <w:noWrap/>
            <w:vAlign w:val="bottom"/>
            <w:hideMark/>
          </w:tcPr>
          <w:p w14:paraId="16438CE1" w14:textId="77777777" w:rsidR="00EE5736" w:rsidRPr="00EE5736" w:rsidRDefault="00EE5736">
            <w:pPr>
              <w:rPr>
                <w:rFonts w:asciiTheme="majorHAnsi" w:hAnsiTheme="majorHAnsi"/>
                <w:sz w:val="16"/>
                <w:szCs w:val="16"/>
              </w:rPr>
            </w:pPr>
          </w:p>
        </w:tc>
        <w:tc>
          <w:tcPr>
            <w:tcW w:w="942" w:type="pct"/>
            <w:tcBorders>
              <w:top w:val="nil"/>
              <w:left w:val="nil"/>
              <w:bottom w:val="nil"/>
              <w:right w:val="nil"/>
            </w:tcBorders>
            <w:shd w:val="clear" w:color="auto" w:fill="auto"/>
            <w:noWrap/>
            <w:vAlign w:val="bottom"/>
            <w:hideMark/>
          </w:tcPr>
          <w:p w14:paraId="38803EBF" w14:textId="77777777" w:rsidR="00EE5736" w:rsidRPr="00EE5736" w:rsidRDefault="00EE5736">
            <w:pPr>
              <w:jc w:val="right"/>
              <w:rPr>
                <w:rFonts w:asciiTheme="majorHAnsi" w:hAnsiTheme="majorHAnsi"/>
                <w:sz w:val="16"/>
                <w:szCs w:val="16"/>
              </w:rPr>
            </w:pPr>
          </w:p>
        </w:tc>
        <w:tc>
          <w:tcPr>
            <w:tcW w:w="301" w:type="pct"/>
            <w:tcBorders>
              <w:top w:val="nil"/>
              <w:left w:val="nil"/>
              <w:bottom w:val="nil"/>
              <w:right w:val="nil"/>
            </w:tcBorders>
            <w:shd w:val="clear" w:color="auto" w:fill="auto"/>
            <w:noWrap/>
            <w:vAlign w:val="center"/>
            <w:hideMark/>
          </w:tcPr>
          <w:p w14:paraId="2AF40945" w14:textId="77777777" w:rsidR="00EE5736" w:rsidRPr="00EE5736" w:rsidRDefault="00EE5736">
            <w:pPr>
              <w:jc w:val="right"/>
              <w:rPr>
                <w:rFonts w:asciiTheme="majorHAnsi" w:hAnsiTheme="majorHAnsi"/>
                <w:sz w:val="16"/>
                <w:szCs w:val="16"/>
              </w:rPr>
            </w:pPr>
          </w:p>
        </w:tc>
      </w:tr>
      <w:tr w:rsidR="00EE5736" w:rsidRPr="00EE5736" w14:paraId="4C9763B3" w14:textId="77777777" w:rsidTr="00EE5736">
        <w:trPr>
          <w:trHeight w:hRule="exact" w:val="227"/>
        </w:trPr>
        <w:tc>
          <w:tcPr>
            <w:tcW w:w="2669" w:type="pct"/>
            <w:tcBorders>
              <w:top w:val="nil"/>
              <w:left w:val="nil"/>
              <w:bottom w:val="nil"/>
              <w:right w:val="nil"/>
            </w:tcBorders>
            <w:shd w:val="clear" w:color="auto" w:fill="auto"/>
            <w:noWrap/>
            <w:vAlign w:val="bottom"/>
            <w:hideMark/>
          </w:tcPr>
          <w:p w14:paraId="79F730C2" w14:textId="77777777" w:rsidR="00EE5736" w:rsidRPr="00EE5736" w:rsidRDefault="00EE5736">
            <w:pPr>
              <w:jc w:val="center"/>
              <w:rPr>
                <w:rFonts w:asciiTheme="majorHAnsi" w:hAnsiTheme="majorHAnsi"/>
                <w:sz w:val="16"/>
                <w:szCs w:val="16"/>
              </w:rPr>
            </w:pPr>
          </w:p>
        </w:tc>
        <w:tc>
          <w:tcPr>
            <w:tcW w:w="1088" w:type="pct"/>
            <w:tcBorders>
              <w:top w:val="nil"/>
              <w:left w:val="nil"/>
              <w:bottom w:val="nil"/>
              <w:right w:val="nil"/>
            </w:tcBorders>
            <w:shd w:val="clear" w:color="auto" w:fill="auto"/>
            <w:noWrap/>
            <w:vAlign w:val="bottom"/>
            <w:hideMark/>
          </w:tcPr>
          <w:p w14:paraId="1B1682FB" w14:textId="77777777" w:rsidR="00EE5736" w:rsidRPr="00EE5736" w:rsidRDefault="00EE5736">
            <w:pPr>
              <w:rPr>
                <w:rFonts w:asciiTheme="majorHAnsi" w:hAnsiTheme="majorHAnsi"/>
                <w:sz w:val="16"/>
                <w:szCs w:val="16"/>
              </w:rPr>
            </w:pPr>
          </w:p>
        </w:tc>
        <w:tc>
          <w:tcPr>
            <w:tcW w:w="942" w:type="pct"/>
            <w:tcBorders>
              <w:top w:val="nil"/>
              <w:left w:val="nil"/>
              <w:bottom w:val="nil"/>
              <w:right w:val="nil"/>
            </w:tcBorders>
            <w:shd w:val="clear" w:color="auto" w:fill="auto"/>
            <w:noWrap/>
            <w:vAlign w:val="bottom"/>
            <w:hideMark/>
          </w:tcPr>
          <w:p w14:paraId="49AB9E71" w14:textId="77777777" w:rsidR="00EE5736" w:rsidRPr="00EE5736" w:rsidRDefault="00EE5736">
            <w:pPr>
              <w:jc w:val="center"/>
              <w:rPr>
                <w:rFonts w:asciiTheme="majorHAnsi" w:hAnsiTheme="majorHAnsi"/>
                <w:sz w:val="16"/>
                <w:szCs w:val="16"/>
              </w:rPr>
            </w:pPr>
          </w:p>
        </w:tc>
        <w:tc>
          <w:tcPr>
            <w:tcW w:w="301" w:type="pct"/>
            <w:tcBorders>
              <w:top w:val="nil"/>
              <w:left w:val="nil"/>
              <w:bottom w:val="nil"/>
              <w:right w:val="nil"/>
            </w:tcBorders>
            <w:shd w:val="clear" w:color="auto" w:fill="auto"/>
            <w:noWrap/>
            <w:vAlign w:val="center"/>
            <w:hideMark/>
          </w:tcPr>
          <w:p w14:paraId="57EA24EC" w14:textId="77777777" w:rsidR="00EE5736" w:rsidRPr="00EE5736" w:rsidRDefault="00EE5736">
            <w:pPr>
              <w:jc w:val="right"/>
              <w:rPr>
                <w:rFonts w:asciiTheme="majorHAnsi" w:hAnsiTheme="majorHAnsi"/>
                <w:sz w:val="16"/>
                <w:szCs w:val="16"/>
              </w:rPr>
            </w:pPr>
          </w:p>
        </w:tc>
      </w:tr>
      <w:tr w:rsidR="00EE5736" w:rsidRPr="00EE5736" w14:paraId="227707F8" w14:textId="77777777" w:rsidTr="00EE5736">
        <w:trPr>
          <w:trHeight w:hRule="exact" w:val="227"/>
        </w:trPr>
        <w:tc>
          <w:tcPr>
            <w:tcW w:w="2669" w:type="pct"/>
            <w:tcBorders>
              <w:top w:val="nil"/>
              <w:left w:val="nil"/>
              <w:bottom w:val="nil"/>
              <w:right w:val="nil"/>
            </w:tcBorders>
            <w:shd w:val="clear" w:color="auto" w:fill="auto"/>
            <w:noWrap/>
            <w:vAlign w:val="bottom"/>
            <w:hideMark/>
          </w:tcPr>
          <w:p w14:paraId="66D8AE6E" w14:textId="77777777" w:rsidR="00EE5736" w:rsidRPr="00EE5736" w:rsidRDefault="00EE5736">
            <w:pPr>
              <w:jc w:val="center"/>
              <w:rPr>
                <w:rFonts w:asciiTheme="majorHAnsi" w:hAnsiTheme="majorHAnsi"/>
                <w:sz w:val="16"/>
                <w:szCs w:val="16"/>
              </w:rPr>
            </w:pPr>
          </w:p>
        </w:tc>
        <w:tc>
          <w:tcPr>
            <w:tcW w:w="1088" w:type="pct"/>
            <w:tcBorders>
              <w:top w:val="nil"/>
              <w:left w:val="nil"/>
              <w:bottom w:val="nil"/>
              <w:right w:val="nil"/>
            </w:tcBorders>
            <w:shd w:val="clear" w:color="auto" w:fill="auto"/>
            <w:noWrap/>
            <w:vAlign w:val="bottom"/>
            <w:hideMark/>
          </w:tcPr>
          <w:p w14:paraId="21A89B16" w14:textId="77777777" w:rsidR="00EE5736" w:rsidRPr="00EE5736" w:rsidRDefault="00EE5736">
            <w:pPr>
              <w:rPr>
                <w:rFonts w:asciiTheme="majorHAnsi" w:hAnsiTheme="majorHAnsi"/>
                <w:sz w:val="16"/>
                <w:szCs w:val="16"/>
              </w:rPr>
            </w:pPr>
          </w:p>
        </w:tc>
        <w:tc>
          <w:tcPr>
            <w:tcW w:w="942" w:type="pct"/>
            <w:tcBorders>
              <w:top w:val="nil"/>
              <w:left w:val="nil"/>
              <w:bottom w:val="nil"/>
              <w:right w:val="nil"/>
            </w:tcBorders>
            <w:shd w:val="clear" w:color="auto" w:fill="auto"/>
            <w:noWrap/>
            <w:vAlign w:val="bottom"/>
            <w:hideMark/>
          </w:tcPr>
          <w:p w14:paraId="5C526EC3" w14:textId="77777777" w:rsidR="00EE5736" w:rsidRPr="00EE5736" w:rsidRDefault="00EE5736">
            <w:pPr>
              <w:rPr>
                <w:rFonts w:asciiTheme="majorHAnsi" w:hAnsiTheme="majorHAnsi"/>
                <w:sz w:val="16"/>
                <w:szCs w:val="16"/>
              </w:rPr>
            </w:pPr>
          </w:p>
        </w:tc>
        <w:tc>
          <w:tcPr>
            <w:tcW w:w="301" w:type="pct"/>
            <w:tcBorders>
              <w:top w:val="nil"/>
              <w:left w:val="nil"/>
              <w:bottom w:val="nil"/>
              <w:right w:val="nil"/>
            </w:tcBorders>
            <w:shd w:val="clear" w:color="auto" w:fill="auto"/>
            <w:noWrap/>
            <w:vAlign w:val="center"/>
            <w:hideMark/>
          </w:tcPr>
          <w:p w14:paraId="61700B86" w14:textId="77777777" w:rsidR="00EE5736" w:rsidRPr="00EE5736" w:rsidRDefault="00EE5736">
            <w:pPr>
              <w:jc w:val="right"/>
              <w:rPr>
                <w:rFonts w:asciiTheme="majorHAnsi" w:hAnsiTheme="majorHAnsi"/>
                <w:sz w:val="16"/>
                <w:szCs w:val="16"/>
              </w:rPr>
            </w:pPr>
          </w:p>
        </w:tc>
      </w:tr>
      <w:tr w:rsidR="00EE5736" w:rsidRPr="00EE5736" w14:paraId="264BC71C" w14:textId="77777777" w:rsidTr="00EE5736">
        <w:trPr>
          <w:trHeight w:hRule="exact" w:val="227"/>
        </w:trPr>
        <w:tc>
          <w:tcPr>
            <w:tcW w:w="2669" w:type="pct"/>
            <w:tcBorders>
              <w:top w:val="nil"/>
              <w:left w:val="nil"/>
              <w:bottom w:val="nil"/>
              <w:right w:val="nil"/>
            </w:tcBorders>
            <w:shd w:val="clear" w:color="auto" w:fill="auto"/>
            <w:noWrap/>
            <w:vAlign w:val="bottom"/>
            <w:hideMark/>
          </w:tcPr>
          <w:p w14:paraId="4B798B56" w14:textId="77777777" w:rsidR="00EE5736" w:rsidRPr="00EE5736" w:rsidRDefault="00EE5736">
            <w:pPr>
              <w:jc w:val="center"/>
              <w:rPr>
                <w:rFonts w:asciiTheme="majorHAnsi" w:hAnsiTheme="majorHAnsi"/>
                <w:sz w:val="16"/>
                <w:szCs w:val="16"/>
              </w:rPr>
            </w:pPr>
          </w:p>
        </w:tc>
        <w:tc>
          <w:tcPr>
            <w:tcW w:w="1088" w:type="pct"/>
            <w:tcBorders>
              <w:top w:val="nil"/>
              <w:left w:val="nil"/>
              <w:bottom w:val="nil"/>
              <w:right w:val="nil"/>
            </w:tcBorders>
            <w:shd w:val="clear" w:color="auto" w:fill="auto"/>
            <w:noWrap/>
            <w:vAlign w:val="bottom"/>
            <w:hideMark/>
          </w:tcPr>
          <w:p w14:paraId="10E33EB5" w14:textId="77777777" w:rsidR="00EE5736" w:rsidRPr="00EE5736" w:rsidRDefault="00EE5736">
            <w:pPr>
              <w:jc w:val="center"/>
              <w:rPr>
                <w:rFonts w:asciiTheme="majorHAnsi" w:hAnsiTheme="majorHAnsi"/>
                <w:sz w:val="16"/>
                <w:szCs w:val="16"/>
              </w:rPr>
            </w:pPr>
          </w:p>
        </w:tc>
        <w:tc>
          <w:tcPr>
            <w:tcW w:w="942" w:type="pct"/>
            <w:tcBorders>
              <w:top w:val="nil"/>
              <w:left w:val="nil"/>
              <w:bottom w:val="nil"/>
              <w:right w:val="nil"/>
            </w:tcBorders>
            <w:shd w:val="clear" w:color="auto" w:fill="auto"/>
            <w:noWrap/>
            <w:vAlign w:val="bottom"/>
            <w:hideMark/>
          </w:tcPr>
          <w:p w14:paraId="78E95EC5" w14:textId="77777777" w:rsidR="00EE5736" w:rsidRPr="00EE5736" w:rsidRDefault="00EE5736">
            <w:pPr>
              <w:rPr>
                <w:rFonts w:asciiTheme="majorHAnsi" w:hAnsiTheme="majorHAnsi"/>
                <w:sz w:val="16"/>
                <w:szCs w:val="16"/>
              </w:rPr>
            </w:pPr>
          </w:p>
        </w:tc>
        <w:tc>
          <w:tcPr>
            <w:tcW w:w="301" w:type="pct"/>
            <w:tcBorders>
              <w:top w:val="nil"/>
              <w:left w:val="nil"/>
              <w:bottom w:val="nil"/>
              <w:right w:val="nil"/>
            </w:tcBorders>
            <w:shd w:val="clear" w:color="auto" w:fill="auto"/>
            <w:noWrap/>
            <w:vAlign w:val="center"/>
            <w:hideMark/>
          </w:tcPr>
          <w:p w14:paraId="2BE5B489" w14:textId="77777777" w:rsidR="00EE5736" w:rsidRPr="00EE5736" w:rsidRDefault="00EE5736">
            <w:pPr>
              <w:jc w:val="right"/>
              <w:rPr>
                <w:rFonts w:asciiTheme="majorHAnsi" w:hAnsiTheme="majorHAnsi"/>
                <w:sz w:val="16"/>
                <w:szCs w:val="16"/>
              </w:rPr>
            </w:pPr>
          </w:p>
        </w:tc>
      </w:tr>
      <w:tr w:rsidR="00EE5736" w:rsidRPr="00EE5736" w14:paraId="711B262B" w14:textId="77777777" w:rsidTr="00EE5736">
        <w:trPr>
          <w:trHeight w:hRule="exact" w:val="227"/>
        </w:trPr>
        <w:tc>
          <w:tcPr>
            <w:tcW w:w="5000" w:type="pct"/>
            <w:gridSpan w:val="4"/>
            <w:tcBorders>
              <w:top w:val="nil"/>
              <w:left w:val="nil"/>
              <w:bottom w:val="nil"/>
              <w:right w:val="nil"/>
            </w:tcBorders>
            <w:shd w:val="clear" w:color="auto" w:fill="auto"/>
            <w:noWrap/>
            <w:vAlign w:val="bottom"/>
            <w:hideMark/>
          </w:tcPr>
          <w:p w14:paraId="442240C2" w14:textId="77777777" w:rsidR="00EE5736" w:rsidRPr="00EE5736" w:rsidRDefault="00EE5736">
            <w:pPr>
              <w:jc w:val="center"/>
              <w:rPr>
                <w:rFonts w:asciiTheme="majorHAnsi" w:hAnsiTheme="majorHAnsi" w:cs="Arial"/>
                <w:sz w:val="16"/>
                <w:szCs w:val="16"/>
              </w:rPr>
            </w:pPr>
            <w:r w:rsidRPr="00EE5736">
              <w:rPr>
                <w:rFonts w:asciiTheme="majorHAnsi" w:hAnsiTheme="majorHAnsi" w:cs="Arial"/>
                <w:sz w:val="16"/>
                <w:szCs w:val="16"/>
              </w:rPr>
              <w:t>(As Notas Explicativas são parte integrante das demonstrações contábeis intermediárias)</w:t>
            </w:r>
          </w:p>
        </w:tc>
      </w:tr>
    </w:tbl>
    <w:p w14:paraId="686A310B" w14:textId="1DF402B4" w:rsidR="00EE5736" w:rsidRDefault="00EE5736" w:rsidP="002E2B5B">
      <w:pPr>
        <w:pStyle w:val="Ttulo1"/>
        <w:tabs>
          <w:tab w:val="left" w:pos="1701"/>
        </w:tabs>
        <w:ind w:right="-142"/>
        <w:rPr>
          <w:rFonts w:ascii="Calibri" w:hAnsi="Calibri" w:cs="Calibri"/>
          <w:szCs w:val="22"/>
        </w:rPr>
      </w:pPr>
    </w:p>
    <w:p w14:paraId="35186BF6" w14:textId="04F29B88" w:rsidR="00EE5736" w:rsidRDefault="00EE5736" w:rsidP="00EE5736"/>
    <w:p w14:paraId="6A4557BE" w14:textId="0143FBBA" w:rsidR="00EE5736" w:rsidRDefault="00EE5736" w:rsidP="00EE5736"/>
    <w:p w14:paraId="281CD109" w14:textId="748BFE2A" w:rsidR="00EE5736" w:rsidRDefault="00EE5736" w:rsidP="00EE5736"/>
    <w:p w14:paraId="39A289EE" w14:textId="2B924AA6" w:rsidR="00EE5736" w:rsidRDefault="00EE5736" w:rsidP="00EE5736"/>
    <w:p w14:paraId="26469E52" w14:textId="7E34655C" w:rsidR="00EE5736" w:rsidRDefault="00EE5736" w:rsidP="00EE5736"/>
    <w:p w14:paraId="3B2175C1" w14:textId="0DAF465B" w:rsidR="00EE5736" w:rsidRDefault="00EE5736" w:rsidP="00EE5736"/>
    <w:p w14:paraId="182AD15A" w14:textId="3DAE1754" w:rsidR="00EE5736" w:rsidRDefault="00EE5736" w:rsidP="00EE5736"/>
    <w:p w14:paraId="5AC1BCBE" w14:textId="5572ACF3" w:rsidR="00EE5736" w:rsidRDefault="00EE5736" w:rsidP="00EE5736"/>
    <w:p w14:paraId="2B61BDA5" w14:textId="5FB534D6" w:rsidR="00EE5736" w:rsidRDefault="00EE5736" w:rsidP="00EE5736"/>
    <w:p w14:paraId="45B8E409" w14:textId="6111157E" w:rsidR="00EE5736" w:rsidRDefault="00EE5736" w:rsidP="00EE5736"/>
    <w:p w14:paraId="67727603" w14:textId="2D2638DE" w:rsidR="00EE5736" w:rsidRDefault="00EE5736" w:rsidP="00EE5736"/>
    <w:p w14:paraId="2E606614" w14:textId="77777777" w:rsidR="00EE5736" w:rsidRPr="00EE5736" w:rsidRDefault="00EE5736" w:rsidP="00EE5736"/>
    <w:p w14:paraId="09BE1E0D" w14:textId="77777777" w:rsidR="00EE5736" w:rsidRDefault="00EE5736" w:rsidP="002E2B5B">
      <w:pPr>
        <w:pStyle w:val="Ttulo1"/>
        <w:tabs>
          <w:tab w:val="left" w:pos="1701"/>
        </w:tabs>
        <w:ind w:right="-142"/>
        <w:rPr>
          <w:rFonts w:ascii="Calibri" w:hAnsi="Calibri" w:cs="Calibri"/>
          <w:szCs w:val="22"/>
        </w:rPr>
      </w:pPr>
    </w:p>
    <w:tbl>
      <w:tblPr>
        <w:tblW w:w="5000" w:type="pct"/>
        <w:tblCellMar>
          <w:left w:w="70" w:type="dxa"/>
          <w:right w:w="70" w:type="dxa"/>
        </w:tblCellMar>
        <w:tblLook w:val="04A0" w:firstRow="1" w:lastRow="0" w:firstColumn="1" w:lastColumn="0" w:noHBand="0" w:noVBand="1"/>
      </w:tblPr>
      <w:tblGrid>
        <w:gridCol w:w="4373"/>
        <w:gridCol w:w="1172"/>
        <w:gridCol w:w="1449"/>
        <w:gridCol w:w="1449"/>
        <w:gridCol w:w="1543"/>
        <w:gridCol w:w="481"/>
      </w:tblGrid>
      <w:tr w:rsidR="00EE5736" w:rsidRPr="00EE5736" w14:paraId="181AFA50" w14:textId="77777777" w:rsidTr="00EE5736">
        <w:trPr>
          <w:trHeight w:val="227"/>
        </w:trPr>
        <w:tc>
          <w:tcPr>
            <w:tcW w:w="5000" w:type="pct"/>
            <w:gridSpan w:val="6"/>
            <w:tcBorders>
              <w:top w:val="nil"/>
              <w:left w:val="nil"/>
              <w:bottom w:val="nil"/>
              <w:right w:val="nil"/>
            </w:tcBorders>
            <w:shd w:val="clear" w:color="auto" w:fill="auto"/>
            <w:noWrap/>
            <w:vAlign w:val="bottom"/>
            <w:hideMark/>
          </w:tcPr>
          <w:p w14:paraId="5A26A87F" w14:textId="77777777" w:rsidR="00EE5736" w:rsidRPr="00EE5736" w:rsidRDefault="00EE5736">
            <w:pPr>
              <w:jc w:val="center"/>
              <w:rPr>
                <w:rFonts w:asciiTheme="majorHAnsi" w:hAnsiTheme="majorHAnsi" w:cs="Arial"/>
                <w:b/>
                <w:bCs/>
                <w:sz w:val="16"/>
                <w:szCs w:val="16"/>
              </w:rPr>
            </w:pPr>
            <w:r w:rsidRPr="00EE5736">
              <w:rPr>
                <w:rFonts w:asciiTheme="majorHAnsi" w:hAnsiTheme="majorHAnsi" w:cs="Arial"/>
                <w:b/>
                <w:bCs/>
                <w:sz w:val="16"/>
                <w:szCs w:val="16"/>
              </w:rPr>
              <w:t>VALEC ENGENHARIA, CONSTRUÇÕES E FERROVIAS S/A</w:t>
            </w:r>
          </w:p>
        </w:tc>
      </w:tr>
      <w:tr w:rsidR="00EE5736" w:rsidRPr="00EE5736" w14:paraId="7D300053" w14:textId="77777777" w:rsidTr="00EE5736">
        <w:trPr>
          <w:trHeight w:val="227"/>
        </w:trPr>
        <w:tc>
          <w:tcPr>
            <w:tcW w:w="5000" w:type="pct"/>
            <w:gridSpan w:val="6"/>
            <w:tcBorders>
              <w:top w:val="nil"/>
              <w:left w:val="nil"/>
              <w:bottom w:val="nil"/>
              <w:right w:val="nil"/>
            </w:tcBorders>
            <w:shd w:val="clear" w:color="auto" w:fill="auto"/>
            <w:noWrap/>
            <w:vAlign w:val="bottom"/>
            <w:hideMark/>
          </w:tcPr>
          <w:p w14:paraId="5E01914C" w14:textId="77777777" w:rsidR="00EE5736" w:rsidRPr="00EE5736" w:rsidRDefault="00EE5736">
            <w:pPr>
              <w:jc w:val="center"/>
              <w:rPr>
                <w:rFonts w:asciiTheme="majorHAnsi" w:hAnsiTheme="majorHAnsi" w:cs="Arial"/>
                <w:b/>
                <w:bCs/>
                <w:sz w:val="16"/>
                <w:szCs w:val="16"/>
              </w:rPr>
            </w:pPr>
            <w:r w:rsidRPr="00EE5736">
              <w:rPr>
                <w:rFonts w:asciiTheme="majorHAnsi" w:hAnsiTheme="majorHAnsi" w:cs="Arial"/>
                <w:b/>
                <w:bCs/>
                <w:sz w:val="16"/>
                <w:szCs w:val="16"/>
              </w:rPr>
              <w:lastRenderedPageBreak/>
              <w:t xml:space="preserve">DEMONSTRAÇÃO DO RESULTADO </w:t>
            </w:r>
          </w:p>
        </w:tc>
      </w:tr>
      <w:tr w:rsidR="00EE5736" w:rsidRPr="00EE5736" w14:paraId="73A85063" w14:textId="77777777" w:rsidTr="00EE5736">
        <w:trPr>
          <w:trHeight w:val="227"/>
        </w:trPr>
        <w:tc>
          <w:tcPr>
            <w:tcW w:w="5000" w:type="pct"/>
            <w:gridSpan w:val="6"/>
            <w:tcBorders>
              <w:top w:val="nil"/>
              <w:left w:val="nil"/>
              <w:bottom w:val="nil"/>
              <w:right w:val="nil"/>
            </w:tcBorders>
            <w:shd w:val="clear" w:color="auto" w:fill="auto"/>
            <w:noWrap/>
            <w:vAlign w:val="bottom"/>
            <w:hideMark/>
          </w:tcPr>
          <w:p w14:paraId="358969B0" w14:textId="77777777" w:rsidR="00EE5736" w:rsidRPr="00EE5736" w:rsidRDefault="00EE5736">
            <w:pPr>
              <w:jc w:val="center"/>
              <w:rPr>
                <w:rFonts w:asciiTheme="majorHAnsi" w:hAnsiTheme="majorHAnsi" w:cs="Arial"/>
                <w:b/>
                <w:bCs/>
                <w:sz w:val="16"/>
                <w:szCs w:val="16"/>
              </w:rPr>
            </w:pPr>
            <w:r w:rsidRPr="00EE5736">
              <w:rPr>
                <w:rFonts w:asciiTheme="majorHAnsi" w:hAnsiTheme="majorHAnsi" w:cs="Arial"/>
                <w:b/>
                <w:bCs/>
                <w:sz w:val="16"/>
                <w:szCs w:val="16"/>
              </w:rPr>
              <w:t>3º TRIMESTRE 2021</w:t>
            </w:r>
          </w:p>
        </w:tc>
      </w:tr>
      <w:tr w:rsidR="00EE5736" w:rsidRPr="00EE5736" w14:paraId="57A97743" w14:textId="77777777" w:rsidTr="00EE5736">
        <w:trPr>
          <w:trHeight w:val="227"/>
        </w:trPr>
        <w:tc>
          <w:tcPr>
            <w:tcW w:w="5000" w:type="pct"/>
            <w:gridSpan w:val="6"/>
            <w:tcBorders>
              <w:top w:val="nil"/>
              <w:left w:val="nil"/>
              <w:bottom w:val="nil"/>
              <w:right w:val="nil"/>
            </w:tcBorders>
            <w:shd w:val="clear" w:color="auto" w:fill="auto"/>
            <w:noWrap/>
            <w:vAlign w:val="bottom"/>
            <w:hideMark/>
          </w:tcPr>
          <w:p w14:paraId="1B20E2CC" w14:textId="77777777" w:rsidR="00EE5736" w:rsidRPr="00EE5736" w:rsidRDefault="00EE5736">
            <w:pPr>
              <w:jc w:val="center"/>
              <w:rPr>
                <w:rFonts w:asciiTheme="majorHAnsi" w:hAnsiTheme="majorHAnsi" w:cs="Arial"/>
                <w:b/>
                <w:bCs/>
                <w:sz w:val="16"/>
                <w:szCs w:val="16"/>
              </w:rPr>
            </w:pPr>
            <w:r w:rsidRPr="00EE5736">
              <w:rPr>
                <w:rFonts w:asciiTheme="majorHAnsi" w:hAnsiTheme="majorHAnsi" w:cs="Arial"/>
                <w:b/>
                <w:bCs/>
                <w:sz w:val="16"/>
                <w:szCs w:val="16"/>
              </w:rPr>
              <w:t>Em R$ 1</w:t>
            </w:r>
          </w:p>
        </w:tc>
      </w:tr>
      <w:tr w:rsidR="00EE5736" w:rsidRPr="00EE5736" w14:paraId="47ADC269" w14:textId="77777777" w:rsidTr="00EE5736">
        <w:trPr>
          <w:trHeight w:val="227"/>
        </w:trPr>
        <w:tc>
          <w:tcPr>
            <w:tcW w:w="2255" w:type="pct"/>
            <w:tcBorders>
              <w:top w:val="nil"/>
              <w:left w:val="nil"/>
              <w:bottom w:val="nil"/>
              <w:right w:val="nil"/>
            </w:tcBorders>
            <w:shd w:val="clear" w:color="auto" w:fill="auto"/>
            <w:noWrap/>
            <w:vAlign w:val="bottom"/>
            <w:hideMark/>
          </w:tcPr>
          <w:p w14:paraId="1B51264D" w14:textId="77777777" w:rsidR="00EE5736" w:rsidRPr="00EE5736" w:rsidRDefault="00EE5736">
            <w:pPr>
              <w:jc w:val="center"/>
              <w:rPr>
                <w:rFonts w:asciiTheme="majorHAnsi" w:hAnsiTheme="majorHAnsi" w:cs="Arial"/>
                <w:b/>
                <w:bCs/>
                <w:sz w:val="16"/>
                <w:szCs w:val="16"/>
              </w:rPr>
            </w:pPr>
          </w:p>
        </w:tc>
        <w:tc>
          <w:tcPr>
            <w:tcW w:w="500" w:type="pct"/>
            <w:tcBorders>
              <w:top w:val="nil"/>
              <w:left w:val="nil"/>
              <w:bottom w:val="nil"/>
              <w:right w:val="nil"/>
            </w:tcBorders>
            <w:shd w:val="clear" w:color="auto" w:fill="auto"/>
            <w:noWrap/>
            <w:vAlign w:val="bottom"/>
            <w:hideMark/>
          </w:tcPr>
          <w:p w14:paraId="13370D1A" w14:textId="77777777" w:rsidR="00EE5736" w:rsidRPr="00EE5736" w:rsidRDefault="00EE5736">
            <w:pPr>
              <w:jc w:val="center"/>
              <w:rPr>
                <w:rFonts w:asciiTheme="majorHAnsi" w:hAnsiTheme="majorHAnsi"/>
                <w:sz w:val="16"/>
                <w:szCs w:val="16"/>
              </w:rPr>
            </w:pPr>
          </w:p>
        </w:tc>
        <w:tc>
          <w:tcPr>
            <w:tcW w:w="633" w:type="pct"/>
            <w:tcBorders>
              <w:top w:val="nil"/>
              <w:left w:val="nil"/>
              <w:bottom w:val="nil"/>
              <w:right w:val="nil"/>
            </w:tcBorders>
            <w:shd w:val="clear" w:color="auto" w:fill="auto"/>
            <w:noWrap/>
            <w:vAlign w:val="bottom"/>
            <w:hideMark/>
          </w:tcPr>
          <w:p w14:paraId="41FE499B" w14:textId="77777777" w:rsidR="00EE5736" w:rsidRPr="00EE5736" w:rsidRDefault="00EE5736">
            <w:pPr>
              <w:jc w:val="center"/>
              <w:rPr>
                <w:rFonts w:asciiTheme="majorHAnsi" w:hAnsiTheme="majorHAnsi"/>
                <w:sz w:val="16"/>
                <w:szCs w:val="16"/>
              </w:rPr>
            </w:pPr>
          </w:p>
        </w:tc>
        <w:tc>
          <w:tcPr>
            <w:tcW w:w="633" w:type="pct"/>
            <w:tcBorders>
              <w:top w:val="nil"/>
              <w:left w:val="nil"/>
              <w:bottom w:val="nil"/>
              <w:right w:val="nil"/>
            </w:tcBorders>
            <w:shd w:val="clear" w:color="auto" w:fill="auto"/>
            <w:noWrap/>
            <w:vAlign w:val="bottom"/>
            <w:hideMark/>
          </w:tcPr>
          <w:p w14:paraId="535A8AC3" w14:textId="77777777" w:rsidR="00EE5736" w:rsidRPr="00EE5736" w:rsidRDefault="00EE5736">
            <w:pPr>
              <w:jc w:val="center"/>
              <w:rPr>
                <w:rFonts w:asciiTheme="majorHAnsi" w:hAnsiTheme="majorHAnsi"/>
                <w:sz w:val="16"/>
                <w:szCs w:val="16"/>
              </w:rPr>
            </w:pPr>
          </w:p>
        </w:tc>
        <w:tc>
          <w:tcPr>
            <w:tcW w:w="679" w:type="pct"/>
            <w:tcBorders>
              <w:top w:val="nil"/>
              <w:left w:val="nil"/>
              <w:bottom w:val="nil"/>
              <w:right w:val="nil"/>
            </w:tcBorders>
            <w:shd w:val="clear" w:color="auto" w:fill="auto"/>
            <w:noWrap/>
            <w:vAlign w:val="bottom"/>
            <w:hideMark/>
          </w:tcPr>
          <w:p w14:paraId="538A314E" w14:textId="77777777" w:rsidR="00EE5736" w:rsidRPr="00EE5736" w:rsidRDefault="00EE5736">
            <w:pPr>
              <w:jc w:val="center"/>
              <w:rPr>
                <w:rFonts w:asciiTheme="majorHAnsi" w:hAnsiTheme="majorHAnsi"/>
                <w:sz w:val="16"/>
                <w:szCs w:val="16"/>
              </w:rPr>
            </w:pPr>
          </w:p>
        </w:tc>
        <w:tc>
          <w:tcPr>
            <w:tcW w:w="300" w:type="pct"/>
            <w:tcBorders>
              <w:top w:val="nil"/>
              <w:left w:val="nil"/>
              <w:bottom w:val="nil"/>
              <w:right w:val="nil"/>
            </w:tcBorders>
            <w:shd w:val="clear" w:color="auto" w:fill="auto"/>
            <w:noWrap/>
            <w:vAlign w:val="bottom"/>
            <w:hideMark/>
          </w:tcPr>
          <w:p w14:paraId="77926EB3" w14:textId="77777777" w:rsidR="00EE5736" w:rsidRPr="00EE5736" w:rsidRDefault="00EE5736">
            <w:pPr>
              <w:jc w:val="center"/>
              <w:rPr>
                <w:rFonts w:asciiTheme="majorHAnsi" w:hAnsiTheme="majorHAnsi"/>
                <w:sz w:val="16"/>
                <w:szCs w:val="16"/>
              </w:rPr>
            </w:pPr>
          </w:p>
        </w:tc>
      </w:tr>
      <w:tr w:rsidR="00EE5736" w:rsidRPr="00EE5736" w14:paraId="7831984E" w14:textId="77777777" w:rsidTr="00EE5736">
        <w:trPr>
          <w:trHeight w:val="227"/>
        </w:trPr>
        <w:tc>
          <w:tcPr>
            <w:tcW w:w="2255" w:type="pct"/>
            <w:tcBorders>
              <w:top w:val="nil"/>
              <w:left w:val="nil"/>
              <w:bottom w:val="nil"/>
              <w:right w:val="nil"/>
            </w:tcBorders>
            <w:shd w:val="clear" w:color="auto" w:fill="auto"/>
            <w:noWrap/>
            <w:vAlign w:val="bottom"/>
            <w:hideMark/>
          </w:tcPr>
          <w:p w14:paraId="700819DF" w14:textId="77777777" w:rsidR="00EE5736" w:rsidRPr="00EE5736" w:rsidRDefault="00EE5736">
            <w:pPr>
              <w:jc w:val="center"/>
              <w:rPr>
                <w:rFonts w:asciiTheme="majorHAnsi" w:hAnsiTheme="majorHAnsi"/>
                <w:sz w:val="16"/>
                <w:szCs w:val="16"/>
              </w:rPr>
            </w:pPr>
          </w:p>
        </w:tc>
        <w:tc>
          <w:tcPr>
            <w:tcW w:w="500" w:type="pct"/>
            <w:tcBorders>
              <w:top w:val="nil"/>
              <w:left w:val="nil"/>
              <w:bottom w:val="nil"/>
              <w:right w:val="nil"/>
            </w:tcBorders>
            <w:shd w:val="clear" w:color="auto" w:fill="auto"/>
            <w:noWrap/>
            <w:vAlign w:val="bottom"/>
            <w:hideMark/>
          </w:tcPr>
          <w:p w14:paraId="01D57727" w14:textId="77777777" w:rsidR="00EE5736" w:rsidRPr="00EE5736" w:rsidRDefault="00EE5736">
            <w:pPr>
              <w:rPr>
                <w:rFonts w:asciiTheme="majorHAnsi" w:hAnsiTheme="majorHAnsi"/>
                <w:sz w:val="16"/>
                <w:szCs w:val="16"/>
              </w:rPr>
            </w:pPr>
          </w:p>
        </w:tc>
        <w:tc>
          <w:tcPr>
            <w:tcW w:w="633" w:type="pct"/>
            <w:tcBorders>
              <w:top w:val="nil"/>
              <w:left w:val="nil"/>
              <w:bottom w:val="nil"/>
              <w:right w:val="nil"/>
            </w:tcBorders>
            <w:shd w:val="clear" w:color="auto" w:fill="auto"/>
            <w:vAlign w:val="bottom"/>
            <w:hideMark/>
          </w:tcPr>
          <w:p w14:paraId="7548BF73" w14:textId="77777777" w:rsidR="00EE5736" w:rsidRPr="00EE5736" w:rsidRDefault="00EE5736">
            <w:pPr>
              <w:rPr>
                <w:rFonts w:asciiTheme="majorHAnsi" w:hAnsiTheme="majorHAnsi"/>
                <w:sz w:val="16"/>
                <w:szCs w:val="16"/>
              </w:rPr>
            </w:pPr>
          </w:p>
        </w:tc>
        <w:tc>
          <w:tcPr>
            <w:tcW w:w="633" w:type="pct"/>
            <w:tcBorders>
              <w:top w:val="nil"/>
              <w:left w:val="nil"/>
              <w:bottom w:val="nil"/>
              <w:right w:val="nil"/>
            </w:tcBorders>
            <w:shd w:val="clear" w:color="auto" w:fill="auto"/>
            <w:vAlign w:val="bottom"/>
            <w:hideMark/>
          </w:tcPr>
          <w:p w14:paraId="02E58609" w14:textId="77777777" w:rsidR="00EE5736" w:rsidRPr="00EE5736" w:rsidRDefault="00EE5736">
            <w:pPr>
              <w:rPr>
                <w:rFonts w:asciiTheme="majorHAnsi" w:hAnsiTheme="majorHAnsi"/>
                <w:sz w:val="16"/>
                <w:szCs w:val="16"/>
              </w:rPr>
            </w:pPr>
          </w:p>
        </w:tc>
        <w:tc>
          <w:tcPr>
            <w:tcW w:w="679" w:type="pct"/>
            <w:tcBorders>
              <w:top w:val="nil"/>
              <w:left w:val="nil"/>
              <w:bottom w:val="nil"/>
              <w:right w:val="nil"/>
            </w:tcBorders>
            <w:shd w:val="clear" w:color="auto" w:fill="auto"/>
            <w:vAlign w:val="bottom"/>
            <w:hideMark/>
          </w:tcPr>
          <w:p w14:paraId="3A53B700" w14:textId="77777777" w:rsidR="00EE5736" w:rsidRPr="00EE5736" w:rsidRDefault="00EE5736">
            <w:pPr>
              <w:rPr>
                <w:rFonts w:asciiTheme="majorHAnsi" w:hAnsiTheme="majorHAnsi"/>
                <w:sz w:val="16"/>
                <w:szCs w:val="16"/>
              </w:rPr>
            </w:pPr>
          </w:p>
        </w:tc>
        <w:tc>
          <w:tcPr>
            <w:tcW w:w="300" w:type="pct"/>
            <w:tcBorders>
              <w:top w:val="nil"/>
              <w:left w:val="nil"/>
              <w:bottom w:val="nil"/>
              <w:right w:val="nil"/>
            </w:tcBorders>
            <w:shd w:val="clear" w:color="auto" w:fill="auto"/>
            <w:noWrap/>
            <w:vAlign w:val="bottom"/>
            <w:hideMark/>
          </w:tcPr>
          <w:p w14:paraId="38A04987" w14:textId="77777777" w:rsidR="00EE5736" w:rsidRPr="00EE5736" w:rsidRDefault="00EE5736">
            <w:pPr>
              <w:rPr>
                <w:rFonts w:asciiTheme="majorHAnsi" w:hAnsiTheme="majorHAnsi"/>
                <w:sz w:val="16"/>
                <w:szCs w:val="16"/>
              </w:rPr>
            </w:pPr>
          </w:p>
        </w:tc>
      </w:tr>
      <w:tr w:rsidR="00EE5736" w:rsidRPr="00EE5736" w14:paraId="66D58C9E" w14:textId="77777777" w:rsidTr="00EE5736">
        <w:trPr>
          <w:trHeight w:val="227"/>
        </w:trPr>
        <w:tc>
          <w:tcPr>
            <w:tcW w:w="2255" w:type="pct"/>
            <w:tcBorders>
              <w:top w:val="nil"/>
              <w:left w:val="nil"/>
              <w:bottom w:val="nil"/>
              <w:right w:val="nil"/>
            </w:tcBorders>
            <w:shd w:val="clear" w:color="auto" w:fill="auto"/>
            <w:noWrap/>
            <w:vAlign w:val="bottom"/>
            <w:hideMark/>
          </w:tcPr>
          <w:p w14:paraId="21ACE77E" w14:textId="77777777" w:rsidR="00EE5736" w:rsidRPr="00EE5736" w:rsidRDefault="00EE5736">
            <w:pPr>
              <w:rPr>
                <w:rFonts w:asciiTheme="majorHAnsi" w:hAnsiTheme="majorHAnsi"/>
                <w:sz w:val="16"/>
                <w:szCs w:val="16"/>
              </w:rPr>
            </w:pPr>
          </w:p>
        </w:tc>
        <w:tc>
          <w:tcPr>
            <w:tcW w:w="500" w:type="pct"/>
            <w:tcBorders>
              <w:top w:val="nil"/>
              <w:left w:val="nil"/>
              <w:bottom w:val="nil"/>
              <w:right w:val="nil"/>
            </w:tcBorders>
            <w:shd w:val="clear" w:color="auto" w:fill="auto"/>
            <w:vAlign w:val="bottom"/>
            <w:hideMark/>
          </w:tcPr>
          <w:p w14:paraId="013989B2"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01/07/2021</w:t>
            </w:r>
          </w:p>
        </w:tc>
        <w:tc>
          <w:tcPr>
            <w:tcW w:w="633" w:type="pct"/>
            <w:tcBorders>
              <w:top w:val="nil"/>
              <w:left w:val="nil"/>
              <w:bottom w:val="nil"/>
              <w:right w:val="nil"/>
            </w:tcBorders>
            <w:shd w:val="clear" w:color="auto" w:fill="auto"/>
            <w:vAlign w:val="bottom"/>
            <w:hideMark/>
          </w:tcPr>
          <w:p w14:paraId="176418A1"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01/01/2021</w:t>
            </w:r>
          </w:p>
        </w:tc>
        <w:tc>
          <w:tcPr>
            <w:tcW w:w="633" w:type="pct"/>
            <w:tcBorders>
              <w:top w:val="nil"/>
              <w:left w:val="nil"/>
              <w:bottom w:val="nil"/>
              <w:right w:val="nil"/>
            </w:tcBorders>
            <w:shd w:val="clear" w:color="auto" w:fill="auto"/>
            <w:vAlign w:val="bottom"/>
            <w:hideMark/>
          </w:tcPr>
          <w:p w14:paraId="76119D58"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01/07/2020</w:t>
            </w:r>
          </w:p>
        </w:tc>
        <w:tc>
          <w:tcPr>
            <w:tcW w:w="679" w:type="pct"/>
            <w:tcBorders>
              <w:top w:val="nil"/>
              <w:left w:val="nil"/>
              <w:bottom w:val="nil"/>
              <w:right w:val="nil"/>
            </w:tcBorders>
            <w:shd w:val="clear" w:color="auto" w:fill="auto"/>
            <w:vAlign w:val="bottom"/>
            <w:hideMark/>
          </w:tcPr>
          <w:p w14:paraId="1CCE41E7"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01/01/2020</w:t>
            </w:r>
          </w:p>
        </w:tc>
        <w:tc>
          <w:tcPr>
            <w:tcW w:w="300" w:type="pct"/>
            <w:tcBorders>
              <w:top w:val="nil"/>
              <w:left w:val="nil"/>
              <w:bottom w:val="nil"/>
              <w:right w:val="nil"/>
            </w:tcBorders>
            <w:shd w:val="clear" w:color="auto" w:fill="auto"/>
            <w:noWrap/>
            <w:vAlign w:val="bottom"/>
            <w:hideMark/>
          </w:tcPr>
          <w:p w14:paraId="2FC2FFA1" w14:textId="77777777" w:rsidR="00EE5736" w:rsidRPr="00EE5736" w:rsidRDefault="00EE5736">
            <w:pPr>
              <w:jc w:val="right"/>
              <w:rPr>
                <w:rFonts w:asciiTheme="majorHAnsi" w:hAnsiTheme="majorHAnsi" w:cs="Arial"/>
                <w:b/>
                <w:bCs/>
                <w:sz w:val="16"/>
                <w:szCs w:val="16"/>
              </w:rPr>
            </w:pPr>
          </w:p>
        </w:tc>
      </w:tr>
      <w:tr w:rsidR="00EE5736" w:rsidRPr="00EE5736" w14:paraId="705E3F50" w14:textId="77777777" w:rsidTr="00EE5736">
        <w:trPr>
          <w:trHeight w:val="227"/>
        </w:trPr>
        <w:tc>
          <w:tcPr>
            <w:tcW w:w="2255" w:type="pct"/>
            <w:tcBorders>
              <w:top w:val="nil"/>
              <w:left w:val="nil"/>
              <w:bottom w:val="nil"/>
              <w:right w:val="nil"/>
            </w:tcBorders>
            <w:shd w:val="clear" w:color="auto" w:fill="auto"/>
            <w:noWrap/>
            <w:vAlign w:val="bottom"/>
            <w:hideMark/>
          </w:tcPr>
          <w:p w14:paraId="29806E07" w14:textId="77777777" w:rsidR="00EE5736" w:rsidRPr="00EE5736" w:rsidRDefault="00EE5736">
            <w:pPr>
              <w:rPr>
                <w:rFonts w:asciiTheme="majorHAnsi" w:hAnsiTheme="majorHAnsi"/>
                <w:sz w:val="16"/>
                <w:szCs w:val="16"/>
              </w:rPr>
            </w:pPr>
          </w:p>
        </w:tc>
        <w:tc>
          <w:tcPr>
            <w:tcW w:w="500" w:type="pct"/>
            <w:tcBorders>
              <w:top w:val="nil"/>
              <w:left w:val="nil"/>
              <w:bottom w:val="nil"/>
              <w:right w:val="nil"/>
            </w:tcBorders>
            <w:shd w:val="clear" w:color="auto" w:fill="auto"/>
            <w:vAlign w:val="bottom"/>
            <w:hideMark/>
          </w:tcPr>
          <w:p w14:paraId="3F09DA36"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a 30/09/2021</w:t>
            </w:r>
          </w:p>
        </w:tc>
        <w:tc>
          <w:tcPr>
            <w:tcW w:w="633" w:type="pct"/>
            <w:tcBorders>
              <w:top w:val="nil"/>
              <w:left w:val="nil"/>
              <w:bottom w:val="nil"/>
              <w:right w:val="nil"/>
            </w:tcBorders>
            <w:shd w:val="clear" w:color="auto" w:fill="auto"/>
            <w:vAlign w:val="bottom"/>
            <w:hideMark/>
          </w:tcPr>
          <w:p w14:paraId="78051105"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a 30/09/2021</w:t>
            </w:r>
          </w:p>
        </w:tc>
        <w:tc>
          <w:tcPr>
            <w:tcW w:w="633" w:type="pct"/>
            <w:tcBorders>
              <w:top w:val="nil"/>
              <w:left w:val="nil"/>
              <w:bottom w:val="nil"/>
              <w:right w:val="nil"/>
            </w:tcBorders>
            <w:shd w:val="clear" w:color="auto" w:fill="auto"/>
            <w:vAlign w:val="bottom"/>
            <w:hideMark/>
          </w:tcPr>
          <w:p w14:paraId="756AF0FD"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a 30/09/2020</w:t>
            </w:r>
          </w:p>
        </w:tc>
        <w:tc>
          <w:tcPr>
            <w:tcW w:w="679" w:type="pct"/>
            <w:tcBorders>
              <w:top w:val="nil"/>
              <w:left w:val="nil"/>
              <w:bottom w:val="nil"/>
              <w:right w:val="nil"/>
            </w:tcBorders>
            <w:shd w:val="clear" w:color="auto" w:fill="auto"/>
            <w:vAlign w:val="bottom"/>
            <w:hideMark/>
          </w:tcPr>
          <w:p w14:paraId="22AC03A3"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a 30/09/2020</w:t>
            </w:r>
          </w:p>
        </w:tc>
        <w:tc>
          <w:tcPr>
            <w:tcW w:w="300" w:type="pct"/>
            <w:tcBorders>
              <w:top w:val="nil"/>
              <w:left w:val="nil"/>
              <w:bottom w:val="nil"/>
              <w:right w:val="nil"/>
            </w:tcBorders>
            <w:shd w:val="clear" w:color="auto" w:fill="auto"/>
            <w:noWrap/>
            <w:vAlign w:val="bottom"/>
            <w:hideMark/>
          </w:tcPr>
          <w:p w14:paraId="3C144315" w14:textId="77777777" w:rsidR="00EE5736" w:rsidRPr="00EE5736" w:rsidRDefault="00EE5736" w:rsidP="0029203E">
            <w:pPr>
              <w:jc w:val="center"/>
              <w:rPr>
                <w:rFonts w:asciiTheme="majorHAnsi" w:hAnsiTheme="majorHAnsi" w:cs="Arial"/>
                <w:b/>
                <w:bCs/>
                <w:sz w:val="16"/>
                <w:szCs w:val="16"/>
              </w:rPr>
            </w:pPr>
            <w:r w:rsidRPr="00EE5736">
              <w:rPr>
                <w:rFonts w:asciiTheme="majorHAnsi" w:hAnsiTheme="majorHAnsi" w:cs="Arial"/>
                <w:b/>
                <w:bCs/>
                <w:sz w:val="16"/>
                <w:szCs w:val="16"/>
              </w:rPr>
              <w:t>Nota</w:t>
            </w:r>
          </w:p>
        </w:tc>
      </w:tr>
      <w:tr w:rsidR="00EE5736" w:rsidRPr="00EE5736" w14:paraId="50D6D6EB" w14:textId="77777777" w:rsidTr="00EE5736">
        <w:trPr>
          <w:trHeight w:val="227"/>
        </w:trPr>
        <w:tc>
          <w:tcPr>
            <w:tcW w:w="2255" w:type="pct"/>
            <w:tcBorders>
              <w:top w:val="nil"/>
              <w:left w:val="nil"/>
              <w:bottom w:val="nil"/>
              <w:right w:val="nil"/>
            </w:tcBorders>
            <w:shd w:val="clear" w:color="auto" w:fill="auto"/>
            <w:noWrap/>
            <w:vAlign w:val="bottom"/>
            <w:hideMark/>
          </w:tcPr>
          <w:p w14:paraId="6AAFD33A" w14:textId="77777777" w:rsidR="00EE5736" w:rsidRPr="00EE5736" w:rsidRDefault="00EE5736">
            <w:pPr>
              <w:jc w:val="right"/>
              <w:rPr>
                <w:rFonts w:asciiTheme="majorHAnsi" w:hAnsiTheme="majorHAnsi" w:cs="Arial"/>
                <w:b/>
                <w:bCs/>
                <w:sz w:val="16"/>
                <w:szCs w:val="16"/>
              </w:rPr>
            </w:pPr>
          </w:p>
        </w:tc>
        <w:tc>
          <w:tcPr>
            <w:tcW w:w="500" w:type="pct"/>
            <w:tcBorders>
              <w:top w:val="nil"/>
              <w:left w:val="nil"/>
              <w:bottom w:val="nil"/>
              <w:right w:val="nil"/>
            </w:tcBorders>
            <w:shd w:val="clear" w:color="auto" w:fill="auto"/>
            <w:noWrap/>
            <w:vAlign w:val="bottom"/>
            <w:hideMark/>
          </w:tcPr>
          <w:p w14:paraId="764738F3" w14:textId="77777777" w:rsidR="00EE5736" w:rsidRPr="00EE5736" w:rsidRDefault="00EE5736">
            <w:pPr>
              <w:jc w:val="center"/>
              <w:rPr>
                <w:rFonts w:asciiTheme="majorHAnsi" w:hAnsiTheme="majorHAnsi"/>
                <w:sz w:val="16"/>
                <w:szCs w:val="16"/>
              </w:rPr>
            </w:pPr>
          </w:p>
        </w:tc>
        <w:tc>
          <w:tcPr>
            <w:tcW w:w="633" w:type="pct"/>
            <w:tcBorders>
              <w:top w:val="nil"/>
              <w:left w:val="nil"/>
              <w:bottom w:val="nil"/>
              <w:right w:val="nil"/>
            </w:tcBorders>
            <w:shd w:val="clear" w:color="auto" w:fill="auto"/>
            <w:vAlign w:val="bottom"/>
            <w:hideMark/>
          </w:tcPr>
          <w:p w14:paraId="2560BD29" w14:textId="77777777" w:rsidR="00EE5736" w:rsidRPr="00EE5736" w:rsidRDefault="00EE5736">
            <w:pPr>
              <w:jc w:val="center"/>
              <w:rPr>
                <w:rFonts w:asciiTheme="majorHAnsi" w:hAnsiTheme="majorHAnsi"/>
                <w:sz w:val="16"/>
                <w:szCs w:val="16"/>
              </w:rPr>
            </w:pPr>
          </w:p>
        </w:tc>
        <w:tc>
          <w:tcPr>
            <w:tcW w:w="633" w:type="pct"/>
            <w:tcBorders>
              <w:top w:val="nil"/>
              <w:left w:val="nil"/>
              <w:bottom w:val="nil"/>
              <w:right w:val="nil"/>
            </w:tcBorders>
            <w:shd w:val="clear" w:color="auto" w:fill="auto"/>
            <w:vAlign w:val="bottom"/>
            <w:hideMark/>
          </w:tcPr>
          <w:p w14:paraId="0B45A38B" w14:textId="77777777" w:rsidR="00EE5736" w:rsidRPr="00EE5736" w:rsidRDefault="00EE5736">
            <w:pPr>
              <w:jc w:val="right"/>
              <w:rPr>
                <w:rFonts w:asciiTheme="majorHAnsi" w:hAnsiTheme="majorHAnsi"/>
                <w:sz w:val="16"/>
                <w:szCs w:val="16"/>
              </w:rPr>
            </w:pPr>
          </w:p>
        </w:tc>
        <w:tc>
          <w:tcPr>
            <w:tcW w:w="679" w:type="pct"/>
            <w:tcBorders>
              <w:top w:val="nil"/>
              <w:left w:val="nil"/>
              <w:bottom w:val="nil"/>
              <w:right w:val="nil"/>
            </w:tcBorders>
            <w:shd w:val="clear" w:color="auto" w:fill="auto"/>
            <w:vAlign w:val="bottom"/>
            <w:hideMark/>
          </w:tcPr>
          <w:p w14:paraId="099FB037" w14:textId="77777777" w:rsidR="00EE5736" w:rsidRPr="00EE5736" w:rsidRDefault="00EE5736">
            <w:pPr>
              <w:jc w:val="right"/>
              <w:rPr>
                <w:rFonts w:asciiTheme="majorHAnsi" w:hAnsiTheme="majorHAnsi"/>
                <w:sz w:val="16"/>
                <w:szCs w:val="16"/>
              </w:rPr>
            </w:pPr>
          </w:p>
        </w:tc>
        <w:tc>
          <w:tcPr>
            <w:tcW w:w="300" w:type="pct"/>
            <w:tcBorders>
              <w:top w:val="nil"/>
              <w:left w:val="nil"/>
              <w:bottom w:val="nil"/>
              <w:right w:val="nil"/>
            </w:tcBorders>
            <w:shd w:val="clear" w:color="auto" w:fill="auto"/>
            <w:noWrap/>
            <w:vAlign w:val="bottom"/>
            <w:hideMark/>
          </w:tcPr>
          <w:p w14:paraId="4E37E19B" w14:textId="77777777" w:rsidR="00EE5736" w:rsidRPr="00EE5736" w:rsidRDefault="00EE5736" w:rsidP="0029203E">
            <w:pPr>
              <w:jc w:val="center"/>
              <w:rPr>
                <w:rFonts w:asciiTheme="majorHAnsi" w:hAnsiTheme="majorHAnsi"/>
                <w:sz w:val="16"/>
                <w:szCs w:val="16"/>
              </w:rPr>
            </w:pPr>
          </w:p>
        </w:tc>
      </w:tr>
      <w:tr w:rsidR="00EE5736" w:rsidRPr="00EE5736" w14:paraId="02D1129B" w14:textId="77777777" w:rsidTr="00EE5736">
        <w:trPr>
          <w:trHeight w:val="227"/>
        </w:trPr>
        <w:tc>
          <w:tcPr>
            <w:tcW w:w="2255" w:type="pct"/>
            <w:tcBorders>
              <w:top w:val="nil"/>
              <w:left w:val="nil"/>
              <w:bottom w:val="nil"/>
              <w:right w:val="nil"/>
            </w:tcBorders>
            <w:shd w:val="clear" w:color="auto" w:fill="auto"/>
            <w:noWrap/>
            <w:vAlign w:val="bottom"/>
            <w:hideMark/>
          </w:tcPr>
          <w:p w14:paraId="5CFFC684" w14:textId="77777777" w:rsidR="00EE5736" w:rsidRPr="00EE5736" w:rsidRDefault="00EE5736">
            <w:pPr>
              <w:jc w:val="right"/>
              <w:rPr>
                <w:rFonts w:asciiTheme="majorHAnsi" w:hAnsiTheme="majorHAnsi"/>
                <w:sz w:val="16"/>
                <w:szCs w:val="16"/>
              </w:rPr>
            </w:pPr>
          </w:p>
        </w:tc>
        <w:tc>
          <w:tcPr>
            <w:tcW w:w="500" w:type="pct"/>
            <w:tcBorders>
              <w:top w:val="nil"/>
              <w:left w:val="nil"/>
              <w:bottom w:val="nil"/>
              <w:right w:val="nil"/>
            </w:tcBorders>
            <w:shd w:val="clear" w:color="auto" w:fill="auto"/>
            <w:noWrap/>
            <w:vAlign w:val="bottom"/>
            <w:hideMark/>
          </w:tcPr>
          <w:p w14:paraId="5B6FAB4A" w14:textId="77777777" w:rsidR="00EE5736" w:rsidRPr="00EE5736" w:rsidRDefault="00EE5736">
            <w:pPr>
              <w:jc w:val="center"/>
              <w:rPr>
                <w:rFonts w:asciiTheme="majorHAnsi" w:hAnsiTheme="majorHAnsi"/>
                <w:sz w:val="16"/>
                <w:szCs w:val="16"/>
              </w:rPr>
            </w:pPr>
          </w:p>
        </w:tc>
        <w:tc>
          <w:tcPr>
            <w:tcW w:w="633" w:type="pct"/>
            <w:tcBorders>
              <w:top w:val="nil"/>
              <w:left w:val="nil"/>
              <w:bottom w:val="nil"/>
              <w:right w:val="nil"/>
            </w:tcBorders>
            <w:shd w:val="clear" w:color="auto" w:fill="auto"/>
            <w:noWrap/>
            <w:vAlign w:val="bottom"/>
            <w:hideMark/>
          </w:tcPr>
          <w:p w14:paraId="660B20F4" w14:textId="77777777" w:rsidR="00EE5736" w:rsidRPr="00EE5736" w:rsidRDefault="00EE5736">
            <w:pPr>
              <w:jc w:val="center"/>
              <w:rPr>
                <w:rFonts w:asciiTheme="majorHAnsi" w:hAnsiTheme="majorHAnsi"/>
                <w:sz w:val="16"/>
                <w:szCs w:val="16"/>
              </w:rPr>
            </w:pPr>
          </w:p>
        </w:tc>
        <w:tc>
          <w:tcPr>
            <w:tcW w:w="633" w:type="pct"/>
            <w:tcBorders>
              <w:top w:val="nil"/>
              <w:left w:val="nil"/>
              <w:bottom w:val="nil"/>
              <w:right w:val="nil"/>
            </w:tcBorders>
            <w:shd w:val="clear" w:color="auto" w:fill="auto"/>
            <w:noWrap/>
            <w:vAlign w:val="bottom"/>
            <w:hideMark/>
          </w:tcPr>
          <w:p w14:paraId="53FC2022" w14:textId="77777777" w:rsidR="00EE5736" w:rsidRPr="00EE5736" w:rsidRDefault="00EE5736">
            <w:pPr>
              <w:jc w:val="center"/>
              <w:rPr>
                <w:rFonts w:asciiTheme="majorHAnsi" w:hAnsiTheme="majorHAnsi"/>
                <w:sz w:val="16"/>
                <w:szCs w:val="16"/>
              </w:rPr>
            </w:pPr>
          </w:p>
        </w:tc>
        <w:tc>
          <w:tcPr>
            <w:tcW w:w="679" w:type="pct"/>
            <w:tcBorders>
              <w:top w:val="nil"/>
              <w:left w:val="nil"/>
              <w:bottom w:val="nil"/>
              <w:right w:val="nil"/>
            </w:tcBorders>
            <w:shd w:val="clear" w:color="auto" w:fill="auto"/>
            <w:noWrap/>
            <w:vAlign w:val="bottom"/>
            <w:hideMark/>
          </w:tcPr>
          <w:p w14:paraId="0A699CFC" w14:textId="77777777" w:rsidR="00EE5736" w:rsidRPr="00EE5736" w:rsidRDefault="00EE5736">
            <w:pPr>
              <w:jc w:val="center"/>
              <w:rPr>
                <w:rFonts w:asciiTheme="majorHAnsi" w:hAnsiTheme="majorHAnsi"/>
                <w:sz w:val="16"/>
                <w:szCs w:val="16"/>
              </w:rPr>
            </w:pPr>
          </w:p>
        </w:tc>
        <w:tc>
          <w:tcPr>
            <w:tcW w:w="300" w:type="pct"/>
            <w:tcBorders>
              <w:top w:val="nil"/>
              <w:left w:val="nil"/>
              <w:bottom w:val="nil"/>
              <w:right w:val="nil"/>
            </w:tcBorders>
            <w:shd w:val="clear" w:color="auto" w:fill="auto"/>
            <w:noWrap/>
            <w:vAlign w:val="bottom"/>
            <w:hideMark/>
          </w:tcPr>
          <w:p w14:paraId="10B820DA" w14:textId="77777777" w:rsidR="00EE5736" w:rsidRPr="00EE5736" w:rsidRDefault="00EE5736" w:rsidP="0029203E">
            <w:pPr>
              <w:jc w:val="center"/>
              <w:rPr>
                <w:rFonts w:asciiTheme="majorHAnsi" w:hAnsiTheme="majorHAnsi"/>
                <w:sz w:val="16"/>
                <w:szCs w:val="16"/>
              </w:rPr>
            </w:pPr>
          </w:p>
        </w:tc>
      </w:tr>
      <w:tr w:rsidR="00EE5736" w:rsidRPr="00EE5736" w14:paraId="66D81957" w14:textId="77777777" w:rsidTr="00EE5736">
        <w:trPr>
          <w:trHeight w:val="227"/>
        </w:trPr>
        <w:tc>
          <w:tcPr>
            <w:tcW w:w="2255" w:type="pct"/>
            <w:tcBorders>
              <w:top w:val="nil"/>
              <w:left w:val="nil"/>
              <w:bottom w:val="nil"/>
              <w:right w:val="nil"/>
            </w:tcBorders>
            <w:shd w:val="clear" w:color="auto" w:fill="auto"/>
            <w:noWrap/>
            <w:vAlign w:val="bottom"/>
            <w:hideMark/>
          </w:tcPr>
          <w:p w14:paraId="29C37BC2" w14:textId="77777777" w:rsidR="00EE5736" w:rsidRPr="00EE5736" w:rsidRDefault="00EE5736">
            <w:pPr>
              <w:outlineLvl w:val="0"/>
              <w:rPr>
                <w:rFonts w:asciiTheme="majorHAnsi" w:hAnsiTheme="majorHAnsi" w:cs="Arial"/>
                <w:b/>
                <w:bCs/>
                <w:sz w:val="16"/>
                <w:szCs w:val="16"/>
              </w:rPr>
            </w:pPr>
            <w:r w:rsidRPr="00EE5736">
              <w:rPr>
                <w:rFonts w:asciiTheme="majorHAnsi" w:hAnsiTheme="majorHAnsi" w:cs="Arial"/>
                <w:b/>
                <w:bCs/>
                <w:sz w:val="16"/>
                <w:szCs w:val="16"/>
              </w:rPr>
              <w:t>RECEITAS</w:t>
            </w:r>
          </w:p>
        </w:tc>
        <w:tc>
          <w:tcPr>
            <w:tcW w:w="500" w:type="pct"/>
            <w:tcBorders>
              <w:top w:val="nil"/>
              <w:left w:val="nil"/>
              <w:bottom w:val="nil"/>
              <w:right w:val="nil"/>
            </w:tcBorders>
            <w:shd w:val="clear" w:color="auto" w:fill="auto"/>
            <w:noWrap/>
            <w:vAlign w:val="bottom"/>
            <w:hideMark/>
          </w:tcPr>
          <w:p w14:paraId="4B6F84D7" w14:textId="77777777" w:rsidR="00EE5736" w:rsidRPr="00EE5736" w:rsidRDefault="00EE5736">
            <w:pPr>
              <w:outlineLvl w:val="0"/>
              <w:rPr>
                <w:rFonts w:asciiTheme="majorHAnsi" w:hAnsiTheme="majorHAnsi" w:cs="Arial"/>
                <w:b/>
                <w:bCs/>
                <w:sz w:val="16"/>
                <w:szCs w:val="16"/>
              </w:rPr>
            </w:pPr>
          </w:p>
        </w:tc>
        <w:tc>
          <w:tcPr>
            <w:tcW w:w="633" w:type="pct"/>
            <w:tcBorders>
              <w:top w:val="nil"/>
              <w:left w:val="nil"/>
              <w:bottom w:val="nil"/>
              <w:right w:val="nil"/>
            </w:tcBorders>
            <w:shd w:val="clear" w:color="auto" w:fill="auto"/>
            <w:noWrap/>
            <w:vAlign w:val="bottom"/>
            <w:hideMark/>
          </w:tcPr>
          <w:p w14:paraId="104801E7" w14:textId="77777777" w:rsidR="00EE5736" w:rsidRPr="00EE5736" w:rsidRDefault="00EE5736">
            <w:pPr>
              <w:outlineLvl w:val="0"/>
              <w:rPr>
                <w:rFonts w:asciiTheme="majorHAnsi" w:hAnsiTheme="majorHAnsi"/>
                <w:sz w:val="16"/>
                <w:szCs w:val="16"/>
              </w:rPr>
            </w:pPr>
          </w:p>
        </w:tc>
        <w:tc>
          <w:tcPr>
            <w:tcW w:w="633" w:type="pct"/>
            <w:tcBorders>
              <w:top w:val="nil"/>
              <w:left w:val="nil"/>
              <w:bottom w:val="nil"/>
              <w:right w:val="nil"/>
            </w:tcBorders>
            <w:shd w:val="clear" w:color="auto" w:fill="auto"/>
            <w:noWrap/>
            <w:vAlign w:val="bottom"/>
            <w:hideMark/>
          </w:tcPr>
          <w:p w14:paraId="357DAD92" w14:textId="77777777" w:rsidR="00EE5736" w:rsidRPr="00EE5736" w:rsidRDefault="00EE5736">
            <w:pPr>
              <w:outlineLvl w:val="0"/>
              <w:rPr>
                <w:rFonts w:asciiTheme="majorHAnsi" w:hAnsiTheme="majorHAnsi"/>
                <w:sz w:val="16"/>
                <w:szCs w:val="16"/>
              </w:rPr>
            </w:pPr>
          </w:p>
        </w:tc>
        <w:tc>
          <w:tcPr>
            <w:tcW w:w="679" w:type="pct"/>
            <w:tcBorders>
              <w:top w:val="nil"/>
              <w:left w:val="nil"/>
              <w:bottom w:val="nil"/>
              <w:right w:val="nil"/>
            </w:tcBorders>
            <w:shd w:val="clear" w:color="auto" w:fill="auto"/>
            <w:noWrap/>
            <w:vAlign w:val="bottom"/>
            <w:hideMark/>
          </w:tcPr>
          <w:p w14:paraId="31788BC9" w14:textId="77777777" w:rsidR="00EE5736" w:rsidRPr="00EE5736" w:rsidRDefault="00EE5736">
            <w:pPr>
              <w:outlineLvl w:val="0"/>
              <w:rPr>
                <w:rFonts w:asciiTheme="majorHAnsi" w:hAnsiTheme="majorHAnsi"/>
                <w:sz w:val="16"/>
                <w:szCs w:val="16"/>
              </w:rPr>
            </w:pPr>
          </w:p>
        </w:tc>
        <w:tc>
          <w:tcPr>
            <w:tcW w:w="300" w:type="pct"/>
            <w:tcBorders>
              <w:top w:val="nil"/>
              <w:left w:val="nil"/>
              <w:bottom w:val="nil"/>
              <w:right w:val="nil"/>
            </w:tcBorders>
            <w:shd w:val="clear" w:color="auto" w:fill="auto"/>
            <w:noWrap/>
            <w:vAlign w:val="bottom"/>
            <w:hideMark/>
          </w:tcPr>
          <w:p w14:paraId="78977E60" w14:textId="77777777" w:rsidR="00EE5736" w:rsidRPr="00EE5736" w:rsidRDefault="00EE5736" w:rsidP="0029203E">
            <w:pPr>
              <w:jc w:val="center"/>
              <w:outlineLvl w:val="0"/>
              <w:rPr>
                <w:rFonts w:asciiTheme="majorHAnsi" w:hAnsiTheme="majorHAnsi"/>
                <w:sz w:val="16"/>
                <w:szCs w:val="16"/>
              </w:rPr>
            </w:pPr>
          </w:p>
        </w:tc>
      </w:tr>
      <w:tr w:rsidR="00EE5736" w:rsidRPr="00EE5736" w14:paraId="24919E5A" w14:textId="77777777" w:rsidTr="00EE5736">
        <w:trPr>
          <w:trHeight w:val="227"/>
        </w:trPr>
        <w:tc>
          <w:tcPr>
            <w:tcW w:w="2255" w:type="pct"/>
            <w:tcBorders>
              <w:top w:val="nil"/>
              <w:left w:val="nil"/>
              <w:bottom w:val="nil"/>
              <w:right w:val="nil"/>
            </w:tcBorders>
            <w:shd w:val="clear" w:color="auto" w:fill="auto"/>
            <w:noWrap/>
            <w:vAlign w:val="bottom"/>
            <w:hideMark/>
          </w:tcPr>
          <w:p w14:paraId="0B51112D" w14:textId="77777777" w:rsidR="00EE5736" w:rsidRPr="00EE5736" w:rsidRDefault="00EE5736">
            <w:pPr>
              <w:outlineLvl w:val="0"/>
              <w:rPr>
                <w:rFonts w:asciiTheme="majorHAnsi" w:hAnsiTheme="majorHAnsi" w:cs="Arial"/>
                <w:sz w:val="16"/>
                <w:szCs w:val="16"/>
              </w:rPr>
            </w:pPr>
            <w:r w:rsidRPr="00EE5736">
              <w:rPr>
                <w:rFonts w:asciiTheme="majorHAnsi" w:hAnsiTheme="majorHAnsi" w:cs="Arial"/>
                <w:sz w:val="16"/>
                <w:szCs w:val="16"/>
              </w:rPr>
              <w:t xml:space="preserve">        Receita de Exploração da Ferrovia</w:t>
            </w:r>
          </w:p>
        </w:tc>
        <w:tc>
          <w:tcPr>
            <w:tcW w:w="500" w:type="pct"/>
            <w:tcBorders>
              <w:top w:val="nil"/>
              <w:left w:val="nil"/>
              <w:bottom w:val="nil"/>
              <w:right w:val="nil"/>
            </w:tcBorders>
            <w:shd w:val="clear" w:color="auto" w:fill="auto"/>
            <w:noWrap/>
            <w:vAlign w:val="bottom"/>
            <w:hideMark/>
          </w:tcPr>
          <w:p w14:paraId="400C9469" w14:textId="77777777" w:rsidR="00EE5736" w:rsidRPr="00EE5736" w:rsidRDefault="00EE5736">
            <w:pPr>
              <w:outlineLvl w:val="0"/>
              <w:rPr>
                <w:rFonts w:asciiTheme="majorHAnsi" w:hAnsiTheme="majorHAnsi" w:cs="Arial"/>
                <w:sz w:val="16"/>
                <w:szCs w:val="16"/>
              </w:rPr>
            </w:pPr>
            <w:r w:rsidRPr="00EE5736">
              <w:rPr>
                <w:rFonts w:asciiTheme="majorHAnsi" w:hAnsiTheme="majorHAnsi" w:cs="Arial"/>
                <w:sz w:val="16"/>
                <w:szCs w:val="16"/>
              </w:rPr>
              <w:t xml:space="preserve">                         -   </w:t>
            </w:r>
          </w:p>
        </w:tc>
        <w:tc>
          <w:tcPr>
            <w:tcW w:w="633" w:type="pct"/>
            <w:tcBorders>
              <w:top w:val="nil"/>
              <w:left w:val="nil"/>
              <w:bottom w:val="nil"/>
              <w:right w:val="nil"/>
            </w:tcBorders>
            <w:shd w:val="clear" w:color="auto" w:fill="auto"/>
            <w:noWrap/>
            <w:vAlign w:val="bottom"/>
            <w:hideMark/>
          </w:tcPr>
          <w:p w14:paraId="3DA6484D" w14:textId="77777777" w:rsidR="00EE5736" w:rsidRPr="00EE5736" w:rsidRDefault="00EE5736">
            <w:pPr>
              <w:outlineLvl w:val="0"/>
              <w:rPr>
                <w:rFonts w:asciiTheme="majorHAnsi" w:hAnsiTheme="majorHAnsi" w:cs="Arial"/>
                <w:sz w:val="16"/>
                <w:szCs w:val="16"/>
              </w:rPr>
            </w:pPr>
            <w:r w:rsidRPr="00EE5736">
              <w:rPr>
                <w:rFonts w:asciiTheme="majorHAnsi" w:hAnsiTheme="majorHAnsi" w:cs="Arial"/>
                <w:sz w:val="16"/>
                <w:szCs w:val="16"/>
              </w:rPr>
              <w:t xml:space="preserve">                     110.877 </w:t>
            </w:r>
          </w:p>
        </w:tc>
        <w:tc>
          <w:tcPr>
            <w:tcW w:w="633" w:type="pct"/>
            <w:tcBorders>
              <w:top w:val="nil"/>
              <w:left w:val="nil"/>
              <w:bottom w:val="nil"/>
              <w:right w:val="nil"/>
            </w:tcBorders>
            <w:shd w:val="clear" w:color="auto" w:fill="auto"/>
            <w:noWrap/>
            <w:vAlign w:val="bottom"/>
            <w:hideMark/>
          </w:tcPr>
          <w:p w14:paraId="2F3088BE" w14:textId="77777777" w:rsidR="00EE5736" w:rsidRPr="00EE5736" w:rsidRDefault="00EE5736">
            <w:pPr>
              <w:outlineLvl w:val="0"/>
              <w:rPr>
                <w:rFonts w:asciiTheme="majorHAnsi" w:hAnsiTheme="majorHAnsi" w:cs="Arial"/>
                <w:sz w:val="16"/>
                <w:szCs w:val="16"/>
              </w:rPr>
            </w:pPr>
            <w:r w:rsidRPr="00EE5736">
              <w:rPr>
                <w:rFonts w:asciiTheme="majorHAnsi" w:hAnsiTheme="majorHAnsi" w:cs="Arial"/>
                <w:sz w:val="16"/>
                <w:szCs w:val="16"/>
              </w:rPr>
              <w:t xml:space="preserve">                                 -   </w:t>
            </w:r>
          </w:p>
        </w:tc>
        <w:tc>
          <w:tcPr>
            <w:tcW w:w="679" w:type="pct"/>
            <w:tcBorders>
              <w:top w:val="nil"/>
              <w:left w:val="nil"/>
              <w:bottom w:val="nil"/>
              <w:right w:val="nil"/>
            </w:tcBorders>
            <w:shd w:val="clear" w:color="auto" w:fill="auto"/>
            <w:noWrap/>
            <w:vAlign w:val="bottom"/>
            <w:hideMark/>
          </w:tcPr>
          <w:p w14:paraId="73FAA189" w14:textId="77777777" w:rsidR="00EE5736" w:rsidRPr="00EE5736" w:rsidRDefault="00EE5736">
            <w:pPr>
              <w:jc w:val="right"/>
              <w:outlineLvl w:val="0"/>
              <w:rPr>
                <w:rFonts w:asciiTheme="majorHAnsi" w:hAnsiTheme="majorHAnsi" w:cs="Arial"/>
                <w:sz w:val="16"/>
                <w:szCs w:val="16"/>
              </w:rPr>
            </w:pPr>
            <w:r w:rsidRPr="00EE5736">
              <w:rPr>
                <w:rFonts w:asciiTheme="majorHAnsi" w:hAnsiTheme="majorHAnsi" w:cs="Arial"/>
                <w:sz w:val="16"/>
                <w:szCs w:val="16"/>
              </w:rPr>
              <w:t xml:space="preserve">                            6.251 </w:t>
            </w:r>
          </w:p>
        </w:tc>
        <w:tc>
          <w:tcPr>
            <w:tcW w:w="300" w:type="pct"/>
            <w:tcBorders>
              <w:top w:val="nil"/>
              <w:left w:val="nil"/>
              <w:bottom w:val="nil"/>
              <w:right w:val="nil"/>
            </w:tcBorders>
            <w:shd w:val="clear" w:color="auto" w:fill="auto"/>
            <w:noWrap/>
            <w:vAlign w:val="bottom"/>
            <w:hideMark/>
          </w:tcPr>
          <w:p w14:paraId="7113EDAB" w14:textId="77777777" w:rsidR="00EE5736" w:rsidRPr="00EE5736" w:rsidRDefault="00EE5736" w:rsidP="0029203E">
            <w:pPr>
              <w:jc w:val="center"/>
              <w:outlineLvl w:val="0"/>
              <w:rPr>
                <w:rFonts w:asciiTheme="majorHAnsi" w:hAnsiTheme="majorHAnsi" w:cs="Arial"/>
                <w:sz w:val="16"/>
                <w:szCs w:val="16"/>
              </w:rPr>
            </w:pPr>
          </w:p>
        </w:tc>
      </w:tr>
      <w:tr w:rsidR="00EE5736" w:rsidRPr="00EE5736" w14:paraId="32D3218E" w14:textId="77777777" w:rsidTr="00EE5736">
        <w:trPr>
          <w:trHeight w:val="227"/>
        </w:trPr>
        <w:tc>
          <w:tcPr>
            <w:tcW w:w="2255" w:type="pct"/>
            <w:tcBorders>
              <w:top w:val="nil"/>
              <w:left w:val="nil"/>
              <w:bottom w:val="nil"/>
              <w:right w:val="nil"/>
            </w:tcBorders>
            <w:shd w:val="clear" w:color="auto" w:fill="auto"/>
            <w:noWrap/>
            <w:vAlign w:val="bottom"/>
            <w:hideMark/>
          </w:tcPr>
          <w:p w14:paraId="0174A576" w14:textId="77777777" w:rsidR="00EE5736" w:rsidRPr="00EE5736" w:rsidRDefault="00EE5736">
            <w:pPr>
              <w:outlineLvl w:val="0"/>
              <w:rPr>
                <w:rFonts w:asciiTheme="majorHAnsi" w:hAnsiTheme="majorHAnsi" w:cs="Arial"/>
                <w:sz w:val="16"/>
                <w:szCs w:val="16"/>
              </w:rPr>
            </w:pPr>
            <w:r w:rsidRPr="00EE5736">
              <w:rPr>
                <w:rFonts w:asciiTheme="majorHAnsi" w:hAnsiTheme="majorHAnsi" w:cs="Arial"/>
                <w:sz w:val="16"/>
                <w:szCs w:val="16"/>
              </w:rPr>
              <w:t xml:space="preserve">        Permissão para uso de pátios</w:t>
            </w:r>
          </w:p>
        </w:tc>
        <w:tc>
          <w:tcPr>
            <w:tcW w:w="500" w:type="pct"/>
            <w:tcBorders>
              <w:top w:val="nil"/>
              <w:left w:val="nil"/>
              <w:bottom w:val="nil"/>
              <w:right w:val="nil"/>
            </w:tcBorders>
            <w:shd w:val="clear" w:color="auto" w:fill="auto"/>
            <w:noWrap/>
            <w:vAlign w:val="bottom"/>
            <w:hideMark/>
          </w:tcPr>
          <w:p w14:paraId="72FC4D45" w14:textId="77777777" w:rsidR="00EE5736" w:rsidRPr="00EE5736" w:rsidRDefault="00EE5736">
            <w:pPr>
              <w:outlineLvl w:val="0"/>
              <w:rPr>
                <w:rFonts w:asciiTheme="majorHAnsi" w:hAnsiTheme="majorHAnsi" w:cs="Arial"/>
                <w:sz w:val="16"/>
                <w:szCs w:val="16"/>
              </w:rPr>
            </w:pPr>
            <w:r w:rsidRPr="00EE5736">
              <w:rPr>
                <w:rFonts w:asciiTheme="majorHAnsi" w:hAnsiTheme="majorHAnsi" w:cs="Arial"/>
                <w:sz w:val="16"/>
                <w:szCs w:val="16"/>
              </w:rPr>
              <w:t xml:space="preserve">             709.521 </w:t>
            </w:r>
          </w:p>
        </w:tc>
        <w:tc>
          <w:tcPr>
            <w:tcW w:w="633" w:type="pct"/>
            <w:tcBorders>
              <w:top w:val="nil"/>
              <w:left w:val="nil"/>
              <w:bottom w:val="nil"/>
              <w:right w:val="nil"/>
            </w:tcBorders>
            <w:shd w:val="clear" w:color="000000" w:fill="FFFFFF"/>
            <w:noWrap/>
            <w:vAlign w:val="bottom"/>
            <w:hideMark/>
          </w:tcPr>
          <w:p w14:paraId="542D531E" w14:textId="77777777" w:rsidR="00EE5736" w:rsidRPr="00EE5736" w:rsidRDefault="00EE5736">
            <w:pPr>
              <w:jc w:val="right"/>
              <w:outlineLvl w:val="0"/>
              <w:rPr>
                <w:rFonts w:asciiTheme="majorHAnsi" w:hAnsiTheme="majorHAnsi" w:cs="Arial"/>
                <w:sz w:val="16"/>
                <w:szCs w:val="16"/>
              </w:rPr>
            </w:pPr>
            <w:r w:rsidRPr="00EE5736">
              <w:rPr>
                <w:rFonts w:asciiTheme="majorHAnsi" w:hAnsiTheme="majorHAnsi" w:cs="Arial"/>
                <w:sz w:val="16"/>
                <w:szCs w:val="16"/>
              </w:rPr>
              <w:t xml:space="preserve">                 1.905.712 </w:t>
            </w:r>
          </w:p>
        </w:tc>
        <w:tc>
          <w:tcPr>
            <w:tcW w:w="633" w:type="pct"/>
            <w:tcBorders>
              <w:top w:val="nil"/>
              <w:left w:val="nil"/>
              <w:bottom w:val="nil"/>
              <w:right w:val="nil"/>
            </w:tcBorders>
            <w:shd w:val="clear" w:color="000000" w:fill="FFFFFF"/>
            <w:noWrap/>
            <w:vAlign w:val="bottom"/>
            <w:hideMark/>
          </w:tcPr>
          <w:p w14:paraId="69DA7F6F" w14:textId="77777777" w:rsidR="00EE5736" w:rsidRPr="00EE5736" w:rsidRDefault="00EE5736">
            <w:pPr>
              <w:jc w:val="right"/>
              <w:outlineLvl w:val="0"/>
              <w:rPr>
                <w:rFonts w:asciiTheme="majorHAnsi" w:hAnsiTheme="majorHAnsi" w:cs="Arial"/>
                <w:sz w:val="16"/>
                <w:szCs w:val="16"/>
              </w:rPr>
            </w:pPr>
            <w:r w:rsidRPr="00EE5736">
              <w:rPr>
                <w:rFonts w:asciiTheme="majorHAnsi" w:hAnsiTheme="majorHAnsi" w:cs="Arial"/>
                <w:sz w:val="16"/>
                <w:szCs w:val="16"/>
              </w:rPr>
              <w:t xml:space="preserve">                     490.887 </w:t>
            </w:r>
          </w:p>
        </w:tc>
        <w:tc>
          <w:tcPr>
            <w:tcW w:w="679" w:type="pct"/>
            <w:tcBorders>
              <w:top w:val="nil"/>
              <w:left w:val="nil"/>
              <w:bottom w:val="nil"/>
              <w:right w:val="nil"/>
            </w:tcBorders>
            <w:shd w:val="clear" w:color="auto" w:fill="auto"/>
            <w:noWrap/>
            <w:vAlign w:val="bottom"/>
            <w:hideMark/>
          </w:tcPr>
          <w:p w14:paraId="7E57C7D9" w14:textId="77777777" w:rsidR="00EE5736" w:rsidRPr="00EE5736" w:rsidRDefault="00EE5736">
            <w:pPr>
              <w:jc w:val="right"/>
              <w:outlineLvl w:val="0"/>
              <w:rPr>
                <w:rFonts w:asciiTheme="majorHAnsi" w:hAnsiTheme="majorHAnsi" w:cs="Arial"/>
                <w:sz w:val="16"/>
                <w:szCs w:val="16"/>
              </w:rPr>
            </w:pPr>
            <w:r w:rsidRPr="00EE5736">
              <w:rPr>
                <w:rFonts w:asciiTheme="majorHAnsi" w:hAnsiTheme="majorHAnsi" w:cs="Arial"/>
                <w:sz w:val="16"/>
                <w:szCs w:val="16"/>
              </w:rPr>
              <w:t xml:space="preserve">                    1.395.411 </w:t>
            </w:r>
          </w:p>
        </w:tc>
        <w:tc>
          <w:tcPr>
            <w:tcW w:w="300" w:type="pct"/>
            <w:tcBorders>
              <w:top w:val="nil"/>
              <w:left w:val="nil"/>
              <w:bottom w:val="nil"/>
              <w:right w:val="nil"/>
            </w:tcBorders>
            <w:shd w:val="clear" w:color="auto" w:fill="auto"/>
            <w:noWrap/>
            <w:vAlign w:val="bottom"/>
            <w:hideMark/>
          </w:tcPr>
          <w:p w14:paraId="089AB9B6" w14:textId="77777777" w:rsidR="00EE5736" w:rsidRPr="00EE5736" w:rsidRDefault="00EE5736" w:rsidP="0029203E">
            <w:pPr>
              <w:jc w:val="center"/>
              <w:outlineLvl w:val="0"/>
              <w:rPr>
                <w:rFonts w:asciiTheme="majorHAnsi" w:hAnsiTheme="majorHAnsi" w:cs="Arial"/>
                <w:sz w:val="16"/>
                <w:szCs w:val="16"/>
              </w:rPr>
            </w:pPr>
          </w:p>
        </w:tc>
      </w:tr>
      <w:tr w:rsidR="00EE5736" w:rsidRPr="00EE5736" w14:paraId="569ABF67" w14:textId="77777777" w:rsidTr="00EE5736">
        <w:trPr>
          <w:trHeight w:val="227"/>
        </w:trPr>
        <w:tc>
          <w:tcPr>
            <w:tcW w:w="2255" w:type="pct"/>
            <w:tcBorders>
              <w:top w:val="nil"/>
              <w:left w:val="nil"/>
              <w:bottom w:val="nil"/>
              <w:right w:val="nil"/>
            </w:tcBorders>
            <w:shd w:val="clear" w:color="auto" w:fill="auto"/>
            <w:noWrap/>
            <w:vAlign w:val="bottom"/>
            <w:hideMark/>
          </w:tcPr>
          <w:p w14:paraId="68BB2564" w14:textId="77777777" w:rsidR="00EE5736" w:rsidRPr="00EE5736" w:rsidRDefault="00EE5736">
            <w:pPr>
              <w:outlineLvl w:val="0"/>
              <w:rPr>
                <w:rFonts w:asciiTheme="majorHAnsi" w:hAnsiTheme="majorHAnsi" w:cs="Arial"/>
                <w:sz w:val="16"/>
                <w:szCs w:val="16"/>
              </w:rPr>
            </w:pPr>
            <w:r w:rsidRPr="00EE5736">
              <w:rPr>
                <w:rFonts w:asciiTheme="majorHAnsi" w:hAnsiTheme="majorHAnsi" w:cs="Arial"/>
                <w:sz w:val="16"/>
                <w:szCs w:val="16"/>
              </w:rPr>
              <w:t xml:space="preserve">        (-) Deduções de Receita</w:t>
            </w:r>
          </w:p>
        </w:tc>
        <w:tc>
          <w:tcPr>
            <w:tcW w:w="500" w:type="pct"/>
            <w:tcBorders>
              <w:top w:val="nil"/>
              <w:left w:val="nil"/>
              <w:bottom w:val="nil"/>
              <w:right w:val="nil"/>
            </w:tcBorders>
            <w:shd w:val="clear" w:color="auto" w:fill="auto"/>
            <w:noWrap/>
            <w:vAlign w:val="bottom"/>
            <w:hideMark/>
          </w:tcPr>
          <w:p w14:paraId="6E96613D" w14:textId="77777777" w:rsidR="00EE5736" w:rsidRPr="00EE5736" w:rsidRDefault="00EE5736">
            <w:pPr>
              <w:outlineLvl w:val="0"/>
              <w:rPr>
                <w:rFonts w:asciiTheme="majorHAnsi" w:hAnsiTheme="majorHAnsi" w:cs="Arial"/>
                <w:sz w:val="16"/>
                <w:szCs w:val="16"/>
              </w:rPr>
            </w:pPr>
            <w:r w:rsidRPr="00EE5736">
              <w:rPr>
                <w:rFonts w:asciiTheme="majorHAnsi" w:hAnsiTheme="majorHAnsi" w:cs="Arial"/>
                <w:sz w:val="16"/>
                <w:szCs w:val="16"/>
              </w:rPr>
              <w:t xml:space="preserve">                         -   </w:t>
            </w:r>
          </w:p>
        </w:tc>
        <w:tc>
          <w:tcPr>
            <w:tcW w:w="633" w:type="pct"/>
            <w:tcBorders>
              <w:top w:val="nil"/>
              <w:left w:val="nil"/>
              <w:bottom w:val="nil"/>
              <w:right w:val="nil"/>
            </w:tcBorders>
            <w:shd w:val="clear" w:color="auto" w:fill="auto"/>
            <w:noWrap/>
            <w:vAlign w:val="bottom"/>
            <w:hideMark/>
          </w:tcPr>
          <w:p w14:paraId="1A1D614A" w14:textId="77777777" w:rsidR="00EE5736" w:rsidRPr="00EE5736" w:rsidRDefault="00EE5736">
            <w:pPr>
              <w:jc w:val="right"/>
              <w:outlineLvl w:val="0"/>
              <w:rPr>
                <w:rFonts w:asciiTheme="majorHAnsi" w:hAnsiTheme="majorHAnsi" w:cs="Arial"/>
                <w:sz w:val="16"/>
                <w:szCs w:val="16"/>
              </w:rPr>
            </w:pPr>
            <w:r w:rsidRPr="00EE5736">
              <w:rPr>
                <w:rFonts w:asciiTheme="majorHAnsi" w:hAnsiTheme="majorHAnsi" w:cs="Arial"/>
                <w:sz w:val="16"/>
                <w:szCs w:val="16"/>
              </w:rPr>
              <w:t xml:space="preserve">                   (163.240)</w:t>
            </w:r>
          </w:p>
        </w:tc>
        <w:tc>
          <w:tcPr>
            <w:tcW w:w="633" w:type="pct"/>
            <w:tcBorders>
              <w:top w:val="nil"/>
              <w:left w:val="nil"/>
              <w:bottom w:val="nil"/>
              <w:right w:val="nil"/>
            </w:tcBorders>
            <w:shd w:val="clear" w:color="auto" w:fill="auto"/>
            <w:noWrap/>
            <w:vAlign w:val="bottom"/>
            <w:hideMark/>
          </w:tcPr>
          <w:p w14:paraId="742A1EBC" w14:textId="77777777" w:rsidR="00EE5736" w:rsidRPr="00EE5736" w:rsidRDefault="00EE5736">
            <w:pPr>
              <w:jc w:val="right"/>
              <w:outlineLvl w:val="0"/>
              <w:rPr>
                <w:rFonts w:asciiTheme="majorHAnsi" w:hAnsiTheme="majorHAnsi" w:cs="Arial"/>
                <w:sz w:val="16"/>
                <w:szCs w:val="16"/>
              </w:rPr>
            </w:pPr>
            <w:r w:rsidRPr="00EE5736">
              <w:rPr>
                <w:rFonts w:asciiTheme="majorHAnsi" w:hAnsiTheme="majorHAnsi" w:cs="Arial"/>
                <w:sz w:val="16"/>
                <w:szCs w:val="16"/>
              </w:rPr>
              <w:t xml:space="preserve">                                 -   </w:t>
            </w:r>
          </w:p>
        </w:tc>
        <w:tc>
          <w:tcPr>
            <w:tcW w:w="679" w:type="pct"/>
            <w:tcBorders>
              <w:top w:val="nil"/>
              <w:left w:val="nil"/>
              <w:bottom w:val="nil"/>
              <w:right w:val="nil"/>
            </w:tcBorders>
            <w:shd w:val="clear" w:color="auto" w:fill="auto"/>
            <w:noWrap/>
            <w:vAlign w:val="bottom"/>
            <w:hideMark/>
          </w:tcPr>
          <w:p w14:paraId="0EE9FDBF" w14:textId="77777777" w:rsidR="00EE5736" w:rsidRPr="00EE5736" w:rsidRDefault="00EE5736">
            <w:pPr>
              <w:jc w:val="right"/>
              <w:outlineLvl w:val="0"/>
              <w:rPr>
                <w:rFonts w:asciiTheme="majorHAnsi" w:hAnsiTheme="majorHAnsi" w:cs="Arial"/>
                <w:sz w:val="16"/>
                <w:szCs w:val="16"/>
              </w:rPr>
            </w:pPr>
            <w:r w:rsidRPr="00EE5736">
              <w:rPr>
                <w:rFonts w:asciiTheme="majorHAnsi" w:hAnsiTheme="majorHAnsi" w:cs="Arial"/>
                <w:sz w:val="16"/>
                <w:szCs w:val="16"/>
              </w:rPr>
              <w:t xml:space="preserve">                     (443.967)</w:t>
            </w:r>
          </w:p>
        </w:tc>
        <w:tc>
          <w:tcPr>
            <w:tcW w:w="300" w:type="pct"/>
            <w:tcBorders>
              <w:top w:val="nil"/>
              <w:left w:val="nil"/>
              <w:bottom w:val="nil"/>
              <w:right w:val="nil"/>
            </w:tcBorders>
            <w:shd w:val="clear" w:color="auto" w:fill="auto"/>
            <w:noWrap/>
            <w:vAlign w:val="bottom"/>
            <w:hideMark/>
          </w:tcPr>
          <w:p w14:paraId="41B84E25" w14:textId="77777777" w:rsidR="00EE5736" w:rsidRPr="00EE5736" w:rsidRDefault="00EE5736" w:rsidP="0029203E">
            <w:pPr>
              <w:jc w:val="center"/>
              <w:outlineLvl w:val="0"/>
              <w:rPr>
                <w:rFonts w:asciiTheme="majorHAnsi" w:hAnsiTheme="majorHAnsi" w:cs="Arial"/>
                <w:sz w:val="16"/>
                <w:szCs w:val="16"/>
              </w:rPr>
            </w:pPr>
          </w:p>
        </w:tc>
      </w:tr>
      <w:tr w:rsidR="00EE5736" w:rsidRPr="00EE5736" w14:paraId="00CAE916" w14:textId="77777777" w:rsidTr="00EE5736">
        <w:trPr>
          <w:trHeight w:val="227"/>
        </w:trPr>
        <w:tc>
          <w:tcPr>
            <w:tcW w:w="2255" w:type="pct"/>
            <w:tcBorders>
              <w:top w:val="nil"/>
              <w:left w:val="nil"/>
              <w:bottom w:val="nil"/>
              <w:right w:val="nil"/>
            </w:tcBorders>
            <w:shd w:val="clear" w:color="auto" w:fill="auto"/>
            <w:noWrap/>
            <w:vAlign w:val="bottom"/>
            <w:hideMark/>
          </w:tcPr>
          <w:p w14:paraId="09ADA3B8" w14:textId="77777777" w:rsidR="00EE5736" w:rsidRPr="00EE5736" w:rsidRDefault="00EE5736">
            <w:pPr>
              <w:jc w:val="right"/>
              <w:outlineLvl w:val="0"/>
              <w:rPr>
                <w:rFonts w:asciiTheme="majorHAnsi" w:hAnsiTheme="majorHAnsi"/>
                <w:sz w:val="16"/>
                <w:szCs w:val="16"/>
              </w:rPr>
            </w:pPr>
          </w:p>
        </w:tc>
        <w:tc>
          <w:tcPr>
            <w:tcW w:w="500" w:type="pct"/>
            <w:tcBorders>
              <w:top w:val="nil"/>
              <w:left w:val="nil"/>
              <w:bottom w:val="nil"/>
              <w:right w:val="nil"/>
            </w:tcBorders>
            <w:shd w:val="clear" w:color="auto" w:fill="auto"/>
            <w:noWrap/>
            <w:vAlign w:val="bottom"/>
            <w:hideMark/>
          </w:tcPr>
          <w:p w14:paraId="656E8064" w14:textId="77777777" w:rsidR="00EE5736" w:rsidRPr="00EE5736" w:rsidRDefault="00EE5736">
            <w:pPr>
              <w:outlineLvl w:val="0"/>
              <w:rPr>
                <w:rFonts w:asciiTheme="majorHAnsi" w:hAnsiTheme="majorHAnsi"/>
                <w:sz w:val="16"/>
                <w:szCs w:val="16"/>
              </w:rPr>
            </w:pPr>
          </w:p>
        </w:tc>
        <w:tc>
          <w:tcPr>
            <w:tcW w:w="633" w:type="pct"/>
            <w:tcBorders>
              <w:top w:val="nil"/>
              <w:left w:val="nil"/>
              <w:bottom w:val="nil"/>
              <w:right w:val="nil"/>
            </w:tcBorders>
            <w:shd w:val="clear" w:color="auto" w:fill="auto"/>
            <w:noWrap/>
            <w:vAlign w:val="bottom"/>
            <w:hideMark/>
          </w:tcPr>
          <w:p w14:paraId="5B405F28" w14:textId="77777777" w:rsidR="00EE5736" w:rsidRPr="00EE5736" w:rsidRDefault="00EE5736">
            <w:pPr>
              <w:outlineLvl w:val="0"/>
              <w:rPr>
                <w:rFonts w:asciiTheme="majorHAnsi" w:hAnsiTheme="majorHAnsi"/>
                <w:sz w:val="16"/>
                <w:szCs w:val="16"/>
              </w:rPr>
            </w:pPr>
          </w:p>
        </w:tc>
        <w:tc>
          <w:tcPr>
            <w:tcW w:w="633" w:type="pct"/>
            <w:tcBorders>
              <w:top w:val="nil"/>
              <w:left w:val="nil"/>
              <w:bottom w:val="nil"/>
              <w:right w:val="nil"/>
            </w:tcBorders>
            <w:shd w:val="clear" w:color="auto" w:fill="auto"/>
            <w:noWrap/>
            <w:vAlign w:val="bottom"/>
            <w:hideMark/>
          </w:tcPr>
          <w:p w14:paraId="4F8F71C6" w14:textId="77777777" w:rsidR="00EE5736" w:rsidRPr="00EE5736" w:rsidRDefault="00EE5736">
            <w:pPr>
              <w:jc w:val="right"/>
              <w:outlineLvl w:val="0"/>
              <w:rPr>
                <w:rFonts w:asciiTheme="majorHAnsi" w:hAnsiTheme="majorHAnsi"/>
                <w:sz w:val="16"/>
                <w:szCs w:val="16"/>
              </w:rPr>
            </w:pPr>
          </w:p>
        </w:tc>
        <w:tc>
          <w:tcPr>
            <w:tcW w:w="679" w:type="pct"/>
            <w:tcBorders>
              <w:top w:val="nil"/>
              <w:left w:val="nil"/>
              <w:bottom w:val="nil"/>
              <w:right w:val="nil"/>
            </w:tcBorders>
            <w:shd w:val="clear" w:color="auto" w:fill="auto"/>
            <w:noWrap/>
            <w:vAlign w:val="bottom"/>
            <w:hideMark/>
          </w:tcPr>
          <w:p w14:paraId="4D0C9684" w14:textId="77777777" w:rsidR="00EE5736" w:rsidRPr="00EE5736" w:rsidRDefault="00EE5736">
            <w:pPr>
              <w:jc w:val="right"/>
              <w:outlineLvl w:val="0"/>
              <w:rPr>
                <w:rFonts w:asciiTheme="majorHAnsi" w:hAnsiTheme="majorHAnsi"/>
                <w:sz w:val="16"/>
                <w:szCs w:val="16"/>
              </w:rPr>
            </w:pPr>
          </w:p>
        </w:tc>
        <w:tc>
          <w:tcPr>
            <w:tcW w:w="300" w:type="pct"/>
            <w:tcBorders>
              <w:top w:val="nil"/>
              <w:left w:val="nil"/>
              <w:bottom w:val="nil"/>
              <w:right w:val="nil"/>
            </w:tcBorders>
            <w:shd w:val="clear" w:color="auto" w:fill="auto"/>
            <w:noWrap/>
            <w:vAlign w:val="bottom"/>
            <w:hideMark/>
          </w:tcPr>
          <w:p w14:paraId="76F71AC5" w14:textId="77777777" w:rsidR="00EE5736" w:rsidRPr="00EE5736" w:rsidRDefault="00EE5736" w:rsidP="0029203E">
            <w:pPr>
              <w:jc w:val="center"/>
              <w:outlineLvl w:val="0"/>
              <w:rPr>
                <w:rFonts w:asciiTheme="majorHAnsi" w:hAnsiTheme="majorHAnsi"/>
                <w:sz w:val="16"/>
                <w:szCs w:val="16"/>
              </w:rPr>
            </w:pPr>
          </w:p>
        </w:tc>
      </w:tr>
      <w:tr w:rsidR="00EE5736" w:rsidRPr="00EE5736" w14:paraId="4C6E1BF5" w14:textId="77777777" w:rsidTr="00EE5736">
        <w:trPr>
          <w:trHeight w:val="227"/>
        </w:trPr>
        <w:tc>
          <w:tcPr>
            <w:tcW w:w="2255" w:type="pct"/>
            <w:tcBorders>
              <w:top w:val="nil"/>
              <w:left w:val="nil"/>
              <w:bottom w:val="nil"/>
              <w:right w:val="nil"/>
            </w:tcBorders>
            <w:shd w:val="clear" w:color="auto" w:fill="auto"/>
            <w:noWrap/>
            <w:vAlign w:val="bottom"/>
            <w:hideMark/>
          </w:tcPr>
          <w:p w14:paraId="035CABAA" w14:textId="77777777" w:rsidR="00EE5736" w:rsidRPr="00EE5736" w:rsidRDefault="00EE5736">
            <w:pPr>
              <w:rPr>
                <w:rFonts w:asciiTheme="majorHAnsi" w:hAnsiTheme="majorHAnsi" w:cs="Arial"/>
                <w:b/>
                <w:bCs/>
                <w:sz w:val="16"/>
                <w:szCs w:val="16"/>
              </w:rPr>
            </w:pPr>
            <w:r w:rsidRPr="00EE5736">
              <w:rPr>
                <w:rFonts w:asciiTheme="majorHAnsi" w:hAnsiTheme="majorHAnsi" w:cs="Arial"/>
                <w:b/>
                <w:bCs/>
                <w:sz w:val="16"/>
                <w:szCs w:val="16"/>
              </w:rPr>
              <w:t>RECEITAS LÍQUIDAS</w:t>
            </w:r>
          </w:p>
        </w:tc>
        <w:tc>
          <w:tcPr>
            <w:tcW w:w="500" w:type="pct"/>
            <w:tcBorders>
              <w:top w:val="nil"/>
              <w:left w:val="nil"/>
              <w:bottom w:val="nil"/>
              <w:right w:val="nil"/>
            </w:tcBorders>
            <w:shd w:val="clear" w:color="000000" w:fill="FFFFFF"/>
            <w:noWrap/>
            <w:vAlign w:val="bottom"/>
            <w:hideMark/>
          </w:tcPr>
          <w:p w14:paraId="153254DB"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 xml:space="preserve">             709.521 </w:t>
            </w:r>
          </w:p>
        </w:tc>
        <w:tc>
          <w:tcPr>
            <w:tcW w:w="633" w:type="pct"/>
            <w:tcBorders>
              <w:top w:val="nil"/>
              <w:left w:val="nil"/>
              <w:bottom w:val="nil"/>
              <w:right w:val="nil"/>
            </w:tcBorders>
            <w:shd w:val="clear" w:color="000000" w:fill="FFFFFF"/>
            <w:noWrap/>
            <w:vAlign w:val="bottom"/>
            <w:hideMark/>
          </w:tcPr>
          <w:p w14:paraId="46EE0818"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 xml:space="preserve">                 1.853.349 </w:t>
            </w:r>
          </w:p>
        </w:tc>
        <w:tc>
          <w:tcPr>
            <w:tcW w:w="633" w:type="pct"/>
            <w:tcBorders>
              <w:top w:val="nil"/>
              <w:left w:val="nil"/>
              <w:bottom w:val="nil"/>
              <w:right w:val="nil"/>
            </w:tcBorders>
            <w:shd w:val="clear" w:color="auto" w:fill="auto"/>
            <w:noWrap/>
            <w:vAlign w:val="bottom"/>
            <w:hideMark/>
          </w:tcPr>
          <w:p w14:paraId="34B95392"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 xml:space="preserve">                     490.887 </w:t>
            </w:r>
          </w:p>
        </w:tc>
        <w:tc>
          <w:tcPr>
            <w:tcW w:w="679" w:type="pct"/>
            <w:tcBorders>
              <w:top w:val="nil"/>
              <w:left w:val="nil"/>
              <w:bottom w:val="nil"/>
              <w:right w:val="nil"/>
            </w:tcBorders>
            <w:shd w:val="clear" w:color="auto" w:fill="auto"/>
            <w:noWrap/>
            <w:vAlign w:val="bottom"/>
            <w:hideMark/>
          </w:tcPr>
          <w:p w14:paraId="44C7E5B3"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 xml:space="preserve">                       957.695 </w:t>
            </w:r>
          </w:p>
        </w:tc>
        <w:tc>
          <w:tcPr>
            <w:tcW w:w="300" w:type="pct"/>
            <w:tcBorders>
              <w:top w:val="nil"/>
              <w:left w:val="nil"/>
              <w:bottom w:val="nil"/>
              <w:right w:val="nil"/>
            </w:tcBorders>
            <w:shd w:val="clear" w:color="000000" w:fill="FFFFFF"/>
            <w:noWrap/>
            <w:vAlign w:val="bottom"/>
            <w:hideMark/>
          </w:tcPr>
          <w:p w14:paraId="43C3DFD1" w14:textId="16BBFB34" w:rsidR="00EE5736" w:rsidRPr="00EE5736" w:rsidRDefault="00EE5736" w:rsidP="0029203E">
            <w:pPr>
              <w:jc w:val="center"/>
              <w:rPr>
                <w:rFonts w:asciiTheme="majorHAnsi" w:hAnsiTheme="majorHAnsi" w:cs="Arial"/>
                <w:sz w:val="16"/>
                <w:szCs w:val="16"/>
              </w:rPr>
            </w:pPr>
            <w:r w:rsidRPr="00EE5736">
              <w:rPr>
                <w:rFonts w:asciiTheme="majorHAnsi" w:hAnsiTheme="majorHAnsi" w:cs="Arial"/>
                <w:sz w:val="16"/>
                <w:szCs w:val="16"/>
              </w:rPr>
              <w:t>(15)</w:t>
            </w:r>
          </w:p>
        </w:tc>
      </w:tr>
      <w:tr w:rsidR="00EE5736" w:rsidRPr="00EE5736" w14:paraId="4D0CD3A8" w14:textId="77777777" w:rsidTr="00EE5736">
        <w:trPr>
          <w:trHeight w:val="227"/>
        </w:trPr>
        <w:tc>
          <w:tcPr>
            <w:tcW w:w="2255" w:type="pct"/>
            <w:tcBorders>
              <w:top w:val="nil"/>
              <w:left w:val="nil"/>
              <w:bottom w:val="nil"/>
              <w:right w:val="nil"/>
            </w:tcBorders>
            <w:shd w:val="clear" w:color="auto" w:fill="auto"/>
            <w:noWrap/>
            <w:vAlign w:val="bottom"/>
            <w:hideMark/>
          </w:tcPr>
          <w:p w14:paraId="37336756" w14:textId="77777777" w:rsidR="00EE5736" w:rsidRPr="00EE5736" w:rsidRDefault="00EE5736">
            <w:pPr>
              <w:rPr>
                <w:rFonts w:asciiTheme="majorHAnsi" w:hAnsiTheme="majorHAnsi" w:cs="Arial"/>
                <w:sz w:val="16"/>
                <w:szCs w:val="16"/>
              </w:rPr>
            </w:pPr>
          </w:p>
        </w:tc>
        <w:tc>
          <w:tcPr>
            <w:tcW w:w="500" w:type="pct"/>
            <w:tcBorders>
              <w:top w:val="nil"/>
              <w:left w:val="nil"/>
              <w:bottom w:val="nil"/>
              <w:right w:val="nil"/>
            </w:tcBorders>
            <w:shd w:val="clear" w:color="auto" w:fill="auto"/>
            <w:noWrap/>
            <w:vAlign w:val="bottom"/>
            <w:hideMark/>
          </w:tcPr>
          <w:p w14:paraId="4A102635" w14:textId="77777777" w:rsidR="00EE5736" w:rsidRPr="00EE5736" w:rsidRDefault="00EE5736">
            <w:pPr>
              <w:rPr>
                <w:rFonts w:asciiTheme="majorHAnsi" w:hAnsiTheme="majorHAnsi"/>
                <w:sz w:val="16"/>
                <w:szCs w:val="16"/>
              </w:rPr>
            </w:pPr>
          </w:p>
        </w:tc>
        <w:tc>
          <w:tcPr>
            <w:tcW w:w="633" w:type="pct"/>
            <w:tcBorders>
              <w:top w:val="nil"/>
              <w:left w:val="nil"/>
              <w:bottom w:val="nil"/>
              <w:right w:val="nil"/>
            </w:tcBorders>
            <w:shd w:val="clear" w:color="auto" w:fill="auto"/>
            <w:noWrap/>
            <w:vAlign w:val="bottom"/>
            <w:hideMark/>
          </w:tcPr>
          <w:p w14:paraId="6896A288" w14:textId="77777777" w:rsidR="00EE5736" w:rsidRPr="00EE5736" w:rsidRDefault="00EE5736">
            <w:pPr>
              <w:rPr>
                <w:rFonts w:asciiTheme="majorHAnsi" w:hAnsiTheme="majorHAnsi"/>
                <w:sz w:val="16"/>
                <w:szCs w:val="16"/>
              </w:rPr>
            </w:pPr>
          </w:p>
        </w:tc>
        <w:tc>
          <w:tcPr>
            <w:tcW w:w="633" w:type="pct"/>
            <w:tcBorders>
              <w:top w:val="nil"/>
              <w:left w:val="nil"/>
              <w:bottom w:val="nil"/>
              <w:right w:val="nil"/>
            </w:tcBorders>
            <w:shd w:val="clear" w:color="auto" w:fill="auto"/>
            <w:noWrap/>
            <w:vAlign w:val="bottom"/>
            <w:hideMark/>
          </w:tcPr>
          <w:p w14:paraId="75E62F18" w14:textId="77777777" w:rsidR="00EE5736" w:rsidRPr="00EE5736" w:rsidRDefault="00EE5736">
            <w:pPr>
              <w:rPr>
                <w:rFonts w:asciiTheme="majorHAnsi" w:hAnsiTheme="majorHAnsi"/>
                <w:sz w:val="16"/>
                <w:szCs w:val="16"/>
              </w:rPr>
            </w:pPr>
          </w:p>
        </w:tc>
        <w:tc>
          <w:tcPr>
            <w:tcW w:w="679" w:type="pct"/>
            <w:tcBorders>
              <w:top w:val="nil"/>
              <w:left w:val="nil"/>
              <w:bottom w:val="nil"/>
              <w:right w:val="nil"/>
            </w:tcBorders>
            <w:shd w:val="clear" w:color="auto" w:fill="auto"/>
            <w:noWrap/>
            <w:vAlign w:val="bottom"/>
            <w:hideMark/>
          </w:tcPr>
          <w:p w14:paraId="1AA996F2" w14:textId="77777777" w:rsidR="00EE5736" w:rsidRPr="00EE5736" w:rsidRDefault="00EE5736">
            <w:pPr>
              <w:rPr>
                <w:rFonts w:asciiTheme="majorHAnsi" w:hAnsiTheme="majorHAnsi"/>
                <w:sz w:val="16"/>
                <w:szCs w:val="16"/>
              </w:rPr>
            </w:pPr>
          </w:p>
        </w:tc>
        <w:tc>
          <w:tcPr>
            <w:tcW w:w="300" w:type="pct"/>
            <w:tcBorders>
              <w:top w:val="nil"/>
              <w:left w:val="nil"/>
              <w:bottom w:val="nil"/>
              <w:right w:val="nil"/>
            </w:tcBorders>
            <w:shd w:val="clear" w:color="auto" w:fill="auto"/>
            <w:noWrap/>
            <w:vAlign w:val="bottom"/>
            <w:hideMark/>
          </w:tcPr>
          <w:p w14:paraId="771072B0" w14:textId="77777777" w:rsidR="00EE5736" w:rsidRPr="00EE5736" w:rsidRDefault="00EE5736" w:rsidP="0029203E">
            <w:pPr>
              <w:jc w:val="center"/>
              <w:rPr>
                <w:rFonts w:asciiTheme="majorHAnsi" w:hAnsiTheme="majorHAnsi"/>
                <w:sz w:val="16"/>
                <w:szCs w:val="16"/>
              </w:rPr>
            </w:pPr>
          </w:p>
        </w:tc>
      </w:tr>
      <w:tr w:rsidR="00EE5736" w:rsidRPr="00EE5736" w14:paraId="23D69F0A" w14:textId="77777777" w:rsidTr="00EE5736">
        <w:trPr>
          <w:trHeight w:val="227"/>
        </w:trPr>
        <w:tc>
          <w:tcPr>
            <w:tcW w:w="2255" w:type="pct"/>
            <w:tcBorders>
              <w:top w:val="nil"/>
              <w:left w:val="nil"/>
              <w:bottom w:val="nil"/>
              <w:right w:val="nil"/>
            </w:tcBorders>
            <w:shd w:val="clear" w:color="auto" w:fill="auto"/>
            <w:noWrap/>
            <w:vAlign w:val="bottom"/>
            <w:hideMark/>
          </w:tcPr>
          <w:p w14:paraId="0020A87B" w14:textId="77777777" w:rsidR="00EE5736" w:rsidRPr="00EE5736" w:rsidRDefault="00EE5736">
            <w:pPr>
              <w:rPr>
                <w:rFonts w:asciiTheme="majorHAnsi" w:hAnsiTheme="majorHAnsi" w:cs="Arial"/>
                <w:b/>
                <w:bCs/>
                <w:sz w:val="16"/>
                <w:szCs w:val="16"/>
              </w:rPr>
            </w:pPr>
            <w:r w:rsidRPr="00EE5736">
              <w:rPr>
                <w:rFonts w:asciiTheme="majorHAnsi" w:hAnsiTheme="majorHAnsi" w:cs="Arial"/>
                <w:b/>
                <w:bCs/>
                <w:sz w:val="16"/>
                <w:szCs w:val="16"/>
              </w:rPr>
              <w:t>DESPESAS OPERACIONAIS</w:t>
            </w:r>
          </w:p>
        </w:tc>
        <w:tc>
          <w:tcPr>
            <w:tcW w:w="500" w:type="pct"/>
            <w:tcBorders>
              <w:top w:val="nil"/>
              <w:left w:val="nil"/>
              <w:bottom w:val="nil"/>
              <w:right w:val="nil"/>
            </w:tcBorders>
            <w:shd w:val="clear" w:color="000000" w:fill="FFFFFF"/>
            <w:noWrap/>
            <w:vAlign w:val="bottom"/>
            <w:hideMark/>
          </w:tcPr>
          <w:p w14:paraId="7FEC1EFE"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 xml:space="preserve">     (38.200.192)</w:t>
            </w:r>
          </w:p>
        </w:tc>
        <w:tc>
          <w:tcPr>
            <w:tcW w:w="633" w:type="pct"/>
            <w:tcBorders>
              <w:top w:val="nil"/>
              <w:left w:val="nil"/>
              <w:bottom w:val="nil"/>
              <w:right w:val="nil"/>
            </w:tcBorders>
            <w:shd w:val="clear" w:color="000000" w:fill="FFFFFF"/>
            <w:noWrap/>
            <w:vAlign w:val="bottom"/>
            <w:hideMark/>
          </w:tcPr>
          <w:p w14:paraId="206DEBD7"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 xml:space="preserve">          (118.910.087)</w:t>
            </w:r>
          </w:p>
        </w:tc>
        <w:tc>
          <w:tcPr>
            <w:tcW w:w="633" w:type="pct"/>
            <w:tcBorders>
              <w:top w:val="nil"/>
              <w:left w:val="nil"/>
              <w:bottom w:val="nil"/>
              <w:right w:val="nil"/>
            </w:tcBorders>
            <w:shd w:val="clear" w:color="auto" w:fill="auto"/>
            <w:noWrap/>
            <w:vAlign w:val="bottom"/>
            <w:hideMark/>
          </w:tcPr>
          <w:p w14:paraId="33FD58D2"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 xml:space="preserve">             (38.752.468)</w:t>
            </w:r>
          </w:p>
        </w:tc>
        <w:tc>
          <w:tcPr>
            <w:tcW w:w="679" w:type="pct"/>
            <w:tcBorders>
              <w:top w:val="nil"/>
              <w:left w:val="nil"/>
              <w:bottom w:val="nil"/>
              <w:right w:val="nil"/>
            </w:tcBorders>
            <w:shd w:val="clear" w:color="auto" w:fill="auto"/>
            <w:noWrap/>
            <w:vAlign w:val="bottom"/>
            <w:hideMark/>
          </w:tcPr>
          <w:p w14:paraId="19452F3B"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 xml:space="preserve">             (117.163.071)</w:t>
            </w:r>
          </w:p>
        </w:tc>
        <w:tc>
          <w:tcPr>
            <w:tcW w:w="300" w:type="pct"/>
            <w:tcBorders>
              <w:top w:val="nil"/>
              <w:left w:val="nil"/>
              <w:bottom w:val="nil"/>
              <w:right w:val="nil"/>
            </w:tcBorders>
            <w:shd w:val="clear" w:color="auto" w:fill="auto"/>
            <w:noWrap/>
            <w:vAlign w:val="bottom"/>
            <w:hideMark/>
          </w:tcPr>
          <w:p w14:paraId="0E31B417" w14:textId="77777777" w:rsidR="00EE5736" w:rsidRPr="00EE5736" w:rsidRDefault="00EE5736" w:rsidP="0029203E">
            <w:pPr>
              <w:jc w:val="center"/>
              <w:rPr>
                <w:rFonts w:asciiTheme="majorHAnsi" w:hAnsiTheme="majorHAnsi" w:cs="Arial"/>
                <w:b/>
                <w:bCs/>
                <w:sz w:val="16"/>
                <w:szCs w:val="16"/>
              </w:rPr>
            </w:pPr>
          </w:p>
        </w:tc>
      </w:tr>
      <w:tr w:rsidR="00EE5736" w:rsidRPr="00EE5736" w14:paraId="00E6601F" w14:textId="77777777" w:rsidTr="00EE5736">
        <w:trPr>
          <w:trHeight w:val="227"/>
        </w:trPr>
        <w:tc>
          <w:tcPr>
            <w:tcW w:w="2255" w:type="pct"/>
            <w:tcBorders>
              <w:top w:val="nil"/>
              <w:left w:val="nil"/>
              <w:bottom w:val="nil"/>
              <w:right w:val="nil"/>
            </w:tcBorders>
            <w:shd w:val="clear" w:color="auto" w:fill="auto"/>
            <w:noWrap/>
            <w:vAlign w:val="bottom"/>
            <w:hideMark/>
          </w:tcPr>
          <w:p w14:paraId="7B9FFD73"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Pessoal</w:t>
            </w:r>
          </w:p>
        </w:tc>
        <w:tc>
          <w:tcPr>
            <w:tcW w:w="500" w:type="pct"/>
            <w:tcBorders>
              <w:top w:val="nil"/>
              <w:left w:val="nil"/>
              <w:bottom w:val="nil"/>
              <w:right w:val="nil"/>
            </w:tcBorders>
            <w:shd w:val="clear" w:color="auto" w:fill="auto"/>
            <w:noWrap/>
            <w:vAlign w:val="bottom"/>
            <w:hideMark/>
          </w:tcPr>
          <w:p w14:paraId="43CB152B"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(27.327.709)</w:t>
            </w:r>
          </w:p>
        </w:tc>
        <w:tc>
          <w:tcPr>
            <w:tcW w:w="633" w:type="pct"/>
            <w:tcBorders>
              <w:top w:val="nil"/>
              <w:left w:val="nil"/>
              <w:bottom w:val="nil"/>
              <w:right w:val="nil"/>
            </w:tcBorders>
            <w:shd w:val="clear" w:color="auto" w:fill="auto"/>
            <w:noWrap/>
            <w:vAlign w:val="bottom"/>
            <w:hideMark/>
          </w:tcPr>
          <w:p w14:paraId="60F7FE24"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(85.389.757)</w:t>
            </w:r>
          </w:p>
        </w:tc>
        <w:tc>
          <w:tcPr>
            <w:tcW w:w="633" w:type="pct"/>
            <w:tcBorders>
              <w:top w:val="nil"/>
              <w:left w:val="nil"/>
              <w:bottom w:val="nil"/>
              <w:right w:val="nil"/>
            </w:tcBorders>
            <w:shd w:val="clear" w:color="auto" w:fill="auto"/>
            <w:noWrap/>
            <w:vAlign w:val="bottom"/>
            <w:hideMark/>
          </w:tcPr>
          <w:p w14:paraId="24DD9E05"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(30.507.928)</w:t>
            </w:r>
          </w:p>
        </w:tc>
        <w:tc>
          <w:tcPr>
            <w:tcW w:w="679" w:type="pct"/>
            <w:tcBorders>
              <w:top w:val="nil"/>
              <w:left w:val="nil"/>
              <w:bottom w:val="nil"/>
              <w:right w:val="nil"/>
            </w:tcBorders>
            <w:shd w:val="clear" w:color="auto" w:fill="auto"/>
            <w:noWrap/>
            <w:vAlign w:val="bottom"/>
            <w:hideMark/>
          </w:tcPr>
          <w:p w14:paraId="6503F1B8"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(89.646.773)</w:t>
            </w:r>
          </w:p>
        </w:tc>
        <w:tc>
          <w:tcPr>
            <w:tcW w:w="300" w:type="pct"/>
            <w:tcBorders>
              <w:top w:val="nil"/>
              <w:left w:val="nil"/>
              <w:bottom w:val="nil"/>
              <w:right w:val="nil"/>
            </w:tcBorders>
            <w:shd w:val="clear" w:color="auto" w:fill="auto"/>
            <w:noWrap/>
            <w:vAlign w:val="bottom"/>
            <w:hideMark/>
          </w:tcPr>
          <w:p w14:paraId="635CF9C2" w14:textId="77777777" w:rsidR="00EE5736" w:rsidRPr="00EE5736" w:rsidRDefault="00EE5736" w:rsidP="0029203E">
            <w:pPr>
              <w:jc w:val="center"/>
              <w:rPr>
                <w:rFonts w:asciiTheme="majorHAnsi" w:hAnsiTheme="majorHAnsi" w:cs="Arial"/>
                <w:sz w:val="16"/>
                <w:szCs w:val="16"/>
              </w:rPr>
            </w:pPr>
            <w:r w:rsidRPr="00EE5736">
              <w:rPr>
                <w:rFonts w:asciiTheme="majorHAnsi" w:hAnsiTheme="majorHAnsi" w:cs="Arial"/>
                <w:sz w:val="16"/>
                <w:szCs w:val="16"/>
              </w:rPr>
              <w:t>(16a)</w:t>
            </w:r>
          </w:p>
        </w:tc>
      </w:tr>
      <w:tr w:rsidR="00EE5736" w:rsidRPr="00EE5736" w14:paraId="307AA486" w14:textId="77777777" w:rsidTr="00EE5736">
        <w:trPr>
          <w:trHeight w:val="227"/>
        </w:trPr>
        <w:tc>
          <w:tcPr>
            <w:tcW w:w="2255" w:type="pct"/>
            <w:tcBorders>
              <w:top w:val="nil"/>
              <w:left w:val="nil"/>
              <w:bottom w:val="nil"/>
              <w:right w:val="nil"/>
            </w:tcBorders>
            <w:shd w:val="clear" w:color="auto" w:fill="auto"/>
            <w:noWrap/>
            <w:vAlign w:val="bottom"/>
            <w:hideMark/>
          </w:tcPr>
          <w:p w14:paraId="2102342B"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Remuneração dos Administradores</w:t>
            </w:r>
          </w:p>
        </w:tc>
        <w:tc>
          <w:tcPr>
            <w:tcW w:w="500" w:type="pct"/>
            <w:tcBorders>
              <w:top w:val="nil"/>
              <w:left w:val="nil"/>
              <w:bottom w:val="nil"/>
              <w:right w:val="nil"/>
            </w:tcBorders>
            <w:shd w:val="clear" w:color="auto" w:fill="auto"/>
            <w:noWrap/>
            <w:vAlign w:val="bottom"/>
            <w:hideMark/>
          </w:tcPr>
          <w:p w14:paraId="6C982438"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(368.477)</w:t>
            </w:r>
          </w:p>
        </w:tc>
        <w:tc>
          <w:tcPr>
            <w:tcW w:w="633" w:type="pct"/>
            <w:tcBorders>
              <w:top w:val="nil"/>
              <w:left w:val="nil"/>
              <w:bottom w:val="nil"/>
              <w:right w:val="nil"/>
            </w:tcBorders>
            <w:shd w:val="clear" w:color="auto" w:fill="auto"/>
            <w:noWrap/>
            <w:vAlign w:val="bottom"/>
            <w:hideMark/>
          </w:tcPr>
          <w:p w14:paraId="23B27271"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(1.179.795)</w:t>
            </w:r>
          </w:p>
        </w:tc>
        <w:tc>
          <w:tcPr>
            <w:tcW w:w="633" w:type="pct"/>
            <w:tcBorders>
              <w:top w:val="nil"/>
              <w:left w:val="nil"/>
              <w:bottom w:val="nil"/>
              <w:right w:val="nil"/>
            </w:tcBorders>
            <w:shd w:val="clear" w:color="auto" w:fill="auto"/>
            <w:noWrap/>
            <w:vAlign w:val="bottom"/>
            <w:hideMark/>
          </w:tcPr>
          <w:p w14:paraId="0FDD1F1D"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(439.571)</w:t>
            </w:r>
          </w:p>
        </w:tc>
        <w:tc>
          <w:tcPr>
            <w:tcW w:w="679" w:type="pct"/>
            <w:tcBorders>
              <w:top w:val="nil"/>
              <w:left w:val="nil"/>
              <w:bottom w:val="nil"/>
              <w:right w:val="nil"/>
            </w:tcBorders>
            <w:shd w:val="clear" w:color="auto" w:fill="auto"/>
            <w:noWrap/>
            <w:vAlign w:val="bottom"/>
            <w:hideMark/>
          </w:tcPr>
          <w:p w14:paraId="30FF48A5"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(1.087.404)</w:t>
            </w:r>
          </w:p>
        </w:tc>
        <w:tc>
          <w:tcPr>
            <w:tcW w:w="300" w:type="pct"/>
            <w:tcBorders>
              <w:top w:val="nil"/>
              <w:left w:val="nil"/>
              <w:bottom w:val="nil"/>
              <w:right w:val="nil"/>
            </w:tcBorders>
            <w:shd w:val="clear" w:color="auto" w:fill="auto"/>
            <w:noWrap/>
            <w:vAlign w:val="bottom"/>
            <w:hideMark/>
          </w:tcPr>
          <w:p w14:paraId="4C92A2C1" w14:textId="77777777" w:rsidR="00EE5736" w:rsidRPr="00EE5736" w:rsidRDefault="00EE5736" w:rsidP="0029203E">
            <w:pPr>
              <w:jc w:val="center"/>
              <w:rPr>
                <w:rFonts w:asciiTheme="majorHAnsi" w:hAnsiTheme="majorHAnsi" w:cs="Arial"/>
                <w:sz w:val="16"/>
                <w:szCs w:val="16"/>
              </w:rPr>
            </w:pPr>
          </w:p>
        </w:tc>
      </w:tr>
      <w:tr w:rsidR="00EE5736" w:rsidRPr="00EE5736" w14:paraId="295C5B57" w14:textId="77777777" w:rsidTr="00EE5736">
        <w:trPr>
          <w:trHeight w:val="227"/>
        </w:trPr>
        <w:tc>
          <w:tcPr>
            <w:tcW w:w="2255" w:type="pct"/>
            <w:tcBorders>
              <w:top w:val="nil"/>
              <w:left w:val="nil"/>
              <w:bottom w:val="nil"/>
              <w:right w:val="nil"/>
            </w:tcBorders>
            <w:shd w:val="clear" w:color="auto" w:fill="auto"/>
            <w:noWrap/>
            <w:vAlign w:val="bottom"/>
            <w:hideMark/>
          </w:tcPr>
          <w:p w14:paraId="6C067D6C"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Depreciação e Amortização</w:t>
            </w:r>
          </w:p>
        </w:tc>
        <w:tc>
          <w:tcPr>
            <w:tcW w:w="500" w:type="pct"/>
            <w:tcBorders>
              <w:top w:val="nil"/>
              <w:left w:val="nil"/>
              <w:bottom w:val="nil"/>
              <w:right w:val="nil"/>
            </w:tcBorders>
            <w:shd w:val="clear" w:color="auto" w:fill="auto"/>
            <w:noWrap/>
            <w:vAlign w:val="bottom"/>
            <w:hideMark/>
          </w:tcPr>
          <w:p w14:paraId="500682C8"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(1.456.715)</w:t>
            </w:r>
          </w:p>
        </w:tc>
        <w:tc>
          <w:tcPr>
            <w:tcW w:w="633" w:type="pct"/>
            <w:tcBorders>
              <w:top w:val="nil"/>
              <w:left w:val="nil"/>
              <w:bottom w:val="nil"/>
              <w:right w:val="nil"/>
            </w:tcBorders>
            <w:shd w:val="clear" w:color="auto" w:fill="auto"/>
            <w:noWrap/>
            <w:vAlign w:val="bottom"/>
            <w:hideMark/>
          </w:tcPr>
          <w:p w14:paraId="24D417E3"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(4.698.894)</w:t>
            </w:r>
          </w:p>
        </w:tc>
        <w:tc>
          <w:tcPr>
            <w:tcW w:w="633" w:type="pct"/>
            <w:tcBorders>
              <w:top w:val="nil"/>
              <w:left w:val="nil"/>
              <w:bottom w:val="nil"/>
              <w:right w:val="nil"/>
            </w:tcBorders>
            <w:shd w:val="clear" w:color="auto" w:fill="auto"/>
            <w:noWrap/>
            <w:vAlign w:val="bottom"/>
            <w:hideMark/>
          </w:tcPr>
          <w:p w14:paraId="77A52226"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(1.657.006)</w:t>
            </w:r>
          </w:p>
        </w:tc>
        <w:tc>
          <w:tcPr>
            <w:tcW w:w="679" w:type="pct"/>
            <w:tcBorders>
              <w:top w:val="nil"/>
              <w:left w:val="nil"/>
              <w:bottom w:val="nil"/>
              <w:right w:val="nil"/>
            </w:tcBorders>
            <w:shd w:val="clear" w:color="auto" w:fill="auto"/>
            <w:noWrap/>
            <w:vAlign w:val="bottom"/>
            <w:hideMark/>
          </w:tcPr>
          <w:p w14:paraId="151BFEF9"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(5.991.510)</w:t>
            </w:r>
          </w:p>
        </w:tc>
        <w:tc>
          <w:tcPr>
            <w:tcW w:w="300" w:type="pct"/>
            <w:tcBorders>
              <w:top w:val="nil"/>
              <w:left w:val="nil"/>
              <w:bottom w:val="nil"/>
              <w:right w:val="nil"/>
            </w:tcBorders>
            <w:shd w:val="clear" w:color="auto" w:fill="auto"/>
            <w:noWrap/>
            <w:vAlign w:val="bottom"/>
            <w:hideMark/>
          </w:tcPr>
          <w:p w14:paraId="6E1150F9" w14:textId="77777777" w:rsidR="00EE5736" w:rsidRPr="00EE5736" w:rsidRDefault="00EE5736" w:rsidP="0029203E">
            <w:pPr>
              <w:jc w:val="center"/>
              <w:rPr>
                <w:rFonts w:asciiTheme="majorHAnsi" w:hAnsiTheme="majorHAnsi" w:cs="Arial"/>
                <w:sz w:val="16"/>
                <w:szCs w:val="16"/>
              </w:rPr>
            </w:pPr>
          </w:p>
        </w:tc>
      </w:tr>
      <w:tr w:rsidR="00EE5736" w:rsidRPr="00EE5736" w14:paraId="54822C99" w14:textId="77777777" w:rsidTr="00EE5736">
        <w:trPr>
          <w:trHeight w:val="227"/>
        </w:trPr>
        <w:tc>
          <w:tcPr>
            <w:tcW w:w="2255" w:type="pct"/>
            <w:tcBorders>
              <w:top w:val="nil"/>
              <w:left w:val="nil"/>
              <w:bottom w:val="nil"/>
              <w:right w:val="nil"/>
            </w:tcBorders>
            <w:shd w:val="clear" w:color="auto" w:fill="auto"/>
            <w:noWrap/>
            <w:vAlign w:val="bottom"/>
            <w:hideMark/>
          </w:tcPr>
          <w:p w14:paraId="5728EE3F"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Depreciação Direito de Uso</w:t>
            </w:r>
          </w:p>
        </w:tc>
        <w:tc>
          <w:tcPr>
            <w:tcW w:w="500" w:type="pct"/>
            <w:tcBorders>
              <w:top w:val="nil"/>
              <w:left w:val="nil"/>
              <w:bottom w:val="nil"/>
              <w:right w:val="nil"/>
            </w:tcBorders>
            <w:shd w:val="clear" w:color="auto" w:fill="auto"/>
            <w:noWrap/>
            <w:vAlign w:val="bottom"/>
            <w:hideMark/>
          </w:tcPr>
          <w:p w14:paraId="5848D854"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(1.919.027)</w:t>
            </w:r>
          </w:p>
        </w:tc>
        <w:tc>
          <w:tcPr>
            <w:tcW w:w="633" w:type="pct"/>
            <w:tcBorders>
              <w:top w:val="nil"/>
              <w:left w:val="nil"/>
              <w:bottom w:val="nil"/>
              <w:right w:val="nil"/>
            </w:tcBorders>
            <w:shd w:val="clear" w:color="auto" w:fill="auto"/>
            <w:noWrap/>
            <w:vAlign w:val="bottom"/>
            <w:hideMark/>
          </w:tcPr>
          <w:p w14:paraId="7D9FE880"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(4.262.299)</w:t>
            </w:r>
          </w:p>
        </w:tc>
        <w:tc>
          <w:tcPr>
            <w:tcW w:w="633" w:type="pct"/>
            <w:tcBorders>
              <w:top w:val="nil"/>
              <w:left w:val="nil"/>
              <w:bottom w:val="nil"/>
              <w:right w:val="nil"/>
            </w:tcBorders>
            <w:shd w:val="clear" w:color="auto" w:fill="auto"/>
            <w:noWrap/>
            <w:vAlign w:val="bottom"/>
            <w:hideMark/>
          </w:tcPr>
          <w:p w14:paraId="7AA77C78"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(1.819.694)</w:t>
            </w:r>
          </w:p>
        </w:tc>
        <w:tc>
          <w:tcPr>
            <w:tcW w:w="679" w:type="pct"/>
            <w:tcBorders>
              <w:top w:val="nil"/>
              <w:left w:val="nil"/>
              <w:bottom w:val="nil"/>
              <w:right w:val="nil"/>
            </w:tcBorders>
            <w:shd w:val="clear" w:color="auto" w:fill="auto"/>
            <w:noWrap/>
            <w:vAlign w:val="bottom"/>
            <w:hideMark/>
          </w:tcPr>
          <w:p w14:paraId="065EFF1C"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(5.729.042)</w:t>
            </w:r>
          </w:p>
        </w:tc>
        <w:tc>
          <w:tcPr>
            <w:tcW w:w="300" w:type="pct"/>
            <w:tcBorders>
              <w:top w:val="nil"/>
              <w:left w:val="nil"/>
              <w:bottom w:val="nil"/>
              <w:right w:val="nil"/>
            </w:tcBorders>
            <w:shd w:val="clear" w:color="auto" w:fill="auto"/>
            <w:noWrap/>
            <w:vAlign w:val="bottom"/>
            <w:hideMark/>
          </w:tcPr>
          <w:p w14:paraId="056D7DDD" w14:textId="77777777" w:rsidR="00EE5736" w:rsidRPr="00EE5736" w:rsidRDefault="00EE5736" w:rsidP="0029203E">
            <w:pPr>
              <w:jc w:val="center"/>
              <w:rPr>
                <w:rFonts w:asciiTheme="majorHAnsi" w:hAnsiTheme="majorHAnsi" w:cs="Arial"/>
                <w:sz w:val="16"/>
                <w:szCs w:val="16"/>
              </w:rPr>
            </w:pPr>
          </w:p>
        </w:tc>
      </w:tr>
      <w:tr w:rsidR="00EE5736" w:rsidRPr="00EE5736" w14:paraId="2AAE81F0" w14:textId="77777777" w:rsidTr="00EE5736">
        <w:trPr>
          <w:trHeight w:val="227"/>
        </w:trPr>
        <w:tc>
          <w:tcPr>
            <w:tcW w:w="2255" w:type="pct"/>
            <w:tcBorders>
              <w:top w:val="nil"/>
              <w:left w:val="nil"/>
              <w:bottom w:val="nil"/>
              <w:right w:val="nil"/>
            </w:tcBorders>
            <w:shd w:val="clear" w:color="auto" w:fill="auto"/>
            <w:noWrap/>
            <w:vAlign w:val="bottom"/>
            <w:hideMark/>
          </w:tcPr>
          <w:p w14:paraId="20F5D4F5"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Gerais e Administrativas</w:t>
            </w:r>
          </w:p>
        </w:tc>
        <w:tc>
          <w:tcPr>
            <w:tcW w:w="500" w:type="pct"/>
            <w:tcBorders>
              <w:top w:val="nil"/>
              <w:left w:val="nil"/>
              <w:bottom w:val="nil"/>
              <w:right w:val="nil"/>
            </w:tcBorders>
            <w:shd w:val="clear" w:color="auto" w:fill="auto"/>
            <w:noWrap/>
            <w:vAlign w:val="bottom"/>
            <w:hideMark/>
          </w:tcPr>
          <w:p w14:paraId="11F779A6"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(6.109.018)</w:t>
            </w:r>
          </w:p>
        </w:tc>
        <w:tc>
          <w:tcPr>
            <w:tcW w:w="633" w:type="pct"/>
            <w:tcBorders>
              <w:top w:val="nil"/>
              <w:left w:val="nil"/>
              <w:bottom w:val="nil"/>
              <w:right w:val="nil"/>
            </w:tcBorders>
            <w:shd w:val="clear" w:color="auto" w:fill="auto"/>
            <w:noWrap/>
            <w:vAlign w:val="bottom"/>
            <w:hideMark/>
          </w:tcPr>
          <w:p w14:paraId="5E028316"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(21.819.424)</w:t>
            </w:r>
          </w:p>
        </w:tc>
        <w:tc>
          <w:tcPr>
            <w:tcW w:w="633" w:type="pct"/>
            <w:tcBorders>
              <w:top w:val="nil"/>
              <w:left w:val="nil"/>
              <w:bottom w:val="nil"/>
              <w:right w:val="nil"/>
            </w:tcBorders>
            <w:shd w:val="clear" w:color="auto" w:fill="auto"/>
            <w:noWrap/>
            <w:vAlign w:val="bottom"/>
            <w:hideMark/>
          </w:tcPr>
          <w:p w14:paraId="216BBC29"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(4.208.914)</w:t>
            </w:r>
          </w:p>
        </w:tc>
        <w:tc>
          <w:tcPr>
            <w:tcW w:w="679" w:type="pct"/>
            <w:tcBorders>
              <w:top w:val="nil"/>
              <w:left w:val="nil"/>
              <w:bottom w:val="nil"/>
              <w:right w:val="nil"/>
            </w:tcBorders>
            <w:shd w:val="clear" w:color="auto" w:fill="auto"/>
            <w:noWrap/>
            <w:vAlign w:val="bottom"/>
            <w:hideMark/>
          </w:tcPr>
          <w:p w14:paraId="3D1E2A37"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(14.292.046)</w:t>
            </w:r>
          </w:p>
        </w:tc>
        <w:tc>
          <w:tcPr>
            <w:tcW w:w="300" w:type="pct"/>
            <w:tcBorders>
              <w:top w:val="nil"/>
              <w:left w:val="nil"/>
              <w:bottom w:val="nil"/>
              <w:right w:val="nil"/>
            </w:tcBorders>
            <w:shd w:val="clear" w:color="auto" w:fill="auto"/>
            <w:noWrap/>
            <w:vAlign w:val="bottom"/>
            <w:hideMark/>
          </w:tcPr>
          <w:p w14:paraId="49465819" w14:textId="77777777" w:rsidR="00EE5736" w:rsidRPr="00EE5736" w:rsidRDefault="00EE5736" w:rsidP="0029203E">
            <w:pPr>
              <w:jc w:val="center"/>
              <w:rPr>
                <w:rFonts w:asciiTheme="majorHAnsi" w:hAnsiTheme="majorHAnsi" w:cs="Arial"/>
                <w:sz w:val="16"/>
                <w:szCs w:val="16"/>
              </w:rPr>
            </w:pPr>
            <w:r w:rsidRPr="00EE5736">
              <w:rPr>
                <w:rFonts w:asciiTheme="majorHAnsi" w:hAnsiTheme="majorHAnsi" w:cs="Arial"/>
                <w:sz w:val="16"/>
                <w:szCs w:val="16"/>
              </w:rPr>
              <w:t>(16b)</w:t>
            </w:r>
          </w:p>
        </w:tc>
      </w:tr>
      <w:tr w:rsidR="00EE5736" w:rsidRPr="00EE5736" w14:paraId="4502362F" w14:textId="77777777" w:rsidTr="00EE5736">
        <w:trPr>
          <w:trHeight w:val="227"/>
        </w:trPr>
        <w:tc>
          <w:tcPr>
            <w:tcW w:w="2255" w:type="pct"/>
            <w:tcBorders>
              <w:top w:val="nil"/>
              <w:left w:val="nil"/>
              <w:bottom w:val="nil"/>
              <w:right w:val="nil"/>
            </w:tcBorders>
            <w:shd w:val="clear" w:color="auto" w:fill="auto"/>
            <w:noWrap/>
            <w:vAlign w:val="bottom"/>
            <w:hideMark/>
          </w:tcPr>
          <w:p w14:paraId="03BB9947"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Diárias, Passagens e Despesas de Locomoção</w:t>
            </w:r>
          </w:p>
        </w:tc>
        <w:tc>
          <w:tcPr>
            <w:tcW w:w="500" w:type="pct"/>
            <w:tcBorders>
              <w:top w:val="nil"/>
              <w:left w:val="nil"/>
              <w:bottom w:val="nil"/>
              <w:right w:val="nil"/>
            </w:tcBorders>
            <w:shd w:val="clear" w:color="auto" w:fill="auto"/>
            <w:noWrap/>
            <w:vAlign w:val="bottom"/>
            <w:hideMark/>
          </w:tcPr>
          <w:p w14:paraId="4EF3D80A"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(142.249)</w:t>
            </w:r>
          </w:p>
        </w:tc>
        <w:tc>
          <w:tcPr>
            <w:tcW w:w="633" w:type="pct"/>
            <w:tcBorders>
              <w:top w:val="nil"/>
              <w:left w:val="nil"/>
              <w:bottom w:val="nil"/>
              <w:right w:val="nil"/>
            </w:tcBorders>
            <w:shd w:val="clear" w:color="auto" w:fill="auto"/>
            <w:noWrap/>
            <w:vAlign w:val="bottom"/>
            <w:hideMark/>
          </w:tcPr>
          <w:p w14:paraId="7BB3C7A7"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(356.682)</w:t>
            </w:r>
          </w:p>
        </w:tc>
        <w:tc>
          <w:tcPr>
            <w:tcW w:w="633" w:type="pct"/>
            <w:tcBorders>
              <w:top w:val="nil"/>
              <w:left w:val="nil"/>
              <w:bottom w:val="nil"/>
              <w:right w:val="nil"/>
            </w:tcBorders>
            <w:shd w:val="clear" w:color="auto" w:fill="auto"/>
            <w:noWrap/>
            <w:vAlign w:val="bottom"/>
            <w:hideMark/>
          </w:tcPr>
          <w:p w14:paraId="3AFF5192"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(110.802)</w:t>
            </w:r>
          </w:p>
        </w:tc>
        <w:tc>
          <w:tcPr>
            <w:tcW w:w="679" w:type="pct"/>
            <w:tcBorders>
              <w:top w:val="nil"/>
              <w:left w:val="nil"/>
              <w:bottom w:val="nil"/>
              <w:right w:val="nil"/>
            </w:tcBorders>
            <w:shd w:val="clear" w:color="auto" w:fill="auto"/>
            <w:noWrap/>
            <w:vAlign w:val="bottom"/>
            <w:hideMark/>
          </w:tcPr>
          <w:p w14:paraId="6FE92A46"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(407.743)</w:t>
            </w:r>
          </w:p>
        </w:tc>
        <w:tc>
          <w:tcPr>
            <w:tcW w:w="300" w:type="pct"/>
            <w:tcBorders>
              <w:top w:val="nil"/>
              <w:left w:val="nil"/>
              <w:bottom w:val="nil"/>
              <w:right w:val="nil"/>
            </w:tcBorders>
            <w:shd w:val="clear" w:color="auto" w:fill="auto"/>
            <w:noWrap/>
            <w:vAlign w:val="bottom"/>
            <w:hideMark/>
          </w:tcPr>
          <w:p w14:paraId="5F07B045" w14:textId="77777777" w:rsidR="00EE5736" w:rsidRPr="00EE5736" w:rsidRDefault="00EE5736" w:rsidP="0029203E">
            <w:pPr>
              <w:jc w:val="center"/>
              <w:rPr>
                <w:rFonts w:asciiTheme="majorHAnsi" w:hAnsiTheme="majorHAnsi" w:cs="Arial"/>
                <w:sz w:val="16"/>
                <w:szCs w:val="16"/>
              </w:rPr>
            </w:pPr>
          </w:p>
        </w:tc>
      </w:tr>
      <w:tr w:rsidR="00EE5736" w:rsidRPr="00EE5736" w14:paraId="148CEE34" w14:textId="77777777" w:rsidTr="00EE5736">
        <w:trPr>
          <w:trHeight w:val="227"/>
        </w:trPr>
        <w:tc>
          <w:tcPr>
            <w:tcW w:w="2255" w:type="pct"/>
            <w:tcBorders>
              <w:top w:val="nil"/>
              <w:left w:val="nil"/>
              <w:bottom w:val="nil"/>
              <w:right w:val="nil"/>
            </w:tcBorders>
            <w:shd w:val="clear" w:color="auto" w:fill="auto"/>
            <w:noWrap/>
            <w:vAlign w:val="bottom"/>
            <w:hideMark/>
          </w:tcPr>
          <w:p w14:paraId="00E5913B"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Transferência Voluntária </w:t>
            </w:r>
          </w:p>
        </w:tc>
        <w:tc>
          <w:tcPr>
            <w:tcW w:w="500" w:type="pct"/>
            <w:tcBorders>
              <w:top w:val="nil"/>
              <w:left w:val="nil"/>
              <w:bottom w:val="nil"/>
              <w:right w:val="nil"/>
            </w:tcBorders>
            <w:shd w:val="clear" w:color="auto" w:fill="auto"/>
            <w:noWrap/>
            <w:vAlign w:val="bottom"/>
            <w:hideMark/>
          </w:tcPr>
          <w:p w14:paraId="020123FC"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(876.997)</w:t>
            </w:r>
          </w:p>
        </w:tc>
        <w:tc>
          <w:tcPr>
            <w:tcW w:w="633" w:type="pct"/>
            <w:tcBorders>
              <w:top w:val="nil"/>
              <w:left w:val="nil"/>
              <w:bottom w:val="nil"/>
              <w:right w:val="nil"/>
            </w:tcBorders>
            <w:shd w:val="clear" w:color="auto" w:fill="auto"/>
            <w:noWrap/>
            <w:vAlign w:val="bottom"/>
            <w:hideMark/>
          </w:tcPr>
          <w:p w14:paraId="00CE19B9"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(1.203.236)</w:t>
            </w:r>
          </w:p>
        </w:tc>
        <w:tc>
          <w:tcPr>
            <w:tcW w:w="633" w:type="pct"/>
            <w:tcBorders>
              <w:top w:val="nil"/>
              <w:left w:val="nil"/>
              <w:bottom w:val="nil"/>
              <w:right w:val="nil"/>
            </w:tcBorders>
            <w:shd w:val="clear" w:color="auto" w:fill="auto"/>
            <w:noWrap/>
            <w:vAlign w:val="bottom"/>
            <w:hideMark/>
          </w:tcPr>
          <w:p w14:paraId="7DBD7C65"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(8.552)</w:t>
            </w:r>
          </w:p>
        </w:tc>
        <w:tc>
          <w:tcPr>
            <w:tcW w:w="679" w:type="pct"/>
            <w:tcBorders>
              <w:top w:val="nil"/>
              <w:left w:val="nil"/>
              <w:bottom w:val="nil"/>
              <w:right w:val="nil"/>
            </w:tcBorders>
            <w:shd w:val="clear" w:color="auto" w:fill="auto"/>
            <w:noWrap/>
            <w:vAlign w:val="bottom"/>
            <w:hideMark/>
          </w:tcPr>
          <w:p w14:paraId="695A2A5E"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(8.552)</w:t>
            </w:r>
          </w:p>
        </w:tc>
        <w:tc>
          <w:tcPr>
            <w:tcW w:w="300" w:type="pct"/>
            <w:tcBorders>
              <w:top w:val="nil"/>
              <w:left w:val="nil"/>
              <w:bottom w:val="nil"/>
              <w:right w:val="nil"/>
            </w:tcBorders>
            <w:shd w:val="clear" w:color="auto" w:fill="auto"/>
            <w:noWrap/>
            <w:vAlign w:val="bottom"/>
            <w:hideMark/>
          </w:tcPr>
          <w:p w14:paraId="43184146" w14:textId="77777777" w:rsidR="00EE5736" w:rsidRPr="00EE5736" w:rsidRDefault="00EE5736" w:rsidP="0029203E">
            <w:pPr>
              <w:jc w:val="center"/>
              <w:rPr>
                <w:rFonts w:asciiTheme="majorHAnsi" w:hAnsiTheme="majorHAnsi" w:cs="Arial"/>
                <w:sz w:val="16"/>
                <w:szCs w:val="16"/>
              </w:rPr>
            </w:pPr>
          </w:p>
        </w:tc>
      </w:tr>
      <w:tr w:rsidR="00EE5736" w:rsidRPr="00EE5736" w14:paraId="786BCB4B" w14:textId="77777777" w:rsidTr="00EE5736">
        <w:trPr>
          <w:trHeight w:val="227"/>
        </w:trPr>
        <w:tc>
          <w:tcPr>
            <w:tcW w:w="2255" w:type="pct"/>
            <w:tcBorders>
              <w:top w:val="nil"/>
              <w:left w:val="nil"/>
              <w:bottom w:val="nil"/>
              <w:right w:val="nil"/>
            </w:tcBorders>
            <w:shd w:val="clear" w:color="auto" w:fill="auto"/>
            <w:noWrap/>
            <w:vAlign w:val="bottom"/>
            <w:hideMark/>
          </w:tcPr>
          <w:p w14:paraId="7D9AF736" w14:textId="77777777" w:rsidR="00EE5736" w:rsidRPr="00EE5736" w:rsidRDefault="00EE5736">
            <w:pPr>
              <w:jc w:val="right"/>
              <w:rPr>
                <w:rFonts w:asciiTheme="majorHAnsi" w:hAnsiTheme="majorHAnsi"/>
                <w:sz w:val="16"/>
                <w:szCs w:val="16"/>
              </w:rPr>
            </w:pPr>
          </w:p>
        </w:tc>
        <w:tc>
          <w:tcPr>
            <w:tcW w:w="500" w:type="pct"/>
            <w:tcBorders>
              <w:top w:val="nil"/>
              <w:left w:val="nil"/>
              <w:bottom w:val="nil"/>
              <w:right w:val="nil"/>
            </w:tcBorders>
            <w:shd w:val="clear" w:color="auto" w:fill="auto"/>
            <w:noWrap/>
            <w:vAlign w:val="bottom"/>
            <w:hideMark/>
          </w:tcPr>
          <w:p w14:paraId="3D0AC6E8" w14:textId="77777777" w:rsidR="00EE5736" w:rsidRPr="00EE5736" w:rsidRDefault="00EE5736">
            <w:pPr>
              <w:rPr>
                <w:rFonts w:asciiTheme="majorHAnsi" w:hAnsiTheme="majorHAnsi"/>
                <w:sz w:val="16"/>
                <w:szCs w:val="16"/>
              </w:rPr>
            </w:pPr>
          </w:p>
        </w:tc>
        <w:tc>
          <w:tcPr>
            <w:tcW w:w="633" w:type="pct"/>
            <w:tcBorders>
              <w:top w:val="nil"/>
              <w:left w:val="nil"/>
              <w:bottom w:val="nil"/>
              <w:right w:val="nil"/>
            </w:tcBorders>
            <w:shd w:val="clear" w:color="auto" w:fill="auto"/>
            <w:noWrap/>
            <w:vAlign w:val="bottom"/>
            <w:hideMark/>
          </w:tcPr>
          <w:p w14:paraId="617D8886" w14:textId="77777777" w:rsidR="00EE5736" w:rsidRPr="00EE5736" w:rsidRDefault="00EE5736">
            <w:pPr>
              <w:rPr>
                <w:rFonts w:asciiTheme="majorHAnsi" w:hAnsiTheme="majorHAnsi"/>
                <w:sz w:val="16"/>
                <w:szCs w:val="16"/>
              </w:rPr>
            </w:pPr>
          </w:p>
        </w:tc>
        <w:tc>
          <w:tcPr>
            <w:tcW w:w="633" w:type="pct"/>
            <w:tcBorders>
              <w:top w:val="nil"/>
              <w:left w:val="nil"/>
              <w:bottom w:val="nil"/>
              <w:right w:val="nil"/>
            </w:tcBorders>
            <w:shd w:val="clear" w:color="auto" w:fill="auto"/>
            <w:noWrap/>
            <w:vAlign w:val="bottom"/>
            <w:hideMark/>
          </w:tcPr>
          <w:p w14:paraId="27EB5925" w14:textId="77777777" w:rsidR="00EE5736" w:rsidRPr="00EE5736" w:rsidRDefault="00EE5736">
            <w:pPr>
              <w:jc w:val="right"/>
              <w:rPr>
                <w:rFonts w:asciiTheme="majorHAnsi" w:hAnsiTheme="majorHAnsi"/>
                <w:sz w:val="16"/>
                <w:szCs w:val="16"/>
              </w:rPr>
            </w:pPr>
          </w:p>
        </w:tc>
        <w:tc>
          <w:tcPr>
            <w:tcW w:w="679" w:type="pct"/>
            <w:tcBorders>
              <w:top w:val="nil"/>
              <w:left w:val="nil"/>
              <w:bottom w:val="nil"/>
              <w:right w:val="nil"/>
            </w:tcBorders>
            <w:shd w:val="clear" w:color="auto" w:fill="auto"/>
            <w:noWrap/>
            <w:vAlign w:val="center"/>
            <w:hideMark/>
          </w:tcPr>
          <w:p w14:paraId="0AC79977" w14:textId="77777777" w:rsidR="00EE5736" w:rsidRPr="00EE5736" w:rsidRDefault="00EE5736">
            <w:pPr>
              <w:jc w:val="right"/>
              <w:rPr>
                <w:rFonts w:asciiTheme="majorHAnsi" w:hAnsiTheme="majorHAnsi"/>
                <w:sz w:val="16"/>
                <w:szCs w:val="16"/>
              </w:rPr>
            </w:pPr>
          </w:p>
        </w:tc>
        <w:tc>
          <w:tcPr>
            <w:tcW w:w="300" w:type="pct"/>
            <w:tcBorders>
              <w:top w:val="nil"/>
              <w:left w:val="nil"/>
              <w:bottom w:val="nil"/>
              <w:right w:val="nil"/>
            </w:tcBorders>
            <w:shd w:val="clear" w:color="auto" w:fill="auto"/>
            <w:noWrap/>
            <w:vAlign w:val="bottom"/>
            <w:hideMark/>
          </w:tcPr>
          <w:p w14:paraId="2657267A" w14:textId="77777777" w:rsidR="00EE5736" w:rsidRPr="00EE5736" w:rsidRDefault="00EE5736" w:rsidP="0029203E">
            <w:pPr>
              <w:jc w:val="center"/>
              <w:rPr>
                <w:rFonts w:asciiTheme="majorHAnsi" w:hAnsiTheme="majorHAnsi"/>
                <w:sz w:val="16"/>
                <w:szCs w:val="16"/>
              </w:rPr>
            </w:pPr>
          </w:p>
        </w:tc>
      </w:tr>
      <w:tr w:rsidR="00EE5736" w:rsidRPr="00EE5736" w14:paraId="7E13B769" w14:textId="77777777" w:rsidTr="00EE5736">
        <w:trPr>
          <w:trHeight w:val="227"/>
        </w:trPr>
        <w:tc>
          <w:tcPr>
            <w:tcW w:w="2255" w:type="pct"/>
            <w:tcBorders>
              <w:top w:val="nil"/>
              <w:left w:val="nil"/>
              <w:bottom w:val="nil"/>
              <w:right w:val="nil"/>
            </w:tcBorders>
            <w:shd w:val="clear" w:color="auto" w:fill="auto"/>
            <w:hideMark/>
          </w:tcPr>
          <w:p w14:paraId="5A62E632" w14:textId="77777777" w:rsidR="00EE5736" w:rsidRPr="00EE5736" w:rsidRDefault="00EE5736">
            <w:pPr>
              <w:rPr>
                <w:rFonts w:asciiTheme="majorHAnsi" w:hAnsiTheme="majorHAnsi" w:cs="Arial"/>
                <w:b/>
                <w:bCs/>
                <w:sz w:val="16"/>
                <w:szCs w:val="16"/>
              </w:rPr>
            </w:pPr>
            <w:r w:rsidRPr="00EE5736">
              <w:rPr>
                <w:rFonts w:asciiTheme="majorHAnsi" w:hAnsiTheme="majorHAnsi" w:cs="Arial"/>
                <w:b/>
                <w:bCs/>
                <w:sz w:val="16"/>
                <w:szCs w:val="16"/>
              </w:rPr>
              <w:t>OUTRAS RECEITAS/DESPESAS OPERACIONAIS</w:t>
            </w:r>
          </w:p>
        </w:tc>
        <w:tc>
          <w:tcPr>
            <w:tcW w:w="500" w:type="pct"/>
            <w:tcBorders>
              <w:top w:val="nil"/>
              <w:left w:val="nil"/>
              <w:bottom w:val="nil"/>
              <w:right w:val="nil"/>
            </w:tcBorders>
            <w:shd w:val="clear" w:color="auto" w:fill="auto"/>
            <w:noWrap/>
            <w:vAlign w:val="bottom"/>
            <w:hideMark/>
          </w:tcPr>
          <w:p w14:paraId="1F25E003" w14:textId="77777777" w:rsidR="00EE5736" w:rsidRPr="00EE5736" w:rsidRDefault="00EE5736">
            <w:pPr>
              <w:rPr>
                <w:rFonts w:asciiTheme="majorHAnsi" w:hAnsiTheme="majorHAnsi" w:cs="Arial"/>
                <w:b/>
                <w:bCs/>
                <w:sz w:val="16"/>
                <w:szCs w:val="16"/>
              </w:rPr>
            </w:pPr>
            <w:r w:rsidRPr="00EE5736">
              <w:rPr>
                <w:rFonts w:asciiTheme="majorHAnsi" w:hAnsiTheme="majorHAnsi" w:cs="Arial"/>
                <w:b/>
                <w:bCs/>
                <w:sz w:val="16"/>
                <w:szCs w:val="16"/>
              </w:rPr>
              <w:t xml:space="preserve">     (32.740.779)</w:t>
            </w:r>
          </w:p>
        </w:tc>
        <w:tc>
          <w:tcPr>
            <w:tcW w:w="633" w:type="pct"/>
            <w:tcBorders>
              <w:top w:val="nil"/>
              <w:left w:val="nil"/>
              <w:bottom w:val="nil"/>
              <w:right w:val="nil"/>
            </w:tcBorders>
            <w:shd w:val="clear" w:color="auto" w:fill="auto"/>
            <w:noWrap/>
            <w:vAlign w:val="bottom"/>
            <w:hideMark/>
          </w:tcPr>
          <w:p w14:paraId="0B0F9062" w14:textId="77777777" w:rsidR="00EE5736" w:rsidRPr="00EE5736" w:rsidRDefault="00EE5736">
            <w:pPr>
              <w:rPr>
                <w:rFonts w:asciiTheme="majorHAnsi" w:hAnsiTheme="majorHAnsi" w:cs="Arial"/>
                <w:b/>
                <w:bCs/>
                <w:sz w:val="16"/>
                <w:szCs w:val="16"/>
              </w:rPr>
            </w:pPr>
            <w:r w:rsidRPr="00EE5736">
              <w:rPr>
                <w:rFonts w:asciiTheme="majorHAnsi" w:hAnsiTheme="majorHAnsi" w:cs="Arial"/>
                <w:b/>
                <w:bCs/>
                <w:sz w:val="16"/>
                <w:szCs w:val="16"/>
              </w:rPr>
              <w:t xml:space="preserve">             (91.574.272)</w:t>
            </w:r>
          </w:p>
        </w:tc>
        <w:tc>
          <w:tcPr>
            <w:tcW w:w="633" w:type="pct"/>
            <w:tcBorders>
              <w:top w:val="nil"/>
              <w:left w:val="nil"/>
              <w:bottom w:val="nil"/>
              <w:right w:val="nil"/>
            </w:tcBorders>
            <w:shd w:val="clear" w:color="auto" w:fill="auto"/>
            <w:noWrap/>
            <w:vAlign w:val="bottom"/>
            <w:hideMark/>
          </w:tcPr>
          <w:p w14:paraId="6F22C967" w14:textId="77777777" w:rsidR="00EE5736" w:rsidRPr="00EE5736" w:rsidRDefault="00EE5736">
            <w:pPr>
              <w:rPr>
                <w:rFonts w:asciiTheme="majorHAnsi" w:hAnsiTheme="majorHAnsi" w:cs="Arial"/>
                <w:b/>
                <w:bCs/>
                <w:sz w:val="16"/>
                <w:szCs w:val="16"/>
              </w:rPr>
            </w:pPr>
            <w:r w:rsidRPr="00EE5736">
              <w:rPr>
                <w:rFonts w:asciiTheme="majorHAnsi" w:hAnsiTheme="majorHAnsi" w:cs="Arial"/>
                <w:b/>
                <w:bCs/>
                <w:sz w:val="16"/>
                <w:szCs w:val="16"/>
              </w:rPr>
              <w:t xml:space="preserve">          (481.702.545)</w:t>
            </w:r>
          </w:p>
        </w:tc>
        <w:tc>
          <w:tcPr>
            <w:tcW w:w="679" w:type="pct"/>
            <w:tcBorders>
              <w:top w:val="nil"/>
              <w:left w:val="nil"/>
              <w:bottom w:val="nil"/>
              <w:right w:val="nil"/>
            </w:tcBorders>
            <w:shd w:val="clear" w:color="auto" w:fill="auto"/>
            <w:noWrap/>
            <w:vAlign w:val="bottom"/>
            <w:hideMark/>
          </w:tcPr>
          <w:p w14:paraId="24957166" w14:textId="77777777" w:rsidR="00EE5736" w:rsidRPr="00EE5736" w:rsidRDefault="00EE5736">
            <w:pPr>
              <w:rPr>
                <w:rFonts w:asciiTheme="majorHAnsi" w:hAnsiTheme="majorHAnsi" w:cs="Arial"/>
                <w:b/>
                <w:bCs/>
                <w:sz w:val="16"/>
                <w:szCs w:val="16"/>
              </w:rPr>
            </w:pPr>
            <w:r w:rsidRPr="00EE5736">
              <w:rPr>
                <w:rFonts w:asciiTheme="majorHAnsi" w:hAnsiTheme="majorHAnsi" w:cs="Arial"/>
                <w:b/>
                <w:bCs/>
                <w:sz w:val="16"/>
                <w:szCs w:val="16"/>
              </w:rPr>
              <w:t xml:space="preserve">             (460.733.460)</w:t>
            </w:r>
          </w:p>
        </w:tc>
        <w:tc>
          <w:tcPr>
            <w:tcW w:w="300" w:type="pct"/>
            <w:tcBorders>
              <w:top w:val="nil"/>
              <w:left w:val="nil"/>
              <w:bottom w:val="nil"/>
              <w:right w:val="nil"/>
            </w:tcBorders>
            <w:shd w:val="clear" w:color="auto" w:fill="auto"/>
            <w:noWrap/>
            <w:vAlign w:val="center"/>
            <w:hideMark/>
          </w:tcPr>
          <w:p w14:paraId="142C2EFF" w14:textId="44A0C472" w:rsidR="00EE5736" w:rsidRPr="00EE5736" w:rsidRDefault="00EE5736" w:rsidP="0029203E">
            <w:pPr>
              <w:jc w:val="center"/>
              <w:rPr>
                <w:rFonts w:asciiTheme="majorHAnsi" w:hAnsiTheme="majorHAnsi" w:cs="Arial"/>
                <w:sz w:val="16"/>
                <w:szCs w:val="16"/>
              </w:rPr>
            </w:pPr>
            <w:r w:rsidRPr="00EE5736">
              <w:rPr>
                <w:rFonts w:asciiTheme="majorHAnsi" w:hAnsiTheme="majorHAnsi" w:cs="Arial"/>
                <w:sz w:val="16"/>
                <w:szCs w:val="16"/>
              </w:rPr>
              <w:t>(17)</w:t>
            </w:r>
          </w:p>
        </w:tc>
      </w:tr>
      <w:tr w:rsidR="00EE5736" w:rsidRPr="00EE5736" w14:paraId="5A2D02AA" w14:textId="77777777" w:rsidTr="00EE5736">
        <w:trPr>
          <w:trHeight w:val="227"/>
        </w:trPr>
        <w:tc>
          <w:tcPr>
            <w:tcW w:w="2255" w:type="pct"/>
            <w:tcBorders>
              <w:top w:val="nil"/>
              <w:left w:val="nil"/>
              <w:bottom w:val="nil"/>
              <w:right w:val="nil"/>
            </w:tcBorders>
            <w:shd w:val="clear" w:color="auto" w:fill="auto"/>
            <w:noWrap/>
            <w:vAlign w:val="bottom"/>
            <w:hideMark/>
          </w:tcPr>
          <w:p w14:paraId="557041FC"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Provisão para Contingências</w:t>
            </w:r>
          </w:p>
        </w:tc>
        <w:tc>
          <w:tcPr>
            <w:tcW w:w="500" w:type="pct"/>
            <w:tcBorders>
              <w:top w:val="nil"/>
              <w:left w:val="nil"/>
              <w:bottom w:val="nil"/>
              <w:right w:val="nil"/>
            </w:tcBorders>
            <w:shd w:val="clear" w:color="auto" w:fill="auto"/>
            <w:noWrap/>
            <w:vAlign w:val="bottom"/>
            <w:hideMark/>
          </w:tcPr>
          <w:p w14:paraId="4EA050B7"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(25.076.153)</w:t>
            </w:r>
          </w:p>
        </w:tc>
        <w:tc>
          <w:tcPr>
            <w:tcW w:w="633" w:type="pct"/>
            <w:tcBorders>
              <w:top w:val="nil"/>
              <w:left w:val="nil"/>
              <w:bottom w:val="nil"/>
              <w:right w:val="nil"/>
            </w:tcBorders>
            <w:shd w:val="clear" w:color="auto" w:fill="auto"/>
            <w:noWrap/>
            <w:vAlign w:val="bottom"/>
            <w:hideMark/>
          </w:tcPr>
          <w:p w14:paraId="77455318"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(70.667.674)</w:t>
            </w:r>
          </w:p>
        </w:tc>
        <w:tc>
          <w:tcPr>
            <w:tcW w:w="633" w:type="pct"/>
            <w:tcBorders>
              <w:top w:val="nil"/>
              <w:left w:val="nil"/>
              <w:bottom w:val="nil"/>
              <w:right w:val="nil"/>
            </w:tcBorders>
            <w:shd w:val="clear" w:color="auto" w:fill="auto"/>
            <w:noWrap/>
            <w:vAlign w:val="bottom"/>
            <w:hideMark/>
          </w:tcPr>
          <w:p w14:paraId="3991BF06"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(1.139.693.671)</w:t>
            </w:r>
          </w:p>
        </w:tc>
        <w:tc>
          <w:tcPr>
            <w:tcW w:w="679" w:type="pct"/>
            <w:tcBorders>
              <w:top w:val="nil"/>
              <w:left w:val="nil"/>
              <w:bottom w:val="nil"/>
              <w:right w:val="nil"/>
            </w:tcBorders>
            <w:shd w:val="clear" w:color="auto" w:fill="auto"/>
            <w:noWrap/>
            <w:vAlign w:val="bottom"/>
            <w:hideMark/>
          </w:tcPr>
          <w:p w14:paraId="275A1409"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(2.009.860.008)</w:t>
            </w:r>
          </w:p>
        </w:tc>
        <w:tc>
          <w:tcPr>
            <w:tcW w:w="300" w:type="pct"/>
            <w:tcBorders>
              <w:top w:val="nil"/>
              <w:left w:val="nil"/>
              <w:bottom w:val="nil"/>
              <w:right w:val="nil"/>
            </w:tcBorders>
            <w:shd w:val="clear" w:color="000000" w:fill="FFFFFF"/>
            <w:noWrap/>
            <w:vAlign w:val="bottom"/>
            <w:hideMark/>
          </w:tcPr>
          <w:p w14:paraId="45BF625A" w14:textId="669D18FC" w:rsidR="00EE5736" w:rsidRPr="00EE5736" w:rsidRDefault="00EE5736" w:rsidP="0029203E">
            <w:pPr>
              <w:jc w:val="center"/>
              <w:rPr>
                <w:rFonts w:asciiTheme="majorHAnsi" w:hAnsiTheme="majorHAnsi" w:cs="Arial"/>
                <w:sz w:val="16"/>
                <w:szCs w:val="16"/>
              </w:rPr>
            </w:pPr>
          </w:p>
        </w:tc>
      </w:tr>
      <w:tr w:rsidR="00EE5736" w:rsidRPr="00EE5736" w14:paraId="4A36CF7F" w14:textId="77777777" w:rsidTr="00EE5736">
        <w:trPr>
          <w:trHeight w:val="227"/>
        </w:trPr>
        <w:tc>
          <w:tcPr>
            <w:tcW w:w="2255" w:type="pct"/>
            <w:tcBorders>
              <w:top w:val="nil"/>
              <w:left w:val="nil"/>
              <w:bottom w:val="nil"/>
              <w:right w:val="nil"/>
            </w:tcBorders>
            <w:shd w:val="clear" w:color="auto" w:fill="auto"/>
            <w:noWrap/>
            <w:vAlign w:val="bottom"/>
            <w:hideMark/>
          </w:tcPr>
          <w:p w14:paraId="0BCC2A26"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Reversão de Provisão para Contingências</w:t>
            </w:r>
          </w:p>
        </w:tc>
        <w:tc>
          <w:tcPr>
            <w:tcW w:w="500" w:type="pct"/>
            <w:tcBorders>
              <w:top w:val="nil"/>
              <w:left w:val="nil"/>
              <w:bottom w:val="nil"/>
              <w:right w:val="nil"/>
            </w:tcBorders>
            <w:shd w:val="clear" w:color="auto" w:fill="auto"/>
            <w:noWrap/>
            <w:vAlign w:val="bottom"/>
            <w:hideMark/>
          </w:tcPr>
          <w:p w14:paraId="3279A6FB"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   </w:t>
            </w:r>
          </w:p>
        </w:tc>
        <w:tc>
          <w:tcPr>
            <w:tcW w:w="633" w:type="pct"/>
            <w:tcBorders>
              <w:top w:val="nil"/>
              <w:left w:val="nil"/>
              <w:bottom w:val="nil"/>
              <w:right w:val="nil"/>
            </w:tcBorders>
            <w:shd w:val="clear" w:color="auto" w:fill="auto"/>
            <w:noWrap/>
            <w:vAlign w:val="bottom"/>
            <w:hideMark/>
          </w:tcPr>
          <w:p w14:paraId="0007C75A"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   </w:t>
            </w:r>
          </w:p>
        </w:tc>
        <w:tc>
          <w:tcPr>
            <w:tcW w:w="633" w:type="pct"/>
            <w:tcBorders>
              <w:top w:val="nil"/>
              <w:left w:val="nil"/>
              <w:bottom w:val="nil"/>
              <w:right w:val="nil"/>
            </w:tcBorders>
            <w:shd w:val="clear" w:color="auto" w:fill="auto"/>
            <w:noWrap/>
            <w:vAlign w:val="bottom"/>
            <w:hideMark/>
          </w:tcPr>
          <w:p w14:paraId="457764D8"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663.189.121 </w:t>
            </w:r>
          </w:p>
        </w:tc>
        <w:tc>
          <w:tcPr>
            <w:tcW w:w="679" w:type="pct"/>
            <w:tcBorders>
              <w:top w:val="nil"/>
              <w:left w:val="nil"/>
              <w:bottom w:val="nil"/>
              <w:right w:val="nil"/>
            </w:tcBorders>
            <w:shd w:val="clear" w:color="auto" w:fill="auto"/>
            <w:noWrap/>
            <w:vAlign w:val="bottom"/>
            <w:hideMark/>
          </w:tcPr>
          <w:p w14:paraId="10647F33"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1.545.082.006 </w:t>
            </w:r>
          </w:p>
        </w:tc>
        <w:tc>
          <w:tcPr>
            <w:tcW w:w="300" w:type="pct"/>
            <w:tcBorders>
              <w:top w:val="nil"/>
              <w:left w:val="nil"/>
              <w:bottom w:val="nil"/>
              <w:right w:val="nil"/>
            </w:tcBorders>
            <w:shd w:val="clear" w:color="000000" w:fill="FFFFFF"/>
            <w:noWrap/>
            <w:vAlign w:val="bottom"/>
            <w:hideMark/>
          </w:tcPr>
          <w:p w14:paraId="7A7088A3" w14:textId="33D47801" w:rsidR="00EE5736" w:rsidRPr="00EE5736" w:rsidRDefault="00EE5736" w:rsidP="0029203E">
            <w:pPr>
              <w:jc w:val="center"/>
              <w:rPr>
                <w:rFonts w:asciiTheme="majorHAnsi" w:hAnsiTheme="majorHAnsi" w:cs="Arial"/>
                <w:sz w:val="16"/>
                <w:szCs w:val="16"/>
              </w:rPr>
            </w:pPr>
          </w:p>
        </w:tc>
      </w:tr>
      <w:tr w:rsidR="00EE5736" w:rsidRPr="00EE5736" w14:paraId="0AF55743" w14:textId="77777777" w:rsidTr="00EE5736">
        <w:trPr>
          <w:trHeight w:val="227"/>
        </w:trPr>
        <w:tc>
          <w:tcPr>
            <w:tcW w:w="2255" w:type="pct"/>
            <w:tcBorders>
              <w:top w:val="nil"/>
              <w:left w:val="nil"/>
              <w:bottom w:val="nil"/>
              <w:right w:val="nil"/>
            </w:tcBorders>
            <w:shd w:val="clear" w:color="auto" w:fill="auto"/>
            <w:noWrap/>
            <w:vAlign w:val="bottom"/>
            <w:hideMark/>
          </w:tcPr>
          <w:p w14:paraId="33C325C3"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Outras receitas</w:t>
            </w:r>
          </w:p>
        </w:tc>
        <w:tc>
          <w:tcPr>
            <w:tcW w:w="500" w:type="pct"/>
            <w:tcBorders>
              <w:top w:val="nil"/>
              <w:left w:val="nil"/>
              <w:bottom w:val="nil"/>
              <w:right w:val="nil"/>
            </w:tcBorders>
            <w:shd w:val="clear" w:color="auto" w:fill="auto"/>
            <w:noWrap/>
            <w:vAlign w:val="bottom"/>
            <w:hideMark/>
          </w:tcPr>
          <w:p w14:paraId="608C6F86"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8.625.175 </w:t>
            </w:r>
          </w:p>
        </w:tc>
        <w:tc>
          <w:tcPr>
            <w:tcW w:w="633" w:type="pct"/>
            <w:tcBorders>
              <w:top w:val="nil"/>
              <w:left w:val="nil"/>
              <w:bottom w:val="nil"/>
              <w:right w:val="nil"/>
            </w:tcBorders>
            <w:shd w:val="clear" w:color="auto" w:fill="auto"/>
            <w:noWrap/>
            <w:vAlign w:val="bottom"/>
            <w:hideMark/>
          </w:tcPr>
          <w:p w14:paraId="069F3EAD"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11.706.437 </w:t>
            </w:r>
          </w:p>
        </w:tc>
        <w:tc>
          <w:tcPr>
            <w:tcW w:w="633" w:type="pct"/>
            <w:tcBorders>
              <w:top w:val="nil"/>
              <w:left w:val="nil"/>
              <w:bottom w:val="nil"/>
              <w:right w:val="nil"/>
            </w:tcBorders>
            <w:shd w:val="clear" w:color="auto" w:fill="auto"/>
            <w:noWrap/>
            <w:vAlign w:val="bottom"/>
            <w:hideMark/>
          </w:tcPr>
          <w:p w14:paraId="263421E8"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15.213 </w:t>
            </w:r>
          </w:p>
        </w:tc>
        <w:tc>
          <w:tcPr>
            <w:tcW w:w="679" w:type="pct"/>
            <w:tcBorders>
              <w:top w:val="nil"/>
              <w:left w:val="nil"/>
              <w:bottom w:val="nil"/>
              <w:right w:val="nil"/>
            </w:tcBorders>
            <w:shd w:val="clear" w:color="auto" w:fill="auto"/>
            <w:noWrap/>
            <w:vAlign w:val="bottom"/>
            <w:hideMark/>
          </w:tcPr>
          <w:p w14:paraId="39057775"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24.467.384 </w:t>
            </w:r>
          </w:p>
        </w:tc>
        <w:tc>
          <w:tcPr>
            <w:tcW w:w="300" w:type="pct"/>
            <w:tcBorders>
              <w:top w:val="nil"/>
              <w:left w:val="nil"/>
              <w:bottom w:val="nil"/>
              <w:right w:val="nil"/>
            </w:tcBorders>
            <w:shd w:val="clear" w:color="000000" w:fill="FFFFFF"/>
            <w:noWrap/>
            <w:vAlign w:val="bottom"/>
            <w:hideMark/>
          </w:tcPr>
          <w:p w14:paraId="21C4837F" w14:textId="790C8CE3" w:rsidR="00EE5736" w:rsidRPr="00EE5736" w:rsidRDefault="00EE5736" w:rsidP="0029203E">
            <w:pPr>
              <w:jc w:val="center"/>
              <w:rPr>
                <w:rFonts w:asciiTheme="majorHAnsi" w:hAnsiTheme="majorHAnsi" w:cs="Arial"/>
                <w:sz w:val="16"/>
                <w:szCs w:val="16"/>
              </w:rPr>
            </w:pPr>
          </w:p>
        </w:tc>
      </w:tr>
      <w:tr w:rsidR="00EE5736" w:rsidRPr="00EE5736" w14:paraId="0008F1A3" w14:textId="77777777" w:rsidTr="00EE5736">
        <w:trPr>
          <w:trHeight w:val="227"/>
        </w:trPr>
        <w:tc>
          <w:tcPr>
            <w:tcW w:w="2255" w:type="pct"/>
            <w:tcBorders>
              <w:top w:val="nil"/>
              <w:left w:val="nil"/>
              <w:bottom w:val="nil"/>
              <w:right w:val="nil"/>
            </w:tcBorders>
            <w:shd w:val="clear" w:color="auto" w:fill="auto"/>
            <w:noWrap/>
            <w:vAlign w:val="bottom"/>
            <w:hideMark/>
          </w:tcPr>
          <w:p w14:paraId="01215AB1"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Resultado de Equivalência Patrimonial</w:t>
            </w:r>
          </w:p>
        </w:tc>
        <w:tc>
          <w:tcPr>
            <w:tcW w:w="500" w:type="pct"/>
            <w:tcBorders>
              <w:top w:val="nil"/>
              <w:left w:val="nil"/>
              <w:bottom w:val="nil"/>
              <w:right w:val="nil"/>
            </w:tcBorders>
            <w:shd w:val="clear" w:color="auto" w:fill="auto"/>
            <w:noWrap/>
            <w:vAlign w:val="bottom"/>
            <w:hideMark/>
          </w:tcPr>
          <w:p w14:paraId="77A0F85D"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(15.971.177)</w:t>
            </w:r>
          </w:p>
        </w:tc>
        <w:tc>
          <w:tcPr>
            <w:tcW w:w="633" w:type="pct"/>
            <w:tcBorders>
              <w:top w:val="nil"/>
              <w:left w:val="nil"/>
              <w:bottom w:val="nil"/>
              <w:right w:val="nil"/>
            </w:tcBorders>
            <w:shd w:val="clear" w:color="auto" w:fill="auto"/>
            <w:noWrap/>
            <w:vAlign w:val="bottom"/>
            <w:hideMark/>
          </w:tcPr>
          <w:p w14:paraId="7564ED3C"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(32.248.507)</w:t>
            </w:r>
          </w:p>
        </w:tc>
        <w:tc>
          <w:tcPr>
            <w:tcW w:w="633" w:type="pct"/>
            <w:tcBorders>
              <w:top w:val="nil"/>
              <w:left w:val="nil"/>
              <w:bottom w:val="nil"/>
              <w:right w:val="nil"/>
            </w:tcBorders>
            <w:shd w:val="clear" w:color="auto" w:fill="auto"/>
            <w:noWrap/>
            <w:vAlign w:val="bottom"/>
            <w:hideMark/>
          </w:tcPr>
          <w:p w14:paraId="3BEE204A"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(5.204.601)</w:t>
            </w:r>
          </w:p>
        </w:tc>
        <w:tc>
          <w:tcPr>
            <w:tcW w:w="679" w:type="pct"/>
            <w:tcBorders>
              <w:top w:val="nil"/>
              <w:left w:val="nil"/>
              <w:bottom w:val="nil"/>
              <w:right w:val="nil"/>
            </w:tcBorders>
            <w:shd w:val="clear" w:color="auto" w:fill="auto"/>
            <w:noWrap/>
            <w:vAlign w:val="bottom"/>
            <w:hideMark/>
          </w:tcPr>
          <w:p w14:paraId="39599CB6"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(20.073.940)</w:t>
            </w:r>
          </w:p>
        </w:tc>
        <w:tc>
          <w:tcPr>
            <w:tcW w:w="300" w:type="pct"/>
            <w:tcBorders>
              <w:top w:val="nil"/>
              <w:left w:val="nil"/>
              <w:bottom w:val="nil"/>
              <w:right w:val="nil"/>
            </w:tcBorders>
            <w:shd w:val="clear" w:color="000000" w:fill="FFFFFF"/>
            <w:noWrap/>
            <w:vAlign w:val="bottom"/>
            <w:hideMark/>
          </w:tcPr>
          <w:p w14:paraId="3DDDC630" w14:textId="7185C817" w:rsidR="00EE5736" w:rsidRPr="00EE5736" w:rsidRDefault="00EE5736" w:rsidP="0029203E">
            <w:pPr>
              <w:jc w:val="center"/>
              <w:rPr>
                <w:rFonts w:asciiTheme="majorHAnsi" w:hAnsiTheme="majorHAnsi" w:cs="Arial"/>
                <w:sz w:val="16"/>
                <w:szCs w:val="16"/>
              </w:rPr>
            </w:pPr>
          </w:p>
        </w:tc>
      </w:tr>
      <w:tr w:rsidR="00EE5736" w:rsidRPr="00EE5736" w14:paraId="7A20E7E0" w14:textId="77777777" w:rsidTr="00EE5736">
        <w:trPr>
          <w:trHeight w:val="227"/>
        </w:trPr>
        <w:tc>
          <w:tcPr>
            <w:tcW w:w="2255" w:type="pct"/>
            <w:tcBorders>
              <w:top w:val="nil"/>
              <w:left w:val="nil"/>
              <w:bottom w:val="nil"/>
              <w:right w:val="nil"/>
            </w:tcBorders>
            <w:shd w:val="clear" w:color="auto" w:fill="auto"/>
            <w:noWrap/>
            <w:vAlign w:val="bottom"/>
            <w:hideMark/>
          </w:tcPr>
          <w:p w14:paraId="722AB7A7"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Baixa de Ativos - Imobilizado e Intangível</w:t>
            </w:r>
          </w:p>
        </w:tc>
        <w:tc>
          <w:tcPr>
            <w:tcW w:w="500" w:type="pct"/>
            <w:tcBorders>
              <w:top w:val="nil"/>
              <w:left w:val="nil"/>
              <w:bottom w:val="nil"/>
              <w:right w:val="nil"/>
            </w:tcBorders>
            <w:shd w:val="clear" w:color="auto" w:fill="auto"/>
            <w:noWrap/>
            <w:vAlign w:val="bottom"/>
            <w:hideMark/>
          </w:tcPr>
          <w:p w14:paraId="6BD47FC5"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(121.587)</w:t>
            </w:r>
          </w:p>
        </w:tc>
        <w:tc>
          <w:tcPr>
            <w:tcW w:w="633" w:type="pct"/>
            <w:tcBorders>
              <w:top w:val="nil"/>
              <w:left w:val="nil"/>
              <w:bottom w:val="nil"/>
              <w:right w:val="nil"/>
            </w:tcBorders>
            <w:shd w:val="clear" w:color="auto" w:fill="auto"/>
            <w:noWrap/>
            <w:vAlign w:val="bottom"/>
            <w:hideMark/>
          </w:tcPr>
          <w:p w14:paraId="5236AB04"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(167.491)</w:t>
            </w:r>
          </w:p>
        </w:tc>
        <w:tc>
          <w:tcPr>
            <w:tcW w:w="633" w:type="pct"/>
            <w:tcBorders>
              <w:top w:val="nil"/>
              <w:left w:val="nil"/>
              <w:bottom w:val="nil"/>
              <w:right w:val="nil"/>
            </w:tcBorders>
            <w:shd w:val="clear" w:color="auto" w:fill="auto"/>
            <w:noWrap/>
            <w:vAlign w:val="bottom"/>
            <w:hideMark/>
          </w:tcPr>
          <w:p w14:paraId="164B9B70"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(8.606)</w:t>
            </w:r>
          </w:p>
        </w:tc>
        <w:tc>
          <w:tcPr>
            <w:tcW w:w="679" w:type="pct"/>
            <w:tcBorders>
              <w:top w:val="nil"/>
              <w:left w:val="nil"/>
              <w:bottom w:val="nil"/>
              <w:right w:val="nil"/>
            </w:tcBorders>
            <w:shd w:val="clear" w:color="auto" w:fill="auto"/>
            <w:noWrap/>
            <w:vAlign w:val="bottom"/>
            <w:hideMark/>
          </w:tcPr>
          <w:p w14:paraId="6D96C923"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(348.901)</w:t>
            </w:r>
          </w:p>
        </w:tc>
        <w:tc>
          <w:tcPr>
            <w:tcW w:w="300" w:type="pct"/>
            <w:tcBorders>
              <w:top w:val="nil"/>
              <w:left w:val="nil"/>
              <w:bottom w:val="nil"/>
              <w:right w:val="nil"/>
            </w:tcBorders>
            <w:shd w:val="clear" w:color="000000" w:fill="FFFFFF"/>
            <w:noWrap/>
            <w:vAlign w:val="center"/>
            <w:hideMark/>
          </w:tcPr>
          <w:p w14:paraId="4CAF3F6C" w14:textId="3459FC4A" w:rsidR="00EE5736" w:rsidRPr="00EE5736" w:rsidRDefault="00EE5736" w:rsidP="0029203E">
            <w:pPr>
              <w:jc w:val="center"/>
              <w:rPr>
                <w:rFonts w:asciiTheme="majorHAnsi" w:hAnsiTheme="majorHAnsi" w:cs="Arial"/>
                <w:sz w:val="16"/>
                <w:szCs w:val="16"/>
              </w:rPr>
            </w:pPr>
          </w:p>
        </w:tc>
      </w:tr>
      <w:tr w:rsidR="00EE5736" w:rsidRPr="00EE5736" w14:paraId="415C1A15" w14:textId="77777777" w:rsidTr="00EE5736">
        <w:trPr>
          <w:trHeight w:val="227"/>
        </w:trPr>
        <w:tc>
          <w:tcPr>
            <w:tcW w:w="2255" w:type="pct"/>
            <w:tcBorders>
              <w:top w:val="nil"/>
              <w:left w:val="nil"/>
              <w:bottom w:val="nil"/>
              <w:right w:val="nil"/>
            </w:tcBorders>
            <w:shd w:val="clear" w:color="auto" w:fill="auto"/>
            <w:noWrap/>
            <w:vAlign w:val="bottom"/>
            <w:hideMark/>
          </w:tcPr>
          <w:p w14:paraId="5B6C6DD1"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Baixa de Ativos - Tributos a recuperar/compensar</w:t>
            </w:r>
          </w:p>
        </w:tc>
        <w:tc>
          <w:tcPr>
            <w:tcW w:w="500" w:type="pct"/>
            <w:tcBorders>
              <w:top w:val="nil"/>
              <w:left w:val="nil"/>
              <w:bottom w:val="nil"/>
              <w:right w:val="nil"/>
            </w:tcBorders>
            <w:shd w:val="clear" w:color="auto" w:fill="auto"/>
            <w:noWrap/>
            <w:vAlign w:val="bottom"/>
            <w:hideMark/>
          </w:tcPr>
          <w:p w14:paraId="69BDC510"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(197.037)</w:t>
            </w:r>
          </w:p>
        </w:tc>
        <w:tc>
          <w:tcPr>
            <w:tcW w:w="633" w:type="pct"/>
            <w:tcBorders>
              <w:top w:val="nil"/>
              <w:left w:val="nil"/>
              <w:bottom w:val="nil"/>
              <w:right w:val="nil"/>
            </w:tcBorders>
            <w:shd w:val="clear" w:color="auto" w:fill="auto"/>
            <w:noWrap/>
            <w:vAlign w:val="bottom"/>
            <w:hideMark/>
          </w:tcPr>
          <w:p w14:paraId="303DE45C"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(197.037)</w:t>
            </w:r>
          </w:p>
        </w:tc>
        <w:tc>
          <w:tcPr>
            <w:tcW w:w="633" w:type="pct"/>
            <w:tcBorders>
              <w:top w:val="nil"/>
              <w:left w:val="nil"/>
              <w:bottom w:val="nil"/>
              <w:right w:val="nil"/>
            </w:tcBorders>
            <w:shd w:val="clear" w:color="auto" w:fill="auto"/>
            <w:noWrap/>
            <w:vAlign w:val="bottom"/>
            <w:hideMark/>
          </w:tcPr>
          <w:p w14:paraId="516E6654"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   </w:t>
            </w:r>
          </w:p>
        </w:tc>
        <w:tc>
          <w:tcPr>
            <w:tcW w:w="679" w:type="pct"/>
            <w:tcBorders>
              <w:top w:val="nil"/>
              <w:left w:val="nil"/>
              <w:bottom w:val="nil"/>
              <w:right w:val="nil"/>
            </w:tcBorders>
            <w:shd w:val="clear" w:color="auto" w:fill="auto"/>
            <w:noWrap/>
            <w:vAlign w:val="bottom"/>
            <w:hideMark/>
          </w:tcPr>
          <w:p w14:paraId="1358743E"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   </w:t>
            </w:r>
          </w:p>
        </w:tc>
        <w:tc>
          <w:tcPr>
            <w:tcW w:w="300" w:type="pct"/>
            <w:tcBorders>
              <w:top w:val="nil"/>
              <w:left w:val="nil"/>
              <w:bottom w:val="nil"/>
              <w:right w:val="nil"/>
            </w:tcBorders>
            <w:shd w:val="clear" w:color="auto" w:fill="auto"/>
            <w:noWrap/>
            <w:vAlign w:val="bottom"/>
            <w:hideMark/>
          </w:tcPr>
          <w:p w14:paraId="43702C31" w14:textId="77777777" w:rsidR="00EE5736" w:rsidRPr="00EE5736" w:rsidRDefault="00EE5736" w:rsidP="0029203E">
            <w:pPr>
              <w:jc w:val="center"/>
              <w:rPr>
                <w:rFonts w:asciiTheme="majorHAnsi" w:hAnsiTheme="majorHAnsi" w:cs="Arial"/>
                <w:sz w:val="16"/>
                <w:szCs w:val="16"/>
              </w:rPr>
            </w:pPr>
          </w:p>
        </w:tc>
      </w:tr>
      <w:tr w:rsidR="00EE5736" w:rsidRPr="00EE5736" w14:paraId="379A3AEE" w14:textId="77777777" w:rsidTr="00EE5736">
        <w:trPr>
          <w:trHeight w:val="227"/>
        </w:trPr>
        <w:tc>
          <w:tcPr>
            <w:tcW w:w="2255" w:type="pct"/>
            <w:tcBorders>
              <w:top w:val="nil"/>
              <w:left w:val="nil"/>
              <w:bottom w:val="nil"/>
              <w:right w:val="nil"/>
            </w:tcBorders>
            <w:shd w:val="clear" w:color="auto" w:fill="auto"/>
            <w:noWrap/>
            <w:vAlign w:val="bottom"/>
            <w:hideMark/>
          </w:tcPr>
          <w:p w14:paraId="05618002" w14:textId="77777777" w:rsidR="00EE5736" w:rsidRPr="00EE5736" w:rsidRDefault="00EE5736">
            <w:pPr>
              <w:rPr>
                <w:rFonts w:asciiTheme="majorHAnsi" w:hAnsiTheme="majorHAnsi"/>
                <w:sz w:val="16"/>
                <w:szCs w:val="16"/>
              </w:rPr>
            </w:pPr>
          </w:p>
        </w:tc>
        <w:tc>
          <w:tcPr>
            <w:tcW w:w="500" w:type="pct"/>
            <w:tcBorders>
              <w:top w:val="nil"/>
              <w:left w:val="nil"/>
              <w:bottom w:val="nil"/>
              <w:right w:val="nil"/>
            </w:tcBorders>
            <w:shd w:val="clear" w:color="auto" w:fill="auto"/>
            <w:noWrap/>
            <w:vAlign w:val="bottom"/>
            <w:hideMark/>
          </w:tcPr>
          <w:p w14:paraId="0878812E" w14:textId="77777777" w:rsidR="00EE5736" w:rsidRPr="00EE5736" w:rsidRDefault="00EE5736">
            <w:pPr>
              <w:rPr>
                <w:rFonts w:asciiTheme="majorHAnsi" w:hAnsiTheme="majorHAnsi"/>
                <w:sz w:val="16"/>
                <w:szCs w:val="16"/>
              </w:rPr>
            </w:pPr>
          </w:p>
        </w:tc>
        <w:tc>
          <w:tcPr>
            <w:tcW w:w="633" w:type="pct"/>
            <w:tcBorders>
              <w:top w:val="nil"/>
              <w:left w:val="nil"/>
              <w:bottom w:val="nil"/>
              <w:right w:val="nil"/>
            </w:tcBorders>
            <w:shd w:val="clear" w:color="auto" w:fill="auto"/>
            <w:noWrap/>
            <w:vAlign w:val="bottom"/>
            <w:hideMark/>
          </w:tcPr>
          <w:p w14:paraId="12007AE2" w14:textId="77777777" w:rsidR="00EE5736" w:rsidRPr="00EE5736" w:rsidRDefault="00EE5736">
            <w:pPr>
              <w:rPr>
                <w:rFonts w:asciiTheme="majorHAnsi" w:hAnsiTheme="majorHAnsi"/>
                <w:sz w:val="16"/>
                <w:szCs w:val="16"/>
              </w:rPr>
            </w:pPr>
          </w:p>
        </w:tc>
        <w:tc>
          <w:tcPr>
            <w:tcW w:w="633" w:type="pct"/>
            <w:tcBorders>
              <w:top w:val="nil"/>
              <w:left w:val="nil"/>
              <w:bottom w:val="nil"/>
              <w:right w:val="nil"/>
            </w:tcBorders>
            <w:shd w:val="clear" w:color="auto" w:fill="auto"/>
            <w:noWrap/>
            <w:vAlign w:val="bottom"/>
            <w:hideMark/>
          </w:tcPr>
          <w:p w14:paraId="3776FA48" w14:textId="77777777" w:rsidR="00EE5736" w:rsidRPr="00EE5736" w:rsidRDefault="00EE5736">
            <w:pPr>
              <w:jc w:val="right"/>
              <w:rPr>
                <w:rFonts w:asciiTheme="majorHAnsi" w:hAnsiTheme="majorHAnsi"/>
                <w:sz w:val="16"/>
                <w:szCs w:val="16"/>
              </w:rPr>
            </w:pPr>
          </w:p>
        </w:tc>
        <w:tc>
          <w:tcPr>
            <w:tcW w:w="679" w:type="pct"/>
            <w:tcBorders>
              <w:top w:val="nil"/>
              <w:left w:val="nil"/>
              <w:bottom w:val="nil"/>
              <w:right w:val="nil"/>
            </w:tcBorders>
            <w:shd w:val="clear" w:color="auto" w:fill="auto"/>
            <w:noWrap/>
            <w:vAlign w:val="center"/>
            <w:hideMark/>
          </w:tcPr>
          <w:p w14:paraId="6A6C6F40" w14:textId="77777777" w:rsidR="00EE5736" w:rsidRPr="00EE5736" w:rsidRDefault="00EE5736">
            <w:pPr>
              <w:jc w:val="right"/>
              <w:rPr>
                <w:rFonts w:asciiTheme="majorHAnsi" w:hAnsiTheme="majorHAnsi"/>
                <w:sz w:val="16"/>
                <w:szCs w:val="16"/>
              </w:rPr>
            </w:pPr>
          </w:p>
        </w:tc>
        <w:tc>
          <w:tcPr>
            <w:tcW w:w="300" w:type="pct"/>
            <w:tcBorders>
              <w:top w:val="nil"/>
              <w:left w:val="nil"/>
              <w:bottom w:val="nil"/>
              <w:right w:val="nil"/>
            </w:tcBorders>
            <w:shd w:val="clear" w:color="auto" w:fill="auto"/>
            <w:noWrap/>
            <w:vAlign w:val="bottom"/>
            <w:hideMark/>
          </w:tcPr>
          <w:p w14:paraId="5CF4D4F2" w14:textId="77777777" w:rsidR="00EE5736" w:rsidRPr="00EE5736" w:rsidRDefault="00EE5736" w:rsidP="0029203E">
            <w:pPr>
              <w:jc w:val="center"/>
              <w:rPr>
                <w:rFonts w:asciiTheme="majorHAnsi" w:hAnsiTheme="majorHAnsi"/>
                <w:sz w:val="16"/>
                <w:szCs w:val="16"/>
              </w:rPr>
            </w:pPr>
          </w:p>
        </w:tc>
      </w:tr>
      <w:tr w:rsidR="00EE5736" w:rsidRPr="00EE5736" w14:paraId="48183725" w14:textId="77777777" w:rsidTr="00EE5736">
        <w:trPr>
          <w:trHeight w:val="227"/>
        </w:trPr>
        <w:tc>
          <w:tcPr>
            <w:tcW w:w="2255" w:type="pct"/>
            <w:tcBorders>
              <w:top w:val="nil"/>
              <w:left w:val="nil"/>
              <w:bottom w:val="nil"/>
              <w:right w:val="nil"/>
            </w:tcBorders>
            <w:shd w:val="clear" w:color="auto" w:fill="auto"/>
            <w:hideMark/>
          </w:tcPr>
          <w:p w14:paraId="32D38F55" w14:textId="77777777" w:rsidR="00EE5736" w:rsidRPr="00EE5736" w:rsidRDefault="00EE5736">
            <w:pPr>
              <w:rPr>
                <w:rFonts w:asciiTheme="majorHAnsi" w:hAnsiTheme="majorHAnsi" w:cs="Arial"/>
                <w:b/>
                <w:bCs/>
                <w:sz w:val="16"/>
                <w:szCs w:val="16"/>
              </w:rPr>
            </w:pPr>
            <w:r w:rsidRPr="00EE5736">
              <w:rPr>
                <w:rFonts w:asciiTheme="majorHAnsi" w:hAnsiTheme="majorHAnsi" w:cs="Arial"/>
                <w:b/>
                <w:bCs/>
                <w:sz w:val="16"/>
                <w:szCs w:val="16"/>
              </w:rPr>
              <w:t>RESULTADO ANTES DO RESULTADO FINANCEIRO</w:t>
            </w:r>
          </w:p>
        </w:tc>
        <w:tc>
          <w:tcPr>
            <w:tcW w:w="500" w:type="pct"/>
            <w:tcBorders>
              <w:top w:val="nil"/>
              <w:left w:val="nil"/>
              <w:bottom w:val="nil"/>
              <w:right w:val="nil"/>
            </w:tcBorders>
            <w:shd w:val="clear" w:color="auto" w:fill="auto"/>
            <w:noWrap/>
            <w:vAlign w:val="bottom"/>
            <w:hideMark/>
          </w:tcPr>
          <w:p w14:paraId="792E85AB" w14:textId="77777777" w:rsidR="00EE5736" w:rsidRPr="00EE5736" w:rsidRDefault="00EE5736">
            <w:pPr>
              <w:rPr>
                <w:rFonts w:asciiTheme="majorHAnsi" w:hAnsiTheme="majorHAnsi" w:cs="Arial"/>
                <w:b/>
                <w:bCs/>
                <w:sz w:val="16"/>
                <w:szCs w:val="16"/>
              </w:rPr>
            </w:pPr>
            <w:r w:rsidRPr="00EE5736">
              <w:rPr>
                <w:rFonts w:asciiTheme="majorHAnsi" w:hAnsiTheme="majorHAnsi" w:cs="Arial"/>
                <w:b/>
                <w:bCs/>
                <w:sz w:val="16"/>
                <w:szCs w:val="16"/>
              </w:rPr>
              <w:t xml:space="preserve">     (70.231.450)</w:t>
            </w:r>
          </w:p>
        </w:tc>
        <w:tc>
          <w:tcPr>
            <w:tcW w:w="633" w:type="pct"/>
            <w:tcBorders>
              <w:top w:val="nil"/>
              <w:left w:val="nil"/>
              <w:bottom w:val="nil"/>
              <w:right w:val="nil"/>
            </w:tcBorders>
            <w:shd w:val="clear" w:color="auto" w:fill="auto"/>
            <w:noWrap/>
            <w:vAlign w:val="bottom"/>
            <w:hideMark/>
          </w:tcPr>
          <w:p w14:paraId="08CAF081" w14:textId="77777777" w:rsidR="00EE5736" w:rsidRPr="00EE5736" w:rsidRDefault="00EE5736">
            <w:pPr>
              <w:rPr>
                <w:rFonts w:asciiTheme="majorHAnsi" w:hAnsiTheme="majorHAnsi" w:cs="Arial"/>
                <w:b/>
                <w:bCs/>
                <w:sz w:val="16"/>
                <w:szCs w:val="16"/>
              </w:rPr>
            </w:pPr>
            <w:r w:rsidRPr="00EE5736">
              <w:rPr>
                <w:rFonts w:asciiTheme="majorHAnsi" w:hAnsiTheme="majorHAnsi" w:cs="Arial"/>
                <w:b/>
                <w:bCs/>
                <w:sz w:val="16"/>
                <w:szCs w:val="16"/>
              </w:rPr>
              <w:t xml:space="preserve">          (208.631.010)</w:t>
            </w:r>
          </w:p>
        </w:tc>
        <w:tc>
          <w:tcPr>
            <w:tcW w:w="633" w:type="pct"/>
            <w:tcBorders>
              <w:top w:val="nil"/>
              <w:left w:val="nil"/>
              <w:bottom w:val="nil"/>
              <w:right w:val="nil"/>
            </w:tcBorders>
            <w:shd w:val="clear" w:color="auto" w:fill="auto"/>
            <w:noWrap/>
            <w:vAlign w:val="bottom"/>
            <w:hideMark/>
          </w:tcPr>
          <w:p w14:paraId="6C79303F" w14:textId="77777777" w:rsidR="00EE5736" w:rsidRPr="00EE5736" w:rsidRDefault="00EE5736">
            <w:pPr>
              <w:rPr>
                <w:rFonts w:asciiTheme="majorHAnsi" w:hAnsiTheme="majorHAnsi" w:cs="Arial"/>
                <w:b/>
                <w:bCs/>
                <w:sz w:val="16"/>
                <w:szCs w:val="16"/>
              </w:rPr>
            </w:pPr>
            <w:r w:rsidRPr="00EE5736">
              <w:rPr>
                <w:rFonts w:asciiTheme="majorHAnsi" w:hAnsiTheme="majorHAnsi" w:cs="Arial"/>
                <w:b/>
                <w:bCs/>
                <w:sz w:val="16"/>
                <w:szCs w:val="16"/>
              </w:rPr>
              <w:t xml:space="preserve">          (519.964.126)</w:t>
            </w:r>
          </w:p>
        </w:tc>
        <w:tc>
          <w:tcPr>
            <w:tcW w:w="679" w:type="pct"/>
            <w:tcBorders>
              <w:top w:val="nil"/>
              <w:left w:val="nil"/>
              <w:bottom w:val="nil"/>
              <w:right w:val="nil"/>
            </w:tcBorders>
            <w:shd w:val="clear" w:color="auto" w:fill="auto"/>
            <w:noWrap/>
            <w:vAlign w:val="bottom"/>
            <w:hideMark/>
          </w:tcPr>
          <w:p w14:paraId="003CC140" w14:textId="77777777" w:rsidR="00EE5736" w:rsidRPr="00EE5736" w:rsidRDefault="00EE5736">
            <w:pPr>
              <w:rPr>
                <w:rFonts w:asciiTheme="majorHAnsi" w:hAnsiTheme="majorHAnsi" w:cs="Arial"/>
                <w:b/>
                <w:bCs/>
                <w:sz w:val="16"/>
                <w:szCs w:val="16"/>
              </w:rPr>
            </w:pPr>
            <w:r w:rsidRPr="00EE5736">
              <w:rPr>
                <w:rFonts w:asciiTheme="majorHAnsi" w:hAnsiTheme="majorHAnsi" w:cs="Arial"/>
                <w:b/>
                <w:bCs/>
                <w:sz w:val="16"/>
                <w:szCs w:val="16"/>
              </w:rPr>
              <w:t xml:space="preserve">             (576.938.836)</w:t>
            </w:r>
          </w:p>
        </w:tc>
        <w:tc>
          <w:tcPr>
            <w:tcW w:w="300" w:type="pct"/>
            <w:tcBorders>
              <w:top w:val="nil"/>
              <w:left w:val="nil"/>
              <w:bottom w:val="nil"/>
              <w:right w:val="nil"/>
            </w:tcBorders>
            <w:shd w:val="clear" w:color="auto" w:fill="auto"/>
            <w:noWrap/>
            <w:vAlign w:val="bottom"/>
            <w:hideMark/>
          </w:tcPr>
          <w:p w14:paraId="35CE5824" w14:textId="77777777" w:rsidR="00EE5736" w:rsidRPr="00EE5736" w:rsidRDefault="00EE5736" w:rsidP="0029203E">
            <w:pPr>
              <w:jc w:val="center"/>
              <w:rPr>
                <w:rFonts w:asciiTheme="majorHAnsi" w:hAnsiTheme="majorHAnsi" w:cs="Arial"/>
                <w:b/>
                <w:bCs/>
                <w:sz w:val="16"/>
                <w:szCs w:val="16"/>
              </w:rPr>
            </w:pPr>
          </w:p>
        </w:tc>
      </w:tr>
      <w:tr w:rsidR="00EE5736" w:rsidRPr="00EE5736" w14:paraId="061E581D" w14:textId="77777777" w:rsidTr="00EE5736">
        <w:trPr>
          <w:trHeight w:val="227"/>
        </w:trPr>
        <w:tc>
          <w:tcPr>
            <w:tcW w:w="2255" w:type="pct"/>
            <w:tcBorders>
              <w:top w:val="nil"/>
              <w:left w:val="nil"/>
              <w:bottom w:val="nil"/>
              <w:right w:val="nil"/>
            </w:tcBorders>
            <w:shd w:val="clear" w:color="auto" w:fill="auto"/>
            <w:hideMark/>
          </w:tcPr>
          <w:p w14:paraId="6408550A" w14:textId="77777777" w:rsidR="00EE5736" w:rsidRPr="00EE5736" w:rsidRDefault="00EE5736">
            <w:pPr>
              <w:jc w:val="right"/>
              <w:rPr>
                <w:rFonts w:asciiTheme="majorHAnsi" w:hAnsiTheme="majorHAnsi"/>
                <w:sz w:val="16"/>
                <w:szCs w:val="16"/>
              </w:rPr>
            </w:pPr>
          </w:p>
        </w:tc>
        <w:tc>
          <w:tcPr>
            <w:tcW w:w="500" w:type="pct"/>
            <w:tcBorders>
              <w:top w:val="nil"/>
              <w:left w:val="nil"/>
              <w:bottom w:val="nil"/>
              <w:right w:val="nil"/>
            </w:tcBorders>
            <w:shd w:val="clear" w:color="auto" w:fill="auto"/>
            <w:hideMark/>
          </w:tcPr>
          <w:p w14:paraId="2EB34F3A" w14:textId="77777777" w:rsidR="00EE5736" w:rsidRPr="00EE5736" w:rsidRDefault="00EE5736">
            <w:pPr>
              <w:rPr>
                <w:rFonts w:asciiTheme="majorHAnsi" w:hAnsiTheme="majorHAnsi"/>
                <w:sz w:val="16"/>
                <w:szCs w:val="16"/>
              </w:rPr>
            </w:pPr>
          </w:p>
        </w:tc>
        <w:tc>
          <w:tcPr>
            <w:tcW w:w="633" w:type="pct"/>
            <w:tcBorders>
              <w:top w:val="nil"/>
              <w:left w:val="nil"/>
              <w:bottom w:val="nil"/>
              <w:right w:val="nil"/>
            </w:tcBorders>
            <w:shd w:val="clear" w:color="auto" w:fill="auto"/>
            <w:noWrap/>
            <w:vAlign w:val="bottom"/>
            <w:hideMark/>
          </w:tcPr>
          <w:p w14:paraId="2FF341CF" w14:textId="77777777" w:rsidR="00EE5736" w:rsidRPr="00EE5736" w:rsidRDefault="00EE5736">
            <w:pPr>
              <w:rPr>
                <w:rFonts w:asciiTheme="majorHAnsi" w:hAnsiTheme="majorHAnsi"/>
                <w:sz w:val="16"/>
                <w:szCs w:val="16"/>
              </w:rPr>
            </w:pPr>
          </w:p>
        </w:tc>
        <w:tc>
          <w:tcPr>
            <w:tcW w:w="633" w:type="pct"/>
            <w:tcBorders>
              <w:top w:val="nil"/>
              <w:left w:val="nil"/>
              <w:bottom w:val="nil"/>
              <w:right w:val="nil"/>
            </w:tcBorders>
            <w:shd w:val="clear" w:color="auto" w:fill="auto"/>
            <w:noWrap/>
            <w:vAlign w:val="bottom"/>
            <w:hideMark/>
          </w:tcPr>
          <w:p w14:paraId="22305E98" w14:textId="77777777" w:rsidR="00EE5736" w:rsidRPr="00EE5736" w:rsidRDefault="00EE5736">
            <w:pPr>
              <w:rPr>
                <w:rFonts w:asciiTheme="majorHAnsi" w:hAnsiTheme="majorHAnsi"/>
                <w:sz w:val="16"/>
                <w:szCs w:val="16"/>
              </w:rPr>
            </w:pPr>
          </w:p>
        </w:tc>
        <w:tc>
          <w:tcPr>
            <w:tcW w:w="679" w:type="pct"/>
            <w:tcBorders>
              <w:top w:val="nil"/>
              <w:left w:val="nil"/>
              <w:bottom w:val="nil"/>
              <w:right w:val="nil"/>
            </w:tcBorders>
            <w:shd w:val="clear" w:color="auto" w:fill="auto"/>
            <w:noWrap/>
            <w:vAlign w:val="bottom"/>
            <w:hideMark/>
          </w:tcPr>
          <w:p w14:paraId="34A9B021" w14:textId="77777777" w:rsidR="00EE5736" w:rsidRPr="00EE5736" w:rsidRDefault="00EE5736">
            <w:pPr>
              <w:rPr>
                <w:rFonts w:asciiTheme="majorHAnsi" w:hAnsiTheme="majorHAnsi"/>
                <w:sz w:val="16"/>
                <w:szCs w:val="16"/>
              </w:rPr>
            </w:pPr>
          </w:p>
        </w:tc>
        <w:tc>
          <w:tcPr>
            <w:tcW w:w="300" w:type="pct"/>
            <w:tcBorders>
              <w:top w:val="nil"/>
              <w:left w:val="nil"/>
              <w:bottom w:val="nil"/>
              <w:right w:val="nil"/>
            </w:tcBorders>
            <w:shd w:val="clear" w:color="auto" w:fill="auto"/>
            <w:noWrap/>
            <w:vAlign w:val="bottom"/>
            <w:hideMark/>
          </w:tcPr>
          <w:p w14:paraId="6CD6C3B1" w14:textId="77777777" w:rsidR="00EE5736" w:rsidRPr="00EE5736" w:rsidRDefault="00EE5736" w:rsidP="0029203E">
            <w:pPr>
              <w:jc w:val="center"/>
              <w:rPr>
                <w:rFonts w:asciiTheme="majorHAnsi" w:hAnsiTheme="majorHAnsi"/>
                <w:sz w:val="16"/>
                <w:szCs w:val="16"/>
              </w:rPr>
            </w:pPr>
          </w:p>
        </w:tc>
      </w:tr>
      <w:tr w:rsidR="00EE5736" w:rsidRPr="00EE5736" w14:paraId="0174C5AF" w14:textId="77777777" w:rsidTr="00EE5736">
        <w:trPr>
          <w:trHeight w:val="227"/>
        </w:trPr>
        <w:tc>
          <w:tcPr>
            <w:tcW w:w="2255" w:type="pct"/>
            <w:tcBorders>
              <w:top w:val="nil"/>
              <w:left w:val="nil"/>
              <w:bottom w:val="nil"/>
              <w:right w:val="nil"/>
            </w:tcBorders>
            <w:shd w:val="clear" w:color="auto" w:fill="auto"/>
            <w:noWrap/>
            <w:vAlign w:val="bottom"/>
            <w:hideMark/>
          </w:tcPr>
          <w:p w14:paraId="5526F8EC" w14:textId="77777777" w:rsidR="00EE5736" w:rsidRPr="00EE5736" w:rsidRDefault="00EE5736">
            <w:pPr>
              <w:rPr>
                <w:rFonts w:asciiTheme="majorHAnsi" w:hAnsiTheme="majorHAnsi" w:cs="Arial"/>
                <w:b/>
                <w:bCs/>
                <w:sz w:val="16"/>
                <w:szCs w:val="16"/>
              </w:rPr>
            </w:pPr>
            <w:r w:rsidRPr="00EE5736">
              <w:rPr>
                <w:rFonts w:asciiTheme="majorHAnsi" w:hAnsiTheme="majorHAnsi" w:cs="Arial"/>
                <w:b/>
                <w:bCs/>
                <w:sz w:val="16"/>
                <w:szCs w:val="16"/>
              </w:rPr>
              <w:t>RESUTADO FINANCEIRO LÍQUIDO</w:t>
            </w:r>
          </w:p>
        </w:tc>
        <w:tc>
          <w:tcPr>
            <w:tcW w:w="500" w:type="pct"/>
            <w:tcBorders>
              <w:top w:val="nil"/>
              <w:left w:val="nil"/>
              <w:bottom w:val="nil"/>
              <w:right w:val="nil"/>
            </w:tcBorders>
            <w:shd w:val="clear" w:color="auto" w:fill="auto"/>
            <w:noWrap/>
            <w:vAlign w:val="bottom"/>
            <w:hideMark/>
          </w:tcPr>
          <w:p w14:paraId="53284BE7"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 xml:space="preserve">             833.759 </w:t>
            </w:r>
          </w:p>
        </w:tc>
        <w:tc>
          <w:tcPr>
            <w:tcW w:w="633" w:type="pct"/>
            <w:tcBorders>
              <w:top w:val="nil"/>
              <w:left w:val="nil"/>
              <w:bottom w:val="nil"/>
              <w:right w:val="nil"/>
            </w:tcBorders>
            <w:shd w:val="clear" w:color="auto" w:fill="auto"/>
            <w:noWrap/>
            <w:vAlign w:val="bottom"/>
            <w:hideMark/>
          </w:tcPr>
          <w:p w14:paraId="4BF4B269"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 xml:space="preserve">                 4.295.598 </w:t>
            </w:r>
          </w:p>
        </w:tc>
        <w:tc>
          <w:tcPr>
            <w:tcW w:w="633" w:type="pct"/>
            <w:tcBorders>
              <w:top w:val="nil"/>
              <w:left w:val="nil"/>
              <w:bottom w:val="nil"/>
              <w:right w:val="nil"/>
            </w:tcBorders>
            <w:shd w:val="clear" w:color="auto" w:fill="auto"/>
            <w:noWrap/>
            <w:vAlign w:val="bottom"/>
            <w:hideMark/>
          </w:tcPr>
          <w:p w14:paraId="056D49A7"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 xml:space="preserve">                 2.133.200 </w:t>
            </w:r>
          </w:p>
        </w:tc>
        <w:tc>
          <w:tcPr>
            <w:tcW w:w="679" w:type="pct"/>
            <w:tcBorders>
              <w:top w:val="nil"/>
              <w:left w:val="nil"/>
              <w:bottom w:val="nil"/>
              <w:right w:val="nil"/>
            </w:tcBorders>
            <w:shd w:val="clear" w:color="auto" w:fill="auto"/>
            <w:noWrap/>
            <w:vAlign w:val="bottom"/>
            <w:hideMark/>
          </w:tcPr>
          <w:p w14:paraId="4CAF4789"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 xml:space="preserve">                    3.128.040 </w:t>
            </w:r>
          </w:p>
        </w:tc>
        <w:tc>
          <w:tcPr>
            <w:tcW w:w="300" w:type="pct"/>
            <w:tcBorders>
              <w:top w:val="nil"/>
              <w:left w:val="nil"/>
              <w:bottom w:val="nil"/>
              <w:right w:val="nil"/>
            </w:tcBorders>
            <w:shd w:val="clear" w:color="auto" w:fill="auto"/>
            <w:noWrap/>
            <w:vAlign w:val="bottom"/>
            <w:hideMark/>
          </w:tcPr>
          <w:p w14:paraId="7B5831A0" w14:textId="77777777" w:rsidR="00EE5736" w:rsidRPr="00EE5736" w:rsidRDefault="00EE5736" w:rsidP="0029203E">
            <w:pPr>
              <w:jc w:val="center"/>
              <w:rPr>
                <w:rFonts w:asciiTheme="majorHAnsi" w:hAnsiTheme="majorHAnsi" w:cs="Arial"/>
                <w:b/>
                <w:bCs/>
                <w:sz w:val="16"/>
                <w:szCs w:val="16"/>
              </w:rPr>
            </w:pPr>
          </w:p>
        </w:tc>
      </w:tr>
      <w:tr w:rsidR="00EE5736" w:rsidRPr="00EE5736" w14:paraId="2484E61F" w14:textId="77777777" w:rsidTr="00EE5736">
        <w:trPr>
          <w:trHeight w:val="227"/>
        </w:trPr>
        <w:tc>
          <w:tcPr>
            <w:tcW w:w="2255" w:type="pct"/>
            <w:tcBorders>
              <w:top w:val="nil"/>
              <w:left w:val="nil"/>
              <w:bottom w:val="nil"/>
              <w:right w:val="nil"/>
            </w:tcBorders>
            <w:shd w:val="clear" w:color="auto" w:fill="auto"/>
            <w:noWrap/>
            <w:vAlign w:val="bottom"/>
            <w:hideMark/>
          </w:tcPr>
          <w:p w14:paraId="77D0761B"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Receita Financeira</w:t>
            </w:r>
          </w:p>
        </w:tc>
        <w:tc>
          <w:tcPr>
            <w:tcW w:w="500" w:type="pct"/>
            <w:tcBorders>
              <w:top w:val="nil"/>
              <w:left w:val="nil"/>
              <w:bottom w:val="nil"/>
              <w:right w:val="nil"/>
            </w:tcBorders>
            <w:shd w:val="clear" w:color="auto" w:fill="auto"/>
            <w:noWrap/>
            <w:vAlign w:val="bottom"/>
            <w:hideMark/>
          </w:tcPr>
          <w:p w14:paraId="134FD81B"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833.759 </w:t>
            </w:r>
          </w:p>
        </w:tc>
        <w:tc>
          <w:tcPr>
            <w:tcW w:w="633" w:type="pct"/>
            <w:tcBorders>
              <w:top w:val="nil"/>
              <w:left w:val="nil"/>
              <w:bottom w:val="nil"/>
              <w:right w:val="nil"/>
            </w:tcBorders>
            <w:shd w:val="clear" w:color="auto" w:fill="auto"/>
            <w:noWrap/>
            <w:vAlign w:val="bottom"/>
            <w:hideMark/>
          </w:tcPr>
          <w:p w14:paraId="79225135"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4.295.598 </w:t>
            </w:r>
          </w:p>
        </w:tc>
        <w:tc>
          <w:tcPr>
            <w:tcW w:w="633" w:type="pct"/>
            <w:tcBorders>
              <w:top w:val="nil"/>
              <w:left w:val="nil"/>
              <w:bottom w:val="nil"/>
              <w:right w:val="nil"/>
            </w:tcBorders>
            <w:shd w:val="clear" w:color="auto" w:fill="auto"/>
            <w:noWrap/>
            <w:vAlign w:val="bottom"/>
            <w:hideMark/>
          </w:tcPr>
          <w:p w14:paraId="34925072"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2.133.200 </w:t>
            </w:r>
          </w:p>
        </w:tc>
        <w:tc>
          <w:tcPr>
            <w:tcW w:w="679" w:type="pct"/>
            <w:tcBorders>
              <w:top w:val="nil"/>
              <w:left w:val="nil"/>
              <w:bottom w:val="nil"/>
              <w:right w:val="nil"/>
            </w:tcBorders>
            <w:shd w:val="clear" w:color="auto" w:fill="auto"/>
            <w:noWrap/>
            <w:vAlign w:val="bottom"/>
            <w:hideMark/>
          </w:tcPr>
          <w:p w14:paraId="6C24F85B"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3.128.417 </w:t>
            </w:r>
          </w:p>
        </w:tc>
        <w:tc>
          <w:tcPr>
            <w:tcW w:w="300" w:type="pct"/>
            <w:tcBorders>
              <w:top w:val="nil"/>
              <w:left w:val="nil"/>
              <w:bottom w:val="nil"/>
              <w:right w:val="nil"/>
            </w:tcBorders>
            <w:shd w:val="clear" w:color="auto" w:fill="auto"/>
            <w:noWrap/>
            <w:vAlign w:val="center"/>
            <w:hideMark/>
          </w:tcPr>
          <w:p w14:paraId="6158BE2E" w14:textId="7B3065F1" w:rsidR="00EE5736" w:rsidRPr="00EE5736" w:rsidRDefault="00EE5736" w:rsidP="0029203E">
            <w:pPr>
              <w:jc w:val="center"/>
              <w:rPr>
                <w:rFonts w:asciiTheme="majorHAnsi" w:hAnsiTheme="majorHAnsi" w:cs="Arial"/>
                <w:sz w:val="16"/>
                <w:szCs w:val="16"/>
              </w:rPr>
            </w:pPr>
            <w:r w:rsidRPr="00EE5736">
              <w:rPr>
                <w:rFonts w:asciiTheme="majorHAnsi" w:hAnsiTheme="majorHAnsi" w:cs="Arial"/>
                <w:sz w:val="16"/>
                <w:szCs w:val="16"/>
              </w:rPr>
              <w:t>(18)</w:t>
            </w:r>
          </w:p>
        </w:tc>
      </w:tr>
      <w:tr w:rsidR="00EE5736" w:rsidRPr="00EE5736" w14:paraId="086A6D87" w14:textId="77777777" w:rsidTr="00EE5736">
        <w:trPr>
          <w:trHeight w:val="227"/>
        </w:trPr>
        <w:tc>
          <w:tcPr>
            <w:tcW w:w="2255" w:type="pct"/>
            <w:tcBorders>
              <w:top w:val="nil"/>
              <w:left w:val="nil"/>
              <w:bottom w:val="nil"/>
              <w:right w:val="nil"/>
            </w:tcBorders>
            <w:shd w:val="clear" w:color="auto" w:fill="auto"/>
            <w:noWrap/>
            <w:vAlign w:val="bottom"/>
            <w:hideMark/>
          </w:tcPr>
          <w:p w14:paraId="197CECF6"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Despesa Financeira</w:t>
            </w:r>
          </w:p>
        </w:tc>
        <w:tc>
          <w:tcPr>
            <w:tcW w:w="500" w:type="pct"/>
            <w:tcBorders>
              <w:top w:val="nil"/>
              <w:left w:val="nil"/>
              <w:bottom w:val="nil"/>
              <w:right w:val="nil"/>
            </w:tcBorders>
            <w:shd w:val="clear" w:color="auto" w:fill="auto"/>
            <w:noWrap/>
            <w:vAlign w:val="bottom"/>
            <w:hideMark/>
          </w:tcPr>
          <w:p w14:paraId="689B4799"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   </w:t>
            </w:r>
          </w:p>
        </w:tc>
        <w:tc>
          <w:tcPr>
            <w:tcW w:w="633" w:type="pct"/>
            <w:tcBorders>
              <w:top w:val="nil"/>
              <w:left w:val="nil"/>
              <w:bottom w:val="nil"/>
              <w:right w:val="nil"/>
            </w:tcBorders>
            <w:shd w:val="clear" w:color="auto" w:fill="auto"/>
            <w:noWrap/>
            <w:vAlign w:val="bottom"/>
            <w:hideMark/>
          </w:tcPr>
          <w:p w14:paraId="28169532"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   </w:t>
            </w:r>
          </w:p>
        </w:tc>
        <w:tc>
          <w:tcPr>
            <w:tcW w:w="633" w:type="pct"/>
            <w:tcBorders>
              <w:top w:val="nil"/>
              <w:left w:val="nil"/>
              <w:bottom w:val="nil"/>
              <w:right w:val="nil"/>
            </w:tcBorders>
            <w:shd w:val="clear" w:color="auto" w:fill="auto"/>
            <w:noWrap/>
            <w:vAlign w:val="bottom"/>
            <w:hideMark/>
          </w:tcPr>
          <w:p w14:paraId="05666620"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   </w:t>
            </w:r>
          </w:p>
        </w:tc>
        <w:tc>
          <w:tcPr>
            <w:tcW w:w="679" w:type="pct"/>
            <w:tcBorders>
              <w:top w:val="nil"/>
              <w:left w:val="nil"/>
              <w:bottom w:val="nil"/>
              <w:right w:val="nil"/>
            </w:tcBorders>
            <w:shd w:val="clear" w:color="auto" w:fill="auto"/>
            <w:noWrap/>
            <w:vAlign w:val="bottom"/>
            <w:hideMark/>
          </w:tcPr>
          <w:p w14:paraId="44688DA0"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(377)</w:t>
            </w:r>
          </w:p>
        </w:tc>
        <w:tc>
          <w:tcPr>
            <w:tcW w:w="300" w:type="pct"/>
            <w:tcBorders>
              <w:top w:val="nil"/>
              <w:left w:val="nil"/>
              <w:bottom w:val="nil"/>
              <w:right w:val="nil"/>
            </w:tcBorders>
            <w:shd w:val="clear" w:color="auto" w:fill="auto"/>
            <w:noWrap/>
            <w:vAlign w:val="center"/>
            <w:hideMark/>
          </w:tcPr>
          <w:p w14:paraId="7A0E0F35" w14:textId="77777777" w:rsidR="00EE5736" w:rsidRPr="00EE5736" w:rsidRDefault="00EE5736" w:rsidP="0029203E">
            <w:pPr>
              <w:jc w:val="center"/>
              <w:rPr>
                <w:rFonts w:asciiTheme="majorHAnsi" w:hAnsiTheme="majorHAnsi" w:cs="Arial"/>
                <w:sz w:val="16"/>
                <w:szCs w:val="16"/>
              </w:rPr>
            </w:pPr>
          </w:p>
        </w:tc>
      </w:tr>
      <w:tr w:rsidR="00EE5736" w:rsidRPr="00EE5736" w14:paraId="3B61C438" w14:textId="77777777" w:rsidTr="00EE5736">
        <w:trPr>
          <w:trHeight w:val="227"/>
        </w:trPr>
        <w:tc>
          <w:tcPr>
            <w:tcW w:w="2255" w:type="pct"/>
            <w:tcBorders>
              <w:top w:val="nil"/>
              <w:left w:val="nil"/>
              <w:bottom w:val="nil"/>
              <w:right w:val="nil"/>
            </w:tcBorders>
            <w:shd w:val="clear" w:color="auto" w:fill="auto"/>
            <w:noWrap/>
            <w:vAlign w:val="bottom"/>
            <w:hideMark/>
          </w:tcPr>
          <w:p w14:paraId="75F87E86" w14:textId="77777777" w:rsidR="00EE5736" w:rsidRPr="00EE5736" w:rsidRDefault="00EE5736">
            <w:pPr>
              <w:jc w:val="right"/>
              <w:rPr>
                <w:rFonts w:asciiTheme="majorHAnsi" w:hAnsiTheme="majorHAnsi"/>
                <w:sz w:val="16"/>
                <w:szCs w:val="16"/>
              </w:rPr>
            </w:pPr>
          </w:p>
        </w:tc>
        <w:tc>
          <w:tcPr>
            <w:tcW w:w="500" w:type="pct"/>
            <w:tcBorders>
              <w:top w:val="nil"/>
              <w:left w:val="nil"/>
              <w:bottom w:val="nil"/>
              <w:right w:val="nil"/>
            </w:tcBorders>
            <w:shd w:val="clear" w:color="auto" w:fill="auto"/>
            <w:noWrap/>
            <w:vAlign w:val="bottom"/>
            <w:hideMark/>
          </w:tcPr>
          <w:p w14:paraId="591ADA82" w14:textId="77777777" w:rsidR="00EE5736" w:rsidRPr="00EE5736" w:rsidRDefault="00EE5736">
            <w:pPr>
              <w:rPr>
                <w:rFonts w:asciiTheme="majorHAnsi" w:hAnsiTheme="majorHAnsi"/>
                <w:sz w:val="16"/>
                <w:szCs w:val="16"/>
              </w:rPr>
            </w:pPr>
          </w:p>
        </w:tc>
        <w:tc>
          <w:tcPr>
            <w:tcW w:w="633" w:type="pct"/>
            <w:tcBorders>
              <w:top w:val="nil"/>
              <w:left w:val="nil"/>
              <w:bottom w:val="nil"/>
              <w:right w:val="nil"/>
            </w:tcBorders>
            <w:shd w:val="clear" w:color="auto" w:fill="auto"/>
            <w:noWrap/>
            <w:vAlign w:val="bottom"/>
            <w:hideMark/>
          </w:tcPr>
          <w:p w14:paraId="763D8291" w14:textId="77777777" w:rsidR="00EE5736" w:rsidRPr="00EE5736" w:rsidRDefault="00EE5736">
            <w:pPr>
              <w:rPr>
                <w:rFonts w:asciiTheme="majorHAnsi" w:hAnsiTheme="majorHAnsi"/>
                <w:sz w:val="16"/>
                <w:szCs w:val="16"/>
              </w:rPr>
            </w:pPr>
          </w:p>
        </w:tc>
        <w:tc>
          <w:tcPr>
            <w:tcW w:w="633" w:type="pct"/>
            <w:tcBorders>
              <w:top w:val="nil"/>
              <w:left w:val="nil"/>
              <w:bottom w:val="nil"/>
              <w:right w:val="nil"/>
            </w:tcBorders>
            <w:shd w:val="clear" w:color="auto" w:fill="auto"/>
            <w:noWrap/>
            <w:vAlign w:val="bottom"/>
            <w:hideMark/>
          </w:tcPr>
          <w:p w14:paraId="30C6F09C" w14:textId="77777777" w:rsidR="00EE5736" w:rsidRPr="00EE5736" w:rsidRDefault="00EE5736">
            <w:pPr>
              <w:jc w:val="right"/>
              <w:rPr>
                <w:rFonts w:asciiTheme="majorHAnsi" w:hAnsiTheme="majorHAnsi"/>
                <w:sz w:val="16"/>
                <w:szCs w:val="16"/>
              </w:rPr>
            </w:pPr>
          </w:p>
        </w:tc>
        <w:tc>
          <w:tcPr>
            <w:tcW w:w="679" w:type="pct"/>
            <w:tcBorders>
              <w:top w:val="nil"/>
              <w:left w:val="nil"/>
              <w:bottom w:val="nil"/>
              <w:right w:val="nil"/>
            </w:tcBorders>
            <w:shd w:val="clear" w:color="auto" w:fill="auto"/>
            <w:noWrap/>
            <w:vAlign w:val="bottom"/>
            <w:hideMark/>
          </w:tcPr>
          <w:p w14:paraId="5B0954EE" w14:textId="77777777" w:rsidR="00EE5736" w:rsidRPr="00EE5736" w:rsidRDefault="00EE5736">
            <w:pPr>
              <w:jc w:val="right"/>
              <w:rPr>
                <w:rFonts w:asciiTheme="majorHAnsi" w:hAnsiTheme="majorHAnsi"/>
                <w:sz w:val="16"/>
                <w:szCs w:val="16"/>
              </w:rPr>
            </w:pPr>
          </w:p>
        </w:tc>
        <w:tc>
          <w:tcPr>
            <w:tcW w:w="300" w:type="pct"/>
            <w:tcBorders>
              <w:top w:val="nil"/>
              <w:left w:val="nil"/>
              <w:bottom w:val="nil"/>
              <w:right w:val="nil"/>
            </w:tcBorders>
            <w:shd w:val="clear" w:color="auto" w:fill="auto"/>
            <w:noWrap/>
            <w:vAlign w:val="bottom"/>
            <w:hideMark/>
          </w:tcPr>
          <w:p w14:paraId="100C1A83" w14:textId="77777777" w:rsidR="00EE5736" w:rsidRPr="00EE5736" w:rsidRDefault="00EE5736" w:rsidP="0029203E">
            <w:pPr>
              <w:jc w:val="center"/>
              <w:rPr>
                <w:rFonts w:asciiTheme="majorHAnsi" w:hAnsiTheme="majorHAnsi"/>
                <w:sz w:val="16"/>
                <w:szCs w:val="16"/>
              </w:rPr>
            </w:pPr>
          </w:p>
        </w:tc>
      </w:tr>
      <w:tr w:rsidR="00EE5736" w:rsidRPr="00EE5736" w14:paraId="029015BA" w14:textId="77777777" w:rsidTr="00EE5736">
        <w:trPr>
          <w:trHeight w:val="227"/>
        </w:trPr>
        <w:tc>
          <w:tcPr>
            <w:tcW w:w="2255" w:type="pct"/>
            <w:tcBorders>
              <w:top w:val="nil"/>
              <w:left w:val="nil"/>
              <w:bottom w:val="nil"/>
              <w:right w:val="nil"/>
            </w:tcBorders>
            <w:shd w:val="clear" w:color="auto" w:fill="auto"/>
            <w:noWrap/>
            <w:vAlign w:val="bottom"/>
            <w:hideMark/>
          </w:tcPr>
          <w:p w14:paraId="30B16DC3" w14:textId="77777777" w:rsidR="00EE5736" w:rsidRPr="00EE5736" w:rsidRDefault="00EE5736">
            <w:pPr>
              <w:rPr>
                <w:rFonts w:asciiTheme="majorHAnsi" w:hAnsiTheme="majorHAnsi" w:cs="Arial"/>
                <w:b/>
                <w:bCs/>
                <w:sz w:val="16"/>
                <w:szCs w:val="16"/>
              </w:rPr>
            </w:pPr>
            <w:r w:rsidRPr="00EE5736">
              <w:rPr>
                <w:rFonts w:asciiTheme="majorHAnsi" w:hAnsiTheme="majorHAnsi" w:cs="Arial"/>
                <w:b/>
                <w:bCs/>
                <w:sz w:val="16"/>
                <w:szCs w:val="16"/>
              </w:rPr>
              <w:t>RESULTADO ANTES DAS SUBVENÇÕES DO TESOURO NACIONAL</w:t>
            </w:r>
          </w:p>
        </w:tc>
        <w:tc>
          <w:tcPr>
            <w:tcW w:w="500" w:type="pct"/>
            <w:tcBorders>
              <w:top w:val="nil"/>
              <w:left w:val="nil"/>
              <w:bottom w:val="nil"/>
              <w:right w:val="nil"/>
            </w:tcBorders>
            <w:shd w:val="clear" w:color="auto" w:fill="auto"/>
            <w:noWrap/>
            <w:vAlign w:val="bottom"/>
            <w:hideMark/>
          </w:tcPr>
          <w:p w14:paraId="21CCAE61"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 xml:space="preserve">     (69.397.692)</w:t>
            </w:r>
          </w:p>
        </w:tc>
        <w:tc>
          <w:tcPr>
            <w:tcW w:w="633" w:type="pct"/>
            <w:tcBorders>
              <w:top w:val="nil"/>
              <w:left w:val="nil"/>
              <w:bottom w:val="nil"/>
              <w:right w:val="nil"/>
            </w:tcBorders>
            <w:shd w:val="clear" w:color="auto" w:fill="auto"/>
            <w:noWrap/>
            <w:vAlign w:val="bottom"/>
            <w:hideMark/>
          </w:tcPr>
          <w:p w14:paraId="444A7F3A"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 xml:space="preserve">          (204.335.412)</w:t>
            </w:r>
          </w:p>
        </w:tc>
        <w:tc>
          <w:tcPr>
            <w:tcW w:w="633" w:type="pct"/>
            <w:tcBorders>
              <w:top w:val="nil"/>
              <w:left w:val="nil"/>
              <w:bottom w:val="nil"/>
              <w:right w:val="nil"/>
            </w:tcBorders>
            <w:shd w:val="clear" w:color="auto" w:fill="auto"/>
            <w:noWrap/>
            <w:vAlign w:val="bottom"/>
            <w:hideMark/>
          </w:tcPr>
          <w:p w14:paraId="78FFB28D"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 xml:space="preserve">          (517.830.926)</w:t>
            </w:r>
          </w:p>
        </w:tc>
        <w:tc>
          <w:tcPr>
            <w:tcW w:w="679" w:type="pct"/>
            <w:tcBorders>
              <w:top w:val="nil"/>
              <w:left w:val="nil"/>
              <w:bottom w:val="nil"/>
              <w:right w:val="nil"/>
            </w:tcBorders>
            <w:shd w:val="clear" w:color="auto" w:fill="auto"/>
            <w:noWrap/>
            <w:vAlign w:val="bottom"/>
            <w:hideMark/>
          </w:tcPr>
          <w:p w14:paraId="0471CD4D"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 xml:space="preserve">             (573.810.796)</w:t>
            </w:r>
          </w:p>
        </w:tc>
        <w:tc>
          <w:tcPr>
            <w:tcW w:w="300" w:type="pct"/>
            <w:tcBorders>
              <w:top w:val="nil"/>
              <w:left w:val="nil"/>
              <w:bottom w:val="nil"/>
              <w:right w:val="nil"/>
            </w:tcBorders>
            <w:shd w:val="clear" w:color="auto" w:fill="auto"/>
            <w:noWrap/>
            <w:vAlign w:val="bottom"/>
            <w:hideMark/>
          </w:tcPr>
          <w:p w14:paraId="1CDDC30A" w14:textId="77777777" w:rsidR="00EE5736" w:rsidRPr="00EE5736" w:rsidRDefault="00EE5736" w:rsidP="0029203E">
            <w:pPr>
              <w:jc w:val="center"/>
              <w:rPr>
                <w:rFonts w:asciiTheme="majorHAnsi" w:hAnsiTheme="majorHAnsi" w:cs="Arial"/>
                <w:b/>
                <w:bCs/>
                <w:sz w:val="16"/>
                <w:szCs w:val="16"/>
              </w:rPr>
            </w:pPr>
          </w:p>
        </w:tc>
      </w:tr>
      <w:tr w:rsidR="00EE5736" w:rsidRPr="00EE5736" w14:paraId="78E0766F" w14:textId="77777777" w:rsidTr="00EE5736">
        <w:trPr>
          <w:trHeight w:val="227"/>
        </w:trPr>
        <w:tc>
          <w:tcPr>
            <w:tcW w:w="2255" w:type="pct"/>
            <w:tcBorders>
              <w:top w:val="nil"/>
              <w:left w:val="nil"/>
              <w:bottom w:val="nil"/>
              <w:right w:val="nil"/>
            </w:tcBorders>
            <w:shd w:val="clear" w:color="auto" w:fill="auto"/>
            <w:noWrap/>
            <w:vAlign w:val="bottom"/>
            <w:hideMark/>
          </w:tcPr>
          <w:p w14:paraId="6C9E31CC" w14:textId="77777777" w:rsidR="00EE5736" w:rsidRPr="00EE5736" w:rsidRDefault="00EE5736">
            <w:pPr>
              <w:jc w:val="right"/>
              <w:rPr>
                <w:rFonts w:asciiTheme="majorHAnsi" w:hAnsiTheme="majorHAnsi"/>
                <w:sz w:val="16"/>
                <w:szCs w:val="16"/>
              </w:rPr>
            </w:pPr>
          </w:p>
        </w:tc>
        <w:tc>
          <w:tcPr>
            <w:tcW w:w="500" w:type="pct"/>
            <w:tcBorders>
              <w:top w:val="nil"/>
              <w:left w:val="nil"/>
              <w:bottom w:val="nil"/>
              <w:right w:val="nil"/>
            </w:tcBorders>
            <w:shd w:val="clear" w:color="auto" w:fill="auto"/>
            <w:noWrap/>
            <w:vAlign w:val="bottom"/>
            <w:hideMark/>
          </w:tcPr>
          <w:p w14:paraId="0BE945EB" w14:textId="77777777" w:rsidR="00EE5736" w:rsidRPr="00EE5736" w:rsidRDefault="00EE5736">
            <w:pPr>
              <w:rPr>
                <w:rFonts w:asciiTheme="majorHAnsi" w:hAnsiTheme="majorHAnsi"/>
                <w:sz w:val="16"/>
                <w:szCs w:val="16"/>
              </w:rPr>
            </w:pPr>
          </w:p>
        </w:tc>
        <w:tc>
          <w:tcPr>
            <w:tcW w:w="633" w:type="pct"/>
            <w:tcBorders>
              <w:top w:val="nil"/>
              <w:left w:val="nil"/>
              <w:bottom w:val="nil"/>
              <w:right w:val="nil"/>
            </w:tcBorders>
            <w:shd w:val="clear" w:color="auto" w:fill="auto"/>
            <w:noWrap/>
            <w:vAlign w:val="bottom"/>
            <w:hideMark/>
          </w:tcPr>
          <w:p w14:paraId="0F2BF4A8" w14:textId="77777777" w:rsidR="00EE5736" w:rsidRPr="00EE5736" w:rsidRDefault="00EE5736">
            <w:pPr>
              <w:rPr>
                <w:rFonts w:asciiTheme="majorHAnsi" w:hAnsiTheme="majorHAnsi"/>
                <w:sz w:val="16"/>
                <w:szCs w:val="16"/>
              </w:rPr>
            </w:pPr>
          </w:p>
        </w:tc>
        <w:tc>
          <w:tcPr>
            <w:tcW w:w="633" w:type="pct"/>
            <w:tcBorders>
              <w:top w:val="nil"/>
              <w:left w:val="nil"/>
              <w:bottom w:val="nil"/>
              <w:right w:val="nil"/>
            </w:tcBorders>
            <w:shd w:val="clear" w:color="auto" w:fill="auto"/>
            <w:noWrap/>
            <w:vAlign w:val="bottom"/>
            <w:hideMark/>
          </w:tcPr>
          <w:p w14:paraId="245591EC" w14:textId="77777777" w:rsidR="00EE5736" w:rsidRPr="00EE5736" w:rsidRDefault="00EE5736">
            <w:pPr>
              <w:jc w:val="right"/>
              <w:rPr>
                <w:rFonts w:asciiTheme="majorHAnsi" w:hAnsiTheme="majorHAnsi"/>
                <w:sz w:val="16"/>
                <w:szCs w:val="16"/>
              </w:rPr>
            </w:pPr>
          </w:p>
        </w:tc>
        <w:tc>
          <w:tcPr>
            <w:tcW w:w="679" w:type="pct"/>
            <w:tcBorders>
              <w:top w:val="nil"/>
              <w:left w:val="nil"/>
              <w:bottom w:val="nil"/>
              <w:right w:val="nil"/>
            </w:tcBorders>
            <w:shd w:val="clear" w:color="auto" w:fill="auto"/>
            <w:noWrap/>
            <w:vAlign w:val="bottom"/>
            <w:hideMark/>
          </w:tcPr>
          <w:p w14:paraId="01CBC9C1" w14:textId="77777777" w:rsidR="00EE5736" w:rsidRPr="00EE5736" w:rsidRDefault="00EE5736">
            <w:pPr>
              <w:jc w:val="right"/>
              <w:rPr>
                <w:rFonts w:asciiTheme="majorHAnsi" w:hAnsiTheme="majorHAnsi"/>
                <w:sz w:val="16"/>
                <w:szCs w:val="16"/>
              </w:rPr>
            </w:pPr>
          </w:p>
        </w:tc>
        <w:tc>
          <w:tcPr>
            <w:tcW w:w="300" w:type="pct"/>
            <w:tcBorders>
              <w:top w:val="nil"/>
              <w:left w:val="nil"/>
              <w:bottom w:val="nil"/>
              <w:right w:val="nil"/>
            </w:tcBorders>
            <w:shd w:val="clear" w:color="auto" w:fill="auto"/>
            <w:noWrap/>
            <w:vAlign w:val="bottom"/>
            <w:hideMark/>
          </w:tcPr>
          <w:p w14:paraId="02079B60" w14:textId="77777777" w:rsidR="00EE5736" w:rsidRPr="00EE5736" w:rsidRDefault="00EE5736" w:rsidP="0029203E">
            <w:pPr>
              <w:jc w:val="center"/>
              <w:rPr>
                <w:rFonts w:asciiTheme="majorHAnsi" w:hAnsiTheme="majorHAnsi"/>
                <w:sz w:val="16"/>
                <w:szCs w:val="16"/>
              </w:rPr>
            </w:pPr>
          </w:p>
        </w:tc>
      </w:tr>
      <w:tr w:rsidR="00EE5736" w:rsidRPr="00EE5736" w14:paraId="700A7C75" w14:textId="77777777" w:rsidTr="00EE5736">
        <w:trPr>
          <w:trHeight w:val="227"/>
        </w:trPr>
        <w:tc>
          <w:tcPr>
            <w:tcW w:w="2255" w:type="pct"/>
            <w:tcBorders>
              <w:top w:val="nil"/>
              <w:left w:val="nil"/>
              <w:bottom w:val="nil"/>
              <w:right w:val="nil"/>
            </w:tcBorders>
            <w:shd w:val="clear" w:color="auto" w:fill="auto"/>
            <w:noWrap/>
            <w:vAlign w:val="center"/>
            <w:hideMark/>
          </w:tcPr>
          <w:p w14:paraId="562C78E1" w14:textId="77777777" w:rsidR="00EE5736" w:rsidRPr="00EE5736" w:rsidRDefault="00EE5736">
            <w:pPr>
              <w:rPr>
                <w:rFonts w:asciiTheme="majorHAnsi" w:hAnsiTheme="majorHAnsi" w:cs="Arial"/>
                <w:b/>
                <w:bCs/>
                <w:sz w:val="16"/>
                <w:szCs w:val="16"/>
              </w:rPr>
            </w:pPr>
            <w:r w:rsidRPr="00EE5736">
              <w:rPr>
                <w:rFonts w:asciiTheme="majorHAnsi" w:hAnsiTheme="majorHAnsi" w:cs="Arial"/>
                <w:b/>
                <w:bCs/>
                <w:sz w:val="16"/>
                <w:szCs w:val="16"/>
              </w:rPr>
              <w:t>SUBVENÇÕES DO TESOURO NACIONAL</w:t>
            </w:r>
          </w:p>
        </w:tc>
        <w:tc>
          <w:tcPr>
            <w:tcW w:w="500" w:type="pct"/>
            <w:tcBorders>
              <w:top w:val="nil"/>
              <w:left w:val="nil"/>
              <w:bottom w:val="nil"/>
              <w:right w:val="nil"/>
            </w:tcBorders>
            <w:shd w:val="clear" w:color="auto" w:fill="auto"/>
            <w:noWrap/>
            <w:vAlign w:val="bottom"/>
            <w:hideMark/>
          </w:tcPr>
          <w:p w14:paraId="03262BFB"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 xml:space="preserve">       26.559.965 </w:t>
            </w:r>
          </w:p>
        </w:tc>
        <w:tc>
          <w:tcPr>
            <w:tcW w:w="633" w:type="pct"/>
            <w:tcBorders>
              <w:top w:val="nil"/>
              <w:left w:val="nil"/>
              <w:bottom w:val="nil"/>
              <w:right w:val="nil"/>
            </w:tcBorders>
            <w:shd w:val="clear" w:color="auto" w:fill="auto"/>
            <w:noWrap/>
            <w:vAlign w:val="bottom"/>
            <w:hideMark/>
          </w:tcPr>
          <w:p w14:paraId="6A71E04C"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 xml:space="preserve">             102.401.154 </w:t>
            </w:r>
          </w:p>
        </w:tc>
        <w:tc>
          <w:tcPr>
            <w:tcW w:w="633" w:type="pct"/>
            <w:tcBorders>
              <w:top w:val="nil"/>
              <w:left w:val="nil"/>
              <w:bottom w:val="nil"/>
              <w:right w:val="nil"/>
            </w:tcBorders>
            <w:shd w:val="clear" w:color="auto" w:fill="auto"/>
            <w:noWrap/>
            <w:vAlign w:val="bottom"/>
            <w:hideMark/>
          </w:tcPr>
          <w:p w14:paraId="2DB6B295"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 xml:space="preserve">               35.159.207 </w:t>
            </w:r>
          </w:p>
        </w:tc>
        <w:tc>
          <w:tcPr>
            <w:tcW w:w="679" w:type="pct"/>
            <w:tcBorders>
              <w:top w:val="nil"/>
              <w:left w:val="nil"/>
              <w:bottom w:val="nil"/>
              <w:right w:val="nil"/>
            </w:tcBorders>
            <w:shd w:val="clear" w:color="auto" w:fill="auto"/>
            <w:noWrap/>
            <w:vAlign w:val="bottom"/>
            <w:hideMark/>
          </w:tcPr>
          <w:p w14:paraId="54EDC8FB"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 xml:space="preserve">                 99.652.603 </w:t>
            </w:r>
          </w:p>
        </w:tc>
        <w:tc>
          <w:tcPr>
            <w:tcW w:w="300" w:type="pct"/>
            <w:tcBorders>
              <w:top w:val="nil"/>
              <w:left w:val="nil"/>
              <w:bottom w:val="nil"/>
              <w:right w:val="nil"/>
            </w:tcBorders>
            <w:shd w:val="clear" w:color="auto" w:fill="auto"/>
            <w:noWrap/>
            <w:vAlign w:val="bottom"/>
            <w:hideMark/>
          </w:tcPr>
          <w:p w14:paraId="414430A2" w14:textId="77777777" w:rsidR="00EE5736" w:rsidRPr="00EE5736" w:rsidRDefault="00EE5736" w:rsidP="0029203E">
            <w:pPr>
              <w:jc w:val="center"/>
              <w:rPr>
                <w:rFonts w:asciiTheme="majorHAnsi" w:hAnsiTheme="majorHAnsi" w:cs="Arial"/>
                <w:b/>
                <w:bCs/>
                <w:sz w:val="16"/>
                <w:szCs w:val="16"/>
              </w:rPr>
            </w:pPr>
          </w:p>
        </w:tc>
      </w:tr>
      <w:tr w:rsidR="00EE5736" w:rsidRPr="00EE5736" w14:paraId="546C49B0" w14:textId="77777777" w:rsidTr="00EE5736">
        <w:trPr>
          <w:trHeight w:val="227"/>
        </w:trPr>
        <w:tc>
          <w:tcPr>
            <w:tcW w:w="2255" w:type="pct"/>
            <w:tcBorders>
              <w:top w:val="nil"/>
              <w:left w:val="nil"/>
              <w:bottom w:val="nil"/>
              <w:right w:val="nil"/>
            </w:tcBorders>
            <w:shd w:val="clear" w:color="auto" w:fill="auto"/>
            <w:noWrap/>
            <w:vAlign w:val="bottom"/>
            <w:hideMark/>
          </w:tcPr>
          <w:p w14:paraId="5D558AE4"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Repasse de Custeio/Pessoal</w:t>
            </w:r>
          </w:p>
        </w:tc>
        <w:tc>
          <w:tcPr>
            <w:tcW w:w="500" w:type="pct"/>
            <w:tcBorders>
              <w:top w:val="nil"/>
              <w:left w:val="nil"/>
              <w:bottom w:val="nil"/>
              <w:right w:val="nil"/>
            </w:tcBorders>
            <w:shd w:val="clear" w:color="auto" w:fill="auto"/>
            <w:noWrap/>
            <w:vAlign w:val="bottom"/>
            <w:hideMark/>
          </w:tcPr>
          <w:p w14:paraId="35BE265E"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26.559.965 </w:t>
            </w:r>
          </w:p>
        </w:tc>
        <w:tc>
          <w:tcPr>
            <w:tcW w:w="633" w:type="pct"/>
            <w:tcBorders>
              <w:top w:val="nil"/>
              <w:left w:val="nil"/>
              <w:bottom w:val="nil"/>
              <w:right w:val="nil"/>
            </w:tcBorders>
            <w:shd w:val="clear" w:color="auto" w:fill="auto"/>
            <w:vAlign w:val="bottom"/>
            <w:hideMark/>
          </w:tcPr>
          <w:p w14:paraId="5AD2C04F"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102.401.154 </w:t>
            </w:r>
          </w:p>
        </w:tc>
        <w:tc>
          <w:tcPr>
            <w:tcW w:w="633" w:type="pct"/>
            <w:tcBorders>
              <w:top w:val="nil"/>
              <w:left w:val="nil"/>
              <w:bottom w:val="nil"/>
              <w:right w:val="nil"/>
            </w:tcBorders>
            <w:shd w:val="clear" w:color="auto" w:fill="auto"/>
            <w:vAlign w:val="bottom"/>
            <w:hideMark/>
          </w:tcPr>
          <w:p w14:paraId="62288092"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35.159.207 </w:t>
            </w:r>
          </w:p>
        </w:tc>
        <w:tc>
          <w:tcPr>
            <w:tcW w:w="679" w:type="pct"/>
            <w:tcBorders>
              <w:top w:val="nil"/>
              <w:left w:val="nil"/>
              <w:bottom w:val="nil"/>
              <w:right w:val="nil"/>
            </w:tcBorders>
            <w:shd w:val="clear" w:color="auto" w:fill="auto"/>
            <w:vAlign w:val="bottom"/>
            <w:hideMark/>
          </w:tcPr>
          <w:p w14:paraId="46D95421" w14:textId="77777777" w:rsidR="00EE5736" w:rsidRPr="00EE5736" w:rsidRDefault="00EE5736">
            <w:pPr>
              <w:jc w:val="right"/>
              <w:rPr>
                <w:rFonts w:asciiTheme="majorHAnsi" w:hAnsiTheme="majorHAnsi" w:cs="Arial"/>
                <w:sz w:val="16"/>
                <w:szCs w:val="16"/>
              </w:rPr>
            </w:pPr>
            <w:r w:rsidRPr="00EE5736">
              <w:rPr>
                <w:rFonts w:asciiTheme="majorHAnsi" w:hAnsiTheme="majorHAnsi" w:cs="Arial"/>
                <w:sz w:val="16"/>
                <w:szCs w:val="16"/>
              </w:rPr>
              <w:t xml:space="preserve">                 99.652.603 </w:t>
            </w:r>
          </w:p>
        </w:tc>
        <w:tc>
          <w:tcPr>
            <w:tcW w:w="300" w:type="pct"/>
            <w:tcBorders>
              <w:top w:val="nil"/>
              <w:left w:val="nil"/>
              <w:bottom w:val="nil"/>
              <w:right w:val="nil"/>
            </w:tcBorders>
            <w:shd w:val="clear" w:color="auto" w:fill="auto"/>
            <w:noWrap/>
            <w:vAlign w:val="center"/>
            <w:hideMark/>
          </w:tcPr>
          <w:p w14:paraId="1A7D4FD4" w14:textId="0AC3BE33" w:rsidR="00EE5736" w:rsidRPr="00EE5736" w:rsidRDefault="00EE5736" w:rsidP="0029203E">
            <w:pPr>
              <w:jc w:val="center"/>
              <w:rPr>
                <w:rFonts w:asciiTheme="majorHAnsi" w:hAnsiTheme="majorHAnsi" w:cs="Arial"/>
                <w:sz w:val="16"/>
                <w:szCs w:val="16"/>
              </w:rPr>
            </w:pPr>
            <w:r w:rsidRPr="00EE5736">
              <w:rPr>
                <w:rFonts w:asciiTheme="majorHAnsi" w:hAnsiTheme="majorHAnsi" w:cs="Arial"/>
                <w:sz w:val="16"/>
                <w:szCs w:val="16"/>
              </w:rPr>
              <w:t>(19)</w:t>
            </w:r>
          </w:p>
        </w:tc>
      </w:tr>
      <w:tr w:rsidR="00EE5736" w:rsidRPr="00EE5736" w14:paraId="307BA0A2" w14:textId="77777777" w:rsidTr="00EE5736">
        <w:trPr>
          <w:trHeight w:val="227"/>
        </w:trPr>
        <w:tc>
          <w:tcPr>
            <w:tcW w:w="2255" w:type="pct"/>
            <w:tcBorders>
              <w:top w:val="nil"/>
              <w:left w:val="nil"/>
              <w:bottom w:val="nil"/>
              <w:right w:val="nil"/>
            </w:tcBorders>
            <w:shd w:val="clear" w:color="auto" w:fill="auto"/>
            <w:noWrap/>
            <w:vAlign w:val="bottom"/>
            <w:hideMark/>
          </w:tcPr>
          <w:p w14:paraId="5953BE53" w14:textId="77777777" w:rsidR="00EE5736" w:rsidRPr="00EE5736" w:rsidRDefault="00EE5736">
            <w:pPr>
              <w:jc w:val="right"/>
              <w:rPr>
                <w:rFonts w:asciiTheme="majorHAnsi" w:hAnsiTheme="majorHAnsi" w:cs="Arial"/>
                <w:sz w:val="16"/>
                <w:szCs w:val="16"/>
              </w:rPr>
            </w:pPr>
          </w:p>
        </w:tc>
        <w:tc>
          <w:tcPr>
            <w:tcW w:w="500" w:type="pct"/>
            <w:tcBorders>
              <w:top w:val="nil"/>
              <w:left w:val="nil"/>
              <w:bottom w:val="nil"/>
              <w:right w:val="nil"/>
            </w:tcBorders>
            <w:shd w:val="clear" w:color="auto" w:fill="auto"/>
            <w:noWrap/>
            <w:vAlign w:val="bottom"/>
            <w:hideMark/>
          </w:tcPr>
          <w:p w14:paraId="7CB96ABD" w14:textId="77777777" w:rsidR="00EE5736" w:rsidRPr="00EE5736" w:rsidRDefault="00EE5736">
            <w:pPr>
              <w:rPr>
                <w:rFonts w:asciiTheme="majorHAnsi" w:hAnsiTheme="majorHAnsi"/>
                <w:sz w:val="16"/>
                <w:szCs w:val="16"/>
              </w:rPr>
            </w:pPr>
          </w:p>
        </w:tc>
        <w:tc>
          <w:tcPr>
            <w:tcW w:w="633" w:type="pct"/>
            <w:tcBorders>
              <w:top w:val="nil"/>
              <w:left w:val="nil"/>
              <w:bottom w:val="nil"/>
              <w:right w:val="nil"/>
            </w:tcBorders>
            <w:shd w:val="clear" w:color="auto" w:fill="auto"/>
            <w:noWrap/>
            <w:vAlign w:val="bottom"/>
            <w:hideMark/>
          </w:tcPr>
          <w:p w14:paraId="7040C6C6" w14:textId="77777777" w:rsidR="00EE5736" w:rsidRPr="00EE5736" w:rsidRDefault="00EE5736">
            <w:pPr>
              <w:rPr>
                <w:rFonts w:asciiTheme="majorHAnsi" w:hAnsiTheme="majorHAnsi"/>
                <w:sz w:val="16"/>
                <w:szCs w:val="16"/>
              </w:rPr>
            </w:pPr>
          </w:p>
        </w:tc>
        <w:tc>
          <w:tcPr>
            <w:tcW w:w="633" w:type="pct"/>
            <w:tcBorders>
              <w:top w:val="nil"/>
              <w:left w:val="nil"/>
              <w:bottom w:val="nil"/>
              <w:right w:val="nil"/>
            </w:tcBorders>
            <w:shd w:val="clear" w:color="auto" w:fill="auto"/>
            <w:noWrap/>
            <w:vAlign w:val="bottom"/>
            <w:hideMark/>
          </w:tcPr>
          <w:p w14:paraId="00168C59" w14:textId="77777777" w:rsidR="00EE5736" w:rsidRPr="00EE5736" w:rsidRDefault="00EE5736">
            <w:pPr>
              <w:rPr>
                <w:rFonts w:asciiTheme="majorHAnsi" w:hAnsiTheme="majorHAnsi"/>
                <w:sz w:val="16"/>
                <w:szCs w:val="16"/>
              </w:rPr>
            </w:pPr>
          </w:p>
        </w:tc>
        <w:tc>
          <w:tcPr>
            <w:tcW w:w="679" w:type="pct"/>
            <w:tcBorders>
              <w:top w:val="nil"/>
              <w:left w:val="nil"/>
              <w:bottom w:val="nil"/>
              <w:right w:val="nil"/>
            </w:tcBorders>
            <w:shd w:val="clear" w:color="auto" w:fill="auto"/>
            <w:noWrap/>
            <w:vAlign w:val="bottom"/>
            <w:hideMark/>
          </w:tcPr>
          <w:p w14:paraId="7C12F3E4" w14:textId="77777777" w:rsidR="00EE5736" w:rsidRPr="00EE5736" w:rsidRDefault="00EE5736">
            <w:pPr>
              <w:rPr>
                <w:rFonts w:asciiTheme="majorHAnsi" w:hAnsiTheme="majorHAnsi"/>
                <w:sz w:val="16"/>
                <w:szCs w:val="16"/>
              </w:rPr>
            </w:pPr>
          </w:p>
        </w:tc>
        <w:tc>
          <w:tcPr>
            <w:tcW w:w="300" w:type="pct"/>
            <w:tcBorders>
              <w:top w:val="nil"/>
              <w:left w:val="nil"/>
              <w:bottom w:val="nil"/>
              <w:right w:val="nil"/>
            </w:tcBorders>
            <w:shd w:val="clear" w:color="auto" w:fill="auto"/>
            <w:noWrap/>
            <w:vAlign w:val="bottom"/>
            <w:hideMark/>
          </w:tcPr>
          <w:p w14:paraId="7E236F8E" w14:textId="77777777" w:rsidR="00EE5736" w:rsidRPr="00EE5736" w:rsidRDefault="00EE5736" w:rsidP="0029203E">
            <w:pPr>
              <w:jc w:val="center"/>
              <w:rPr>
                <w:rFonts w:asciiTheme="majorHAnsi" w:hAnsiTheme="majorHAnsi"/>
                <w:sz w:val="16"/>
                <w:szCs w:val="16"/>
              </w:rPr>
            </w:pPr>
          </w:p>
        </w:tc>
      </w:tr>
      <w:tr w:rsidR="00EE5736" w:rsidRPr="00EE5736" w14:paraId="11B3A623" w14:textId="77777777" w:rsidTr="00EE5736">
        <w:trPr>
          <w:trHeight w:val="227"/>
        </w:trPr>
        <w:tc>
          <w:tcPr>
            <w:tcW w:w="2255" w:type="pct"/>
            <w:tcBorders>
              <w:top w:val="nil"/>
              <w:left w:val="nil"/>
              <w:bottom w:val="nil"/>
              <w:right w:val="nil"/>
            </w:tcBorders>
            <w:shd w:val="clear" w:color="auto" w:fill="auto"/>
            <w:noWrap/>
            <w:vAlign w:val="bottom"/>
            <w:hideMark/>
          </w:tcPr>
          <w:p w14:paraId="11CE3F0C" w14:textId="77777777" w:rsidR="00EE5736" w:rsidRPr="00EE5736" w:rsidRDefault="00EE5736">
            <w:pPr>
              <w:rPr>
                <w:rFonts w:asciiTheme="majorHAnsi" w:hAnsiTheme="majorHAnsi" w:cs="Arial"/>
                <w:b/>
                <w:bCs/>
                <w:sz w:val="16"/>
                <w:szCs w:val="16"/>
              </w:rPr>
            </w:pPr>
            <w:r w:rsidRPr="00EE5736">
              <w:rPr>
                <w:rFonts w:asciiTheme="majorHAnsi" w:hAnsiTheme="majorHAnsi" w:cs="Arial"/>
                <w:b/>
                <w:bCs/>
                <w:sz w:val="16"/>
                <w:szCs w:val="16"/>
              </w:rPr>
              <w:t>RESULTADO ANTES DOS TRIBUTOS S/LUCRO (IR/CSLL)</w:t>
            </w:r>
          </w:p>
        </w:tc>
        <w:tc>
          <w:tcPr>
            <w:tcW w:w="500" w:type="pct"/>
            <w:tcBorders>
              <w:top w:val="nil"/>
              <w:left w:val="nil"/>
              <w:bottom w:val="nil"/>
              <w:right w:val="nil"/>
            </w:tcBorders>
            <w:shd w:val="clear" w:color="auto" w:fill="auto"/>
            <w:noWrap/>
            <w:vAlign w:val="bottom"/>
            <w:hideMark/>
          </w:tcPr>
          <w:p w14:paraId="30555AD2"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 xml:space="preserve">     (42.837.727)</w:t>
            </w:r>
          </w:p>
        </w:tc>
        <w:tc>
          <w:tcPr>
            <w:tcW w:w="633" w:type="pct"/>
            <w:tcBorders>
              <w:top w:val="nil"/>
              <w:left w:val="nil"/>
              <w:bottom w:val="nil"/>
              <w:right w:val="nil"/>
            </w:tcBorders>
            <w:shd w:val="clear" w:color="auto" w:fill="auto"/>
            <w:noWrap/>
            <w:vAlign w:val="bottom"/>
            <w:hideMark/>
          </w:tcPr>
          <w:p w14:paraId="5589EB40"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 xml:space="preserve">          (101.934.258)</w:t>
            </w:r>
          </w:p>
        </w:tc>
        <w:tc>
          <w:tcPr>
            <w:tcW w:w="633" w:type="pct"/>
            <w:tcBorders>
              <w:top w:val="nil"/>
              <w:left w:val="nil"/>
              <w:bottom w:val="nil"/>
              <w:right w:val="nil"/>
            </w:tcBorders>
            <w:shd w:val="clear" w:color="auto" w:fill="auto"/>
            <w:noWrap/>
            <w:vAlign w:val="bottom"/>
            <w:hideMark/>
          </w:tcPr>
          <w:p w14:paraId="2712E299"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 xml:space="preserve">          (482.671.718)</w:t>
            </w:r>
          </w:p>
        </w:tc>
        <w:tc>
          <w:tcPr>
            <w:tcW w:w="679" w:type="pct"/>
            <w:tcBorders>
              <w:top w:val="nil"/>
              <w:left w:val="nil"/>
              <w:bottom w:val="nil"/>
              <w:right w:val="nil"/>
            </w:tcBorders>
            <w:shd w:val="clear" w:color="auto" w:fill="auto"/>
            <w:noWrap/>
            <w:vAlign w:val="bottom"/>
            <w:hideMark/>
          </w:tcPr>
          <w:p w14:paraId="1A8BD416"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 xml:space="preserve">             (474.158.193)</w:t>
            </w:r>
          </w:p>
        </w:tc>
        <w:tc>
          <w:tcPr>
            <w:tcW w:w="300" w:type="pct"/>
            <w:tcBorders>
              <w:top w:val="nil"/>
              <w:left w:val="nil"/>
              <w:bottom w:val="nil"/>
              <w:right w:val="nil"/>
            </w:tcBorders>
            <w:shd w:val="clear" w:color="auto" w:fill="auto"/>
            <w:noWrap/>
            <w:vAlign w:val="bottom"/>
            <w:hideMark/>
          </w:tcPr>
          <w:p w14:paraId="015414EE" w14:textId="77777777" w:rsidR="00EE5736" w:rsidRPr="00EE5736" w:rsidRDefault="00EE5736" w:rsidP="0029203E">
            <w:pPr>
              <w:jc w:val="center"/>
              <w:rPr>
                <w:rFonts w:asciiTheme="majorHAnsi" w:hAnsiTheme="majorHAnsi" w:cs="Arial"/>
                <w:b/>
                <w:bCs/>
                <w:sz w:val="16"/>
                <w:szCs w:val="16"/>
              </w:rPr>
            </w:pPr>
          </w:p>
        </w:tc>
      </w:tr>
      <w:tr w:rsidR="00EE5736" w:rsidRPr="00EE5736" w14:paraId="295109EB" w14:textId="77777777" w:rsidTr="00EE5736">
        <w:trPr>
          <w:trHeight w:val="227"/>
        </w:trPr>
        <w:tc>
          <w:tcPr>
            <w:tcW w:w="2255" w:type="pct"/>
            <w:tcBorders>
              <w:top w:val="nil"/>
              <w:left w:val="nil"/>
              <w:bottom w:val="nil"/>
              <w:right w:val="nil"/>
            </w:tcBorders>
            <w:shd w:val="clear" w:color="auto" w:fill="auto"/>
            <w:noWrap/>
            <w:vAlign w:val="bottom"/>
            <w:hideMark/>
          </w:tcPr>
          <w:p w14:paraId="33F93E9F" w14:textId="77777777" w:rsidR="00EE5736" w:rsidRPr="00EE5736" w:rsidRDefault="00EE5736">
            <w:pPr>
              <w:jc w:val="right"/>
              <w:rPr>
                <w:rFonts w:asciiTheme="majorHAnsi" w:hAnsiTheme="majorHAnsi"/>
                <w:sz w:val="16"/>
                <w:szCs w:val="16"/>
              </w:rPr>
            </w:pPr>
          </w:p>
        </w:tc>
        <w:tc>
          <w:tcPr>
            <w:tcW w:w="500" w:type="pct"/>
            <w:tcBorders>
              <w:top w:val="nil"/>
              <w:left w:val="nil"/>
              <w:bottom w:val="nil"/>
              <w:right w:val="nil"/>
            </w:tcBorders>
            <w:shd w:val="clear" w:color="auto" w:fill="auto"/>
            <w:noWrap/>
            <w:vAlign w:val="bottom"/>
            <w:hideMark/>
          </w:tcPr>
          <w:p w14:paraId="7BE417B0" w14:textId="77777777" w:rsidR="00EE5736" w:rsidRPr="00EE5736" w:rsidRDefault="00EE5736">
            <w:pPr>
              <w:rPr>
                <w:rFonts w:asciiTheme="majorHAnsi" w:hAnsiTheme="majorHAnsi"/>
                <w:sz w:val="16"/>
                <w:szCs w:val="16"/>
              </w:rPr>
            </w:pPr>
          </w:p>
        </w:tc>
        <w:tc>
          <w:tcPr>
            <w:tcW w:w="633" w:type="pct"/>
            <w:tcBorders>
              <w:top w:val="nil"/>
              <w:left w:val="nil"/>
              <w:bottom w:val="nil"/>
              <w:right w:val="nil"/>
            </w:tcBorders>
            <w:shd w:val="clear" w:color="auto" w:fill="auto"/>
            <w:noWrap/>
            <w:vAlign w:val="bottom"/>
            <w:hideMark/>
          </w:tcPr>
          <w:p w14:paraId="786DACCA" w14:textId="77777777" w:rsidR="00EE5736" w:rsidRPr="00EE5736" w:rsidRDefault="00EE5736">
            <w:pPr>
              <w:rPr>
                <w:rFonts w:asciiTheme="majorHAnsi" w:hAnsiTheme="majorHAnsi"/>
                <w:sz w:val="16"/>
                <w:szCs w:val="16"/>
              </w:rPr>
            </w:pPr>
          </w:p>
        </w:tc>
        <w:tc>
          <w:tcPr>
            <w:tcW w:w="633" w:type="pct"/>
            <w:tcBorders>
              <w:top w:val="nil"/>
              <w:left w:val="nil"/>
              <w:bottom w:val="nil"/>
              <w:right w:val="nil"/>
            </w:tcBorders>
            <w:shd w:val="clear" w:color="auto" w:fill="auto"/>
            <w:noWrap/>
            <w:vAlign w:val="bottom"/>
            <w:hideMark/>
          </w:tcPr>
          <w:p w14:paraId="228AAE8E" w14:textId="77777777" w:rsidR="00EE5736" w:rsidRPr="00EE5736" w:rsidRDefault="00EE5736">
            <w:pPr>
              <w:rPr>
                <w:rFonts w:asciiTheme="majorHAnsi" w:hAnsiTheme="majorHAnsi"/>
                <w:sz w:val="16"/>
                <w:szCs w:val="16"/>
              </w:rPr>
            </w:pPr>
          </w:p>
        </w:tc>
        <w:tc>
          <w:tcPr>
            <w:tcW w:w="679" w:type="pct"/>
            <w:tcBorders>
              <w:top w:val="nil"/>
              <w:left w:val="nil"/>
              <w:bottom w:val="nil"/>
              <w:right w:val="nil"/>
            </w:tcBorders>
            <w:shd w:val="clear" w:color="auto" w:fill="auto"/>
            <w:noWrap/>
            <w:vAlign w:val="bottom"/>
            <w:hideMark/>
          </w:tcPr>
          <w:p w14:paraId="3D574A17" w14:textId="77777777" w:rsidR="00EE5736" w:rsidRPr="00EE5736" w:rsidRDefault="00EE5736">
            <w:pPr>
              <w:rPr>
                <w:rFonts w:asciiTheme="majorHAnsi" w:hAnsiTheme="majorHAnsi"/>
                <w:sz w:val="16"/>
                <w:szCs w:val="16"/>
              </w:rPr>
            </w:pPr>
          </w:p>
        </w:tc>
        <w:tc>
          <w:tcPr>
            <w:tcW w:w="300" w:type="pct"/>
            <w:tcBorders>
              <w:top w:val="nil"/>
              <w:left w:val="nil"/>
              <w:bottom w:val="nil"/>
              <w:right w:val="nil"/>
            </w:tcBorders>
            <w:shd w:val="clear" w:color="auto" w:fill="auto"/>
            <w:noWrap/>
            <w:vAlign w:val="bottom"/>
            <w:hideMark/>
          </w:tcPr>
          <w:p w14:paraId="58C2194A" w14:textId="77777777" w:rsidR="00EE5736" w:rsidRPr="00EE5736" w:rsidRDefault="00EE5736" w:rsidP="0029203E">
            <w:pPr>
              <w:jc w:val="center"/>
              <w:rPr>
                <w:rFonts w:asciiTheme="majorHAnsi" w:hAnsiTheme="majorHAnsi"/>
                <w:sz w:val="16"/>
                <w:szCs w:val="16"/>
              </w:rPr>
            </w:pPr>
          </w:p>
        </w:tc>
      </w:tr>
      <w:tr w:rsidR="00EE5736" w:rsidRPr="00EE5736" w14:paraId="27479047" w14:textId="77777777" w:rsidTr="00EE5736">
        <w:trPr>
          <w:trHeight w:val="227"/>
        </w:trPr>
        <w:tc>
          <w:tcPr>
            <w:tcW w:w="2255" w:type="pct"/>
            <w:tcBorders>
              <w:top w:val="nil"/>
              <w:left w:val="nil"/>
              <w:bottom w:val="nil"/>
              <w:right w:val="nil"/>
            </w:tcBorders>
            <w:shd w:val="clear" w:color="auto" w:fill="auto"/>
            <w:noWrap/>
            <w:vAlign w:val="bottom"/>
            <w:hideMark/>
          </w:tcPr>
          <w:p w14:paraId="24F654A3" w14:textId="77777777" w:rsidR="00EE5736" w:rsidRPr="00EE5736" w:rsidRDefault="00EE5736">
            <w:pPr>
              <w:rPr>
                <w:rFonts w:asciiTheme="majorHAnsi" w:hAnsiTheme="majorHAnsi" w:cs="Arial"/>
                <w:b/>
                <w:bCs/>
                <w:sz w:val="16"/>
                <w:szCs w:val="16"/>
              </w:rPr>
            </w:pPr>
            <w:r w:rsidRPr="00EE5736">
              <w:rPr>
                <w:rFonts w:asciiTheme="majorHAnsi" w:hAnsiTheme="majorHAnsi" w:cs="Arial"/>
                <w:b/>
                <w:bCs/>
                <w:sz w:val="16"/>
                <w:szCs w:val="16"/>
              </w:rPr>
              <w:t>RESULTADO LÍQUIDO DO EXERCÍCIO</w:t>
            </w:r>
          </w:p>
        </w:tc>
        <w:tc>
          <w:tcPr>
            <w:tcW w:w="500" w:type="pct"/>
            <w:tcBorders>
              <w:top w:val="nil"/>
              <w:left w:val="nil"/>
              <w:bottom w:val="nil"/>
              <w:right w:val="nil"/>
            </w:tcBorders>
            <w:shd w:val="clear" w:color="auto" w:fill="auto"/>
            <w:noWrap/>
            <w:vAlign w:val="bottom"/>
            <w:hideMark/>
          </w:tcPr>
          <w:p w14:paraId="1919CA02"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 xml:space="preserve">     (42.837.727)</w:t>
            </w:r>
          </w:p>
        </w:tc>
        <w:tc>
          <w:tcPr>
            <w:tcW w:w="633" w:type="pct"/>
            <w:tcBorders>
              <w:top w:val="nil"/>
              <w:left w:val="nil"/>
              <w:bottom w:val="nil"/>
              <w:right w:val="nil"/>
            </w:tcBorders>
            <w:shd w:val="clear" w:color="auto" w:fill="auto"/>
            <w:noWrap/>
            <w:vAlign w:val="bottom"/>
            <w:hideMark/>
          </w:tcPr>
          <w:p w14:paraId="0D676B92"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 xml:space="preserve">          (101.934.258)</w:t>
            </w:r>
          </w:p>
        </w:tc>
        <w:tc>
          <w:tcPr>
            <w:tcW w:w="633" w:type="pct"/>
            <w:tcBorders>
              <w:top w:val="nil"/>
              <w:left w:val="nil"/>
              <w:bottom w:val="nil"/>
              <w:right w:val="nil"/>
            </w:tcBorders>
            <w:shd w:val="clear" w:color="auto" w:fill="auto"/>
            <w:noWrap/>
            <w:vAlign w:val="bottom"/>
            <w:hideMark/>
          </w:tcPr>
          <w:p w14:paraId="53968665"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 xml:space="preserve">          (482.671.718)</w:t>
            </w:r>
          </w:p>
        </w:tc>
        <w:tc>
          <w:tcPr>
            <w:tcW w:w="679" w:type="pct"/>
            <w:tcBorders>
              <w:top w:val="nil"/>
              <w:left w:val="nil"/>
              <w:bottom w:val="nil"/>
              <w:right w:val="nil"/>
            </w:tcBorders>
            <w:shd w:val="clear" w:color="auto" w:fill="auto"/>
            <w:noWrap/>
            <w:vAlign w:val="bottom"/>
            <w:hideMark/>
          </w:tcPr>
          <w:p w14:paraId="50AEC009"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 xml:space="preserve">             (474.158.193)</w:t>
            </w:r>
          </w:p>
        </w:tc>
        <w:tc>
          <w:tcPr>
            <w:tcW w:w="300" w:type="pct"/>
            <w:tcBorders>
              <w:top w:val="nil"/>
              <w:left w:val="nil"/>
              <w:bottom w:val="nil"/>
              <w:right w:val="nil"/>
            </w:tcBorders>
            <w:shd w:val="clear" w:color="auto" w:fill="auto"/>
            <w:noWrap/>
            <w:vAlign w:val="bottom"/>
            <w:hideMark/>
          </w:tcPr>
          <w:p w14:paraId="5B09EFF6" w14:textId="77777777" w:rsidR="00EE5736" w:rsidRPr="00EE5736" w:rsidRDefault="00EE5736" w:rsidP="0029203E">
            <w:pPr>
              <w:jc w:val="center"/>
              <w:rPr>
                <w:rFonts w:asciiTheme="majorHAnsi" w:hAnsiTheme="majorHAnsi" w:cs="Arial"/>
                <w:b/>
                <w:bCs/>
                <w:sz w:val="16"/>
                <w:szCs w:val="16"/>
              </w:rPr>
            </w:pPr>
          </w:p>
        </w:tc>
      </w:tr>
      <w:tr w:rsidR="00EE5736" w:rsidRPr="00EE5736" w14:paraId="67BBF7FD" w14:textId="77777777" w:rsidTr="00EE5736">
        <w:trPr>
          <w:trHeight w:val="227"/>
        </w:trPr>
        <w:tc>
          <w:tcPr>
            <w:tcW w:w="2255" w:type="pct"/>
            <w:tcBorders>
              <w:top w:val="nil"/>
              <w:left w:val="nil"/>
              <w:bottom w:val="nil"/>
              <w:right w:val="nil"/>
            </w:tcBorders>
            <w:shd w:val="clear" w:color="auto" w:fill="auto"/>
            <w:noWrap/>
            <w:vAlign w:val="bottom"/>
            <w:hideMark/>
          </w:tcPr>
          <w:p w14:paraId="7F76BA72" w14:textId="77777777" w:rsidR="00EE5736" w:rsidRPr="00EE5736" w:rsidRDefault="00EE5736">
            <w:pPr>
              <w:rPr>
                <w:rFonts w:asciiTheme="majorHAnsi" w:hAnsiTheme="majorHAnsi" w:cs="Arial"/>
                <w:sz w:val="16"/>
                <w:szCs w:val="16"/>
              </w:rPr>
            </w:pPr>
            <w:r w:rsidRPr="00EE5736">
              <w:rPr>
                <w:rFonts w:asciiTheme="majorHAnsi" w:hAnsiTheme="majorHAnsi" w:cs="Arial"/>
                <w:sz w:val="16"/>
                <w:szCs w:val="16"/>
              </w:rPr>
              <w:t xml:space="preserve">         Lucro/Prejuízo por ação (em reais)</w:t>
            </w:r>
          </w:p>
        </w:tc>
        <w:tc>
          <w:tcPr>
            <w:tcW w:w="500" w:type="pct"/>
            <w:tcBorders>
              <w:top w:val="nil"/>
              <w:left w:val="nil"/>
              <w:bottom w:val="nil"/>
              <w:right w:val="nil"/>
            </w:tcBorders>
            <w:shd w:val="clear" w:color="auto" w:fill="auto"/>
            <w:noWrap/>
            <w:vAlign w:val="bottom"/>
            <w:hideMark/>
          </w:tcPr>
          <w:p w14:paraId="08DBB2A2"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 xml:space="preserve">                  (5,30)</w:t>
            </w:r>
          </w:p>
        </w:tc>
        <w:tc>
          <w:tcPr>
            <w:tcW w:w="633" w:type="pct"/>
            <w:tcBorders>
              <w:top w:val="nil"/>
              <w:left w:val="nil"/>
              <w:bottom w:val="nil"/>
              <w:right w:val="nil"/>
            </w:tcBorders>
            <w:shd w:val="clear" w:color="auto" w:fill="auto"/>
            <w:noWrap/>
            <w:vAlign w:val="bottom"/>
            <w:hideMark/>
          </w:tcPr>
          <w:p w14:paraId="6F60B735"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 xml:space="preserve">                       (12,60)</w:t>
            </w:r>
          </w:p>
        </w:tc>
        <w:tc>
          <w:tcPr>
            <w:tcW w:w="633" w:type="pct"/>
            <w:tcBorders>
              <w:top w:val="nil"/>
              <w:left w:val="nil"/>
              <w:bottom w:val="nil"/>
              <w:right w:val="nil"/>
            </w:tcBorders>
            <w:shd w:val="clear" w:color="auto" w:fill="auto"/>
            <w:noWrap/>
            <w:vAlign w:val="bottom"/>
            <w:hideMark/>
          </w:tcPr>
          <w:p w14:paraId="6C615B98"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 xml:space="preserve">                       (59,66)</w:t>
            </w:r>
          </w:p>
        </w:tc>
        <w:tc>
          <w:tcPr>
            <w:tcW w:w="679" w:type="pct"/>
            <w:tcBorders>
              <w:top w:val="nil"/>
              <w:left w:val="nil"/>
              <w:bottom w:val="nil"/>
              <w:right w:val="nil"/>
            </w:tcBorders>
            <w:shd w:val="clear" w:color="auto" w:fill="auto"/>
            <w:noWrap/>
            <w:vAlign w:val="bottom"/>
            <w:hideMark/>
          </w:tcPr>
          <w:p w14:paraId="6E03D36C" w14:textId="77777777" w:rsidR="00EE5736" w:rsidRPr="00EE5736" w:rsidRDefault="00EE5736">
            <w:pPr>
              <w:jc w:val="right"/>
              <w:rPr>
                <w:rFonts w:asciiTheme="majorHAnsi" w:hAnsiTheme="majorHAnsi" w:cs="Arial"/>
                <w:b/>
                <w:bCs/>
                <w:sz w:val="16"/>
                <w:szCs w:val="16"/>
              </w:rPr>
            </w:pPr>
            <w:r w:rsidRPr="00EE5736">
              <w:rPr>
                <w:rFonts w:asciiTheme="majorHAnsi" w:hAnsiTheme="majorHAnsi" w:cs="Arial"/>
                <w:b/>
                <w:bCs/>
                <w:sz w:val="16"/>
                <w:szCs w:val="16"/>
              </w:rPr>
              <w:t xml:space="preserve">                          (58,61)</w:t>
            </w:r>
          </w:p>
        </w:tc>
        <w:tc>
          <w:tcPr>
            <w:tcW w:w="300" w:type="pct"/>
            <w:tcBorders>
              <w:top w:val="nil"/>
              <w:left w:val="nil"/>
              <w:bottom w:val="nil"/>
              <w:right w:val="nil"/>
            </w:tcBorders>
            <w:shd w:val="clear" w:color="auto" w:fill="auto"/>
            <w:noWrap/>
            <w:vAlign w:val="bottom"/>
            <w:hideMark/>
          </w:tcPr>
          <w:p w14:paraId="23D2C428" w14:textId="77777777" w:rsidR="00EE5736" w:rsidRPr="00EE5736" w:rsidRDefault="00EE5736" w:rsidP="0029203E">
            <w:pPr>
              <w:jc w:val="center"/>
              <w:rPr>
                <w:rFonts w:asciiTheme="majorHAnsi" w:hAnsiTheme="majorHAnsi" w:cs="Arial"/>
                <w:b/>
                <w:bCs/>
                <w:sz w:val="16"/>
                <w:szCs w:val="16"/>
              </w:rPr>
            </w:pPr>
          </w:p>
        </w:tc>
      </w:tr>
      <w:tr w:rsidR="00EE5736" w:rsidRPr="00EE5736" w14:paraId="784D3101" w14:textId="77777777" w:rsidTr="00EE5736">
        <w:trPr>
          <w:trHeight w:val="227"/>
        </w:trPr>
        <w:tc>
          <w:tcPr>
            <w:tcW w:w="2255" w:type="pct"/>
            <w:tcBorders>
              <w:top w:val="nil"/>
              <w:left w:val="nil"/>
              <w:bottom w:val="nil"/>
              <w:right w:val="nil"/>
            </w:tcBorders>
            <w:shd w:val="clear" w:color="auto" w:fill="auto"/>
            <w:noWrap/>
            <w:vAlign w:val="bottom"/>
            <w:hideMark/>
          </w:tcPr>
          <w:p w14:paraId="31258D5D" w14:textId="77777777" w:rsidR="00EE5736" w:rsidRPr="00EE5736" w:rsidRDefault="00EE5736">
            <w:pPr>
              <w:jc w:val="right"/>
              <w:rPr>
                <w:rFonts w:asciiTheme="majorHAnsi" w:hAnsiTheme="majorHAnsi"/>
                <w:sz w:val="16"/>
                <w:szCs w:val="16"/>
              </w:rPr>
            </w:pPr>
          </w:p>
        </w:tc>
        <w:tc>
          <w:tcPr>
            <w:tcW w:w="500" w:type="pct"/>
            <w:tcBorders>
              <w:top w:val="nil"/>
              <w:left w:val="nil"/>
              <w:bottom w:val="nil"/>
              <w:right w:val="nil"/>
            </w:tcBorders>
            <w:shd w:val="clear" w:color="auto" w:fill="auto"/>
            <w:noWrap/>
            <w:vAlign w:val="bottom"/>
            <w:hideMark/>
          </w:tcPr>
          <w:p w14:paraId="08ACE435" w14:textId="77777777" w:rsidR="00EE5736" w:rsidRPr="00EE5736" w:rsidRDefault="00EE5736">
            <w:pPr>
              <w:rPr>
                <w:rFonts w:asciiTheme="majorHAnsi" w:hAnsiTheme="majorHAnsi"/>
                <w:sz w:val="16"/>
                <w:szCs w:val="16"/>
              </w:rPr>
            </w:pPr>
          </w:p>
        </w:tc>
        <w:tc>
          <w:tcPr>
            <w:tcW w:w="633" w:type="pct"/>
            <w:tcBorders>
              <w:top w:val="nil"/>
              <w:left w:val="nil"/>
              <w:bottom w:val="nil"/>
              <w:right w:val="nil"/>
            </w:tcBorders>
            <w:shd w:val="clear" w:color="auto" w:fill="auto"/>
            <w:noWrap/>
            <w:vAlign w:val="bottom"/>
            <w:hideMark/>
          </w:tcPr>
          <w:p w14:paraId="6BBB7A4D" w14:textId="77777777" w:rsidR="00EE5736" w:rsidRPr="00EE5736" w:rsidRDefault="00EE5736">
            <w:pPr>
              <w:rPr>
                <w:rFonts w:asciiTheme="majorHAnsi" w:hAnsiTheme="majorHAnsi"/>
                <w:sz w:val="16"/>
                <w:szCs w:val="16"/>
              </w:rPr>
            </w:pPr>
          </w:p>
        </w:tc>
        <w:tc>
          <w:tcPr>
            <w:tcW w:w="633" w:type="pct"/>
            <w:tcBorders>
              <w:top w:val="nil"/>
              <w:left w:val="nil"/>
              <w:bottom w:val="nil"/>
              <w:right w:val="nil"/>
            </w:tcBorders>
            <w:shd w:val="clear" w:color="auto" w:fill="auto"/>
            <w:noWrap/>
            <w:vAlign w:val="bottom"/>
            <w:hideMark/>
          </w:tcPr>
          <w:p w14:paraId="124FCCE5" w14:textId="77777777" w:rsidR="00EE5736" w:rsidRPr="00EE5736" w:rsidRDefault="00EE5736">
            <w:pPr>
              <w:rPr>
                <w:rFonts w:asciiTheme="majorHAnsi" w:hAnsiTheme="majorHAnsi"/>
                <w:sz w:val="16"/>
                <w:szCs w:val="16"/>
              </w:rPr>
            </w:pPr>
          </w:p>
        </w:tc>
        <w:tc>
          <w:tcPr>
            <w:tcW w:w="679" w:type="pct"/>
            <w:tcBorders>
              <w:top w:val="nil"/>
              <w:left w:val="nil"/>
              <w:bottom w:val="nil"/>
              <w:right w:val="nil"/>
            </w:tcBorders>
            <w:shd w:val="clear" w:color="auto" w:fill="auto"/>
            <w:noWrap/>
            <w:vAlign w:val="bottom"/>
            <w:hideMark/>
          </w:tcPr>
          <w:p w14:paraId="1A74167B" w14:textId="77777777" w:rsidR="00EE5736" w:rsidRPr="00EE5736" w:rsidRDefault="00EE5736">
            <w:pPr>
              <w:rPr>
                <w:rFonts w:asciiTheme="majorHAnsi" w:hAnsiTheme="majorHAnsi"/>
                <w:sz w:val="16"/>
                <w:szCs w:val="16"/>
              </w:rPr>
            </w:pPr>
          </w:p>
        </w:tc>
        <w:tc>
          <w:tcPr>
            <w:tcW w:w="300" w:type="pct"/>
            <w:tcBorders>
              <w:top w:val="nil"/>
              <w:left w:val="nil"/>
              <w:bottom w:val="nil"/>
              <w:right w:val="nil"/>
            </w:tcBorders>
            <w:shd w:val="clear" w:color="auto" w:fill="auto"/>
            <w:noWrap/>
            <w:vAlign w:val="bottom"/>
            <w:hideMark/>
          </w:tcPr>
          <w:p w14:paraId="728F2361" w14:textId="77777777" w:rsidR="00EE5736" w:rsidRPr="00EE5736" w:rsidRDefault="00EE5736" w:rsidP="0029203E">
            <w:pPr>
              <w:jc w:val="center"/>
              <w:rPr>
                <w:rFonts w:asciiTheme="majorHAnsi" w:hAnsiTheme="majorHAnsi"/>
                <w:sz w:val="16"/>
                <w:szCs w:val="16"/>
              </w:rPr>
            </w:pPr>
          </w:p>
        </w:tc>
      </w:tr>
      <w:tr w:rsidR="00EE5736" w:rsidRPr="00EE5736" w14:paraId="3D873294" w14:textId="77777777" w:rsidTr="00EE5736">
        <w:trPr>
          <w:trHeight w:val="227"/>
        </w:trPr>
        <w:tc>
          <w:tcPr>
            <w:tcW w:w="2255" w:type="pct"/>
            <w:tcBorders>
              <w:top w:val="nil"/>
              <w:left w:val="nil"/>
              <w:bottom w:val="nil"/>
              <w:right w:val="nil"/>
            </w:tcBorders>
            <w:shd w:val="clear" w:color="auto" w:fill="auto"/>
            <w:noWrap/>
            <w:vAlign w:val="bottom"/>
            <w:hideMark/>
          </w:tcPr>
          <w:p w14:paraId="445DDB70" w14:textId="77777777" w:rsidR="00EE5736" w:rsidRPr="00EE5736" w:rsidRDefault="00EE5736">
            <w:pPr>
              <w:jc w:val="right"/>
              <w:rPr>
                <w:rFonts w:asciiTheme="majorHAnsi" w:hAnsiTheme="majorHAnsi"/>
                <w:sz w:val="16"/>
                <w:szCs w:val="16"/>
              </w:rPr>
            </w:pPr>
          </w:p>
        </w:tc>
        <w:tc>
          <w:tcPr>
            <w:tcW w:w="500" w:type="pct"/>
            <w:tcBorders>
              <w:top w:val="nil"/>
              <w:left w:val="nil"/>
              <w:bottom w:val="nil"/>
              <w:right w:val="nil"/>
            </w:tcBorders>
            <w:shd w:val="clear" w:color="auto" w:fill="auto"/>
            <w:noWrap/>
            <w:vAlign w:val="bottom"/>
            <w:hideMark/>
          </w:tcPr>
          <w:p w14:paraId="5FB83D10" w14:textId="77777777" w:rsidR="00EE5736" w:rsidRPr="00EE5736" w:rsidRDefault="00EE5736">
            <w:pPr>
              <w:rPr>
                <w:rFonts w:asciiTheme="majorHAnsi" w:hAnsiTheme="majorHAnsi"/>
                <w:sz w:val="16"/>
                <w:szCs w:val="16"/>
              </w:rPr>
            </w:pPr>
          </w:p>
        </w:tc>
        <w:tc>
          <w:tcPr>
            <w:tcW w:w="633" w:type="pct"/>
            <w:tcBorders>
              <w:top w:val="nil"/>
              <w:left w:val="nil"/>
              <w:bottom w:val="nil"/>
              <w:right w:val="nil"/>
            </w:tcBorders>
            <w:shd w:val="clear" w:color="auto" w:fill="auto"/>
            <w:noWrap/>
            <w:vAlign w:val="bottom"/>
            <w:hideMark/>
          </w:tcPr>
          <w:p w14:paraId="3A0B85CD" w14:textId="77777777" w:rsidR="00EE5736" w:rsidRPr="00EE5736" w:rsidRDefault="00EE5736">
            <w:pPr>
              <w:rPr>
                <w:rFonts w:asciiTheme="majorHAnsi" w:hAnsiTheme="majorHAnsi"/>
                <w:sz w:val="16"/>
                <w:szCs w:val="16"/>
              </w:rPr>
            </w:pPr>
          </w:p>
        </w:tc>
        <w:tc>
          <w:tcPr>
            <w:tcW w:w="633" w:type="pct"/>
            <w:tcBorders>
              <w:top w:val="nil"/>
              <w:left w:val="nil"/>
              <w:bottom w:val="nil"/>
              <w:right w:val="nil"/>
            </w:tcBorders>
            <w:shd w:val="clear" w:color="auto" w:fill="auto"/>
            <w:noWrap/>
            <w:vAlign w:val="bottom"/>
            <w:hideMark/>
          </w:tcPr>
          <w:p w14:paraId="6718CE08" w14:textId="77777777" w:rsidR="00EE5736" w:rsidRPr="00EE5736" w:rsidRDefault="00EE5736">
            <w:pPr>
              <w:rPr>
                <w:rFonts w:asciiTheme="majorHAnsi" w:hAnsiTheme="majorHAnsi"/>
                <w:sz w:val="16"/>
                <w:szCs w:val="16"/>
              </w:rPr>
            </w:pPr>
          </w:p>
        </w:tc>
        <w:tc>
          <w:tcPr>
            <w:tcW w:w="679" w:type="pct"/>
            <w:tcBorders>
              <w:top w:val="nil"/>
              <w:left w:val="nil"/>
              <w:bottom w:val="nil"/>
              <w:right w:val="nil"/>
            </w:tcBorders>
            <w:shd w:val="clear" w:color="auto" w:fill="auto"/>
            <w:noWrap/>
            <w:vAlign w:val="bottom"/>
            <w:hideMark/>
          </w:tcPr>
          <w:p w14:paraId="3DA4EA77" w14:textId="77777777" w:rsidR="00EE5736" w:rsidRPr="00EE5736" w:rsidRDefault="00EE5736">
            <w:pPr>
              <w:rPr>
                <w:rFonts w:asciiTheme="majorHAnsi" w:hAnsiTheme="majorHAnsi"/>
                <w:sz w:val="16"/>
                <w:szCs w:val="16"/>
              </w:rPr>
            </w:pPr>
          </w:p>
        </w:tc>
        <w:tc>
          <w:tcPr>
            <w:tcW w:w="300" w:type="pct"/>
            <w:tcBorders>
              <w:top w:val="nil"/>
              <w:left w:val="nil"/>
              <w:bottom w:val="nil"/>
              <w:right w:val="nil"/>
            </w:tcBorders>
            <w:shd w:val="clear" w:color="auto" w:fill="auto"/>
            <w:noWrap/>
            <w:vAlign w:val="bottom"/>
            <w:hideMark/>
          </w:tcPr>
          <w:p w14:paraId="7AC39DBC" w14:textId="77777777" w:rsidR="00EE5736" w:rsidRPr="00EE5736" w:rsidRDefault="00EE5736">
            <w:pPr>
              <w:rPr>
                <w:rFonts w:asciiTheme="majorHAnsi" w:hAnsiTheme="majorHAnsi"/>
                <w:sz w:val="16"/>
                <w:szCs w:val="16"/>
              </w:rPr>
            </w:pPr>
          </w:p>
        </w:tc>
      </w:tr>
      <w:tr w:rsidR="00EE5736" w:rsidRPr="00EE5736" w14:paraId="1542ECA4" w14:textId="77777777" w:rsidTr="00EE5736">
        <w:trPr>
          <w:trHeight w:val="227"/>
        </w:trPr>
        <w:tc>
          <w:tcPr>
            <w:tcW w:w="5000" w:type="pct"/>
            <w:gridSpan w:val="6"/>
            <w:tcBorders>
              <w:top w:val="nil"/>
              <w:left w:val="nil"/>
              <w:bottom w:val="nil"/>
              <w:right w:val="nil"/>
            </w:tcBorders>
            <w:shd w:val="clear" w:color="auto" w:fill="auto"/>
            <w:noWrap/>
            <w:vAlign w:val="bottom"/>
            <w:hideMark/>
          </w:tcPr>
          <w:p w14:paraId="06AC2638" w14:textId="77777777" w:rsidR="00EE5736" w:rsidRPr="00EE5736" w:rsidRDefault="00EE5736">
            <w:pPr>
              <w:jc w:val="center"/>
              <w:rPr>
                <w:rFonts w:asciiTheme="majorHAnsi" w:hAnsiTheme="majorHAnsi" w:cs="Arial"/>
                <w:sz w:val="16"/>
                <w:szCs w:val="16"/>
              </w:rPr>
            </w:pPr>
            <w:r w:rsidRPr="00EE5736">
              <w:rPr>
                <w:rFonts w:asciiTheme="majorHAnsi" w:hAnsiTheme="majorHAnsi" w:cs="Arial"/>
                <w:sz w:val="16"/>
                <w:szCs w:val="16"/>
              </w:rPr>
              <w:t>(As Notas Explicativas são parte integrante das demonstrações contábeis intermediárias)</w:t>
            </w:r>
          </w:p>
        </w:tc>
      </w:tr>
    </w:tbl>
    <w:p w14:paraId="0208C019" w14:textId="77777777" w:rsidR="00EE5736" w:rsidRDefault="00EE5736" w:rsidP="002E2B5B">
      <w:pPr>
        <w:pStyle w:val="Ttulo1"/>
        <w:tabs>
          <w:tab w:val="left" w:pos="1701"/>
        </w:tabs>
        <w:ind w:right="-142"/>
        <w:rPr>
          <w:rFonts w:ascii="Calibri" w:hAnsi="Calibri" w:cs="Calibri"/>
          <w:szCs w:val="22"/>
        </w:rPr>
      </w:pPr>
    </w:p>
    <w:p w14:paraId="2F5BACFD" w14:textId="77777777" w:rsidR="00EE5736" w:rsidRDefault="00EE5736" w:rsidP="002E2B5B">
      <w:pPr>
        <w:pStyle w:val="Ttulo1"/>
        <w:tabs>
          <w:tab w:val="left" w:pos="1701"/>
        </w:tabs>
        <w:ind w:right="-142"/>
        <w:rPr>
          <w:rFonts w:ascii="Calibri" w:hAnsi="Calibri" w:cs="Calibri"/>
          <w:szCs w:val="22"/>
        </w:rPr>
      </w:pPr>
    </w:p>
    <w:p w14:paraId="32F3436B" w14:textId="08B68306" w:rsidR="00EE5736" w:rsidRDefault="00EE5736" w:rsidP="002E2B5B">
      <w:pPr>
        <w:pStyle w:val="Ttulo1"/>
        <w:tabs>
          <w:tab w:val="left" w:pos="1701"/>
        </w:tabs>
        <w:ind w:right="-142"/>
        <w:rPr>
          <w:rFonts w:ascii="Calibri" w:hAnsi="Calibri" w:cs="Calibri"/>
          <w:szCs w:val="22"/>
        </w:rPr>
      </w:pPr>
    </w:p>
    <w:p w14:paraId="5CCD30A7" w14:textId="46D06EB4" w:rsidR="0029203E" w:rsidRDefault="0029203E" w:rsidP="0029203E"/>
    <w:p w14:paraId="4533C8C8" w14:textId="6EAA6EE1" w:rsidR="0029203E" w:rsidRDefault="0029203E" w:rsidP="0029203E"/>
    <w:p w14:paraId="1B6C9FDB" w14:textId="313D609D" w:rsidR="0029203E" w:rsidRDefault="0029203E" w:rsidP="0029203E"/>
    <w:p w14:paraId="1AB02886" w14:textId="77777777" w:rsidR="0029203E" w:rsidRPr="0029203E" w:rsidRDefault="0029203E" w:rsidP="0029203E"/>
    <w:tbl>
      <w:tblPr>
        <w:tblW w:w="5000" w:type="pct"/>
        <w:tblCellMar>
          <w:left w:w="70" w:type="dxa"/>
          <w:right w:w="70" w:type="dxa"/>
        </w:tblCellMar>
        <w:tblLook w:val="04A0" w:firstRow="1" w:lastRow="0" w:firstColumn="1" w:lastColumn="0" w:noHBand="0" w:noVBand="1"/>
      </w:tblPr>
      <w:tblGrid>
        <w:gridCol w:w="3672"/>
        <w:gridCol w:w="146"/>
        <w:gridCol w:w="1639"/>
        <w:gridCol w:w="1637"/>
        <w:gridCol w:w="1637"/>
        <w:gridCol w:w="1736"/>
      </w:tblGrid>
      <w:tr w:rsidR="0029203E" w:rsidRPr="0029203E" w14:paraId="29AAE1C3" w14:textId="77777777" w:rsidTr="0029203E">
        <w:trPr>
          <w:trHeight w:val="315"/>
        </w:trPr>
        <w:tc>
          <w:tcPr>
            <w:tcW w:w="5000" w:type="pct"/>
            <w:gridSpan w:val="6"/>
            <w:tcBorders>
              <w:top w:val="nil"/>
              <w:left w:val="nil"/>
              <w:bottom w:val="nil"/>
              <w:right w:val="nil"/>
            </w:tcBorders>
            <w:shd w:val="clear" w:color="auto" w:fill="auto"/>
            <w:noWrap/>
            <w:vAlign w:val="bottom"/>
            <w:hideMark/>
          </w:tcPr>
          <w:p w14:paraId="674DAB20" w14:textId="77777777" w:rsidR="0029203E" w:rsidRPr="0029203E" w:rsidRDefault="0029203E">
            <w:pPr>
              <w:jc w:val="center"/>
              <w:rPr>
                <w:rFonts w:asciiTheme="majorHAnsi" w:hAnsiTheme="majorHAnsi" w:cs="Arial"/>
                <w:b/>
                <w:bCs/>
                <w:sz w:val="16"/>
                <w:szCs w:val="16"/>
              </w:rPr>
            </w:pPr>
            <w:r w:rsidRPr="0029203E">
              <w:rPr>
                <w:rFonts w:asciiTheme="majorHAnsi" w:hAnsiTheme="majorHAnsi" w:cs="Arial"/>
                <w:b/>
                <w:bCs/>
                <w:sz w:val="16"/>
                <w:szCs w:val="16"/>
              </w:rPr>
              <w:lastRenderedPageBreak/>
              <w:t>VALEC ENGENHARIA, CONSTRUÇÕES E FERROVIAS S/A</w:t>
            </w:r>
          </w:p>
        </w:tc>
      </w:tr>
      <w:tr w:rsidR="0029203E" w:rsidRPr="0029203E" w14:paraId="7549648E" w14:textId="77777777" w:rsidTr="0029203E">
        <w:trPr>
          <w:trHeight w:val="330"/>
        </w:trPr>
        <w:tc>
          <w:tcPr>
            <w:tcW w:w="5000" w:type="pct"/>
            <w:gridSpan w:val="6"/>
            <w:tcBorders>
              <w:top w:val="nil"/>
              <w:left w:val="nil"/>
              <w:bottom w:val="nil"/>
              <w:right w:val="nil"/>
            </w:tcBorders>
            <w:shd w:val="clear" w:color="auto" w:fill="auto"/>
            <w:noWrap/>
            <w:vAlign w:val="bottom"/>
            <w:hideMark/>
          </w:tcPr>
          <w:p w14:paraId="1BA3C857" w14:textId="77777777" w:rsidR="0029203E" w:rsidRPr="0029203E" w:rsidRDefault="0029203E">
            <w:pPr>
              <w:jc w:val="center"/>
              <w:rPr>
                <w:rFonts w:asciiTheme="majorHAnsi" w:hAnsiTheme="majorHAnsi" w:cs="Arial"/>
                <w:b/>
                <w:bCs/>
                <w:sz w:val="16"/>
                <w:szCs w:val="16"/>
              </w:rPr>
            </w:pPr>
            <w:r w:rsidRPr="0029203E">
              <w:rPr>
                <w:rFonts w:asciiTheme="majorHAnsi" w:hAnsiTheme="majorHAnsi" w:cs="Arial"/>
                <w:b/>
                <w:bCs/>
                <w:sz w:val="16"/>
                <w:szCs w:val="16"/>
              </w:rPr>
              <w:t xml:space="preserve">DEMONSTRAÇÃO DO RESULTADO ABRANGENTE  </w:t>
            </w:r>
          </w:p>
        </w:tc>
      </w:tr>
      <w:tr w:rsidR="0029203E" w:rsidRPr="0029203E" w14:paraId="6BD38633" w14:textId="77777777" w:rsidTr="0029203E">
        <w:trPr>
          <w:trHeight w:val="330"/>
        </w:trPr>
        <w:tc>
          <w:tcPr>
            <w:tcW w:w="5000" w:type="pct"/>
            <w:gridSpan w:val="6"/>
            <w:tcBorders>
              <w:top w:val="nil"/>
              <w:left w:val="nil"/>
              <w:bottom w:val="nil"/>
              <w:right w:val="nil"/>
            </w:tcBorders>
            <w:shd w:val="clear" w:color="auto" w:fill="auto"/>
            <w:noWrap/>
            <w:vAlign w:val="bottom"/>
            <w:hideMark/>
          </w:tcPr>
          <w:p w14:paraId="1BA38935" w14:textId="77777777" w:rsidR="0029203E" w:rsidRPr="0029203E" w:rsidRDefault="0029203E">
            <w:pPr>
              <w:jc w:val="center"/>
              <w:rPr>
                <w:rFonts w:asciiTheme="majorHAnsi" w:hAnsiTheme="majorHAnsi" w:cs="Arial"/>
                <w:b/>
                <w:bCs/>
                <w:sz w:val="16"/>
                <w:szCs w:val="16"/>
              </w:rPr>
            </w:pPr>
            <w:r w:rsidRPr="0029203E">
              <w:rPr>
                <w:rFonts w:asciiTheme="majorHAnsi" w:hAnsiTheme="majorHAnsi" w:cs="Arial"/>
                <w:b/>
                <w:bCs/>
                <w:sz w:val="16"/>
                <w:szCs w:val="16"/>
              </w:rPr>
              <w:t>3º TRIMESTRE 2021</w:t>
            </w:r>
          </w:p>
        </w:tc>
      </w:tr>
      <w:tr w:rsidR="0029203E" w:rsidRPr="0029203E" w14:paraId="4DEBCE4D" w14:textId="77777777" w:rsidTr="0029203E">
        <w:trPr>
          <w:trHeight w:val="330"/>
        </w:trPr>
        <w:tc>
          <w:tcPr>
            <w:tcW w:w="5000" w:type="pct"/>
            <w:gridSpan w:val="6"/>
            <w:tcBorders>
              <w:top w:val="nil"/>
              <w:left w:val="nil"/>
              <w:bottom w:val="nil"/>
              <w:right w:val="nil"/>
            </w:tcBorders>
            <w:shd w:val="clear" w:color="auto" w:fill="auto"/>
            <w:noWrap/>
            <w:vAlign w:val="bottom"/>
            <w:hideMark/>
          </w:tcPr>
          <w:p w14:paraId="2CD04B77" w14:textId="77777777" w:rsidR="0029203E" w:rsidRPr="0029203E" w:rsidRDefault="0029203E">
            <w:pPr>
              <w:jc w:val="center"/>
              <w:rPr>
                <w:rFonts w:asciiTheme="majorHAnsi" w:hAnsiTheme="majorHAnsi" w:cs="Arial"/>
                <w:b/>
                <w:bCs/>
                <w:sz w:val="16"/>
                <w:szCs w:val="16"/>
              </w:rPr>
            </w:pPr>
            <w:r w:rsidRPr="0029203E">
              <w:rPr>
                <w:rFonts w:asciiTheme="majorHAnsi" w:hAnsiTheme="majorHAnsi" w:cs="Arial"/>
                <w:b/>
                <w:bCs/>
                <w:sz w:val="16"/>
                <w:szCs w:val="16"/>
              </w:rPr>
              <w:t>Em R$ 1</w:t>
            </w:r>
          </w:p>
        </w:tc>
      </w:tr>
      <w:tr w:rsidR="0029203E" w:rsidRPr="0029203E" w14:paraId="25CBDB7D" w14:textId="77777777" w:rsidTr="0029203E">
        <w:trPr>
          <w:trHeight w:val="330"/>
        </w:trPr>
        <w:tc>
          <w:tcPr>
            <w:tcW w:w="1757" w:type="pct"/>
            <w:tcBorders>
              <w:top w:val="nil"/>
              <w:left w:val="nil"/>
              <w:bottom w:val="nil"/>
              <w:right w:val="nil"/>
            </w:tcBorders>
            <w:shd w:val="clear" w:color="auto" w:fill="auto"/>
            <w:noWrap/>
            <w:vAlign w:val="bottom"/>
            <w:hideMark/>
          </w:tcPr>
          <w:p w14:paraId="6A56310B" w14:textId="77777777" w:rsidR="0029203E" w:rsidRPr="0029203E" w:rsidRDefault="0029203E">
            <w:pPr>
              <w:jc w:val="center"/>
              <w:rPr>
                <w:rFonts w:asciiTheme="majorHAnsi" w:hAnsiTheme="majorHAnsi" w:cs="Arial"/>
                <w:b/>
                <w:bCs/>
                <w:sz w:val="16"/>
                <w:szCs w:val="16"/>
              </w:rPr>
            </w:pPr>
          </w:p>
        </w:tc>
        <w:tc>
          <w:tcPr>
            <w:tcW w:w="55" w:type="pct"/>
            <w:tcBorders>
              <w:top w:val="nil"/>
              <w:left w:val="nil"/>
              <w:bottom w:val="nil"/>
              <w:right w:val="nil"/>
            </w:tcBorders>
            <w:shd w:val="clear" w:color="auto" w:fill="auto"/>
            <w:noWrap/>
            <w:vAlign w:val="bottom"/>
            <w:hideMark/>
          </w:tcPr>
          <w:p w14:paraId="07A4615F" w14:textId="77777777" w:rsidR="0029203E" w:rsidRPr="0029203E" w:rsidRDefault="0029203E">
            <w:pPr>
              <w:jc w:val="center"/>
              <w:rPr>
                <w:rFonts w:asciiTheme="majorHAnsi" w:hAnsiTheme="majorHAnsi"/>
                <w:sz w:val="16"/>
                <w:szCs w:val="16"/>
              </w:rPr>
            </w:pPr>
          </w:p>
        </w:tc>
        <w:tc>
          <w:tcPr>
            <w:tcW w:w="786" w:type="pct"/>
            <w:tcBorders>
              <w:top w:val="nil"/>
              <w:left w:val="nil"/>
              <w:bottom w:val="nil"/>
              <w:right w:val="nil"/>
            </w:tcBorders>
            <w:shd w:val="clear" w:color="auto" w:fill="auto"/>
            <w:noWrap/>
            <w:vAlign w:val="bottom"/>
            <w:hideMark/>
          </w:tcPr>
          <w:p w14:paraId="48381BFB" w14:textId="77777777" w:rsidR="0029203E" w:rsidRPr="0029203E" w:rsidRDefault="0029203E">
            <w:pPr>
              <w:jc w:val="center"/>
              <w:rPr>
                <w:rFonts w:asciiTheme="majorHAnsi" w:hAnsiTheme="majorHAnsi"/>
                <w:sz w:val="16"/>
                <w:szCs w:val="16"/>
              </w:rPr>
            </w:pPr>
          </w:p>
        </w:tc>
        <w:tc>
          <w:tcPr>
            <w:tcW w:w="785" w:type="pct"/>
            <w:tcBorders>
              <w:top w:val="nil"/>
              <w:left w:val="nil"/>
              <w:bottom w:val="nil"/>
              <w:right w:val="nil"/>
            </w:tcBorders>
            <w:shd w:val="clear" w:color="auto" w:fill="auto"/>
            <w:noWrap/>
            <w:vAlign w:val="bottom"/>
            <w:hideMark/>
          </w:tcPr>
          <w:p w14:paraId="2B9634F1" w14:textId="77777777" w:rsidR="0029203E" w:rsidRPr="0029203E" w:rsidRDefault="0029203E">
            <w:pPr>
              <w:jc w:val="center"/>
              <w:rPr>
                <w:rFonts w:asciiTheme="majorHAnsi" w:hAnsiTheme="majorHAnsi"/>
                <w:sz w:val="16"/>
                <w:szCs w:val="16"/>
              </w:rPr>
            </w:pPr>
          </w:p>
        </w:tc>
        <w:tc>
          <w:tcPr>
            <w:tcW w:w="785" w:type="pct"/>
            <w:tcBorders>
              <w:top w:val="nil"/>
              <w:left w:val="nil"/>
              <w:bottom w:val="nil"/>
              <w:right w:val="nil"/>
            </w:tcBorders>
            <w:shd w:val="clear" w:color="auto" w:fill="auto"/>
            <w:noWrap/>
            <w:vAlign w:val="bottom"/>
            <w:hideMark/>
          </w:tcPr>
          <w:p w14:paraId="3C79C357" w14:textId="77777777" w:rsidR="0029203E" w:rsidRPr="0029203E" w:rsidRDefault="0029203E">
            <w:pPr>
              <w:jc w:val="center"/>
              <w:rPr>
                <w:rFonts w:asciiTheme="majorHAnsi" w:hAnsiTheme="majorHAnsi"/>
                <w:sz w:val="16"/>
                <w:szCs w:val="16"/>
              </w:rPr>
            </w:pPr>
          </w:p>
        </w:tc>
        <w:tc>
          <w:tcPr>
            <w:tcW w:w="831" w:type="pct"/>
            <w:tcBorders>
              <w:top w:val="nil"/>
              <w:left w:val="nil"/>
              <w:bottom w:val="nil"/>
              <w:right w:val="nil"/>
            </w:tcBorders>
            <w:shd w:val="clear" w:color="auto" w:fill="auto"/>
            <w:noWrap/>
            <w:vAlign w:val="bottom"/>
            <w:hideMark/>
          </w:tcPr>
          <w:p w14:paraId="2647A684" w14:textId="77777777" w:rsidR="0029203E" w:rsidRPr="0029203E" w:rsidRDefault="0029203E">
            <w:pPr>
              <w:jc w:val="center"/>
              <w:rPr>
                <w:rFonts w:asciiTheme="majorHAnsi" w:hAnsiTheme="majorHAnsi"/>
                <w:sz w:val="16"/>
                <w:szCs w:val="16"/>
              </w:rPr>
            </w:pPr>
          </w:p>
        </w:tc>
      </w:tr>
      <w:tr w:rsidR="0029203E" w:rsidRPr="0029203E" w14:paraId="55954FC5" w14:textId="77777777" w:rsidTr="0029203E">
        <w:trPr>
          <w:trHeight w:val="300"/>
        </w:trPr>
        <w:tc>
          <w:tcPr>
            <w:tcW w:w="1757" w:type="pct"/>
            <w:tcBorders>
              <w:top w:val="nil"/>
              <w:left w:val="nil"/>
              <w:bottom w:val="nil"/>
              <w:right w:val="nil"/>
            </w:tcBorders>
            <w:shd w:val="clear" w:color="auto" w:fill="auto"/>
            <w:noWrap/>
            <w:vAlign w:val="bottom"/>
            <w:hideMark/>
          </w:tcPr>
          <w:p w14:paraId="18B01378" w14:textId="77777777" w:rsidR="0029203E" w:rsidRPr="0029203E" w:rsidRDefault="0029203E">
            <w:pPr>
              <w:jc w:val="right"/>
              <w:rPr>
                <w:rFonts w:asciiTheme="majorHAnsi" w:hAnsiTheme="majorHAnsi"/>
                <w:sz w:val="16"/>
                <w:szCs w:val="16"/>
              </w:rPr>
            </w:pPr>
          </w:p>
        </w:tc>
        <w:tc>
          <w:tcPr>
            <w:tcW w:w="55" w:type="pct"/>
            <w:tcBorders>
              <w:top w:val="nil"/>
              <w:left w:val="nil"/>
              <w:bottom w:val="nil"/>
              <w:right w:val="nil"/>
            </w:tcBorders>
            <w:shd w:val="clear" w:color="auto" w:fill="auto"/>
            <w:noWrap/>
            <w:vAlign w:val="bottom"/>
            <w:hideMark/>
          </w:tcPr>
          <w:p w14:paraId="35E799E4" w14:textId="77777777" w:rsidR="0029203E" w:rsidRPr="0029203E" w:rsidRDefault="0029203E">
            <w:pPr>
              <w:jc w:val="center"/>
              <w:rPr>
                <w:rFonts w:asciiTheme="majorHAnsi" w:hAnsiTheme="majorHAnsi"/>
                <w:sz w:val="16"/>
                <w:szCs w:val="16"/>
              </w:rPr>
            </w:pPr>
          </w:p>
        </w:tc>
        <w:tc>
          <w:tcPr>
            <w:tcW w:w="786" w:type="pct"/>
            <w:tcBorders>
              <w:top w:val="nil"/>
              <w:left w:val="nil"/>
              <w:bottom w:val="nil"/>
              <w:right w:val="nil"/>
            </w:tcBorders>
            <w:shd w:val="clear" w:color="auto" w:fill="auto"/>
            <w:noWrap/>
            <w:vAlign w:val="bottom"/>
            <w:hideMark/>
          </w:tcPr>
          <w:p w14:paraId="11079B9E" w14:textId="77777777" w:rsidR="0029203E" w:rsidRPr="0029203E" w:rsidRDefault="0029203E">
            <w:pPr>
              <w:jc w:val="center"/>
              <w:rPr>
                <w:rFonts w:asciiTheme="majorHAnsi" w:hAnsiTheme="majorHAnsi"/>
                <w:sz w:val="16"/>
                <w:szCs w:val="16"/>
              </w:rPr>
            </w:pPr>
          </w:p>
        </w:tc>
        <w:tc>
          <w:tcPr>
            <w:tcW w:w="785" w:type="pct"/>
            <w:tcBorders>
              <w:top w:val="nil"/>
              <w:left w:val="nil"/>
              <w:bottom w:val="nil"/>
              <w:right w:val="nil"/>
            </w:tcBorders>
            <w:shd w:val="clear" w:color="000000" w:fill="FFFFFF"/>
            <w:noWrap/>
            <w:vAlign w:val="bottom"/>
            <w:hideMark/>
          </w:tcPr>
          <w:p w14:paraId="6BE9C36E" w14:textId="77777777" w:rsidR="0029203E" w:rsidRPr="0029203E" w:rsidRDefault="0029203E">
            <w:pPr>
              <w:rPr>
                <w:rFonts w:asciiTheme="majorHAnsi" w:hAnsiTheme="majorHAnsi" w:cs="Arial"/>
                <w:b/>
                <w:bCs/>
                <w:sz w:val="16"/>
                <w:szCs w:val="16"/>
              </w:rPr>
            </w:pPr>
            <w:r w:rsidRPr="0029203E">
              <w:rPr>
                <w:rFonts w:asciiTheme="majorHAnsi" w:hAnsiTheme="majorHAnsi" w:cs="Arial"/>
                <w:b/>
                <w:bCs/>
                <w:sz w:val="16"/>
                <w:szCs w:val="16"/>
              </w:rPr>
              <w:t> </w:t>
            </w:r>
          </w:p>
        </w:tc>
        <w:tc>
          <w:tcPr>
            <w:tcW w:w="785" w:type="pct"/>
            <w:tcBorders>
              <w:top w:val="nil"/>
              <w:left w:val="nil"/>
              <w:bottom w:val="nil"/>
              <w:right w:val="nil"/>
            </w:tcBorders>
            <w:shd w:val="clear" w:color="000000" w:fill="FFFFFF"/>
            <w:noWrap/>
            <w:vAlign w:val="bottom"/>
            <w:hideMark/>
          </w:tcPr>
          <w:p w14:paraId="01FB344C" w14:textId="77777777" w:rsidR="0029203E" w:rsidRPr="0029203E" w:rsidRDefault="0029203E">
            <w:pPr>
              <w:rPr>
                <w:rFonts w:asciiTheme="majorHAnsi" w:hAnsiTheme="majorHAnsi" w:cs="Arial"/>
                <w:b/>
                <w:bCs/>
                <w:sz w:val="16"/>
                <w:szCs w:val="16"/>
              </w:rPr>
            </w:pPr>
            <w:r w:rsidRPr="0029203E">
              <w:rPr>
                <w:rFonts w:asciiTheme="majorHAnsi" w:hAnsiTheme="majorHAnsi" w:cs="Arial"/>
                <w:b/>
                <w:bCs/>
                <w:sz w:val="16"/>
                <w:szCs w:val="16"/>
              </w:rPr>
              <w:t> </w:t>
            </w:r>
          </w:p>
        </w:tc>
        <w:tc>
          <w:tcPr>
            <w:tcW w:w="831" w:type="pct"/>
            <w:tcBorders>
              <w:top w:val="nil"/>
              <w:left w:val="nil"/>
              <w:bottom w:val="nil"/>
              <w:right w:val="nil"/>
            </w:tcBorders>
            <w:shd w:val="clear" w:color="auto" w:fill="auto"/>
            <w:vAlign w:val="bottom"/>
            <w:hideMark/>
          </w:tcPr>
          <w:p w14:paraId="1D11F94A" w14:textId="77777777" w:rsidR="0029203E" w:rsidRPr="0029203E" w:rsidRDefault="0029203E">
            <w:pPr>
              <w:rPr>
                <w:rFonts w:asciiTheme="majorHAnsi" w:hAnsiTheme="majorHAnsi" w:cs="Arial"/>
                <w:b/>
                <w:bCs/>
                <w:sz w:val="16"/>
                <w:szCs w:val="16"/>
              </w:rPr>
            </w:pPr>
          </w:p>
        </w:tc>
      </w:tr>
      <w:tr w:rsidR="0029203E" w:rsidRPr="0029203E" w14:paraId="28072189" w14:textId="77777777" w:rsidTr="0029203E">
        <w:trPr>
          <w:trHeight w:val="480"/>
        </w:trPr>
        <w:tc>
          <w:tcPr>
            <w:tcW w:w="1757" w:type="pct"/>
            <w:tcBorders>
              <w:top w:val="nil"/>
              <w:left w:val="nil"/>
              <w:bottom w:val="nil"/>
              <w:right w:val="nil"/>
            </w:tcBorders>
            <w:shd w:val="clear" w:color="auto" w:fill="auto"/>
            <w:noWrap/>
            <w:vAlign w:val="bottom"/>
            <w:hideMark/>
          </w:tcPr>
          <w:p w14:paraId="5C2218C6" w14:textId="77777777" w:rsidR="0029203E" w:rsidRPr="0029203E" w:rsidRDefault="0029203E">
            <w:pPr>
              <w:jc w:val="right"/>
              <w:rPr>
                <w:rFonts w:asciiTheme="majorHAnsi" w:hAnsiTheme="majorHAnsi"/>
                <w:sz w:val="16"/>
                <w:szCs w:val="16"/>
              </w:rPr>
            </w:pPr>
          </w:p>
        </w:tc>
        <w:tc>
          <w:tcPr>
            <w:tcW w:w="55" w:type="pct"/>
            <w:tcBorders>
              <w:top w:val="nil"/>
              <w:left w:val="nil"/>
              <w:bottom w:val="nil"/>
              <w:right w:val="nil"/>
            </w:tcBorders>
            <w:shd w:val="clear" w:color="auto" w:fill="auto"/>
            <w:noWrap/>
            <w:vAlign w:val="bottom"/>
            <w:hideMark/>
          </w:tcPr>
          <w:p w14:paraId="231D4676" w14:textId="77777777" w:rsidR="0029203E" w:rsidRPr="0029203E" w:rsidRDefault="0029203E">
            <w:pPr>
              <w:rPr>
                <w:rFonts w:asciiTheme="majorHAnsi" w:hAnsiTheme="majorHAnsi"/>
                <w:sz w:val="16"/>
                <w:szCs w:val="16"/>
              </w:rPr>
            </w:pPr>
          </w:p>
        </w:tc>
        <w:tc>
          <w:tcPr>
            <w:tcW w:w="786" w:type="pct"/>
            <w:tcBorders>
              <w:top w:val="nil"/>
              <w:left w:val="nil"/>
              <w:bottom w:val="nil"/>
              <w:right w:val="nil"/>
            </w:tcBorders>
            <w:shd w:val="clear" w:color="auto" w:fill="auto"/>
            <w:vAlign w:val="bottom"/>
            <w:hideMark/>
          </w:tcPr>
          <w:p w14:paraId="3524F13D" w14:textId="77777777" w:rsidR="0029203E" w:rsidRPr="0029203E" w:rsidRDefault="0029203E" w:rsidP="0029203E">
            <w:pPr>
              <w:jc w:val="right"/>
              <w:rPr>
                <w:rFonts w:asciiTheme="majorHAnsi" w:hAnsiTheme="majorHAnsi" w:cs="Arial"/>
                <w:b/>
                <w:bCs/>
                <w:sz w:val="16"/>
                <w:szCs w:val="16"/>
              </w:rPr>
            </w:pPr>
            <w:r w:rsidRPr="0029203E">
              <w:rPr>
                <w:rFonts w:asciiTheme="majorHAnsi" w:hAnsiTheme="majorHAnsi" w:cs="Arial"/>
                <w:b/>
                <w:bCs/>
                <w:sz w:val="16"/>
                <w:szCs w:val="16"/>
              </w:rPr>
              <w:t>01/07/2021</w:t>
            </w:r>
          </w:p>
        </w:tc>
        <w:tc>
          <w:tcPr>
            <w:tcW w:w="785" w:type="pct"/>
            <w:tcBorders>
              <w:top w:val="nil"/>
              <w:left w:val="nil"/>
              <w:bottom w:val="nil"/>
              <w:right w:val="nil"/>
            </w:tcBorders>
            <w:shd w:val="clear" w:color="auto" w:fill="auto"/>
            <w:vAlign w:val="bottom"/>
            <w:hideMark/>
          </w:tcPr>
          <w:p w14:paraId="654778DD" w14:textId="77777777" w:rsidR="0029203E" w:rsidRPr="0029203E" w:rsidRDefault="0029203E" w:rsidP="0029203E">
            <w:pPr>
              <w:jc w:val="right"/>
              <w:rPr>
                <w:rFonts w:asciiTheme="majorHAnsi" w:hAnsiTheme="majorHAnsi" w:cs="Arial"/>
                <w:b/>
                <w:bCs/>
                <w:sz w:val="16"/>
                <w:szCs w:val="16"/>
              </w:rPr>
            </w:pPr>
            <w:r w:rsidRPr="0029203E">
              <w:rPr>
                <w:rFonts w:asciiTheme="majorHAnsi" w:hAnsiTheme="majorHAnsi" w:cs="Arial"/>
                <w:b/>
                <w:bCs/>
                <w:sz w:val="16"/>
                <w:szCs w:val="16"/>
              </w:rPr>
              <w:t>01/01/2021</w:t>
            </w:r>
          </w:p>
        </w:tc>
        <w:tc>
          <w:tcPr>
            <w:tcW w:w="785" w:type="pct"/>
            <w:tcBorders>
              <w:top w:val="nil"/>
              <w:left w:val="nil"/>
              <w:bottom w:val="nil"/>
              <w:right w:val="nil"/>
            </w:tcBorders>
            <w:shd w:val="clear" w:color="auto" w:fill="auto"/>
            <w:vAlign w:val="bottom"/>
            <w:hideMark/>
          </w:tcPr>
          <w:p w14:paraId="01F4AFF9" w14:textId="77777777" w:rsidR="0029203E" w:rsidRPr="0029203E" w:rsidRDefault="0029203E" w:rsidP="0029203E">
            <w:pPr>
              <w:jc w:val="right"/>
              <w:rPr>
                <w:rFonts w:asciiTheme="majorHAnsi" w:hAnsiTheme="majorHAnsi" w:cs="Arial"/>
                <w:b/>
                <w:bCs/>
                <w:sz w:val="16"/>
                <w:szCs w:val="16"/>
              </w:rPr>
            </w:pPr>
            <w:r w:rsidRPr="0029203E">
              <w:rPr>
                <w:rFonts w:asciiTheme="majorHAnsi" w:hAnsiTheme="majorHAnsi" w:cs="Arial"/>
                <w:b/>
                <w:bCs/>
                <w:sz w:val="16"/>
                <w:szCs w:val="16"/>
              </w:rPr>
              <w:t>01/07/2020</w:t>
            </w:r>
          </w:p>
        </w:tc>
        <w:tc>
          <w:tcPr>
            <w:tcW w:w="831" w:type="pct"/>
            <w:tcBorders>
              <w:top w:val="nil"/>
              <w:left w:val="nil"/>
              <w:bottom w:val="nil"/>
              <w:right w:val="nil"/>
            </w:tcBorders>
            <w:shd w:val="clear" w:color="auto" w:fill="auto"/>
            <w:vAlign w:val="bottom"/>
            <w:hideMark/>
          </w:tcPr>
          <w:p w14:paraId="230F9656" w14:textId="77777777" w:rsidR="0029203E" w:rsidRPr="0029203E" w:rsidRDefault="0029203E" w:rsidP="0029203E">
            <w:pPr>
              <w:jc w:val="right"/>
              <w:rPr>
                <w:rFonts w:asciiTheme="majorHAnsi" w:hAnsiTheme="majorHAnsi" w:cs="Arial"/>
                <w:b/>
                <w:bCs/>
                <w:sz w:val="16"/>
                <w:szCs w:val="16"/>
              </w:rPr>
            </w:pPr>
            <w:r w:rsidRPr="0029203E">
              <w:rPr>
                <w:rFonts w:asciiTheme="majorHAnsi" w:hAnsiTheme="majorHAnsi" w:cs="Arial"/>
                <w:b/>
                <w:bCs/>
                <w:sz w:val="16"/>
                <w:szCs w:val="16"/>
              </w:rPr>
              <w:t>01/01/2020</w:t>
            </w:r>
          </w:p>
        </w:tc>
      </w:tr>
      <w:tr w:rsidR="0029203E" w:rsidRPr="0029203E" w14:paraId="634499C4" w14:textId="77777777" w:rsidTr="0029203E">
        <w:trPr>
          <w:trHeight w:val="300"/>
        </w:trPr>
        <w:tc>
          <w:tcPr>
            <w:tcW w:w="1757" w:type="pct"/>
            <w:tcBorders>
              <w:top w:val="nil"/>
              <w:left w:val="nil"/>
              <w:bottom w:val="nil"/>
              <w:right w:val="nil"/>
            </w:tcBorders>
            <w:shd w:val="clear" w:color="auto" w:fill="auto"/>
            <w:noWrap/>
            <w:vAlign w:val="bottom"/>
            <w:hideMark/>
          </w:tcPr>
          <w:p w14:paraId="349E4968" w14:textId="77777777" w:rsidR="0029203E" w:rsidRPr="0029203E" w:rsidRDefault="0029203E">
            <w:pPr>
              <w:jc w:val="right"/>
              <w:rPr>
                <w:rFonts w:asciiTheme="majorHAnsi" w:hAnsiTheme="majorHAnsi" w:cs="Arial"/>
                <w:b/>
                <w:bCs/>
                <w:sz w:val="16"/>
                <w:szCs w:val="16"/>
              </w:rPr>
            </w:pPr>
          </w:p>
        </w:tc>
        <w:tc>
          <w:tcPr>
            <w:tcW w:w="55" w:type="pct"/>
            <w:tcBorders>
              <w:top w:val="nil"/>
              <w:left w:val="nil"/>
              <w:bottom w:val="nil"/>
              <w:right w:val="nil"/>
            </w:tcBorders>
            <w:shd w:val="clear" w:color="auto" w:fill="auto"/>
            <w:noWrap/>
            <w:vAlign w:val="bottom"/>
            <w:hideMark/>
          </w:tcPr>
          <w:p w14:paraId="3772DCF2" w14:textId="77777777" w:rsidR="0029203E" w:rsidRPr="0029203E" w:rsidRDefault="0029203E">
            <w:pPr>
              <w:rPr>
                <w:rFonts w:asciiTheme="majorHAnsi" w:hAnsiTheme="majorHAnsi"/>
                <w:sz w:val="16"/>
                <w:szCs w:val="16"/>
              </w:rPr>
            </w:pPr>
          </w:p>
        </w:tc>
        <w:tc>
          <w:tcPr>
            <w:tcW w:w="786" w:type="pct"/>
            <w:tcBorders>
              <w:top w:val="nil"/>
              <w:left w:val="nil"/>
              <w:bottom w:val="nil"/>
              <w:right w:val="nil"/>
            </w:tcBorders>
            <w:shd w:val="clear" w:color="auto" w:fill="auto"/>
            <w:vAlign w:val="bottom"/>
            <w:hideMark/>
          </w:tcPr>
          <w:p w14:paraId="4C92F24D" w14:textId="77777777" w:rsidR="0029203E" w:rsidRPr="0029203E" w:rsidRDefault="0029203E" w:rsidP="0029203E">
            <w:pPr>
              <w:jc w:val="right"/>
              <w:rPr>
                <w:rFonts w:asciiTheme="majorHAnsi" w:hAnsiTheme="majorHAnsi" w:cs="Arial"/>
                <w:b/>
                <w:bCs/>
                <w:sz w:val="16"/>
                <w:szCs w:val="16"/>
              </w:rPr>
            </w:pPr>
            <w:r w:rsidRPr="0029203E">
              <w:rPr>
                <w:rFonts w:asciiTheme="majorHAnsi" w:hAnsiTheme="majorHAnsi" w:cs="Arial"/>
                <w:b/>
                <w:bCs/>
                <w:sz w:val="16"/>
                <w:szCs w:val="16"/>
              </w:rPr>
              <w:t>a 30/09/2021</w:t>
            </w:r>
          </w:p>
        </w:tc>
        <w:tc>
          <w:tcPr>
            <w:tcW w:w="785" w:type="pct"/>
            <w:tcBorders>
              <w:top w:val="nil"/>
              <w:left w:val="nil"/>
              <w:bottom w:val="nil"/>
              <w:right w:val="nil"/>
            </w:tcBorders>
            <w:shd w:val="clear" w:color="auto" w:fill="auto"/>
            <w:vAlign w:val="bottom"/>
            <w:hideMark/>
          </w:tcPr>
          <w:p w14:paraId="3C664B44" w14:textId="77777777" w:rsidR="0029203E" w:rsidRPr="0029203E" w:rsidRDefault="0029203E" w:rsidP="0029203E">
            <w:pPr>
              <w:jc w:val="right"/>
              <w:rPr>
                <w:rFonts w:asciiTheme="majorHAnsi" w:hAnsiTheme="majorHAnsi" w:cs="Arial"/>
                <w:b/>
                <w:bCs/>
                <w:sz w:val="16"/>
                <w:szCs w:val="16"/>
              </w:rPr>
            </w:pPr>
            <w:r w:rsidRPr="0029203E">
              <w:rPr>
                <w:rFonts w:asciiTheme="majorHAnsi" w:hAnsiTheme="majorHAnsi" w:cs="Arial"/>
                <w:b/>
                <w:bCs/>
                <w:sz w:val="16"/>
                <w:szCs w:val="16"/>
              </w:rPr>
              <w:t>a 30/09/2021</w:t>
            </w:r>
          </w:p>
        </w:tc>
        <w:tc>
          <w:tcPr>
            <w:tcW w:w="785" w:type="pct"/>
            <w:tcBorders>
              <w:top w:val="nil"/>
              <w:left w:val="nil"/>
              <w:bottom w:val="nil"/>
              <w:right w:val="nil"/>
            </w:tcBorders>
            <w:shd w:val="clear" w:color="auto" w:fill="auto"/>
            <w:vAlign w:val="bottom"/>
            <w:hideMark/>
          </w:tcPr>
          <w:p w14:paraId="3B623AA2" w14:textId="77777777" w:rsidR="0029203E" w:rsidRPr="0029203E" w:rsidRDefault="0029203E" w:rsidP="0029203E">
            <w:pPr>
              <w:jc w:val="right"/>
              <w:rPr>
                <w:rFonts w:asciiTheme="majorHAnsi" w:hAnsiTheme="majorHAnsi" w:cs="Arial"/>
                <w:b/>
                <w:bCs/>
                <w:sz w:val="16"/>
                <w:szCs w:val="16"/>
              </w:rPr>
            </w:pPr>
            <w:r w:rsidRPr="0029203E">
              <w:rPr>
                <w:rFonts w:asciiTheme="majorHAnsi" w:hAnsiTheme="majorHAnsi" w:cs="Arial"/>
                <w:b/>
                <w:bCs/>
                <w:sz w:val="16"/>
                <w:szCs w:val="16"/>
              </w:rPr>
              <w:t>a 30/09/2020</w:t>
            </w:r>
          </w:p>
        </w:tc>
        <w:tc>
          <w:tcPr>
            <w:tcW w:w="831" w:type="pct"/>
            <w:tcBorders>
              <w:top w:val="nil"/>
              <w:left w:val="nil"/>
              <w:bottom w:val="nil"/>
              <w:right w:val="nil"/>
            </w:tcBorders>
            <w:shd w:val="clear" w:color="auto" w:fill="auto"/>
            <w:vAlign w:val="bottom"/>
            <w:hideMark/>
          </w:tcPr>
          <w:p w14:paraId="427024E7" w14:textId="77777777" w:rsidR="0029203E" w:rsidRPr="0029203E" w:rsidRDefault="0029203E" w:rsidP="0029203E">
            <w:pPr>
              <w:jc w:val="right"/>
              <w:rPr>
                <w:rFonts w:asciiTheme="majorHAnsi" w:hAnsiTheme="majorHAnsi" w:cs="Arial"/>
                <w:b/>
                <w:bCs/>
                <w:sz w:val="16"/>
                <w:szCs w:val="16"/>
              </w:rPr>
            </w:pPr>
            <w:r w:rsidRPr="0029203E">
              <w:rPr>
                <w:rFonts w:asciiTheme="majorHAnsi" w:hAnsiTheme="majorHAnsi" w:cs="Arial"/>
                <w:b/>
                <w:bCs/>
                <w:sz w:val="16"/>
                <w:szCs w:val="16"/>
              </w:rPr>
              <w:t>a 30/09/2020</w:t>
            </w:r>
          </w:p>
        </w:tc>
      </w:tr>
      <w:tr w:rsidR="0029203E" w:rsidRPr="0029203E" w14:paraId="70702324" w14:textId="77777777" w:rsidTr="0029203E">
        <w:trPr>
          <w:trHeight w:val="255"/>
        </w:trPr>
        <w:tc>
          <w:tcPr>
            <w:tcW w:w="1757" w:type="pct"/>
            <w:tcBorders>
              <w:top w:val="nil"/>
              <w:left w:val="nil"/>
              <w:bottom w:val="nil"/>
              <w:right w:val="nil"/>
            </w:tcBorders>
            <w:shd w:val="clear" w:color="auto" w:fill="auto"/>
            <w:noWrap/>
            <w:vAlign w:val="bottom"/>
            <w:hideMark/>
          </w:tcPr>
          <w:p w14:paraId="59CBEAF7" w14:textId="77777777" w:rsidR="0029203E" w:rsidRPr="0029203E" w:rsidRDefault="0029203E">
            <w:pPr>
              <w:jc w:val="right"/>
              <w:rPr>
                <w:rFonts w:asciiTheme="majorHAnsi" w:hAnsiTheme="majorHAnsi" w:cs="Arial"/>
                <w:b/>
                <w:bCs/>
                <w:sz w:val="16"/>
                <w:szCs w:val="16"/>
              </w:rPr>
            </w:pPr>
          </w:p>
        </w:tc>
        <w:tc>
          <w:tcPr>
            <w:tcW w:w="55" w:type="pct"/>
            <w:tcBorders>
              <w:top w:val="nil"/>
              <w:left w:val="nil"/>
              <w:bottom w:val="nil"/>
              <w:right w:val="nil"/>
            </w:tcBorders>
            <w:shd w:val="clear" w:color="auto" w:fill="auto"/>
            <w:noWrap/>
            <w:vAlign w:val="bottom"/>
            <w:hideMark/>
          </w:tcPr>
          <w:p w14:paraId="7F01DBBF" w14:textId="77777777" w:rsidR="0029203E" w:rsidRPr="0029203E" w:rsidRDefault="0029203E">
            <w:pPr>
              <w:rPr>
                <w:rFonts w:asciiTheme="majorHAnsi" w:hAnsiTheme="majorHAnsi"/>
                <w:sz w:val="16"/>
                <w:szCs w:val="16"/>
              </w:rPr>
            </w:pPr>
          </w:p>
        </w:tc>
        <w:tc>
          <w:tcPr>
            <w:tcW w:w="786" w:type="pct"/>
            <w:tcBorders>
              <w:top w:val="nil"/>
              <w:left w:val="nil"/>
              <w:bottom w:val="nil"/>
              <w:right w:val="nil"/>
            </w:tcBorders>
            <w:shd w:val="clear" w:color="auto" w:fill="auto"/>
            <w:noWrap/>
            <w:vAlign w:val="bottom"/>
            <w:hideMark/>
          </w:tcPr>
          <w:p w14:paraId="05581C4F" w14:textId="77777777" w:rsidR="0029203E" w:rsidRPr="0029203E" w:rsidRDefault="0029203E" w:rsidP="0029203E">
            <w:pPr>
              <w:jc w:val="right"/>
              <w:rPr>
                <w:rFonts w:asciiTheme="majorHAnsi" w:hAnsiTheme="majorHAnsi"/>
                <w:sz w:val="16"/>
                <w:szCs w:val="16"/>
              </w:rPr>
            </w:pPr>
          </w:p>
        </w:tc>
        <w:tc>
          <w:tcPr>
            <w:tcW w:w="785" w:type="pct"/>
            <w:tcBorders>
              <w:top w:val="nil"/>
              <w:left w:val="nil"/>
              <w:bottom w:val="nil"/>
              <w:right w:val="nil"/>
            </w:tcBorders>
            <w:shd w:val="clear" w:color="auto" w:fill="auto"/>
            <w:noWrap/>
            <w:vAlign w:val="bottom"/>
            <w:hideMark/>
          </w:tcPr>
          <w:p w14:paraId="2042C829" w14:textId="77777777" w:rsidR="0029203E" w:rsidRPr="0029203E" w:rsidRDefault="0029203E" w:rsidP="0029203E">
            <w:pPr>
              <w:jc w:val="right"/>
              <w:rPr>
                <w:rFonts w:asciiTheme="majorHAnsi" w:hAnsiTheme="majorHAnsi"/>
                <w:sz w:val="16"/>
                <w:szCs w:val="16"/>
              </w:rPr>
            </w:pPr>
          </w:p>
        </w:tc>
        <w:tc>
          <w:tcPr>
            <w:tcW w:w="785" w:type="pct"/>
            <w:tcBorders>
              <w:top w:val="nil"/>
              <w:left w:val="nil"/>
              <w:bottom w:val="nil"/>
              <w:right w:val="nil"/>
            </w:tcBorders>
            <w:shd w:val="clear" w:color="auto" w:fill="auto"/>
            <w:noWrap/>
            <w:vAlign w:val="bottom"/>
            <w:hideMark/>
          </w:tcPr>
          <w:p w14:paraId="3D058EFB" w14:textId="77777777" w:rsidR="0029203E" w:rsidRPr="0029203E" w:rsidRDefault="0029203E" w:rsidP="0029203E">
            <w:pPr>
              <w:jc w:val="right"/>
              <w:rPr>
                <w:rFonts w:asciiTheme="majorHAnsi" w:hAnsiTheme="majorHAnsi"/>
                <w:sz w:val="16"/>
                <w:szCs w:val="16"/>
              </w:rPr>
            </w:pPr>
          </w:p>
        </w:tc>
        <w:tc>
          <w:tcPr>
            <w:tcW w:w="831" w:type="pct"/>
            <w:tcBorders>
              <w:top w:val="nil"/>
              <w:left w:val="nil"/>
              <w:bottom w:val="nil"/>
              <w:right w:val="nil"/>
            </w:tcBorders>
            <w:shd w:val="clear" w:color="000000" w:fill="FFFFFF"/>
            <w:noWrap/>
            <w:vAlign w:val="bottom"/>
            <w:hideMark/>
          </w:tcPr>
          <w:p w14:paraId="194B14F8" w14:textId="77777777" w:rsidR="0029203E" w:rsidRPr="0029203E" w:rsidRDefault="0029203E" w:rsidP="0029203E">
            <w:pPr>
              <w:jc w:val="right"/>
              <w:rPr>
                <w:rFonts w:asciiTheme="majorHAnsi" w:hAnsiTheme="majorHAnsi" w:cs="Arial"/>
                <w:sz w:val="16"/>
                <w:szCs w:val="16"/>
              </w:rPr>
            </w:pPr>
            <w:r w:rsidRPr="0029203E">
              <w:rPr>
                <w:rFonts w:asciiTheme="majorHAnsi" w:hAnsiTheme="majorHAnsi" w:cs="Arial"/>
                <w:sz w:val="16"/>
                <w:szCs w:val="16"/>
              </w:rPr>
              <w:t> </w:t>
            </w:r>
          </w:p>
        </w:tc>
      </w:tr>
      <w:tr w:rsidR="0029203E" w:rsidRPr="0029203E" w14:paraId="3774D891" w14:textId="77777777" w:rsidTr="0029203E">
        <w:trPr>
          <w:trHeight w:val="319"/>
        </w:trPr>
        <w:tc>
          <w:tcPr>
            <w:tcW w:w="1757" w:type="pct"/>
            <w:tcBorders>
              <w:top w:val="nil"/>
              <w:left w:val="nil"/>
              <w:bottom w:val="nil"/>
              <w:right w:val="nil"/>
            </w:tcBorders>
            <w:shd w:val="clear" w:color="auto" w:fill="auto"/>
            <w:noWrap/>
            <w:vAlign w:val="bottom"/>
            <w:hideMark/>
          </w:tcPr>
          <w:p w14:paraId="19010CFF" w14:textId="77777777" w:rsidR="0029203E" w:rsidRPr="0029203E" w:rsidRDefault="0029203E">
            <w:pPr>
              <w:rPr>
                <w:rFonts w:asciiTheme="majorHAnsi" w:hAnsiTheme="majorHAnsi" w:cs="Arial"/>
                <w:sz w:val="16"/>
                <w:szCs w:val="16"/>
              </w:rPr>
            </w:pPr>
            <w:r w:rsidRPr="0029203E">
              <w:rPr>
                <w:rFonts w:asciiTheme="majorHAnsi" w:hAnsiTheme="majorHAnsi" w:cs="Arial"/>
                <w:sz w:val="16"/>
                <w:szCs w:val="16"/>
              </w:rPr>
              <w:t>Prejuízo Líquido do Período</w:t>
            </w:r>
          </w:p>
        </w:tc>
        <w:tc>
          <w:tcPr>
            <w:tcW w:w="55" w:type="pct"/>
            <w:tcBorders>
              <w:top w:val="nil"/>
              <w:left w:val="nil"/>
              <w:bottom w:val="nil"/>
              <w:right w:val="nil"/>
            </w:tcBorders>
            <w:shd w:val="clear" w:color="auto" w:fill="auto"/>
            <w:noWrap/>
            <w:vAlign w:val="bottom"/>
            <w:hideMark/>
          </w:tcPr>
          <w:p w14:paraId="585C6249" w14:textId="77777777" w:rsidR="0029203E" w:rsidRPr="0029203E" w:rsidRDefault="0029203E">
            <w:pPr>
              <w:rPr>
                <w:rFonts w:asciiTheme="majorHAnsi" w:hAnsiTheme="majorHAnsi" w:cs="Arial"/>
                <w:sz w:val="16"/>
                <w:szCs w:val="16"/>
              </w:rPr>
            </w:pPr>
          </w:p>
        </w:tc>
        <w:tc>
          <w:tcPr>
            <w:tcW w:w="786" w:type="pct"/>
            <w:tcBorders>
              <w:top w:val="nil"/>
              <w:left w:val="nil"/>
              <w:bottom w:val="nil"/>
              <w:right w:val="nil"/>
            </w:tcBorders>
            <w:shd w:val="clear" w:color="auto" w:fill="auto"/>
            <w:noWrap/>
            <w:vAlign w:val="bottom"/>
            <w:hideMark/>
          </w:tcPr>
          <w:p w14:paraId="6B336794" w14:textId="77777777" w:rsidR="0029203E" w:rsidRPr="0029203E" w:rsidRDefault="0029203E" w:rsidP="0029203E">
            <w:pPr>
              <w:jc w:val="right"/>
              <w:rPr>
                <w:rFonts w:asciiTheme="majorHAnsi" w:hAnsiTheme="majorHAnsi" w:cs="Arial"/>
                <w:sz w:val="16"/>
                <w:szCs w:val="16"/>
              </w:rPr>
            </w:pPr>
            <w:r w:rsidRPr="0029203E">
              <w:rPr>
                <w:rFonts w:asciiTheme="majorHAnsi" w:hAnsiTheme="majorHAnsi" w:cs="Arial"/>
                <w:sz w:val="16"/>
                <w:szCs w:val="16"/>
              </w:rPr>
              <w:t xml:space="preserve">           (42.837.727)</w:t>
            </w:r>
          </w:p>
        </w:tc>
        <w:tc>
          <w:tcPr>
            <w:tcW w:w="785" w:type="pct"/>
            <w:tcBorders>
              <w:top w:val="nil"/>
              <w:left w:val="nil"/>
              <w:bottom w:val="nil"/>
              <w:right w:val="nil"/>
            </w:tcBorders>
            <w:shd w:val="clear" w:color="auto" w:fill="auto"/>
            <w:noWrap/>
            <w:vAlign w:val="bottom"/>
            <w:hideMark/>
          </w:tcPr>
          <w:p w14:paraId="2E198989" w14:textId="77777777" w:rsidR="0029203E" w:rsidRPr="0029203E" w:rsidRDefault="0029203E" w:rsidP="0029203E">
            <w:pPr>
              <w:jc w:val="right"/>
              <w:rPr>
                <w:rFonts w:asciiTheme="majorHAnsi" w:hAnsiTheme="majorHAnsi" w:cs="Arial"/>
                <w:sz w:val="16"/>
                <w:szCs w:val="16"/>
              </w:rPr>
            </w:pPr>
            <w:r w:rsidRPr="0029203E">
              <w:rPr>
                <w:rFonts w:asciiTheme="majorHAnsi" w:hAnsiTheme="majorHAnsi" w:cs="Arial"/>
                <w:sz w:val="16"/>
                <w:szCs w:val="16"/>
              </w:rPr>
              <w:t xml:space="preserve">         (101.934.258)</w:t>
            </w:r>
          </w:p>
        </w:tc>
        <w:tc>
          <w:tcPr>
            <w:tcW w:w="785" w:type="pct"/>
            <w:tcBorders>
              <w:top w:val="nil"/>
              <w:left w:val="nil"/>
              <w:bottom w:val="nil"/>
              <w:right w:val="nil"/>
            </w:tcBorders>
            <w:shd w:val="clear" w:color="auto" w:fill="auto"/>
            <w:noWrap/>
            <w:vAlign w:val="bottom"/>
            <w:hideMark/>
          </w:tcPr>
          <w:p w14:paraId="24BE0E7C" w14:textId="77777777" w:rsidR="0029203E" w:rsidRPr="0029203E" w:rsidRDefault="0029203E" w:rsidP="0029203E">
            <w:pPr>
              <w:jc w:val="right"/>
              <w:rPr>
                <w:rFonts w:asciiTheme="majorHAnsi" w:hAnsiTheme="majorHAnsi" w:cs="Arial"/>
                <w:sz w:val="16"/>
                <w:szCs w:val="16"/>
              </w:rPr>
            </w:pPr>
            <w:r w:rsidRPr="0029203E">
              <w:rPr>
                <w:rFonts w:asciiTheme="majorHAnsi" w:hAnsiTheme="majorHAnsi" w:cs="Arial"/>
                <w:sz w:val="16"/>
                <w:szCs w:val="16"/>
              </w:rPr>
              <w:t xml:space="preserve">         (482.671.718)</w:t>
            </w:r>
          </w:p>
        </w:tc>
        <w:tc>
          <w:tcPr>
            <w:tcW w:w="831" w:type="pct"/>
            <w:tcBorders>
              <w:top w:val="nil"/>
              <w:left w:val="nil"/>
              <w:bottom w:val="nil"/>
              <w:right w:val="nil"/>
            </w:tcBorders>
            <w:shd w:val="clear" w:color="000000" w:fill="FFFFFF"/>
            <w:noWrap/>
            <w:vAlign w:val="bottom"/>
            <w:hideMark/>
          </w:tcPr>
          <w:p w14:paraId="2A3E69FD" w14:textId="77777777" w:rsidR="0029203E" w:rsidRPr="0029203E" w:rsidRDefault="0029203E" w:rsidP="0029203E">
            <w:pPr>
              <w:jc w:val="right"/>
              <w:rPr>
                <w:rFonts w:asciiTheme="majorHAnsi" w:hAnsiTheme="majorHAnsi" w:cs="Arial"/>
                <w:sz w:val="16"/>
                <w:szCs w:val="16"/>
              </w:rPr>
            </w:pPr>
            <w:r w:rsidRPr="0029203E">
              <w:rPr>
                <w:rFonts w:asciiTheme="majorHAnsi" w:hAnsiTheme="majorHAnsi" w:cs="Arial"/>
                <w:sz w:val="16"/>
                <w:szCs w:val="16"/>
              </w:rPr>
              <w:t xml:space="preserve">           (474.158.193)</w:t>
            </w:r>
          </w:p>
        </w:tc>
      </w:tr>
      <w:tr w:rsidR="0029203E" w:rsidRPr="0029203E" w14:paraId="45209DD7" w14:textId="77777777" w:rsidTr="0029203E">
        <w:trPr>
          <w:trHeight w:val="319"/>
        </w:trPr>
        <w:tc>
          <w:tcPr>
            <w:tcW w:w="1757" w:type="pct"/>
            <w:tcBorders>
              <w:top w:val="nil"/>
              <w:left w:val="nil"/>
              <w:bottom w:val="nil"/>
              <w:right w:val="nil"/>
            </w:tcBorders>
            <w:shd w:val="clear" w:color="auto" w:fill="auto"/>
            <w:noWrap/>
            <w:vAlign w:val="bottom"/>
            <w:hideMark/>
          </w:tcPr>
          <w:p w14:paraId="18A4FB5C" w14:textId="77777777" w:rsidR="0029203E" w:rsidRPr="0029203E" w:rsidRDefault="0029203E">
            <w:pPr>
              <w:jc w:val="right"/>
              <w:rPr>
                <w:rFonts w:asciiTheme="majorHAnsi" w:hAnsiTheme="majorHAnsi" w:cs="Arial"/>
                <w:sz w:val="16"/>
                <w:szCs w:val="16"/>
              </w:rPr>
            </w:pPr>
          </w:p>
        </w:tc>
        <w:tc>
          <w:tcPr>
            <w:tcW w:w="55" w:type="pct"/>
            <w:tcBorders>
              <w:top w:val="nil"/>
              <w:left w:val="nil"/>
              <w:bottom w:val="nil"/>
              <w:right w:val="nil"/>
            </w:tcBorders>
            <w:shd w:val="clear" w:color="auto" w:fill="auto"/>
            <w:noWrap/>
            <w:vAlign w:val="bottom"/>
            <w:hideMark/>
          </w:tcPr>
          <w:p w14:paraId="0C4BB33E" w14:textId="77777777" w:rsidR="0029203E" w:rsidRPr="0029203E" w:rsidRDefault="0029203E">
            <w:pPr>
              <w:rPr>
                <w:rFonts w:asciiTheme="majorHAnsi" w:hAnsiTheme="majorHAnsi"/>
                <w:sz w:val="16"/>
                <w:szCs w:val="16"/>
              </w:rPr>
            </w:pPr>
          </w:p>
        </w:tc>
        <w:tc>
          <w:tcPr>
            <w:tcW w:w="786" w:type="pct"/>
            <w:tcBorders>
              <w:top w:val="nil"/>
              <w:left w:val="nil"/>
              <w:bottom w:val="nil"/>
              <w:right w:val="nil"/>
            </w:tcBorders>
            <w:shd w:val="clear" w:color="auto" w:fill="auto"/>
            <w:noWrap/>
            <w:vAlign w:val="bottom"/>
            <w:hideMark/>
          </w:tcPr>
          <w:p w14:paraId="4F281B8D" w14:textId="77777777" w:rsidR="0029203E" w:rsidRPr="0029203E" w:rsidRDefault="0029203E" w:rsidP="0029203E">
            <w:pPr>
              <w:jc w:val="right"/>
              <w:rPr>
                <w:rFonts w:asciiTheme="majorHAnsi" w:hAnsiTheme="majorHAnsi"/>
                <w:sz w:val="16"/>
                <w:szCs w:val="16"/>
              </w:rPr>
            </w:pPr>
          </w:p>
        </w:tc>
        <w:tc>
          <w:tcPr>
            <w:tcW w:w="785" w:type="pct"/>
            <w:tcBorders>
              <w:top w:val="nil"/>
              <w:left w:val="nil"/>
              <w:bottom w:val="nil"/>
              <w:right w:val="nil"/>
            </w:tcBorders>
            <w:shd w:val="clear" w:color="000000" w:fill="FFFFFF"/>
            <w:noWrap/>
            <w:vAlign w:val="bottom"/>
            <w:hideMark/>
          </w:tcPr>
          <w:p w14:paraId="50B5DBBE" w14:textId="77777777" w:rsidR="0029203E" w:rsidRPr="0029203E" w:rsidRDefault="0029203E" w:rsidP="0029203E">
            <w:pPr>
              <w:jc w:val="right"/>
              <w:rPr>
                <w:rFonts w:asciiTheme="majorHAnsi" w:hAnsiTheme="majorHAnsi" w:cs="Arial"/>
                <w:sz w:val="16"/>
                <w:szCs w:val="16"/>
              </w:rPr>
            </w:pPr>
            <w:r w:rsidRPr="0029203E">
              <w:rPr>
                <w:rFonts w:asciiTheme="majorHAnsi" w:hAnsiTheme="majorHAnsi" w:cs="Arial"/>
                <w:sz w:val="16"/>
                <w:szCs w:val="16"/>
              </w:rPr>
              <w:t> </w:t>
            </w:r>
          </w:p>
        </w:tc>
        <w:tc>
          <w:tcPr>
            <w:tcW w:w="785" w:type="pct"/>
            <w:tcBorders>
              <w:top w:val="nil"/>
              <w:left w:val="nil"/>
              <w:bottom w:val="nil"/>
              <w:right w:val="nil"/>
            </w:tcBorders>
            <w:shd w:val="clear" w:color="000000" w:fill="FFFFFF"/>
            <w:noWrap/>
            <w:vAlign w:val="bottom"/>
            <w:hideMark/>
          </w:tcPr>
          <w:p w14:paraId="6BBBFAF6" w14:textId="77777777" w:rsidR="0029203E" w:rsidRPr="0029203E" w:rsidRDefault="0029203E" w:rsidP="0029203E">
            <w:pPr>
              <w:jc w:val="right"/>
              <w:rPr>
                <w:rFonts w:asciiTheme="majorHAnsi" w:hAnsiTheme="majorHAnsi" w:cs="Arial"/>
                <w:sz w:val="16"/>
                <w:szCs w:val="16"/>
              </w:rPr>
            </w:pPr>
            <w:r w:rsidRPr="0029203E">
              <w:rPr>
                <w:rFonts w:asciiTheme="majorHAnsi" w:hAnsiTheme="majorHAnsi" w:cs="Arial"/>
                <w:sz w:val="16"/>
                <w:szCs w:val="16"/>
              </w:rPr>
              <w:t> </w:t>
            </w:r>
          </w:p>
        </w:tc>
        <w:tc>
          <w:tcPr>
            <w:tcW w:w="831" w:type="pct"/>
            <w:tcBorders>
              <w:top w:val="nil"/>
              <w:left w:val="nil"/>
              <w:bottom w:val="nil"/>
              <w:right w:val="nil"/>
            </w:tcBorders>
            <w:shd w:val="clear" w:color="000000" w:fill="FFFFFF"/>
            <w:noWrap/>
            <w:vAlign w:val="bottom"/>
            <w:hideMark/>
          </w:tcPr>
          <w:p w14:paraId="2597A1A3" w14:textId="77777777" w:rsidR="0029203E" w:rsidRPr="0029203E" w:rsidRDefault="0029203E" w:rsidP="0029203E">
            <w:pPr>
              <w:jc w:val="right"/>
              <w:rPr>
                <w:rFonts w:asciiTheme="majorHAnsi" w:hAnsiTheme="majorHAnsi" w:cs="Arial"/>
                <w:sz w:val="16"/>
                <w:szCs w:val="16"/>
              </w:rPr>
            </w:pPr>
            <w:r w:rsidRPr="0029203E">
              <w:rPr>
                <w:rFonts w:asciiTheme="majorHAnsi" w:hAnsiTheme="majorHAnsi" w:cs="Arial"/>
                <w:sz w:val="16"/>
                <w:szCs w:val="16"/>
              </w:rPr>
              <w:t> </w:t>
            </w:r>
          </w:p>
        </w:tc>
      </w:tr>
      <w:tr w:rsidR="0029203E" w:rsidRPr="0029203E" w14:paraId="4C2C7FAA" w14:textId="77777777" w:rsidTr="0029203E">
        <w:trPr>
          <w:trHeight w:val="319"/>
        </w:trPr>
        <w:tc>
          <w:tcPr>
            <w:tcW w:w="1757" w:type="pct"/>
            <w:tcBorders>
              <w:top w:val="nil"/>
              <w:left w:val="nil"/>
              <w:bottom w:val="nil"/>
              <w:right w:val="nil"/>
            </w:tcBorders>
            <w:shd w:val="clear" w:color="auto" w:fill="auto"/>
            <w:noWrap/>
            <w:vAlign w:val="bottom"/>
            <w:hideMark/>
          </w:tcPr>
          <w:p w14:paraId="0F5420B8" w14:textId="7CFB5C03" w:rsidR="0029203E" w:rsidRPr="0029203E" w:rsidRDefault="0029203E">
            <w:pPr>
              <w:rPr>
                <w:rFonts w:asciiTheme="majorHAnsi" w:hAnsiTheme="majorHAnsi" w:cs="Arial"/>
                <w:b/>
                <w:bCs/>
                <w:sz w:val="16"/>
                <w:szCs w:val="16"/>
              </w:rPr>
            </w:pPr>
            <w:r w:rsidRPr="0029203E">
              <w:rPr>
                <w:rFonts w:asciiTheme="majorHAnsi" w:hAnsiTheme="majorHAnsi" w:cs="Arial"/>
                <w:b/>
                <w:bCs/>
                <w:sz w:val="16"/>
                <w:szCs w:val="16"/>
              </w:rPr>
              <w:t>Resultado Líquido Abrangente do período</w:t>
            </w:r>
          </w:p>
        </w:tc>
        <w:tc>
          <w:tcPr>
            <w:tcW w:w="55" w:type="pct"/>
            <w:tcBorders>
              <w:top w:val="nil"/>
              <w:left w:val="nil"/>
              <w:bottom w:val="nil"/>
              <w:right w:val="nil"/>
            </w:tcBorders>
            <w:shd w:val="clear" w:color="auto" w:fill="auto"/>
            <w:noWrap/>
            <w:vAlign w:val="bottom"/>
            <w:hideMark/>
          </w:tcPr>
          <w:p w14:paraId="2977DDA1" w14:textId="77777777" w:rsidR="0029203E" w:rsidRPr="0029203E" w:rsidRDefault="0029203E">
            <w:pPr>
              <w:rPr>
                <w:rFonts w:asciiTheme="majorHAnsi" w:hAnsiTheme="majorHAnsi" w:cs="Arial"/>
                <w:b/>
                <w:bCs/>
                <w:sz w:val="16"/>
                <w:szCs w:val="16"/>
              </w:rPr>
            </w:pPr>
          </w:p>
        </w:tc>
        <w:tc>
          <w:tcPr>
            <w:tcW w:w="786" w:type="pct"/>
            <w:tcBorders>
              <w:top w:val="nil"/>
              <w:left w:val="nil"/>
              <w:bottom w:val="nil"/>
              <w:right w:val="nil"/>
            </w:tcBorders>
            <w:shd w:val="clear" w:color="auto" w:fill="auto"/>
            <w:noWrap/>
            <w:vAlign w:val="bottom"/>
            <w:hideMark/>
          </w:tcPr>
          <w:p w14:paraId="767E3876" w14:textId="77777777" w:rsidR="0029203E" w:rsidRPr="0029203E" w:rsidRDefault="0029203E" w:rsidP="0029203E">
            <w:pPr>
              <w:jc w:val="right"/>
              <w:rPr>
                <w:rFonts w:asciiTheme="majorHAnsi" w:hAnsiTheme="majorHAnsi" w:cs="Arial"/>
                <w:b/>
                <w:bCs/>
                <w:sz w:val="16"/>
                <w:szCs w:val="16"/>
              </w:rPr>
            </w:pPr>
            <w:r w:rsidRPr="0029203E">
              <w:rPr>
                <w:rFonts w:asciiTheme="majorHAnsi" w:hAnsiTheme="majorHAnsi" w:cs="Arial"/>
                <w:b/>
                <w:bCs/>
                <w:sz w:val="16"/>
                <w:szCs w:val="16"/>
              </w:rPr>
              <w:t xml:space="preserve">           (42.837.727)</w:t>
            </w:r>
          </w:p>
        </w:tc>
        <w:tc>
          <w:tcPr>
            <w:tcW w:w="785" w:type="pct"/>
            <w:tcBorders>
              <w:top w:val="nil"/>
              <w:left w:val="nil"/>
              <w:bottom w:val="nil"/>
              <w:right w:val="nil"/>
            </w:tcBorders>
            <w:shd w:val="clear" w:color="000000" w:fill="FFFFFF"/>
            <w:noWrap/>
            <w:vAlign w:val="bottom"/>
            <w:hideMark/>
          </w:tcPr>
          <w:p w14:paraId="6348F1F0" w14:textId="77777777" w:rsidR="0029203E" w:rsidRPr="0029203E" w:rsidRDefault="0029203E" w:rsidP="0029203E">
            <w:pPr>
              <w:jc w:val="right"/>
              <w:rPr>
                <w:rFonts w:asciiTheme="majorHAnsi" w:hAnsiTheme="majorHAnsi" w:cs="Arial"/>
                <w:b/>
                <w:bCs/>
                <w:sz w:val="16"/>
                <w:szCs w:val="16"/>
              </w:rPr>
            </w:pPr>
            <w:r w:rsidRPr="0029203E">
              <w:rPr>
                <w:rFonts w:asciiTheme="majorHAnsi" w:hAnsiTheme="majorHAnsi" w:cs="Arial"/>
                <w:b/>
                <w:bCs/>
                <w:sz w:val="16"/>
                <w:szCs w:val="16"/>
              </w:rPr>
              <w:t xml:space="preserve">         (101.934.258)</w:t>
            </w:r>
          </w:p>
        </w:tc>
        <w:tc>
          <w:tcPr>
            <w:tcW w:w="785" w:type="pct"/>
            <w:tcBorders>
              <w:top w:val="nil"/>
              <w:left w:val="nil"/>
              <w:bottom w:val="nil"/>
              <w:right w:val="nil"/>
            </w:tcBorders>
            <w:shd w:val="clear" w:color="000000" w:fill="FFFFFF"/>
            <w:noWrap/>
            <w:vAlign w:val="bottom"/>
            <w:hideMark/>
          </w:tcPr>
          <w:p w14:paraId="007673C3" w14:textId="77777777" w:rsidR="0029203E" w:rsidRPr="0029203E" w:rsidRDefault="0029203E" w:rsidP="0029203E">
            <w:pPr>
              <w:jc w:val="right"/>
              <w:rPr>
                <w:rFonts w:asciiTheme="majorHAnsi" w:hAnsiTheme="majorHAnsi" w:cs="Arial"/>
                <w:b/>
                <w:bCs/>
                <w:sz w:val="16"/>
                <w:szCs w:val="16"/>
              </w:rPr>
            </w:pPr>
            <w:r w:rsidRPr="0029203E">
              <w:rPr>
                <w:rFonts w:asciiTheme="majorHAnsi" w:hAnsiTheme="majorHAnsi" w:cs="Arial"/>
                <w:b/>
                <w:bCs/>
                <w:sz w:val="16"/>
                <w:szCs w:val="16"/>
              </w:rPr>
              <w:t xml:space="preserve">         (482.671.718)</w:t>
            </w:r>
          </w:p>
        </w:tc>
        <w:tc>
          <w:tcPr>
            <w:tcW w:w="831" w:type="pct"/>
            <w:tcBorders>
              <w:top w:val="nil"/>
              <w:left w:val="nil"/>
              <w:bottom w:val="nil"/>
              <w:right w:val="nil"/>
            </w:tcBorders>
            <w:shd w:val="clear" w:color="000000" w:fill="FFFFFF"/>
            <w:noWrap/>
            <w:vAlign w:val="bottom"/>
            <w:hideMark/>
          </w:tcPr>
          <w:p w14:paraId="5B439EB5" w14:textId="77777777" w:rsidR="0029203E" w:rsidRPr="0029203E" w:rsidRDefault="0029203E" w:rsidP="0029203E">
            <w:pPr>
              <w:jc w:val="right"/>
              <w:rPr>
                <w:rFonts w:asciiTheme="majorHAnsi" w:hAnsiTheme="majorHAnsi" w:cs="Arial"/>
                <w:b/>
                <w:bCs/>
                <w:sz w:val="16"/>
                <w:szCs w:val="16"/>
              </w:rPr>
            </w:pPr>
            <w:r w:rsidRPr="0029203E">
              <w:rPr>
                <w:rFonts w:asciiTheme="majorHAnsi" w:hAnsiTheme="majorHAnsi" w:cs="Arial"/>
                <w:b/>
                <w:bCs/>
                <w:sz w:val="16"/>
                <w:szCs w:val="16"/>
              </w:rPr>
              <w:t xml:space="preserve">           (474.158.193)</w:t>
            </w:r>
          </w:p>
        </w:tc>
      </w:tr>
      <w:tr w:rsidR="0029203E" w:rsidRPr="0029203E" w14:paraId="7CAFDF97" w14:textId="77777777" w:rsidTr="0029203E">
        <w:trPr>
          <w:trHeight w:val="319"/>
        </w:trPr>
        <w:tc>
          <w:tcPr>
            <w:tcW w:w="1757" w:type="pct"/>
            <w:tcBorders>
              <w:top w:val="nil"/>
              <w:left w:val="nil"/>
              <w:bottom w:val="nil"/>
              <w:right w:val="nil"/>
            </w:tcBorders>
            <w:shd w:val="clear" w:color="auto" w:fill="auto"/>
            <w:noWrap/>
            <w:vAlign w:val="bottom"/>
            <w:hideMark/>
          </w:tcPr>
          <w:p w14:paraId="622A7000" w14:textId="77777777" w:rsidR="0029203E" w:rsidRPr="0029203E" w:rsidRDefault="0029203E">
            <w:pPr>
              <w:rPr>
                <w:rFonts w:asciiTheme="majorHAnsi" w:hAnsiTheme="majorHAnsi" w:cs="Arial"/>
                <w:b/>
                <w:bCs/>
                <w:sz w:val="16"/>
                <w:szCs w:val="16"/>
              </w:rPr>
            </w:pPr>
          </w:p>
        </w:tc>
        <w:tc>
          <w:tcPr>
            <w:tcW w:w="55" w:type="pct"/>
            <w:tcBorders>
              <w:top w:val="nil"/>
              <w:left w:val="nil"/>
              <w:bottom w:val="nil"/>
              <w:right w:val="nil"/>
            </w:tcBorders>
            <w:shd w:val="clear" w:color="auto" w:fill="auto"/>
            <w:noWrap/>
            <w:vAlign w:val="bottom"/>
            <w:hideMark/>
          </w:tcPr>
          <w:p w14:paraId="1117A8A3" w14:textId="77777777" w:rsidR="0029203E" w:rsidRPr="0029203E" w:rsidRDefault="0029203E">
            <w:pPr>
              <w:rPr>
                <w:rFonts w:asciiTheme="majorHAnsi" w:hAnsiTheme="majorHAnsi"/>
                <w:sz w:val="16"/>
                <w:szCs w:val="16"/>
              </w:rPr>
            </w:pPr>
          </w:p>
        </w:tc>
        <w:tc>
          <w:tcPr>
            <w:tcW w:w="786" w:type="pct"/>
            <w:tcBorders>
              <w:top w:val="nil"/>
              <w:left w:val="nil"/>
              <w:bottom w:val="nil"/>
              <w:right w:val="nil"/>
            </w:tcBorders>
            <w:shd w:val="clear" w:color="auto" w:fill="auto"/>
            <w:noWrap/>
            <w:vAlign w:val="bottom"/>
            <w:hideMark/>
          </w:tcPr>
          <w:p w14:paraId="53AD39A0" w14:textId="77777777" w:rsidR="0029203E" w:rsidRPr="0029203E" w:rsidRDefault="0029203E" w:rsidP="0029203E">
            <w:pPr>
              <w:jc w:val="right"/>
              <w:rPr>
                <w:rFonts w:asciiTheme="majorHAnsi" w:hAnsiTheme="majorHAnsi"/>
                <w:sz w:val="16"/>
                <w:szCs w:val="16"/>
              </w:rPr>
            </w:pPr>
          </w:p>
        </w:tc>
        <w:tc>
          <w:tcPr>
            <w:tcW w:w="785" w:type="pct"/>
            <w:tcBorders>
              <w:top w:val="nil"/>
              <w:left w:val="nil"/>
              <w:bottom w:val="nil"/>
              <w:right w:val="nil"/>
            </w:tcBorders>
            <w:shd w:val="clear" w:color="auto" w:fill="auto"/>
            <w:noWrap/>
            <w:vAlign w:val="bottom"/>
            <w:hideMark/>
          </w:tcPr>
          <w:p w14:paraId="378882BF" w14:textId="77777777" w:rsidR="0029203E" w:rsidRPr="0029203E" w:rsidRDefault="0029203E" w:rsidP="0029203E">
            <w:pPr>
              <w:jc w:val="right"/>
              <w:rPr>
                <w:rFonts w:asciiTheme="majorHAnsi" w:hAnsiTheme="majorHAnsi"/>
                <w:sz w:val="16"/>
                <w:szCs w:val="16"/>
              </w:rPr>
            </w:pPr>
          </w:p>
        </w:tc>
        <w:tc>
          <w:tcPr>
            <w:tcW w:w="785" w:type="pct"/>
            <w:tcBorders>
              <w:top w:val="nil"/>
              <w:left w:val="nil"/>
              <w:bottom w:val="nil"/>
              <w:right w:val="nil"/>
            </w:tcBorders>
            <w:shd w:val="clear" w:color="auto" w:fill="auto"/>
            <w:noWrap/>
            <w:vAlign w:val="bottom"/>
            <w:hideMark/>
          </w:tcPr>
          <w:p w14:paraId="0B0CA824" w14:textId="77777777" w:rsidR="0029203E" w:rsidRPr="0029203E" w:rsidRDefault="0029203E" w:rsidP="0029203E">
            <w:pPr>
              <w:jc w:val="right"/>
              <w:rPr>
                <w:rFonts w:asciiTheme="majorHAnsi" w:hAnsiTheme="majorHAnsi"/>
                <w:sz w:val="16"/>
                <w:szCs w:val="16"/>
              </w:rPr>
            </w:pPr>
          </w:p>
        </w:tc>
        <w:tc>
          <w:tcPr>
            <w:tcW w:w="831" w:type="pct"/>
            <w:tcBorders>
              <w:top w:val="nil"/>
              <w:left w:val="nil"/>
              <w:bottom w:val="nil"/>
              <w:right w:val="nil"/>
            </w:tcBorders>
            <w:shd w:val="clear" w:color="auto" w:fill="auto"/>
            <w:noWrap/>
            <w:vAlign w:val="bottom"/>
            <w:hideMark/>
          </w:tcPr>
          <w:p w14:paraId="7F9B1CE1" w14:textId="77777777" w:rsidR="0029203E" w:rsidRPr="0029203E" w:rsidRDefault="0029203E" w:rsidP="0029203E">
            <w:pPr>
              <w:jc w:val="right"/>
              <w:rPr>
                <w:rFonts w:asciiTheme="majorHAnsi" w:hAnsiTheme="majorHAnsi"/>
                <w:sz w:val="16"/>
                <w:szCs w:val="16"/>
              </w:rPr>
            </w:pPr>
          </w:p>
        </w:tc>
      </w:tr>
      <w:tr w:rsidR="0029203E" w:rsidRPr="0029203E" w14:paraId="61155462" w14:textId="77777777" w:rsidTr="0029203E">
        <w:trPr>
          <w:trHeight w:val="300"/>
        </w:trPr>
        <w:tc>
          <w:tcPr>
            <w:tcW w:w="5000" w:type="pct"/>
            <w:gridSpan w:val="6"/>
            <w:tcBorders>
              <w:top w:val="nil"/>
              <w:left w:val="nil"/>
              <w:bottom w:val="nil"/>
              <w:right w:val="nil"/>
            </w:tcBorders>
            <w:shd w:val="clear" w:color="auto" w:fill="auto"/>
            <w:noWrap/>
            <w:vAlign w:val="bottom"/>
            <w:hideMark/>
          </w:tcPr>
          <w:p w14:paraId="0221ADCD" w14:textId="77777777" w:rsidR="0029203E" w:rsidRPr="0029203E" w:rsidRDefault="0029203E">
            <w:pPr>
              <w:jc w:val="center"/>
              <w:rPr>
                <w:rFonts w:asciiTheme="majorHAnsi" w:hAnsiTheme="majorHAnsi" w:cs="Arial"/>
                <w:sz w:val="16"/>
                <w:szCs w:val="16"/>
              </w:rPr>
            </w:pPr>
            <w:r w:rsidRPr="0029203E">
              <w:rPr>
                <w:rFonts w:asciiTheme="majorHAnsi" w:hAnsiTheme="majorHAnsi" w:cs="Arial"/>
                <w:sz w:val="16"/>
                <w:szCs w:val="16"/>
              </w:rPr>
              <w:t>(As Notas Explicativas são parte integrante das demonstrações contábeis intermediárias)</w:t>
            </w:r>
          </w:p>
        </w:tc>
      </w:tr>
    </w:tbl>
    <w:p w14:paraId="54E809F1" w14:textId="53181208" w:rsidR="00EE5736" w:rsidRDefault="00EE5736" w:rsidP="002E2B5B">
      <w:pPr>
        <w:pStyle w:val="Ttulo1"/>
        <w:tabs>
          <w:tab w:val="left" w:pos="1701"/>
        </w:tabs>
        <w:ind w:right="-142"/>
        <w:rPr>
          <w:rFonts w:ascii="Calibri" w:hAnsi="Calibri" w:cs="Calibri"/>
          <w:szCs w:val="22"/>
        </w:rPr>
      </w:pPr>
    </w:p>
    <w:p w14:paraId="5D78B0AB" w14:textId="7A1E824F" w:rsidR="0029203E" w:rsidRDefault="0029203E" w:rsidP="0029203E"/>
    <w:p w14:paraId="7F7A0A01" w14:textId="07DECB91" w:rsidR="0029203E" w:rsidRDefault="0029203E" w:rsidP="0029203E"/>
    <w:p w14:paraId="09342F41" w14:textId="32057F38" w:rsidR="0029203E" w:rsidRDefault="0029203E" w:rsidP="0029203E"/>
    <w:p w14:paraId="17EE6070" w14:textId="2EF65B0A" w:rsidR="0029203E" w:rsidRDefault="0029203E" w:rsidP="0029203E"/>
    <w:p w14:paraId="3C0F6ADF" w14:textId="3683B77E" w:rsidR="0029203E" w:rsidRDefault="0029203E" w:rsidP="0029203E"/>
    <w:p w14:paraId="76232560" w14:textId="3D5DD474" w:rsidR="0029203E" w:rsidRDefault="0029203E" w:rsidP="0029203E"/>
    <w:p w14:paraId="53AC344A" w14:textId="105EE609" w:rsidR="0029203E" w:rsidRDefault="0029203E" w:rsidP="0029203E"/>
    <w:p w14:paraId="23AB9102" w14:textId="07E6B3E0" w:rsidR="0029203E" w:rsidRDefault="0029203E" w:rsidP="0029203E"/>
    <w:p w14:paraId="388F4A0E" w14:textId="6C18BEF8" w:rsidR="0029203E" w:rsidRDefault="0029203E" w:rsidP="0029203E"/>
    <w:p w14:paraId="0C631FAA" w14:textId="51C28211" w:rsidR="0029203E" w:rsidRDefault="0029203E" w:rsidP="0029203E"/>
    <w:p w14:paraId="2E04A0B1" w14:textId="029569F7" w:rsidR="0029203E" w:rsidRDefault="0029203E" w:rsidP="0029203E"/>
    <w:p w14:paraId="390EDD08" w14:textId="0A424D82" w:rsidR="0029203E" w:rsidRDefault="0029203E" w:rsidP="0029203E"/>
    <w:p w14:paraId="2CA4374A" w14:textId="32E9DB2A" w:rsidR="0029203E" w:rsidRDefault="0029203E" w:rsidP="0029203E"/>
    <w:p w14:paraId="5089A676" w14:textId="4BC3CC4A" w:rsidR="0029203E" w:rsidRDefault="0029203E" w:rsidP="0029203E"/>
    <w:p w14:paraId="31812167" w14:textId="41EB432F" w:rsidR="0029203E" w:rsidRDefault="0029203E" w:rsidP="0029203E"/>
    <w:p w14:paraId="797D48F3" w14:textId="56647B2D" w:rsidR="0029203E" w:rsidRDefault="0029203E" w:rsidP="0029203E"/>
    <w:p w14:paraId="67D65293" w14:textId="242ABA74" w:rsidR="0029203E" w:rsidRDefault="0029203E" w:rsidP="0029203E"/>
    <w:p w14:paraId="163FC0F2" w14:textId="26D9BE5C" w:rsidR="0029203E" w:rsidRDefault="0029203E" w:rsidP="0029203E"/>
    <w:p w14:paraId="0A689CFA" w14:textId="6A5AD638" w:rsidR="0029203E" w:rsidRDefault="0029203E" w:rsidP="0029203E"/>
    <w:p w14:paraId="39D91369" w14:textId="57CA80A7" w:rsidR="0029203E" w:rsidRDefault="0029203E" w:rsidP="0029203E"/>
    <w:p w14:paraId="0EB67AE3" w14:textId="0994FF61" w:rsidR="0029203E" w:rsidRDefault="0029203E" w:rsidP="0029203E"/>
    <w:p w14:paraId="3415E675" w14:textId="4736F583" w:rsidR="0029203E" w:rsidRDefault="0029203E" w:rsidP="0029203E"/>
    <w:p w14:paraId="227588B8" w14:textId="120AC46D" w:rsidR="0029203E" w:rsidRDefault="0029203E" w:rsidP="0029203E"/>
    <w:p w14:paraId="421E4B4F" w14:textId="1F3BFB01" w:rsidR="0029203E" w:rsidRDefault="0029203E" w:rsidP="0029203E"/>
    <w:p w14:paraId="5B191F04" w14:textId="6DC7CB7F" w:rsidR="0029203E" w:rsidRDefault="0029203E" w:rsidP="0029203E"/>
    <w:p w14:paraId="24D6A852" w14:textId="5A041BE4" w:rsidR="0029203E" w:rsidRDefault="0029203E" w:rsidP="0029203E"/>
    <w:p w14:paraId="6AAEEC51" w14:textId="53ACCE3E" w:rsidR="0029203E" w:rsidRDefault="0029203E" w:rsidP="0029203E"/>
    <w:p w14:paraId="2771132A" w14:textId="37F908A7" w:rsidR="0029203E" w:rsidRDefault="0029203E" w:rsidP="0029203E"/>
    <w:p w14:paraId="67CDB2B3" w14:textId="594D7A88" w:rsidR="0029203E" w:rsidRDefault="0029203E" w:rsidP="0029203E"/>
    <w:p w14:paraId="0C6296C4" w14:textId="3D3E8B22" w:rsidR="0029203E" w:rsidRDefault="0029203E" w:rsidP="0029203E"/>
    <w:p w14:paraId="236C7E74" w14:textId="77777777" w:rsidR="0029203E" w:rsidRPr="0029203E" w:rsidRDefault="0029203E" w:rsidP="0029203E"/>
    <w:p w14:paraId="73FB709D" w14:textId="77777777" w:rsidR="00EE5736" w:rsidRDefault="00EE5736" w:rsidP="002E2B5B">
      <w:pPr>
        <w:pStyle w:val="Ttulo1"/>
        <w:tabs>
          <w:tab w:val="left" w:pos="1701"/>
        </w:tabs>
        <w:ind w:right="-142"/>
        <w:rPr>
          <w:rFonts w:ascii="Calibri" w:hAnsi="Calibri" w:cs="Calibri"/>
          <w:szCs w:val="22"/>
        </w:rPr>
      </w:pPr>
    </w:p>
    <w:p w14:paraId="2346CA84" w14:textId="77777777" w:rsidR="00EE5736" w:rsidRDefault="00EE5736" w:rsidP="002E2B5B">
      <w:pPr>
        <w:pStyle w:val="Ttulo1"/>
        <w:tabs>
          <w:tab w:val="left" w:pos="1701"/>
        </w:tabs>
        <w:ind w:right="-142"/>
        <w:rPr>
          <w:rFonts w:ascii="Calibri" w:hAnsi="Calibri" w:cs="Calibri"/>
          <w:szCs w:val="22"/>
        </w:rPr>
      </w:pPr>
    </w:p>
    <w:p w14:paraId="235443E3" w14:textId="77777777" w:rsidR="00EE5736" w:rsidRDefault="00EE5736" w:rsidP="002E2B5B">
      <w:pPr>
        <w:pStyle w:val="Ttulo1"/>
        <w:tabs>
          <w:tab w:val="left" w:pos="1701"/>
        </w:tabs>
        <w:ind w:right="-142"/>
        <w:rPr>
          <w:rFonts w:ascii="Calibri" w:hAnsi="Calibri" w:cs="Calibri"/>
          <w:szCs w:val="22"/>
        </w:rPr>
      </w:pPr>
    </w:p>
    <w:tbl>
      <w:tblPr>
        <w:tblW w:w="5000" w:type="pct"/>
        <w:tblCellMar>
          <w:left w:w="70" w:type="dxa"/>
          <w:right w:w="70" w:type="dxa"/>
        </w:tblCellMar>
        <w:tblLook w:val="04A0" w:firstRow="1" w:lastRow="0" w:firstColumn="1" w:lastColumn="0" w:noHBand="0" w:noVBand="1"/>
      </w:tblPr>
      <w:tblGrid>
        <w:gridCol w:w="3260"/>
        <w:gridCol w:w="1302"/>
        <w:gridCol w:w="1913"/>
        <w:gridCol w:w="1805"/>
        <w:gridCol w:w="2187"/>
      </w:tblGrid>
      <w:tr w:rsidR="008F3CCB" w:rsidRPr="00A774D3" w14:paraId="7B9396C1" w14:textId="77777777" w:rsidTr="00A774D3">
        <w:trPr>
          <w:trHeight w:val="300"/>
        </w:trPr>
        <w:tc>
          <w:tcPr>
            <w:tcW w:w="5000" w:type="pct"/>
            <w:gridSpan w:val="5"/>
            <w:tcBorders>
              <w:top w:val="nil"/>
              <w:left w:val="nil"/>
              <w:bottom w:val="nil"/>
              <w:right w:val="nil"/>
            </w:tcBorders>
            <w:shd w:val="clear" w:color="auto" w:fill="auto"/>
            <w:noWrap/>
            <w:vAlign w:val="center"/>
            <w:hideMark/>
          </w:tcPr>
          <w:p w14:paraId="3B0CF804" w14:textId="77777777" w:rsidR="008F3CCB" w:rsidRPr="00A774D3" w:rsidRDefault="008F3CCB">
            <w:pPr>
              <w:jc w:val="center"/>
              <w:rPr>
                <w:rFonts w:asciiTheme="majorHAnsi" w:hAnsiTheme="majorHAnsi" w:cs="Arial"/>
                <w:b/>
                <w:bCs/>
                <w:sz w:val="16"/>
                <w:szCs w:val="16"/>
              </w:rPr>
            </w:pPr>
            <w:r w:rsidRPr="00A774D3">
              <w:rPr>
                <w:rFonts w:asciiTheme="majorHAnsi" w:hAnsiTheme="majorHAnsi" w:cs="Arial"/>
                <w:b/>
                <w:bCs/>
                <w:sz w:val="16"/>
                <w:szCs w:val="16"/>
              </w:rPr>
              <w:t>VALEC ENGENHARIA, CONSTRUÇÕES E FERROVIAS S/A</w:t>
            </w:r>
          </w:p>
        </w:tc>
      </w:tr>
      <w:tr w:rsidR="008F3CCB" w:rsidRPr="00A774D3" w14:paraId="168D931C" w14:textId="77777777" w:rsidTr="00A774D3">
        <w:trPr>
          <w:trHeight w:val="300"/>
        </w:trPr>
        <w:tc>
          <w:tcPr>
            <w:tcW w:w="5000" w:type="pct"/>
            <w:gridSpan w:val="5"/>
            <w:tcBorders>
              <w:top w:val="nil"/>
              <w:left w:val="nil"/>
              <w:bottom w:val="nil"/>
              <w:right w:val="nil"/>
            </w:tcBorders>
            <w:shd w:val="clear" w:color="auto" w:fill="auto"/>
            <w:noWrap/>
            <w:vAlign w:val="center"/>
            <w:hideMark/>
          </w:tcPr>
          <w:p w14:paraId="680B5A21" w14:textId="77777777" w:rsidR="008F3CCB" w:rsidRPr="00A774D3" w:rsidRDefault="008F3CCB">
            <w:pPr>
              <w:jc w:val="center"/>
              <w:rPr>
                <w:rFonts w:asciiTheme="majorHAnsi" w:hAnsiTheme="majorHAnsi" w:cs="Arial"/>
                <w:b/>
                <w:bCs/>
                <w:sz w:val="16"/>
                <w:szCs w:val="16"/>
              </w:rPr>
            </w:pPr>
            <w:r w:rsidRPr="00A774D3">
              <w:rPr>
                <w:rFonts w:asciiTheme="majorHAnsi" w:hAnsiTheme="majorHAnsi" w:cs="Arial"/>
                <w:b/>
                <w:bCs/>
                <w:sz w:val="16"/>
                <w:szCs w:val="16"/>
              </w:rPr>
              <w:t xml:space="preserve">DEMONSTRAÇÕES DAS MUTAÇÕES DO PATRIMÔNIO LÍQUIDO </w:t>
            </w:r>
          </w:p>
        </w:tc>
      </w:tr>
      <w:tr w:rsidR="008F3CCB" w:rsidRPr="00A774D3" w14:paraId="5C1B5546" w14:textId="77777777" w:rsidTr="00A774D3">
        <w:trPr>
          <w:trHeight w:val="300"/>
        </w:trPr>
        <w:tc>
          <w:tcPr>
            <w:tcW w:w="5000" w:type="pct"/>
            <w:gridSpan w:val="5"/>
            <w:tcBorders>
              <w:top w:val="nil"/>
              <w:left w:val="nil"/>
              <w:bottom w:val="nil"/>
              <w:right w:val="nil"/>
            </w:tcBorders>
            <w:shd w:val="clear" w:color="auto" w:fill="auto"/>
            <w:noWrap/>
            <w:vAlign w:val="center"/>
            <w:hideMark/>
          </w:tcPr>
          <w:p w14:paraId="50515AF5" w14:textId="77777777" w:rsidR="008F3CCB" w:rsidRPr="00A774D3" w:rsidRDefault="008F3CCB">
            <w:pPr>
              <w:jc w:val="center"/>
              <w:rPr>
                <w:rFonts w:asciiTheme="majorHAnsi" w:hAnsiTheme="majorHAnsi" w:cs="Arial"/>
                <w:b/>
                <w:bCs/>
                <w:sz w:val="16"/>
                <w:szCs w:val="16"/>
              </w:rPr>
            </w:pPr>
            <w:r w:rsidRPr="00A774D3">
              <w:rPr>
                <w:rFonts w:asciiTheme="majorHAnsi" w:hAnsiTheme="majorHAnsi" w:cs="Arial"/>
                <w:b/>
                <w:bCs/>
                <w:sz w:val="16"/>
                <w:szCs w:val="16"/>
              </w:rPr>
              <w:t>3º TRIMESTRE 2021</w:t>
            </w:r>
          </w:p>
        </w:tc>
      </w:tr>
      <w:tr w:rsidR="008F3CCB" w:rsidRPr="00A774D3" w14:paraId="56674192" w14:textId="77777777" w:rsidTr="00A774D3">
        <w:trPr>
          <w:trHeight w:val="300"/>
        </w:trPr>
        <w:tc>
          <w:tcPr>
            <w:tcW w:w="5000" w:type="pct"/>
            <w:gridSpan w:val="5"/>
            <w:tcBorders>
              <w:top w:val="nil"/>
              <w:left w:val="nil"/>
              <w:bottom w:val="nil"/>
              <w:right w:val="nil"/>
            </w:tcBorders>
            <w:shd w:val="clear" w:color="auto" w:fill="auto"/>
            <w:noWrap/>
            <w:vAlign w:val="center"/>
            <w:hideMark/>
          </w:tcPr>
          <w:p w14:paraId="1FA34A54" w14:textId="77777777" w:rsidR="008F3CCB" w:rsidRPr="00A774D3" w:rsidRDefault="008F3CCB">
            <w:pPr>
              <w:jc w:val="center"/>
              <w:rPr>
                <w:rFonts w:asciiTheme="majorHAnsi" w:hAnsiTheme="majorHAnsi" w:cs="Arial"/>
                <w:b/>
                <w:bCs/>
                <w:sz w:val="16"/>
                <w:szCs w:val="16"/>
              </w:rPr>
            </w:pPr>
            <w:r w:rsidRPr="00A774D3">
              <w:rPr>
                <w:rFonts w:asciiTheme="majorHAnsi" w:hAnsiTheme="majorHAnsi" w:cs="Arial"/>
                <w:b/>
                <w:bCs/>
                <w:sz w:val="16"/>
                <w:szCs w:val="16"/>
              </w:rPr>
              <w:t>Em R$ 1</w:t>
            </w:r>
          </w:p>
        </w:tc>
      </w:tr>
      <w:tr w:rsidR="00A774D3" w:rsidRPr="00A774D3" w14:paraId="29F2EC13" w14:textId="77777777" w:rsidTr="00A774D3">
        <w:trPr>
          <w:trHeight w:val="315"/>
        </w:trPr>
        <w:tc>
          <w:tcPr>
            <w:tcW w:w="1537" w:type="pct"/>
            <w:tcBorders>
              <w:top w:val="nil"/>
              <w:left w:val="nil"/>
              <w:bottom w:val="nil"/>
              <w:right w:val="nil"/>
            </w:tcBorders>
            <w:shd w:val="clear" w:color="auto" w:fill="auto"/>
            <w:noWrap/>
            <w:vAlign w:val="center"/>
            <w:hideMark/>
          </w:tcPr>
          <w:p w14:paraId="524B5BB3" w14:textId="77777777" w:rsidR="008F3CCB" w:rsidRPr="00A774D3" w:rsidRDefault="008F3CCB">
            <w:pPr>
              <w:jc w:val="center"/>
              <w:rPr>
                <w:rFonts w:asciiTheme="majorHAnsi" w:hAnsiTheme="majorHAnsi" w:cs="Arial"/>
                <w:b/>
                <w:bCs/>
                <w:sz w:val="16"/>
                <w:szCs w:val="16"/>
              </w:rPr>
            </w:pPr>
          </w:p>
        </w:tc>
        <w:tc>
          <w:tcPr>
            <w:tcW w:w="626" w:type="pct"/>
            <w:tcBorders>
              <w:top w:val="nil"/>
              <w:left w:val="nil"/>
              <w:bottom w:val="nil"/>
              <w:right w:val="nil"/>
            </w:tcBorders>
            <w:shd w:val="clear" w:color="auto" w:fill="auto"/>
            <w:noWrap/>
            <w:vAlign w:val="center"/>
            <w:hideMark/>
          </w:tcPr>
          <w:p w14:paraId="3009BDD1" w14:textId="77777777" w:rsidR="008F3CCB" w:rsidRPr="00A774D3" w:rsidRDefault="008F3CCB">
            <w:pPr>
              <w:rPr>
                <w:rFonts w:asciiTheme="majorHAnsi" w:hAnsiTheme="majorHAnsi"/>
                <w:sz w:val="16"/>
                <w:szCs w:val="16"/>
              </w:rPr>
            </w:pPr>
          </w:p>
        </w:tc>
        <w:tc>
          <w:tcPr>
            <w:tcW w:w="919" w:type="pct"/>
            <w:tcBorders>
              <w:top w:val="nil"/>
              <w:left w:val="nil"/>
              <w:bottom w:val="nil"/>
              <w:right w:val="nil"/>
            </w:tcBorders>
            <w:shd w:val="clear" w:color="auto" w:fill="auto"/>
            <w:noWrap/>
            <w:vAlign w:val="center"/>
            <w:hideMark/>
          </w:tcPr>
          <w:p w14:paraId="00C3C1F6" w14:textId="77777777" w:rsidR="008F3CCB" w:rsidRPr="00A774D3" w:rsidRDefault="008F3CCB">
            <w:pPr>
              <w:rPr>
                <w:rFonts w:asciiTheme="majorHAnsi" w:hAnsiTheme="majorHAnsi"/>
                <w:sz w:val="16"/>
                <w:szCs w:val="16"/>
              </w:rPr>
            </w:pPr>
          </w:p>
        </w:tc>
        <w:tc>
          <w:tcPr>
            <w:tcW w:w="867" w:type="pct"/>
            <w:tcBorders>
              <w:top w:val="nil"/>
              <w:left w:val="nil"/>
              <w:bottom w:val="nil"/>
              <w:right w:val="nil"/>
            </w:tcBorders>
            <w:shd w:val="clear" w:color="auto" w:fill="auto"/>
            <w:noWrap/>
            <w:vAlign w:val="center"/>
            <w:hideMark/>
          </w:tcPr>
          <w:p w14:paraId="70F4B555" w14:textId="77777777" w:rsidR="008F3CCB" w:rsidRPr="00A774D3" w:rsidRDefault="008F3CCB">
            <w:pPr>
              <w:rPr>
                <w:rFonts w:asciiTheme="majorHAnsi" w:hAnsiTheme="majorHAnsi"/>
                <w:sz w:val="16"/>
                <w:szCs w:val="16"/>
              </w:rPr>
            </w:pPr>
          </w:p>
        </w:tc>
        <w:tc>
          <w:tcPr>
            <w:tcW w:w="1051" w:type="pct"/>
            <w:tcBorders>
              <w:top w:val="nil"/>
              <w:left w:val="nil"/>
              <w:bottom w:val="nil"/>
              <w:right w:val="nil"/>
            </w:tcBorders>
            <w:shd w:val="clear" w:color="auto" w:fill="auto"/>
            <w:noWrap/>
            <w:vAlign w:val="center"/>
            <w:hideMark/>
          </w:tcPr>
          <w:p w14:paraId="76DD7C35" w14:textId="77777777" w:rsidR="008F3CCB" w:rsidRPr="00A774D3" w:rsidRDefault="008F3CCB">
            <w:pPr>
              <w:rPr>
                <w:rFonts w:asciiTheme="majorHAnsi" w:hAnsiTheme="majorHAnsi"/>
                <w:sz w:val="16"/>
                <w:szCs w:val="16"/>
              </w:rPr>
            </w:pPr>
          </w:p>
        </w:tc>
      </w:tr>
      <w:tr w:rsidR="00A774D3" w:rsidRPr="00A774D3" w14:paraId="59DDF7BE" w14:textId="77777777" w:rsidTr="00A774D3">
        <w:trPr>
          <w:trHeight w:val="300"/>
        </w:trPr>
        <w:tc>
          <w:tcPr>
            <w:tcW w:w="1537" w:type="pct"/>
            <w:vMerge w:val="restart"/>
            <w:tcBorders>
              <w:top w:val="single" w:sz="8" w:space="0" w:color="auto"/>
              <w:left w:val="single" w:sz="8" w:space="0" w:color="auto"/>
              <w:right w:val="single" w:sz="8" w:space="0" w:color="auto"/>
            </w:tcBorders>
            <w:shd w:val="clear" w:color="auto" w:fill="auto"/>
            <w:noWrap/>
            <w:vAlign w:val="center"/>
            <w:hideMark/>
          </w:tcPr>
          <w:p w14:paraId="67576141" w14:textId="6842B00C" w:rsidR="00A774D3" w:rsidRPr="00A774D3" w:rsidRDefault="00A774D3" w:rsidP="00A774D3">
            <w:pPr>
              <w:rPr>
                <w:rFonts w:asciiTheme="majorHAnsi" w:hAnsiTheme="majorHAnsi" w:cs="Arial"/>
                <w:b/>
                <w:bCs/>
                <w:sz w:val="16"/>
                <w:szCs w:val="16"/>
              </w:rPr>
            </w:pPr>
            <w:r w:rsidRPr="00A774D3">
              <w:rPr>
                <w:rFonts w:asciiTheme="majorHAnsi" w:hAnsiTheme="majorHAnsi" w:cs="Arial"/>
                <w:sz w:val="16"/>
                <w:szCs w:val="16"/>
              </w:rPr>
              <w:t xml:space="preserve">                        </w:t>
            </w:r>
            <w:r w:rsidRPr="00A774D3">
              <w:rPr>
                <w:rFonts w:asciiTheme="majorHAnsi" w:hAnsiTheme="majorHAnsi" w:cs="Arial"/>
                <w:b/>
                <w:bCs/>
                <w:sz w:val="16"/>
                <w:szCs w:val="16"/>
              </w:rPr>
              <w:t>Classificação</w:t>
            </w:r>
          </w:p>
        </w:tc>
        <w:tc>
          <w:tcPr>
            <w:tcW w:w="626" w:type="pct"/>
            <w:tcBorders>
              <w:top w:val="single" w:sz="8" w:space="0" w:color="auto"/>
              <w:left w:val="nil"/>
              <w:bottom w:val="nil"/>
              <w:right w:val="single" w:sz="8" w:space="0" w:color="auto"/>
            </w:tcBorders>
            <w:shd w:val="clear" w:color="auto" w:fill="auto"/>
            <w:noWrap/>
            <w:vAlign w:val="center"/>
            <w:hideMark/>
          </w:tcPr>
          <w:p w14:paraId="1E3AD7FA" w14:textId="77777777" w:rsidR="00A774D3" w:rsidRPr="00A774D3" w:rsidRDefault="00A774D3">
            <w:pPr>
              <w:jc w:val="center"/>
              <w:rPr>
                <w:rFonts w:asciiTheme="majorHAnsi" w:hAnsiTheme="majorHAnsi" w:cs="Arial"/>
                <w:b/>
                <w:bCs/>
                <w:sz w:val="16"/>
                <w:szCs w:val="16"/>
              </w:rPr>
            </w:pPr>
            <w:r w:rsidRPr="00A774D3">
              <w:rPr>
                <w:rFonts w:asciiTheme="majorHAnsi" w:hAnsiTheme="majorHAnsi" w:cs="Arial"/>
                <w:b/>
                <w:bCs/>
                <w:sz w:val="16"/>
                <w:szCs w:val="16"/>
              </w:rPr>
              <w:t>Capital</w:t>
            </w:r>
          </w:p>
        </w:tc>
        <w:tc>
          <w:tcPr>
            <w:tcW w:w="919" w:type="pct"/>
            <w:tcBorders>
              <w:top w:val="single" w:sz="8" w:space="0" w:color="auto"/>
              <w:left w:val="nil"/>
              <w:bottom w:val="nil"/>
              <w:right w:val="single" w:sz="8" w:space="0" w:color="auto"/>
            </w:tcBorders>
            <w:shd w:val="clear" w:color="auto" w:fill="auto"/>
            <w:noWrap/>
            <w:vAlign w:val="center"/>
            <w:hideMark/>
          </w:tcPr>
          <w:p w14:paraId="527C51BC" w14:textId="5A9A2E01" w:rsidR="00A774D3" w:rsidRPr="00A774D3" w:rsidRDefault="00A774D3">
            <w:pPr>
              <w:jc w:val="center"/>
              <w:rPr>
                <w:rFonts w:asciiTheme="majorHAnsi" w:hAnsiTheme="majorHAnsi" w:cs="Arial"/>
                <w:b/>
                <w:bCs/>
                <w:sz w:val="16"/>
                <w:szCs w:val="16"/>
              </w:rPr>
            </w:pPr>
            <w:r w:rsidRPr="00A774D3">
              <w:rPr>
                <w:rFonts w:asciiTheme="majorHAnsi" w:hAnsiTheme="majorHAnsi" w:cs="Arial"/>
                <w:b/>
                <w:bCs/>
                <w:sz w:val="16"/>
                <w:szCs w:val="16"/>
              </w:rPr>
              <w:t>Adiantamento</w:t>
            </w:r>
            <w:r>
              <w:rPr>
                <w:rFonts w:asciiTheme="majorHAnsi" w:hAnsiTheme="majorHAnsi" w:cs="Arial"/>
                <w:b/>
                <w:bCs/>
                <w:sz w:val="16"/>
                <w:szCs w:val="16"/>
              </w:rPr>
              <w:t xml:space="preserve"> para </w:t>
            </w:r>
          </w:p>
        </w:tc>
        <w:tc>
          <w:tcPr>
            <w:tcW w:w="867" w:type="pct"/>
            <w:tcBorders>
              <w:top w:val="single" w:sz="8" w:space="0" w:color="auto"/>
              <w:left w:val="nil"/>
              <w:bottom w:val="nil"/>
              <w:right w:val="single" w:sz="8" w:space="0" w:color="auto"/>
            </w:tcBorders>
            <w:shd w:val="clear" w:color="auto" w:fill="auto"/>
            <w:noWrap/>
            <w:vAlign w:val="center"/>
            <w:hideMark/>
          </w:tcPr>
          <w:p w14:paraId="065870D1" w14:textId="195D63A7" w:rsidR="00A774D3" w:rsidRPr="00A774D3" w:rsidRDefault="00A774D3">
            <w:pPr>
              <w:jc w:val="center"/>
              <w:rPr>
                <w:rFonts w:asciiTheme="majorHAnsi" w:hAnsiTheme="majorHAnsi" w:cs="Arial"/>
                <w:b/>
                <w:bCs/>
                <w:sz w:val="16"/>
                <w:szCs w:val="16"/>
              </w:rPr>
            </w:pPr>
            <w:r w:rsidRPr="00A774D3">
              <w:rPr>
                <w:rFonts w:asciiTheme="majorHAnsi" w:hAnsiTheme="majorHAnsi" w:cs="Arial"/>
                <w:b/>
                <w:bCs/>
                <w:sz w:val="16"/>
                <w:szCs w:val="16"/>
              </w:rPr>
              <w:t>Lucros ou</w:t>
            </w:r>
            <w:r>
              <w:rPr>
                <w:rFonts w:asciiTheme="majorHAnsi" w:hAnsiTheme="majorHAnsi" w:cs="Arial"/>
                <w:b/>
                <w:bCs/>
                <w:sz w:val="16"/>
                <w:szCs w:val="16"/>
              </w:rPr>
              <w:t xml:space="preserve"> Prejuízos</w:t>
            </w:r>
          </w:p>
        </w:tc>
        <w:tc>
          <w:tcPr>
            <w:tcW w:w="1051" w:type="pct"/>
            <w:vMerge w:val="restart"/>
            <w:tcBorders>
              <w:top w:val="single" w:sz="8" w:space="0" w:color="auto"/>
              <w:left w:val="nil"/>
              <w:right w:val="single" w:sz="8" w:space="0" w:color="auto"/>
            </w:tcBorders>
            <w:shd w:val="clear" w:color="auto" w:fill="auto"/>
            <w:noWrap/>
            <w:vAlign w:val="center"/>
            <w:hideMark/>
          </w:tcPr>
          <w:p w14:paraId="09ECBB66" w14:textId="5BE16B97" w:rsidR="00A774D3" w:rsidRPr="00A774D3" w:rsidRDefault="00A774D3" w:rsidP="00A774D3">
            <w:pPr>
              <w:jc w:val="center"/>
              <w:rPr>
                <w:rFonts w:asciiTheme="majorHAnsi" w:hAnsiTheme="majorHAnsi" w:cs="Arial"/>
                <w:b/>
                <w:bCs/>
                <w:sz w:val="16"/>
                <w:szCs w:val="16"/>
              </w:rPr>
            </w:pPr>
            <w:r w:rsidRPr="00A774D3">
              <w:rPr>
                <w:rFonts w:asciiTheme="majorHAnsi" w:hAnsiTheme="majorHAnsi" w:cs="Arial"/>
                <w:b/>
                <w:bCs/>
                <w:sz w:val="16"/>
                <w:szCs w:val="16"/>
              </w:rPr>
              <w:t> Total</w:t>
            </w:r>
          </w:p>
        </w:tc>
      </w:tr>
      <w:tr w:rsidR="00A774D3" w:rsidRPr="00A774D3" w14:paraId="5DBBE1C7" w14:textId="77777777" w:rsidTr="00A774D3">
        <w:trPr>
          <w:trHeight w:val="300"/>
        </w:trPr>
        <w:tc>
          <w:tcPr>
            <w:tcW w:w="1537" w:type="pct"/>
            <w:vMerge/>
            <w:tcBorders>
              <w:left w:val="single" w:sz="8" w:space="0" w:color="auto"/>
              <w:bottom w:val="nil"/>
              <w:right w:val="single" w:sz="8" w:space="0" w:color="auto"/>
            </w:tcBorders>
            <w:shd w:val="clear" w:color="auto" w:fill="auto"/>
            <w:noWrap/>
            <w:vAlign w:val="center"/>
            <w:hideMark/>
          </w:tcPr>
          <w:p w14:paraId="33761D00" w14:textId="2625FF94" w:rsidR="00A774D3" w:rsidRPr="00A774D3" w:rsidRDefault="00A774D3">
            <w:pPr>
              <w:rPr>
                <w:rFonts w:asciiTheme="majorHAnsi" w:hAnsiTheme="majorHAnsi" w:cs="Arial"/>
                <w:sz w:val="16"/>
                <w:szCs w:val="16"/>
              </w:rPr>
            </w:pPr>
          </w:p>
        </w:tc>
        <w:tc>
          <w:tcPr>
            <w:tcW w:w="626" w:type="pct"/>
            <w:tcBorders>
              <w:top w:val="nil"/>
              <w:left w:val="nil"/>
              <w:bottom w:val="nil"/>
              <w:right w:val="single" w:sz="8" w:space="0" w:color="auto"/>
            </w:tcBorders>
            <w:shd w:val="clear" w:color="auto" w:fill="auto"/>
            <w:noWrap/>
            <w:vAlign w:val="center"/>
            <w:hideMark/>
          </w:tcPr>
          <w:p w14:paraId="55434ED5" w14:textId="77777777" w:rsidR="00A774D3" w:rsidRPr="00A774D3" w:rsidRDefault="00A774D3">
            <w:pPr>
              <w:jc w:val="center"/>
              <w:rPr>
                <w:rFonts w:asciiTheme="majorHAnsi" w:hAnsiTheme="majorHAnsi" w:cs="Arial"/>
                <w:b/>
                <w:bCs/>
                <w:sz w:val="16"/>
                <w:szCs w:val="16"/>
              </w:rPr>
            </w:pPr>
            <w:r w:rsidRPr="00A774D3">
              <w:rPr>
                <w:rFonts w:asciiTheme="majorHAnsi" w:hAnsiTheme="majorHAnsi" w:cs="Arial"/>
                <w:b/>
                <w:bCs/>
                <w:sz w:val="16"/>
                <w:szCs w:val="16"/>
              </w:rPr>
              <w:t>Social</w:t>
            </w:r>
          </w:p>
        </w:tc>
        <w:tc>
          <w:tcPr>
            <w:tcW w:w="919" w:type="pct"/>
            <w:tcBorders>
              <w:top w:val="nil"/>
              <w:left w:val="nil"/>
              <w:bottom w:val="nil"/>
              <w:right w:val="single" w:sz="8" w:space="0" w:color="auto"/>
            </w:tcBorders>
            <w:shd w:val="clear" w:color="auto" w:fill="auto"/>
            <w:noWrap/>
            <w:vAlign w:val="center"/>
            <w:hideMark/>
          </w:tcPr>
          <w:p w14:paraId="1234264F" w14:textId="7429B266" w:rsidR="00A774D3" w:rsidRPr="00A774D3" w:rsidRDefault="00A774D3">
            <w:pPr>
              <w:jc w:val="center"/>
              <w:rPr>
                <w:rFonts w:asciiTheme="majorHAnsi" w:hAnsiTheme="majorHAnsi" w:cs="Arial"/>
                <w:b/>
                <w:bCs/>
                <w:sz w:val="16"/>
                <w:szCs w:val="16"/>
              </w:rPr>
            </w:pPr>
            <w:r w:rsidRPr="00A774D3">
              <w:rPr>
                <w:rFonts w:asciiTheme="majorHAnsi" w:hAnsiTheme="majorHAnsi" w:cs="Arial"/>
                <w:b/>
                <w:bCs/>
                <w:sz w:val="16"/>
                <w:szCs w:val="16"/>
              </w:rPr>
              <w:t>Futuro Aumento</w:t>
            </w:r>
            <w:r>
              <w:rPr>
                <w:rFonts w:asciiTheme="majorHAnsi" w:hAnsiTheme="majorHAnsi" w:cs="Arial"/>
                <w:b/>
                <w:bCs/>
                <w:sz w:val="16"/>
                <w:szCs w:val="16"/>
              </w:rPr>
              <w:t xml:space="preserve"> de Capital</w:t>
            </w:r>
          </w:p>
        </w:tc>
        <w:tc>
          <w:tcPr>
            <w:tcW w:w="867" w:type="pct"/>
            <w:tcBorders>
              <w:top w:val="nil"/>
              <w:left w:val="nil"/>
              <w:bottom w:val="nil"/>
              <w:right w:val="single" w:sz="8" w:space="0" w:color="auto"/>
            </w:tcBorders>
            <w:shd w:val="clear" w:color="auto" w:fill="auto"/>
            <w:noWrap/>
            <w:vAlign w:val="center"/>
            <w:hideMark/>
          </w:tcPr>
          <w:p w14:paraId="75AE71DF" w14:textId="7D1BC305" w:rsidR="00A774D3" w:rsidRPr="00A774D3" w:rsidRDefault="00A774D3">
            <w:pPr>
              <w:jc w:val="center"/>
              <w:rPr>
                <w:rFonts w:asciiTheme="majorHAnsi" w:hAnsiTheme="majorHAnsi" w:cs="Arial"/>
                <w:b/>
                <w:bCs/>
                <w:sz w:val="16"/>
                <w:szCs w:val="16"/>
              </w:rPr>
            </w:pPr>
            <w:r w:rsidRPr="00A774D3">
              <w:rPr>
                <w:rFonts w:asciiTheme="majorHAnsi" w:hAnsiTheme="majorHAnsi" w:cs="Arial"/>
                <w:b/>
                <w:bCs/>
                <w:sz w:val="16"/>
                <w:szCs w:val="16"/>
              </w:rPr>
              <w:t>Acumulados</w:t>
            </w:r>
          </w:p>
        </w:tc>
        <w:tc>
          <w:tcPr>
            <w:tcW w:w="1051" w:type="pct"/>
            <w:vMerge/>
            <w:tcBorders>
              <w:left w:val="nil"/>
              <w:bottom w:val="nil"/>
              <w:right w:val="single" w:sz="8" w:space="0" w:color="auto"/>
            </w:tcBorders>
            <w:shd w:val="clear" w:color="auto" w:fill="auto"/>
            <w:noWrap/>
            <w:vAlign w:val="center"/>
            <w:hideMark/>
          </w:tcPr>
          <w:p w14:paraId="40537BA9" w14:textId="2F4B4C9F" w:rsidR="00A774D3" w:rsidRPr="00A774D3" w:rsidRDefault="00A774D3">
            <w:pPr>
              <w:jc w:val="center"/>
              <w:rPr>
                <w:rFonts w:asciiTheme="majorHAnsi" w:hAnsiTheme="majorHAnsi" w:cs="Arial"/>
                <w:b/>
                <w:bCs/>
                <w:sz w:val="16"/>
                <w:szCs w:val="16"/>
              </w:rPr>
            </w:pPr>
          </w:p>
        </w:tc>
      </w:tr>
      <w:tr w:rsidR="00A774D3" w:rsidRPr="00A774D3" w14:paraId="35C4049A" w14:textId="77777777" w:rsidTr="00A774D3">
        <w:trPr>
          <w:trHeight w:val="315"/>
        </w:trPr>
        <w:tc>
          <w:tcPr>
            <w:tcW w:w="15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761EDB" w14:textId="77777777" w:rsidR="008F3CCB" w:rsidRPr="00A774D3" w:rsidRDefault="008F3CCB">
            <w:pPr>
              <w:rPr>
                <w:rFonts w:asciiTheme="majorHAnsi" w:hAnsiTheme="majorHAnsi" w:cs="Arial"/>
                <w:b/>
                <w:bCs/>
                <w:sz w:val="16"/>
                <w:szCs w:val="16"/>
              </w:rPr>
            </w:pPr>
            <w:r w:rsidRPr="00A774D3">
              <w:rPr>
                <w:rFonts w:asciiTheme="majorHAnsi" w:hAnsiTheme="majorHAnsi" w:cs="Arial"/>
                <w:b/>
                <w:bCs/>
                <w:sz w:val="16"/>
                <w:szCs w:val="16"/>
              </w:rPr>
              <w:t>Saldo em 01 de janeiro de 2020 (Reapresentado)</w:t>
            </w:r>
          </w:p>
        </w:tc>
        <w:tc>
          <w:tcPr>
            <w:tcW w:w="626" w:type="pct"/>
            <w:tcBorders>
              <w:top w:val="single" w:sz="8" w:space="0" w:color="auto"/>
              <w:left w:val="nil"/>
              <w:bottom w:val="single" w:sz="8" w:space="0" w:color="auto"/>
              <w:right w:val="single" w:sz="8" w:space="0" w:color="auto"/>
            </w:tcBorders>
            <w:shd w:val="clear" w:color="auto" w:fill="auto"/>
            <w:noWrap/>
            <w:vAlign w:val="center"/>
            <w:hideMark/>
          </w:tcPr>
          <w:p w14:paraId="2C8AB597" w14:textId="77777777" w:rsidR="008F3CCB" w:rsidRPr="00A774D3" w:rsidRDefault="008F3CCB" w:rsidP="00A774D3">
            <w:pPr>
              <w:jc w:val="right"/>
              <w:rPr>
                <w:rFonts w:asciiTheme="majorHAnsi" w:hAnsiTheme="majorHAnsi" w:cs="Arial"/>
                <w:b/>
                <w:bCs/>
                <w:sz w:val="16"/>
                <w:szCs w:val="16"/>
              </w:rPr>
            </w:pPr>
            <w:r w:rsidRPr="00A774D3">
              <w:rPr>
                <w:rFonts w:asciiTheme="majorHAnsi" w:hAnsiTheme="majorHAnsi" w:cs="Arial"/>
                <w:b/>
                <w:bCs/>
                <w:sz w:val="16"/>
                <w:szCs w:val="16"/>
              </w:rPr>
              <w:t>22.233.502.272</w:t>
            </w:r>
          </w:p>
        </w:tc>
        <w:tc>
          <w:tcPr>
            <w:tcW w:w="919" w:type="pct"/>
            <w:tcBorders>
              <w:top w:val="single" w:sz="8" w:space="0" w:color="auto"/>
              <w:left w:val="nil"/>
              <w:bottom w:val="single" w:sz="8" w:space="0" w:color="auto"/>
              <w:right w:val="single" w:sz="8" w:space="0" w:color="auto"/>
            </w:tcBorders>
            <w:shd w:val="clear" w:color="auto" w:fill="auto"/>
            <w:noWrap/>
            <w:vAlign w:val="center"/>
            <w:hideMark/>
          </w:tcPr>
          <w:p w14:paraId="60652969" w14:textId="77777777" w:rsidR="008F3CCB" w:rsidRPr="00A774D3" w:rsidRDefault="008F3CCB" w:rsidP="00A774D3">
            <w:pPr>
              <w:jc w:val="right"/>
              <w:rPr>
                <w:rFonts w:asciiTheme="majorHAnsi" w:hAnsiTheme="majorHAnsi" w:cs="Arial"/>
                <w:b/>
                <w:bCs/>
                <w:sz w:val="16"/>
                <w:szCs w:val="16"/>
              </w:rPr>
            </w:pPr>
            <w:r w:rsidRPr="00A774D3">
              <w:rPr>
                <w:rFonts w:asciiTheme="majorHAnsi" w:hAnsiTheme="majorHAnsi" w:cs="Arial"/>
                <w:b/>
                <w:bCs/>
                <w:sz w:val="16"/>
                <w:szCs w:val="16"/>
              </w:rPr>
              <w:t xml:space="preserve">                     568.674.563 </w:t>
            </w:r>
          </w:p>
        </w:tc>
        <w:tc>
          <w:tcPr>
            <w:tcW w:w="867" w:type="pct"/>
            <w:tcBorders>
              <w:top w:val="single" w:sz="8" w:space="0" w:color="auto"/>
              <w:left w:val="nil"/>
              <w:bottom w:val="single" w:sz="8" w:space="0" w:color="auto"/>
              <w:right w:val="nil"/>
            </w:tcBorders>
            <w:shd w:val="clear" w:color="auto" w:fill="auto"/>
            <w:noWrap/>
            <w:vAlign w:val="center"/>
            <w:hideMark/>
          </w:tcPr>
          <w:p w14:paraId="23F28CE5" w14:textId="77777777" w:rsidR="008F3CCB" w:rsidRPr="00A774D3" w:rsidRDefault="008F3CCB" w:rsidP="00A774D3">
            <w:pPr>
              <w:jc w:val="right"/>
              <w:rPr>
                <w:rFonts w:asciiTheme="majorHAnsi" w:hAnsiTheme="majorHAnsi" w:cs="Arial"/>
                <w:b/>
                <w:bCs/>
                <w:sz w:val="16"/>
                <w:szCs w:val="16"/>
              </w:rPr>
            </w:pPr>
            <w:r w:rsidRPr="00A774D3">
              <w:rPr>
                <w:rFonts w:asciiTheme="majorHAnsi" w:hAnsiTheme="majorHAnsi" w:cs="Arial"/>
                <w:b/>
                <w:bCs/>
                <w:sz w:val="16"/>
                <w:szCs w:val="16"/>
              </w:rPr>
              <w:t xml:space="preserve">             (20.346.734.401)</w:t>
            </w:r>
          </w:p>
        </w:tc>
        <w:tc>
          <w:tcPr>
            <w:tcW w:w="105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13E850" w14:textId="77777777" w:rsidR="008F3CCB" w:rsidRPr="00A774D3" w:rsidRDefault="008F3CCB" w:rsidP="00A774D3">
            <w:pPr>
              <w:jc w:val="right"/>
              <w:rPr>
                <w:rFonts w:asciiTheme="majorHAnsi" w:hAnsiTheme="majorHAnsi" w:cs="Arial"/>
                <w:b/>
                <w:bCs/>
                <w:sz w:val="16"/>
                <w:szCs w:val="16"/>
              </w:rPr>
            </w:pPr>
            <w:r w:rsidRPr="00A774D3">
              <w:rPr>
                <w:rFonts w:asciiTheme="majorHAnsi" w:hAnsiTheme="majorHAnsi" w:cs="Arial"/>
                <w:b/>
                <w:bCs/>
                <w:sz w:val="16"/>
                <w:szCs w:val="16"/>
              </w:rPr>
              <w:t xml:space="preserve">                               2.455.442.434 </w:t>
            </w:r>
          </w:p>
        </w:tc>
      </w:tr>
      <w:tr w:rsidR="00A774D3" w:rsidRPr="00A774D3" w14:paraId="25A54697" w14:textId="77777777" w:rsidTr="00A774D3">
        <w:trPr>
          <w:trHeight w:val="300"/>
        </w:trPr>
        <w:tc>
          <w:tcPr>
            <w:tcW w:w="1537" w:type="pct"/>
            <w:tcBorders>
              <w:top w:val="nil"/>
              <w:left w:val="single" w:sz="8" w:space="0" w:color="auto"/>
              <w:bottom w:val="nil"/>
              <w:right w:val="single" w:sz="8" w:space="0" w:color="auto"/>
            </w:tcBorders>
            <w:shd w:val="clear" w:color="auto" w:fill="auto"/>
            <w:noWrap/>
            <w:vAlign w:val="center"/>
            <w:hideMark/>
          </w:tcPr>
          <w:p w14:paraId="3BF162FC" w14:textId="77777777" w:rsidR="008F3CCB" w:rsidRPr="00A774D3" w:rsidRDefault="008F3CCB">
            <w:pPr>
              <w:rPr>
                <w:rFonts w:asciiTheme="majorHAnsi" w:hAnsiTheme="majorHAnsi" w:cs="Arial"/>
                <w:sz w:val="16"/>
                <w:szCs w:val="16"/>
              </w:rPr>
            </w:pPr>
            <w:r w:rsidRPr="00A774D3">
              <w:rPr>
                <w:rFonts w:asciiTheme="majorHAnsi" w:hAnsiTheme="majorHAnsi" w:cs="Arial"/>
                <w:sz w:val="16"/>
                <w:szCs w:val="16"/>
              </w:rPr>
              <w:t>Resultado Líquido do Período</w:t>
            </w:r>
          </w:p>
        </w:tc>
        <w:tc>
          <w:tcPr>
            <w:tcW w:w="626" w:type="pct"/>
            <w:tcBorders>
              <w:top w:val="nil"/>
              <w:left w:val="nil"/>
              <w:bottom w:val="nil"/>
              <w:right w:val="single" w:sz="8" w:space="0" w:color="auto"/>
            </w:tcBorders>
            <w:shd w:val="clear" w:color="auto" w:fill="auto"/>
            <w:noWrap/>
            <w:vAlign w:val="center"/>
            <w:hideMark/>
          </w:tcPr>
          <w:p w14:paraId="366F2BA0" w14:textId="77777777" w:rsidR="008F3CCB" w:rsidRPr="00A774D3" w:rsidRDefault="008F3CCB" w:rsidP="00A774D3">
            <w:pPr>
              <w:jc w:val="right"/>
              <w:rPr>
                <w:rFonts w:asciiTheme="majorHAnsi" w:hAnsiTheme="majorHAnsi" w:cs="Arial"/>
                <w:sz w:val="16"/>
                <w:szCs w:val="16"/>
              </w:rPr>
            </w:pPr>
            <w:r w:rsidRPr="00A774D3">
              <w:rPr>
                <w:rFonts w:asciiTheme="majorHAnsi" w:hAnsiTheme="majorHAnsi" w:cs="Arial"/>
                <w:sz w:val="16"/>
                <w:szCs w:val="16"/>
              </w:rPr>
              <w:t xml:space="preserve">                               -   </w:t>
            </w:r>
          </w:p>
        </w:tc>
        <w:tc>
          <w:tcPr>
            <w:tcW w:w="919" w:type="pct"/>
            <w:tcBorders>
              <w:top w:val="nil"/>
              <w:left w:val="nil"/>
              <w:bottom w:val="nil"/>
              <w:right w:val="nil"/>
            </w:tcBorders>
            <w:shd w:val="clear" w:color="auto" w:fill="auto"/>
            <w:noWrap/>
            <w:vAlign w:val="center"/>
            <w:hideMark/>
          </w:tcPr>
          <w:p w14:paraId="61E956F0" w14:textId="77777777" w:rsidR="008F3CCB" w:rsidRPr="00A774D3" w:rsidRDefault="008F3CCB" w:rsidP="00A774D3">
            <w:pPr>
              <w:jc w:val="right"/>
              <w:rPr>
                <w:rFonts w:asciiTheme="majorHAnsi" w:hAnsiTheme="majorHAnsi" w:cs="Arial"/>
                <w:sz w:val="16"/>
                <w:szCs w:val="16"/>
              </w:rPr>
            </w:pPr>
            <w:r w:rsidRPr="00A774D3">
              <w:rPr>
                <w:rFonts w:asciiTheme="majorHAnsi" w:hAnsiTheme="majorHAnsi" w:cs="Arial"/>
                <w:sz w:val="16"/>
                <w:szCs w:val="16"/>
              </w:rPr>
              <w:t xml:space="preserve">                                                -   </w:t>
            </w:r>
          </w:p>
        </w:tc>
        <w:tc>
          <w:tcPr>
            <w:tcW w:w="867" w:type="pct"/>
            <w:tcBorders>
              <w:top w:val="nil"/>
              <w:left w:val="single" w:sz="8" w:space="0" w:color="auto"/>
              <w:bottom w:val="nil"/>
              <w:right w:val="single" w:sz="8" w:space="0" w:color="auto"/>
            </w:tcBorders>
            <w:shd w:val="clear" w:color="auto" w:fill="auto"/>
            <w:noWrap/>
            <w:vAlign w:val="center"/>
            <w:hideMark/>
          </w:tcPr>
          <w:p w14:paraId="4FB92FC5" w14:textId="77777777" w:rsidR="008F3CCB" w:rsidRPr="00A774D3" w:rsidRDefault="008F3CCB" w:rsidP="00A774D3">
            <w:pPr>
              <w:jc w:val="right"/>
              <w:rPr>
                <w:rFonts w:asciiTheme="majorHAnsi" w:hAnsiTheme="majorHAnsi" w:cs="Arial"/>
                <w:sz w:val="16"/>
                <w:szCs w:val="16"/>
              </w:rPr>
            </w:pPr>
            <w:r w:rsidRPr="00A774D3">
              <w:rPr>
                <w:rFonts w:asciiTheme="majorHAnsi" w:hAnsiTheme="majorHAnsi" w:cs="Arial"/>
                <w:sz w:val="16"/>
                <w:szCs w:val="16"/>
              </w:rPr>
              <w:t xml:space="preserve">                 (474.158.193)</w:t>
            </w:r>
          </w:p>
        </w:tc>
        <w:tc>
          <w:tcPr>
            <w:tcW w:w="1051" w:type="pct"/>
            <w:tcBorders>
              <w:top w:val="nil"/>
              <w:left w:val="nil"/>
              <w:bottom w:val="nil"/>
              <w:right w:val="single" w:sz="8" w:space="0" w:color="auto"/>
            </w:tcBorders>
            <w:shd w:val="clear" w:color="auto" w:fill="auto"/>
            <w:noWrap/>
            <w:vAlign w:val="center"/>
            <w:hideMark/>
          </w:tcPr>
          <w:p w14:paraId="0E6A78B4" w14:textId="77777777" w:rsidR="008F3CCB" w:rsidRPr="00A774D3" w:rsidRDefault="008F3CCB" w:rsidP="00A774D3">
            <w:pPr>
              <w:jc w:val="right"/>
              <w:rPr>
                <w:rFonts w:asciiTheme="majorHAnsi" w:hAnsiTheme="majorHAnsi" w:cs="Arial"/>
                <w:sz w:val="16"/>
                <w:szCs w:val="16"/>
              </w:rPr>
            </w:pPr>
            <w:r w:rsidRPr="00A774D3">
              <w:rPr>
                <w:rFonts w:asciiTheme="majorHAnsi" w:hAnsiTheme="majorHAnsi" w:cs="Arial"/>
                <w:sz w:val="16"/>
                <w:szCs w:val="16"/>
              </w:rPr>
              <w:t xml:space="preserve">                                (474.158.193)</w:t>
            </w:r>
          </w:p>
        </w:tc>
      </w:tr>
      <w:tr w:rsidR="00A774D3" w:rsidRPr="00A774D3" w14:paraId="5F1E657A" w14:textId="77777777" w:rsidTr="00A774D3">
        <w:trPr>
          <w:trHeight w:val="315"/>
        </w:trPr>
        <w:tc>
          <w:tcPr>
            <w:tcW w:w="1537" w:type="pct"/>
            <w:tcBorders>
              <w:top w:val="nil"/>
              <w:left w:val="single" w:sz="8" w:space="0" w:color="auto"/>
              <w:bottom w:val="nil"/>
              <w:right w:val="single" w:sz="8" w:space="0" w:color="auto"/>
            </w:tcBorders>
            <w:shd w:val="clear" w:color="auto" w:fill="auto"/>
            <w:noWrap/>
            <w:vAlign w:val="center"/>
            <w:hideMark/>
          </w:tcPr>
          <w:p w14:paraId="5091E758" w14:textId="77777777" w:rsidR="008F3CCB" w:rsidRPr="00A774D3" w:rsidRDefault="008F3CCB">
            <w:pPr>
              <w:rPr>
                <w:rFonts w:asciiTheme="majorHAnsi" w:hAnsiTheme="majorHAnsi" w:cs="Arial"/>
                <w:sz w:val="16"/>
                <w:szCs w:val="16"/>
              </w:rPr>
            </w:pPr>
            <w:r w:rsidRPr="00A774D3">
              <w:rPr>
                <w:rFonts w:asciiTheme="majorHAnsi" w:hAnsiTheme="majorHAnsi" w:cs="Arial"/>
                <w:sz w:val="16"/>
                <w:szCs w:val="16"/>
              </w:rPr>
              <w:t>Adiantamento para Futuro Aumento de Capital</w:t>
            </w:r>
          </w:p>
        </w:tc>
        <w:tc>
          <w:tcPr>
            <w:tcW w:w="626" w:type="pct"/>
            <w:tcBorders>
              <w:top w:val="nil"/>
              <w:left w:val="nil"/>
              <w:bottom w:val="single" w:sz="8" w:space="0" w:color="auto"/>
              <w:right w:val="single" w:sz="8" w:space="0" w:color="auto"/>
            </w:tcBorders>
            <w:shd w:val="clear" w:color="auto" w:fill="auto"/>
            <w:noWrap/>
            <w:vAlign w:val="center"/>
            <w:hideMark/>
          </w:tcPr>
          <w:p w14:paraId="086508AB" w14:textId="77777777" w:rsidR="008F3CCB" w:rsidRPr="00A774D3" w:rsidRDefault="008F3CCB" w:rsidP="00A774D3">
            <w:pPr>
              <w:jc w:val="right"/>
              <w:rPr>
                <w:rFonts w:asciiTheme="majorHAnsi" w:hAnsiTheme="majorHAnsi" w:cs="Arial"/>
                <w:sz w:val="16"/>
                <w:szCs w:val="16"/>
              </w:rPr>
            </w:pPr>
            <w:r w:rsidRPr="00A774D3">
              <w:rPr>
                <w:rFonts w:asciiTheme="majorHAnsi" w:hAnsiTheme="majorHAnsi" w:cs="Arial"/>
                <w:sz w:val="16"/>
                <w:szCs w:val="16"/>
              </w:rPr>
              <w:t xml:space="preserve">                               -   </w:t>
            </w:r>
          </w:p>
        </w:tc>
        <w:tc>
          <w:tcPr>
            <w:tcW w:w="919" w:type="pct"/>
            <w:tcBorders>
              <w:top w:val="nil"/>
              <w:left w:val="nil"/>
              <w:bottom w:val="single" w:sz="8" w:space="0" w:color="auto"/>
              <w:right w:val="single" w:sz="8" w:space="0" w:color="auto"/>
            </w:tcBorders>
            <w:shd w:val="clear" w:color="auto" w:fill="auto"/>
            <w:noWrap/>
            <w:vAlign w:val="center"/>
            <w:hideMark/>
          </w:tcPr>
          <w:p w14:paraId="270A389A" w14:textId="77777777" w:rsidR="008F3CCB" w:rsidRPr="00A774D3" w:rsidRDefault="008F3CCB" w:rsidP="00A774D3">
            <w:pPr>
              <w:jc w:val="right"/>
              <w:rPr>
                <w:rFonts w:asciiTheme="majorHAnsi" w:hAnsiTheme="majorHAnsi" w:cs="Arial"/>
                <w:sz w:val="16"/>
                <w:szCs w:val="16"/>
              </w:rPr>
            </w:pPr>
            <w:r w:rsidRPr="00A774D3">
              <w:rPr>
                <w:rFonts w:asciiTheme="majorHAnsi" w:hAnsiTheme="majorHAnsi" w:cs="Arial"/>
                <w:sz w:val="16"/>
                <w:szCs w:val="16"/>
              </w:rPr>
              <w:t xml:space="preserve">                     236.267.310 </w:t>
            </w:r>
          </w:p>
        </w:tc>
        <w:tc>
          <w:tcPr>
            <w:tcW w:w="867" w:type="pct"/>
            <w:tcBorders>
              <w:top w:val="nil"/>
              <w:left w:val="nil"/>
              <w:bottom w:val="nil"/>
              <w:right w:val="nil"/>
            </w:tcBorders>
            <w:shd w:val="clear" w:color="auto" w:fill="auto"/>
            <w:noWrap/>
            <w:vAlign w:val="center"/>
            <w:hideMark/>
          </w:tcPr>
          <w:p w14:paraId="4E2A336D" w14:textId="77777777" w:rsidR="008F3CCB" w:rsidRPr="00A774D3" w:rsidRDefault="008F3CCB" w:rsidP="00A774D3">
            <w:pPr>
              <w:jc w:val="right"/>
              <w:rPr>
                <w:rFonts w:asciiTheme="majorHAnsi" w:hAnsiTheme="majorHAnsi" w:cs="Arial"/>
                <w:sz w:val="16"/>
                <w:szCs w:val="16"/>
              </w:rPr>
            </w:pPr>
            <w:r w:rsidRPr="00A774D3">
              <w:rPr>
                <w:rFonts w:asciiTheme="majorHAnsi" w:hAnsiTheme="majorHAnsi" w:cs="Arial"/>
                <w:sz w:val="16"/>
                <w:szCs w:val="16"/>
              </w:rPr>
              <w:t xml:space="preserve">                                             -   </w:t>
            </w:r>
          </w:p>
        </w:tc>
        <w:tc>
          <w:tcPr>
            <w:tcW w:w="1051" w:type="pct"/>
            <w:tcBorders>
              <w:top w:val="nil"/>
              <w:left w:val="single" w:sz="8" w:space="0" w:color="auto"/>
              <w:bottom w:val="single" w:sz="8" w:space="0" w:color="auto"/>
              <w:right w:val="single" w:sz="8" w:space="0" w:color="auto"/>
            </w:tcBorders>
            <w:shd w:val="clear" w:color="auto" w:fill="auto"/>
            <w:noWrap/>
            <w:vAlign w:val="center"/>
            <w:hideMark/>
          </w:tcPr>
          <w:p w14:paraId="4403C160" w14:textId="77777777" w:rsidR="008F3CCB" w:rsidRPr="00A774D3" w:rsidRDefault="008F3CCB" w:rsidP="00A774D3">
            <w:pPr>
              <w:jc w:val="right"/>
              <w:rPr>
                <w:rFonts w:asciiTheme="majorHAnsi" w:hAnsiTheme="majorHAnsi" w:cs="Arial"/>
                <w:sz w:val="16"/>
                <w:szCs w:val="16"/>
              </w:rPr>
            </w:pPr>
            <w:r w:rsidRPr="00A774D3">
              <w:rPr>
                <w:rFonts w:asciiTheme="majorHAnsi" w:hAnsiTheme="majorHAnsi" w:cs="Arial"/>
                <w:sz w:val="16"/>
                <w:szCs w:val="16"/>
              </w:rPr>
              <w:t xml:space="preserve">                                 236.267.310 </w:t>
            </w:r>
          </w:p>
        </w:tc>
      </w:tr>
      <w:tr w:rsidR="00A774D3" w:rsidRPr="00A774D3" w14:paraId="0A7B535F" w14:textId="77777777" w:rsidTr="00A774D3">
        <w:trPr>
          <w:trHeight w:val="315"/>
        </w:trPr>
        <w:tc>
          <w:tcPr>
            <w:tcW w:w="15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27DEDA" w14:textId="77777777" w:rsidR="008F3CCB" w:rsidRPr="00A774D3" w:rsidRDefault="008F3CCB">
            <w:pPr>
              <w:rPr>
                <w:rFonts w:asciiTheme="majorHAnsi" w:hAnsiTheme="majorHAnsi" w:cs="Arial"/>
                <w:b/>
                <w:bCs/>
                <w:sz w:val="16"/>
                <w:szCs w:val="16"/>
              </w:rPr>
            </w:pPr>
            <w:r w:rsidRPr="00A774D3">
              <w:rPr>
                <w:rFonts w:asciiTheme="majorHAnsi" w:hAnsiTheme="majorHAnsi" w:cs="Arial"/>
                <w:b/>
                <w:bCs/>
                <w:sz w:val="16"/>
                <w:szCs w:val="16"/>
              </w:rPr>
              <w:t>Saldo em 30 de setembro de 2020</w:t>
            </w:r>
          </w:p>
        </w:tc>
        <w:tc>
          <w:tcPr>
            <w:tcW w:w="626" w:type="pct"/>
            <w:tcBorders>
              <w:top w:val="nil"/>
              <w:left w:val="nil"/>
              <w:bottom w:val="single" w:sz="8" w:space="0" w:color="auto"/>
              <w:right w:val="single" w:sz="8" w:space="0" w:color="auto"/>
            </w:tcBorders>
            <w:shd w:val="clear" w:color="auto" w:fill="auto"/>
            <w:noWrap/>
            <w:vAlign w:val="center"/>
            <w:hideMark/>
          </w:tcPr>
          <w:p w14:paraId="109D0965" w14:textId="77777777" w:rsidR="008F3CCB" w:rsidRPr="00A774D3" w:rsidRDefault="008F3CCB" w:rsidP="00A774D3">
            <w:pPr>
              <w:jc w:val="right"/>
              <w:rPr>
                <w:rFonts w:asciiTheme="majorHAnsi" w:hAnsiTheme="majorHAnsi" w:cs="Arial"/>
                <w:b/>
                <w:bCs/>
                <w:sz w:val="16"/>
                <w:szCs w:val="16"/>
              </w:rPr>
            </w:pPr>
            <w:r w:rsidRPr="00A774D3">
              <w:rPr>
                <w:rFonts w:asciiTheme="majorHAnsi" w:hAnsiTheme="majorHAnsi" w:cs="Arial"/>
                <w:b/>
                <w:bCs/>
                <w:sz w:val="16"/>
                <w:szCs w:val="16"/>
              </w:rPr>
              <w:t>22.233.502.272</w:t>
            </w:r>
          </w:p>
        </w:tc>
        <w:tc>
          <w:tcPr>
            <w:tcW w:w="919" w:type="pct"/>
            <w:tcBorders>
              <w:top w:val="nil"/>
              <w:left w:val="nil"/>
              <w:bottom w:val="single" w:sz="8" w:space="0" w:color="auto"/>
              <w:right w:val="single" w:sz="8" w:space="0" w:color="auto"/>
            </w:tcBorders>
            <w:shd w:val="clear" w:color="auto" w:fill="auto"/>
            <w:noWrap/>
            <w:vAlign w:val="center"/>
            <w:hideMark/>
          </w:tcPr>
          <w:p w14:paraId="737E2402" w14:textId="77777777" w:rsidR="008F3CCB" w:rsidRPr="00A774D3" w:rsidRDefault="008F3CCB" w:rsidP="00A774D3">
            <w:pPr>
              <w:jc w:val="right"/>
              <w:rPr>
                <w:rFonts w:asciiTheme="majorHAnsi" w:hAnsiTheme="majorHAnsi" w:cs="Arial"/>
                <w:b/>
                <w:bCs/>
                <w:sz w:val="16"/>
                <w:szCs w:val="16"/>
              </w:rPr>
            </w:pPr>
            <w:r w:rsidRPr="00A774D3">
              <w:rPr>
                <w:rFonts w:asciiTheme="majorHAnsi" w:hAnsiTheme="majorHAnsi" w:cs="Arial"/>
                <w:b/>
                <w:bCs/>
                <w:sz w:val="16"/>
                <w:szCs w:val="16"/>
              </w:rPr>
              <w:t>804.941.873</w:t>
            </w:r>
          </w:p>
        </w:tc>
        <w:tc>
          <w:tcPr>
            <w:tcW w:w="867" w:type="pct"/>
            <w:tcBorders>
              <w:top w:val="single" w:sz="8" w:space="0" w:color="auto"/>
              <w:left w:val="nil"/>
              <w:bottom w:val="single" w:sz="8" w:space="0" w:color="auto"/>
              <w:right w:val="nil"/>
            </w:tcBorders>
            <w:shd w:val="clear" w:color="auto" w:fill="auto"/>
            <w:noWrap/>
            <w:vAlign w:val="center"/>
            <w:hideMark/>
          </w:tcPr>
          <w:p w14:paraId="49384308" w14:textId="77777777" w:rsidR="008F3CCB" w:rsidRPr="00A774D3" w:rsidRDefault="008F3CCB" w:rsidP="00A774D3">
            <w:pPr>
              <w:jc w:val="right"/>
              <w:rPr>
                <w:rFonts w:asciiTheme="majorHAnsi" w:hAnsiTheme="majorHAnsi" w:cs="Arial"/>
                <w:b/>
                <w:bCs/>
                <w:sz w:val="16"/>
                <w:szCs w:val="16"/>
              </w:rPr>
            </w:pPr>
            <w:r w:rsidRPr="00A774D3">
              <w:rPr>
                <w:rFonts w:asciiTheme="majorHAnsi" w:hAnsiTheme="majorHAnsi" w:cs="Arial"/>
                <w:b/>
                <w:bCs/>
                <w:sz w:val="16"/>
                <w:szCs w:val="16"/>
              </w:rPr>
              <w:t xml:space="preserve">             (20.820.892.594)</w:t>
            </w:r>
          </w:p>
        </w:tc>
        <w:tc>
          <w:tcPr>
            <w:tcW w:w="1051" w:type="pct"/>
            <w:tcBorders>
              <w:top w:val="nil"/>
              <w:left w:val="single" w:sz="8" w:space="0" w:color="auto"/>
              <w:bottom w:val="single" w:sz="8" w:space="0" w:color="auto"/>
              <w:right w:val="single" w:sz="8" w:space="0" w:color="auto"/>
            </w:tcBorders>
            <w:shd w:val="clear" w:color="auto" w:fill="auto"/>
            <w:noWrap/>
            <w:vAlign w:val="center"/>
            <w:hideMark/>
          </w:tcPr>
          <w:p w14:paraId="0E706FBD" w14:textId="77777777" w:rsidR="008F3CCB" w:rsidRPr="00A774D3" w:rsidRDefault="008F3CCB" w:rsidP="00A774D3">
            <w:pPr>
              <w:jc w:val="right"/>
              <w:rPr>
                <w:rFonts w:asciiTheme="majorHAnsi" w:hAnsiTheme="majorHAnsi" w:cs="Arial"/>
                <w:b/>
                <w:bCs/>
                <w:sz w:val="16"/>
                <w:szCs w:val="16"/>
              </w:rPr>
            </w:pPr>
            <w:r w:rsidRPr="00A774D3">
              <w:rPr>
                <w:rFonts w:asciiTheme="majorHAnsi" w:hAnsiTheme="majorHAnsi" w:cs="Arial"/>
                <w:b/>
                <w:bCs/>
                <w:sz w:val="16"/>
                <w:szCs w:val="16"/>
              </w:rPr>
              <w:t>2.217.551.551</w:t>
            </w:r>
          </w:p>
        </w:tc>
      </w:tr>
      <w:tr w:rsidR="00A774D3" w:rsidRPr="00A774D3" w14:paraId="183C60C6" w14:textId="77777777" w:rsidTr="00A774D3">
        <w:trPr>
          <w:trHeight w:val="300"/>
        </w:trPr>
        <w:tc>
          <w:tcPr>
            <w:tcW w:w="1537" w:type="pct"/>
            <w:tcBorders>
              <w:top w:val="nil"/>
              <w:left w:val="nil"/>
              <w:bottom w:val="nil"/>
              <w:right w:val="nil"/>
            </w:tcBorders>
            <w:shd w:val="clear" w:color="auto" w:fill="auto"/>
            <w:noWrap/>
            <w:vAlign w:val="center"/>
            <w:hideMark/>
          </w:tcPr>
          <w:p w14:paraId="383A0F58" w14:textId="77777777" w:rsidR="008F3CCB" w:rsidRPr="00A774D3" w:rsidRDefault="008F3CCB">
            <w:pPr>
              <w:jc w:val="right"/>
              <w:rPr>
                <w:rFonts w:asciiTheme="majorHAnsi" w:hAnsiTheme="majorHAnsi" w:cs="Arial"/>
                <w:b/>
                <w:bCs/>
                <w:sz w:val="16"/>
                <w:szCs w:val="16"/>
              </w:rPr>
            </w:pPr>
          </w:p>
        </w:tc>
        <w:tc>
          <w:tcPr>
            <w:tcW w:w="626" w:type="pct"/>
            <w:tcBorders>
              <w:top w:val="nil"/>
              <w:left w:val="nil"/>
              <w:bottom w:val="nil"/>
              <w:right w:val="nil"/>
            </w:tcBorders>
            <w:shd w:val="clear" w:color="auto" w:fill="auto"/>
            <w:noWrap/>
            <w:vAlign w:val="center"/>
            <w:hideMark/>
          </w:tcPr>
          <w:p w14:paraId="266B86C6" w14:textId="77777777" w:rsidR="008F3CCB" w:rsidRPr="00A774D3" w:rsidRDefault="008F3CCB">
            <w:pPr>
              <w:rPr>
                <w:rFonts w:asciiTheme="majorHAnsi" w:hAnsiTheme="majorHAnsi"/>
                <w:sz w:val="16"/>
                <w:szCs w:val="16"/>
              </w:rPr>
            </w:pPr>
          </w:p>
        </w:tc>
        <w:tc>
          <w:tcPr>
            <w:tcW w:w="919" w:type="pct"/>
            <w:tcBorders>
              <w:top w:val="nil"/>
              <w:left w:val="nil"/>
              <w:bottom w:val="nil"/>
              <w:right w:val="nil"/>
            </w:tcBorders>
            <w:shd w:val="clear" w:color="auto" w:fill="auto"/>
            <w:noWrap/>
            <w:vAlign w:val="center"/>
            <w:hideMark/>
          </w:tcPr>
          <w:p w14:paraId="061E31AD" w14:textId="77777777" w:rsidR="008F3CCB" w:rsidRPr="00A774D3" w:rsidRDefault="008F3CCB">
            <w:pPr>
              <w:jc w:val="right"/>
              <w:rPr>
                <w:rFonts w:asciiTheme="majorHAnsi" w:hAnsiTheme="majorHAnsi"/>
                <w:sz w:val="16"/>
                <w:szCs w:val="16"/>
              </w:rPr>
            </w:pPr>
          </w:p>
        </w:tc>
        <w:tc>
          <w:tcPr>
            <w:tcW w:w="867" w:type="pct"/>
            <w:tcBorders>
              <w:top w:val="nil"/>
              <w:left w:val="nil"/>
              <w:bottom w:val="nil"/>
              <w:right w:val="nil"/>
            </w:tcBorders>
            <w:shd w:val="clear" w:color="auto" w:fill="auto"/>
            <w:noWrap/>
            <w:vAlign w:val="center"/>
            <w:hideMark/>
          </w:tcPr>
          <w:p w14:paraId="4F6461DC" w14:textId="77777777" w:rsidR="008F3CCB" w:rsidRPr="00A774D3" w:rsidRDefault="008F3CCB">
            <w:pPr>
              <w:jc w:val="right"/>
              <w:rPr>
                <w:rFonts w:asciiTheme="majorHAnsi" w:hAnsiTheme="majorHAnsi"/>
                <w:sz w:val="16"/>
                <w:szCs w:val="16"/>
              </w:rPr>
            </w:pPr>
          </w:p>
        </w:tc>
        <w:tc>
          <w:tcPr>
            <w:tcW w:w="1051" w:type="pct"/>
            <w:tcBorders>
              <w:top w:val="nil"/>
              <w:left w:val="nil"/>
              <w:bottom w:val="nil"/>
              <w:right w:val="nil"/>
            </w:tcBorders>
            <w:shd w:val="clear" w:color="auto" w:fill="auto"/>
            <w:noWrap/>
            <w:vAlign w:val="center"/>
            <w:hideMark/>
          </w:tcPr>
          <w:p w14:paraId="590B0E9C" w14:textId="77777777" w:rsidR="008F3CCB" w:rsidRPr="00A774D3" w:rsidRDefault="008F3CCB">
            <w:pPr>
              <w:jc w:val="right"/>
              <w:rPr>
                <w:rFonts w:asciiTheme="majorHAnsi" w:hAnsiTheme="majorHAnsi"/>
                <w:sz w:val="16"/>
                <w:szCs w:val="16"/>
              </w:rPr>
            </w:pPr>
          </w:p>
        </w:tc>
      </w:tr>
      <w:tr w:rsidR="00A774D3" w:rsidRPr="00A774D3" w14:paraId="060DA073" w14:textId="77777777" w:rsidTr="00A774D3">
        <w:trPr>
          <w:trHeight w:val="315"/>
        </w:trPr>
        <w:tc>
          <w:tcPr>
            <w:tcW w:w="1537" w:type="pct"/>
            <w:tcBorders>
              <w:top w:val="nil"/>
              <w:left w:val="nil"/>
              <w:bottom w:val="nil"/>
              <w:right w:val="nil"/>
            </w:tcBorders>
            <w:shd w:val="clear" w:color="auto" w:fill="auto"/>
            <w:noWrap/>
            <w:vAlign w:val="center"/>
            <w:hideMark/>
          </w:tcPr>
          <w:p w14:paraId="5F594732" w14:textId="77777777" w:rsidR="008F3CCB" w:rsidRPr="00A774D3" w:rsidRDefault="008F3CCB">
            <w:pPr>
              <w:jc w:val="right"/>
              <w:rPr>
                <w:rFonts w:asciiTheme="majorHAnsi" w:hAnsiTheme="majorHAnsi"/>
                <w:sz w:val="16"/>
                <w:szCs w:val="16"/>
              </w:rPr>
            </w:pPr>
          </w:p>
        </w:tc>
        <w:tc>
          <w:tcPr>
            <w:tcW w:w="626" w:type="pct"/>
            <w:tcBorders>
              <w:top w:val="nil"/>
              <w:left w:val="nil"/>
              <w:bottom w:val="nil"/>
              <w:right w:val="nil"/>
            </w:tcBorders>
            <w:shd w:val="clear" w:color="auto" w:fill="auto"/>
            <w:noWrap/>
            <w:vAlign w:val="center"/>
            <w:hideMark/>
          </w:tcPr>
          <w:p w14:paraId="7F0D3D00" w14:textId="77777777" w:rsidR="008F3CCB" w:rsidRPr="00A774D3" w:rsidRDefault="008F3CCB">
            <w:pPr>
              <w:rPr>
                <w:rFonts w:asciiTheme="majorHAnsi" w:hAnsiTheme="majorHAnsi"/>
                <w:sz w:val="16"/>
                <w:szCs w:val="16"/>
              </w:rPr>
            </w:pPr>
          </w:p>
        </w:tc>
        <w:tc>
          <w:tcPr>
            <w:tcW w:w="919" w:type="pct"/>
            <w:tcBorders>
              <w:top w:val="nil"/>
              <w:left w:val="nil"/>
              <w:bottom w:val="nil"/>
              <w:right w:val="nil"/>
            </w:tcBorders>
            <w:shd w:val="clear" w:color="auto" w:fill="auto"/>
            <w:noWrap/>
            <w:vAlign w:val="center"/>
            <w:hideMark/>
          </w:tcPr>
          <w:p w14:paraId="39EA2229" w14:textId="77777777" w:rsidR="008F3CCB" w:rsidRPr="00A774D3" w:rsidRDefault="008F3CCB">
            <w:pPr>
              <w:jc w:val="right"/>
              <w:rPr>
                <w:rFonts w:asciiTheme="majorHAnsi" w:hAnsiTheme="majorHAnsi"/>
                <w:sz w:val="16"/>
                <w:szCs w:val="16"/>
              </w:rPr>
            </w:pPr>
          </w:p>
        </w:tc>
        <w:tc>
          <w:tcPr>
            <w:tcW w:w="867" w:type="pct"/>
            <w:tcBorders>
              <w:top w:val="nil"/>
              <w:left w:val="nil"/>
              <w:bottom w:val="nil"/>
              <w:right w:val="nil"/>
            </w:tcBorders>
            <w:shd w:val="clear" w:color="auto" w:fill="auto"/>
            <w:noWrap/>
            <w:vAlign w:val="center"/>
            <w:hideMark/>
          </w:tcPr>
          <w:p w14:paraId="662D4DCB" w14:textId="77777777" w:rsidR="008F3CCB" w:rsidRPr="00A774D3" w:rsidRDefault="008F3CCB">
            <w:pPr>
              <w:jc w:val="right"/>
              <w:rPr>
                <w:rFonts w:asciiTheme="majorHAnsi" w:hAnsiTheme="majorHAnsi"/>
                <w:sz w:val="16"/>
                <w:szCs w:val="16"/>
              </w:rPr>
            </w:pPr>
          </w:p>
        </w:tc>
        <w:tc>
          <w:tcPr>
            <w:tcW w:w="1051" w:type="pct"/>
            <w:tcBorders>
              <w:top w:val="nil"/>
              <w:left w:val="nil"/>
              <w:bottom w:val="nil"/>
              <w:right w:val="nil"/>
            </w:tcBorders>
            <w:shd w:val="clear" w:color="auto" w:fill="auto"/>
            <w:noWrap/>
            <w:vAlign w:val="center"/>
            <w:hideMark/>
          </w:tcPr>
          <w:p w14:paraId="730E48D9" w14:textId="77777777" w:rsidR="008F3CCB" w:rsidRPr="00A774D3" w:rsidRDefault="008F3CCB">
            <w:pPr>
              <w:jc w:val="right"/>
              <w:rPr>
                <w:rFonts w:asciiTheme="majorHAnsi" w:hAnsiTheme="majorHAnsi"/>
                <w:sz w:val="16"/>
                <w:szCs w:val="16"/>
              </w:rPr>
            </w:pPr>
          </w:p>
        </w:tc>
      </w:tr>
      <w:tr w:rsidR="00A774D3" w:rsidRPr="00A774D3" w14:paraId="74356714" w14:textId="77777777" w:rsidTr="00A774D3">
        <w:trPr>
          <w:trHeight w:val="300"/>
        </w:trPr>
        <w:tc>
          <w:tcPr>
            <w:tcW w:w="1537" w:type="pct"/>
            <w:vMerge w:val="restart"/>
            <w:tcBorders>
              <w:top w:val="single" w:sz="8" w:space="0" w:color="auto"/>
              <w:left w:val="single" w:sz="8" w:space="0" w:color="auto"/>
              <w:right w:val="single" w:sz="8" w:space="0" w:color="auto"/>
            </w:tcBorders>
            <w:shd w:val="clear" w:color="auto" w:fill="auto"/>
            <w:noWrap/>
            <w:vAlign w:val="center"/>
            <w:hideMark/>
          </w:tcPr>
          <w:p w14:paraId="53D119BE" w14:textId="71E72BDE" w:rsidR="00A774D3" w:rsidRPr="00A774D3" w:rsidRDefault="00A774D3" w:rsidP="00A774D3">
            <w:pPr>
              <w:rPr>
                <w:rFonts w:asciiTheme="majorHAnsi" w:hAnsiTheme="majorHAnsi" w:cs="Arial"/>
                <w:b/>
                <w:bCs/>
                <w:sz w:val="16"/>
                <w:szCs w:val="16"/>
              </w:rPr>
            </w:pPr>
            <w:r w:rsidRPr="00A774D3">
              <w:rPr>
                <w:rFonts w:asciiTheme="majorHAnsi" w:hAnsiTheme="majorHAnsi" w:cs="Arial"/>
                <w:sz w:val="16"/>
                <w:szCs w:val="16"/>
              </w:rPr>
              <w:t xml:space="preserve">                        </w:t>
            </w:r>
            <w:r w:rsidRPr="00A774D3">
              <w:rPr>
                <w:rFonts w:asciiTheme="majorHAnsi" w:hAnsiTheme="majorHAnsi" w:cs="Arial"/>
                <w:b/>
                <w:bCs/>
                <w:sz w:val="16"/>
                <w:szCs w:val="16"/>
              </w:rPr>
              <w:t>Classificação</w:t>
            </w:r>
          </w:p>
        </w:tc>
        <w:tc>
          <w:tcPr>
            <w:tcW w:w="626" w:type="pct"/>
            <w:tcBorders>
              <w:top w:val="single" w:sz="8" w:space="0" w:color="auto"/>
              <w:left w:val="nil"/>
              <w:bottom w:val="nil"/>
              <w:right w:val="single" w:sz="8" w:space="0" w:color="auto"/>
            </w:tcBorders>
            <w:shd w:val="clear" w:color="auto" w:fill="auto"/>
            <w:noWrap/>
            <w:vAlign w:val="center"/>
            <w:hideMark/>
          </w:tcPr>
          <w:p w14:paraId="17D5702F" w14:textId="77777777" w:rsidR="00A774D3" w:rsidRPr="00A774D3" w:rsidRDefault="00A774D3" w:rsidP="00A774D3">
            <w:pPr>
              <w:jc w:val="center"/>
              <w:rPr>
                <w:rFonts w:asciiTheme="majorHAnsi" w:hAnsiTheme="majorHAnsi" w:cs="Arial"/>
                <w:b/>
                <w:bCs/>
                <w:sz w:val="16"/>
                <w:szCs w:val="16"/>
              </w:rPr>
            </w:pPr>
            <w:r w:rsidRPr="00A774D3">
              <w:rPr>
                <w:rFonts w:asciiTheme="majorHAnsi" w:hAnsiTheme="majorHAnsi" w:cs="Arial"/>
                <w:b/>
                <w:bCs/>
                <w:sz w:val="16"/>
                <w:szCs w:val="16"/>
              </w:rPr>
              <w:t>Capital</w:t>
            </w:r>
          </w:p>
        </w:tc>
        <w:tc>
          <w:tcPr>
            <w:tcW w:w="919" w:type="pct"/>
            <w:tcBorders>
              <w:top w:val="single" w:sz="8" w:space="0" w:color="auto"/>
              <w:left w:val="nil"/>
              <w:bottom w:val="nil"/>
              <w:right w:val="single" w:sz="8" w:space="0" w:color="auto"/>
            </w:tcBorders>
            <w:shd w:val="clear" w:color="auto" w:fill="auto"/>
            <w:noWrap/>
            <w:vAlign w:val="center"/>
            <w:hideMark/>
          </w:tcPr>
          <w:p w14:paraId="723D6C99" w14:textId="24B4E29C" w:rsidR="00A774D3" w:rsidRPr="00A774D3" w:rsidRDefault="00A774D3" w:rsidP="00A774D3">
            <w:pPr>
              <w:jc w:val="center"/>
              <w:rPr>
                <w:rFonts w:asciiTheme="majorHAnsi" w:hAnsiTheme="majorHAnsi" w:cs="Arial"/>
                <w:b/>
                <w:bCs/>
                <w:sz w:val="16"/>
                <w:szCs w:val="16"/>
              </w:rPr>
            </w:pPr>
            <w:r w:rsidRPr="00A774D3">
              <w:rPr>
                <w:rFonts w:asciiTheme="majorHAnsi" w:hAnsiTheme="majorHAnsi" w:cs="Arial"/>
                <w:b/>
                <w:bCs/>
                <w:sz w:val="16"/>
                <w:szCs w:val="16"/>
              </w:rPr>
              <w:t>Adiantamento</w:t>
            </w:r>
            <w:r>
              <w:rPr>
                <w:rFonts w:asciiTheme="majorHAnsi" w:hAnsiTheme="majorHAnsi" w:cs="Arial"/>
                <w:b/>
                <w:bCs/>
                <w:sz w:val="16"/>
                <w:szCs w:val="16"/>
              </w:rPr>
              <w:t xml:space="preserve"> para </w:t>
            </w:r>
          </w:p>
        </w:tc>
        <w:tc>
          <w:tcPr>
            <w:tcW w:w="867" w:type="pct"/>
            <w:tcBorders>
              <w:top w:val="single" w:sz="8" w:space="0" w:color="auto"/>
              <w:left w:val="nil"/>
              <w:bottom w:val="nil"/>
              <w:right w:val="single" w:sz="8" w:space="0" w:color="auto"/>
            </w:tcBorders>
            <w:shd w:val="clear" w:color="auto" w:fill="auto"/>
            <w:noWrap/>
            <w:vAlign w:val="center"/>
            <w:hideMark/>
          </w:tcPr>
          <w:p w14:paraId="397C2C42" w14:textId="4F1EC14B" w:rsidR="00A774D3" w:rsidRPr="00A774D3" w:rsidRDefault="00A774D3" w:rsidP="00A774D3">
            <w:pPr>
              <w:jc w:val="center"/>
              <w:rPr>
                <w:rFonts w:asciiTheme="majorHAnsi" w:hAnsiTheme="majorHAnsi" w:cs="Arial"/>
                <w:b/>
                <w:bCs/>
                <w:sz w:val="16"/>
                <w:szCs w:val="16"/>
              </w:rPr>
            </w:pPr>
            <w:r w:rsidRPr="00A774D3">
              <w:rPr>
                <w:rFonts w:asciiTheme="majorHAnsi" w:hAnsiTheme="majorHAnsi" w:cs="Arial"/>
                <w:b/>
                <w:bCs/>
                <w:sz w:val="16"/>
                <w:szCs w:val="16"/>
              </w:rPr>
              <w:t>Lucros ou</w:t>
            </w:r>
            <w:r>
              <w:rPr>
                <w:rFonts w:asciiTheme="majorHAnsi" w:hAnsiTheme="majorHAnsi" w:cs="Arial"/>
                <w:b/>
                <w:bCs/>
                <w:sz w:val="16"/>
                <w:szCs w:val="16"/>
              </w:rPr>
              <w:t xml:space="preserve"> Prejuízos</w:t>
            </w:r>
          </w:p>
        </w:tc>
        <w:tc>
          <w:tcPr>
            <w:tcW w:w="1051" w:type="pct"/>
            <w:vMerge w:val="restart"/>
            <w:tcBorders>
              <w:top w:val="single" w:sz="8" w:space="0" w:color="auto"/>
              <w:left w:val="nil"/>
              <w:right w:val="single" w:sz="8" w:space="0" w:color="auto"/>
            </w:tcBorders>
            <w:shd w:val="clear" w:color="auto" w:fill="auto"/>
            <w:noWrap/>
            <w:vAlign w:val="center"/>
            <w:hideMark/>
          </w:tcPr>
          <w:p w14:paraId="6BBAB16C" w14:textId="663EF5C8" w:rsidR="00A774D3" w:rsidRPr="00A774D3" w:rsidRDefault="00A774D3" w:rsidP="00A774D3">
            <w:pPr>
              <w:jc w:val="center"/>
              <w:rPr>
                <w:rFonts w:asciiTheme="majorHAnsi" w:hAnsiTheme="majorHAnsi" w:cs="Arial"/>
                <w:b/>
                <w:bCs/>
                <w:sz w:val="16"/>
                <w:szCs w:val="16"/>
              </w:rPr>
            </w:pPr>
            <w:r w:rsidRPr="00A774D3">
              <w:rPr>
                <w:rFonts w:asciiTheme="majorHAnsi" w:hAnsiTheme="majorHAnsi" w:cs="Arial"/>
                <w:b/>
                <w:bCs/>
                <w:sz w:val="16"/>
                <w:szCs w:val="16"/>
              </w:rPr>
              <w:t> Total</w:t>
            </w:r>
          </w:p>
        </w:tc>
      </w:tr>
      <w:tr w:rsidR="00A774D3" w:rsidRPr="00A774D3" w14:paraId="71AAA058" w14:textId="77777777" w:rsidTr="00A774D3">
        <w:trPr>
          <w:trHeight w:val="300"/>
        </w:trPr>
        <w:tc>
          <w:tcPr>
            <w:tcW w:w="1537" w:type="pct"/>
            <w:vMerge/>
            <w:tcBorders>
              <w:left w:val="single" w:sz="8" w:space="0" w:color="auto"/>
              <w:bottom w:val="nil"/>
              <w:right w:val="single" w:sz="8" w:space="0" w:color="auto"/>
            </w:tcBorders>
            <w:shd w:val="clear" w:color="auto" w:fill="auto"/>
            <w:noWrap/>
            <w:vAlign w:val="center"/>
            <w:hideMark/>
          </w:tcPr>
          <w:p w14:paraId="3FC06B5E" w14:textId="5F9BEB1A" w:rsidR="00A774D3" w:rsidRPr="00A774D3" w:rsidRDefault="00A774D3" w:rsidP="00A774D3">
            <w:pPr>
              <w:rPr>
                <w:rFonts w:asciiTheme="majorHAnsi" w:hAnsiTheme="majorHAnsi" w:cs="Arial"/>
                <w:sz w:val="16"/>
                <w:szCs w:val="16"/>
              </w:rPr>
            </w:pPr>
          </w:p>
        </w:tc>
        <w:tc>
          <w:tcPr>
            <w:tcW w:w="626" w:type="pct"/>
            <w:tcBorders>
              <w:top w:val="nil"/>
              <w:left w:val="nil"/>
              <w:bottom w:val="nil"/>
              <w:right w:val="single" w:sz="8" w:space="0" w:color="auto"/>
            </w:tcBorders>
            <w:shd w:val="clear" w:color="auto" w:fill="auto"/>
            <w:noWrap/>
            <w:vAlign w:val="center"/>
            <w:hideMark/>
          </w:tcPr>
          <w:p w14:paraId="53E3CDCA" w14:textId="77777777" w:rsidR="00A774D3" w:rsidRPr="00A774D3" w:rsidRDefault="00A774D3" w:rsidP="00A774D3">
            <w:pPr>
              <w:jc w:val="center"/>
              <w:rPr>
                <w:rFonts w:asciiTheme="majorHAnsi" w:hAnsiTheme="majorHAnsi" w:cs="Arial"/>
                <w:b/>
                <w:bCs/>
                <w:sz w:val="16"/>
                <w:szCs w:val="16"/>
              </w:rPr>
            </w:pPr>
            <w:r w:rsidRPr="00A774D3">
              <w:rPr>
                <w:rFonts w:asciiTheme="majorHAnsi" w:hAnsiTheme="majorHAnsi" w:cs="Arial"/>
                <w:b/>
                <w:bCs/>
                <w:sz w:val="16"/>
                <w:szCs w:val="16"/>
              </w:rPr>
              <w:t>Social</w:t>
            </w:r>
          </w:p>
        </w:tc>
        <w:tc>
          <w:tcPr>
            <w:tcW w:w="919" w:type="pct"/>
            <w:tcBorders>
              <w:top w:val="nil"/>
              <w:left w:val="nil"/>
              <w:bottom w:val="nil"/>
              <w:right w:val="single" w:sz="8" w:space="0" w:color="auto"/>
            </w:tcBorders>
            <w:shd w:val="clear" w:color="auto" w:fill="auto"/>
            <w:noWrap/>
            <w:vAlign w:val="center"/>
            <w:hideMark/>
          </w:tcPr>
          <w:p w14:paraId="655A93A6" w14:textId="584A6842" w:rsidR="00A774D3" w:rsidRPr="00A774D3" w:rsidRDefault="00A774D3" w:rsidP="00A774D3">
            <w:pPr>
              <w:jc w:val="center"/>
              <w:rPr>
                <w:rFonts w:asciiTheme="majorHAnsi" w:hAnsiTheme="majorHAnsi" w:cs="Arial"/>
                <w:b/>
                <w:bCs/>
                <w:sz w:val="16"/>
                <w:szCs w:val="16"/>
              </w:rPr>
            </w:pPr>
            <w:r w:rsidRPr="00A774D3">
              <w:rPr>
                <w:rFonts w:asciiTheme="majorHAnsi" w:hAnsiTheme="majorHAnsi" w:cs="Arial"/>
                <w:b/>
                <w:bCs/>
                <w:sz w:val="16"/>
                <w:szCs w:val="16"/>
              </w:rPr>
              <w:t>Futuro Aumento</w:t>
            </w:r>
            <w:r>
              <w:rPr>
                <w:rFonts w:asciiTheme="majorHAnsi" w:hAnsiTheme="majorHAnsi" w:cs="Arial"/>
                <w:b/>
                <w:bCs/>
                <w:sz w:val="16"/>
                <w:szCs w:val="16"/>
              </w:rPr>
              <w:t xml:space="preserve"> de Capital</w:t>
            </w:r>
          </w:p>
        </w:tc>
        <w:tc>
          <w:tcPr>
            <w:tcW w:w="867" w:type="pct"/>
            <w:tcBorders>
              <w:top w:val="nil"/>
              <w:left w:val="nil"/>
              <w:bottom w:val="nil"/>
              <w:right w:val="single" w:sz="8" w:space="0" w:color="auto"/>
            </w:tcBorders>
            <w:shd w:val="clear" w:color="auto" w:fill="auto"/>
            <w:noWrap/>
            <w:vAlign w:val="center"/>
            <w:hideMark/>
          </w:tcPr>
          <w:p w14:paraId="5EDF3C44" w14:textId="2E5F75B1" w:rsidR="00A774D3" w:rsidRPr="00A774D3" w:rsidRDefault="00A774D3" w:rsidP="00A774D3">
            <w:pPr>
              <w:jc w:val="center"/>
              <w:rPr>
                <w:rFonts w:asciiTheme="majorHAnsi" w:hAnsiTheme="majorHAnsi" w:cs="Arial"/>
                <w:b/>
                <w:bCs/>
                <w:sz w:val="16"/>
                <w:szCs w:val="16"/>
              </w:rPr>
            </w:pPr>
            <w:r w:rsidRPr="00A774D3">
              <w:rPr>
                <w:rFonts w:asciiTheme="majorHAnsi" w:hAnsiTheme="majorHAnsi" w:cs="Arial"/>
                <w:b/>
                <w:bCs/>
                <w:sz w:val="16"/>
                <w:szCs w:val="16"/>
              </w:rPr>
              <w:t>Acumulados</w:t>
            </w:r>
          </w:p>
        </w:tc>
        <w:tc>
          <w:tcPr>
            <w:tcW w:w="1051" w:type="pct"/>
            <w:vMerge/>
            <w:tcBorders>
              <w:left w:val="nil"/>
              <w:bottom w:val="nil"/>
              <w:right w:val="single" w:sz="8" w:space="0" w:color="auto"/>
            </w:tcBorders>
            <w:shd w:val="clear" w:color="auto" w:fill="auto"/>
            <w:noWrap/>
            <w:vAlign w:val="center"/>
            <w:hideMark/>
          </w:tcPr>
          <w:p w14:paraId="3517EB4C" w14:textId="22F7011F" w:rsidR="00A774D3" w:rsidRPr="00A774D3" w:rsidRDefault="00A774D3" w:rsidP="00A774D3">
            <w:pPr>
              <w:jc w:val="center"/>
              <w:rPr>
                <w:rFonts w:asciiTheme="majorHAnsi" w:hAnsiTheme="majorHAnsi" w:cs="Arial"/>
                <w:b/>
                <w:bCs/>
                <w:sz w:val="16"/>
                <w:szCs w:val="16"/>
              </w:rPr>
            </w:pPr>
          </w:p>
        </w:tc>
      </w:tr>
      <w:tr w:rsidR="00A774D3" w:rsidRPr="00A774D3" w14:paraId="633F8A09" w14:textId="77777777" w:rsidTr="00A774D3">
        <w:trPr>
          <w:trHeight w:val="315"/>
        </w:trPr>
        <w:tc>
          <w:tcPr>
            <w:tcW w:w="15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B225A7" w14:textId="77777777" w:rsidR="008F3CCB" w:rsidRPr="00A774D3" w:rsidRDefault="008F3CCB">
            <w:pPr>
              <w:rPr>
                <w:rFonts w:asciiTheme="majorHAnsi" w:hAnsiTheme="majorHAnsi" w:cs="Arial"/>
                <w:b/>
                <w:bCs/>
                <w:sz w:val="16"/>
                <w:szCs w:val="16"/>
              </w:rPr>
            </w:pPr>
            <w:r w:rsidRPr="00A774D3">
              <w:rPr>
                <w:rFonts w:asciiTheme="majorHAnsi" w:hAnsiTheme="majorHAnsi" w:cs="Arial"/>
                <w:b/>
                <w:bCs/>
                <w:sz w:val="16"/>
                <w:szCs w:val="16"/>
              </w:rPr>
              <w:t>Saldo em 01 de janeiro de 2021</w:t>
            </w:r>
          </w:p>
        </w:tc>
        <w:tc>
          <w:tcPr>
            <w:tcW w:w="626" w:type="pct"/>
            <w:tcBorders>
              <w:top w:val="single" w:sz="8" w:space="0" w:color="auto"/>
              <w:left w:val="nil"/>
              <w:bottom w:val="single" w:sz="8" w:space="0" w:color="auto"/>
              <w:right w:val="single" w:sz="8" w:space="0" w:color="auto"/>
            </w:tcBorders>
            <w:shd w:val="clear" w:color="auto" w:fill="auto"/>
            <w:noWrap/>
            <w:vAlign w:val="center"/>
            <w:hideMark/>
          </w:tcPr>
          <w:p w14:paraId="185B5E8C" w14:textId="77777777" w:rsidR="008F3CCB" w:rsidRPr="00A774D3" w:rsidRDefault="008F3CCB" w:rsidP="00A774D3">
            <w:pPr>
              <w:jc w:val="right"/>
              <w:rPr>
                <w:rFonts w:asciiTheme="majorHAnsi" w:hAnsiTheme="majorHAnsi" w:cs="Arial"/>
                <w:b/>
                <w:bCs/>
                <w:sz w:val="16"/>
                <w:szCs w:val="16"/>
              </w:rPr>
            </w:pPr>
            <w:r w:rsidRPr="00A774D3">
              <w:rPr>
                <w:rFonts w:asciiTheme="majorHAnsi" w:hAnsiTheme="majorHAnsi" w:cs="Arial"/>
                <w:b/>
                <w:bCs/>
                <w:sz w:val="16"/>
                <w:szCs w:val="16"/>
              </w:rPr>
              <w:t>22.233.502.272</w:t>
            </w:r>
          </w:p>
        </w:tc>
        <w:tc>
          <w:tcPr>
            <w:tcW w:w="919" w:type="pct"/>
            <w:tcBorders>
              <w:top w:val="single" w:sz="8" w:space="0" w:color="auto"/>
              <w:left w:val="nil"/>
              <w:bottom w:val="single" w:sz="8" w:space="0" w:color="auto"/>
              <w:right w:val="single" w:sz="8" w:space="0" w:color="auto"/>
            </w:tcBorders>
            <w:shd w:val="clear" w:color="auto" w:fill="auto"/>
            <w:noWrap/>
            <w:vAlign w:val="center"/>
            <w:hideMark/>
          </w:tcPr>
          <w:p w14:paraId="0446E366" w14:textId="77777777" w:rsidR="008F3CCB" w:rsidRPr="00A774D3" w:rsidRDefault="008F3CCB" w:rsidP="00A774D3">
            <w:pPr>
              <w:jc w:val="right"/>
              <w:rPr>
                <w:rFonts w:asciiTheme="majorHAnsi" w:hAnsiTheme="majorHAnsi" w:cs="Arial"/>
                <w:b/>
                <w:bCs/>
                <w:sz w:val="16"/>
                <w:szCs w:val="16"/>
              </w:rPr>
            </w:pPr>
            <w:r w:rsidRPr="00A774D3">
              <w:rPr>
                <w:rFonts w:asciiTheme="majorHAnsi" w:hAnsiTheme="majorHAnsi" w:cs="Arial"/>
                <w:b/>
                <w:bCs/>
                <w:sz w:val="16"/>
                <w:szCs w:val="16"/>
              </w:rPr>
              <w:t xml:space="preserve">                     903.489.907 </w:t>
            </w:r>
          </w:p>
        </w:tc>
        <w:tc>
          <w:tcPr>
            <w:tcW w:w="867" w:type="pct"/>
            <w:tcBorders>
              <w:top w:val="single" w:sz="8" w:space="0" w:color="auto"/>
              <w:left w:val="nil"/>
              <w:bottom w:val="single" w:sz="8" w:space="0" w:color="auto"/>
              <w:right w:val="nil"/>
            </w:tcBorders>
            <w:shd w:val="clear" w:color="auto" w:fill="auto"/>
            <w:noWrap/>
            <w:vAlign w:val="center"/>
            <w:hideMark/>
          </w:tcPr>
          <w:p w14:paraId="2E8E7EEC" w14:textId="77777777" w:rsidR="008F3CCB" w:rsidRPr="00A774D3" w:rsidRDefault="008F3CCB" w:rsidP="00A774D3">
            <w:pPr>
              <w:jc w:val="right"/>
              <w:rPr>
                <w:rFonts w:asciiTheme="majorHAnsi" w:hAnsiTheme="majorHAnsi" w:cs="Arial"/>
                <w:b/>
                <w:bCs/>
                <w:sz w:val="16"/>
                <w:szCs w:val="16"/>
              </w:rPr>
            </w:pPr>
            <w:r w:rsidRPr="00A774D3">
              <w:rPr>
                <w:rFonts w:asciiTheme="majorHAnsi" w:hAnsiTheme="majorHAnsi" w:cs="Arial"/>
                <w:b/>
                <w:bCs/>
                <w:sz w:val="16"/>
                <w:szCs w:val="16"/>
              </w:rPr>
              <w:t xml:space="preserve">             (20.254.287.649)</w:t>
            </w:r>
          </w:p>
        </w:tc>
        <w:tc>
          <w:tcPr>
            <w:tcW w:w="105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A7E66C" w14:textId="77777777" w:rsidR="008F3CCB" w:rsidRPr="00A774D3" w:rsidRDefault="008F3CCB" w:rsidP="00A774D3">
            <w:pPr>
              <w:jc w:val="right"/>
              <w:rPr>
                <w:rFonts w:asciiTheme="majorHAnsi" w:hAnsiTheme="majorHAnsi" w:cs="Arial"/>
                <w:b/>
                <w:bCs/>
                <w:sz w:val="16"/>
                <w:szCs w:val="16"/>
              </w:rPr>
            </w:pPr>
            <w:r w:rsidRPr="00A774D3">
              <w:rPr>
                <w:rFonts w:asciiTheme="majorHAnsi" w:hAnsiTheme="majorHAnsi" w:cs="Arial"/>
                <w:b/>
                <w:bCs/>
                <w:sz w:val="16"/>
                <w:szCs w:val="16"/>
              </w:rPr>
              <w:t xml:space="preserve">                               2.882.704.530 </w:t>
            </w:r>
          </w:p>
        </w:tc>
      </w:tr>
      <w:tr w:rsidR="00A774D3" w:rsidRPr="00A774D3" w14:paraId="008C9E3B" w14:textId="77777777" w:rsidTr="00A774D3">
        <w:trPr>
          <w:trHeight w:val="300"/>
        </w:trPr>
        <w:tc>
          <w:tcPr>
            <w:tcW w:w="1537" w:type="pct"/>
            <w:tcBorders>
              <w:top w:val="nil"/>
              <w:left w:val="single" w:sz="8" w:space="0" w:color="auto"/>
              <w:bottom w:val="nil"/>
              <w:right w:val="nil"/>
            </w:tcBorders>
            <w:shd w:val="clear" w:color="000000" w:fill="FFFFFF"/>
            <w:noWrap/>
            <w:vAlign w:val="center"/>
            <w:hideMark/>
          </w:tcPr>
          <w:p w14:paraId="179F5C14" w14:textId="04120F5C" w:rsidR="008F3CCB" w:rsidRPr="00A774D3" w:rsidRDefault="008F3CCB">
            <w:pPr>
              <w:rPr>
                <w:rFonts w:asciiTheme="majorHAnsi" w:hAnsiTheme="majorHAnsi" w:cs="Arial"/>
                <w:sz w:val="16"/>
                <w:szCs w:val="16"/>
              </w:rPr>
            </w:pPr>
            <w:r w:rsidRPr="00A774D3">
              <w:rPr>
                <w:rFonts w:asciiTheme="majorHAnsi" w:hAnsiTheme="majorHAnsi" w:cs="Arial"/>
                <w:sz w:val="16"/>
                <w:szCs w:val="16"/>
              </w:rPr>
              <w:t xml:space="preserve">Resultado Líquido do </w:t>
            </w:r>
            <w:r w:rsidR="00A774D3" w:rsidRPr="00A774D3">
              <w:rPr>
                <w:rFonts w:asciiTheme="majorHAnsi" w:hAnsiTheme="majorHAnsi" w:cs="Arial"/>
                <w:sz w:val="16"/>
                <w:szCs w:val="16"/>
              </w:rPr>
              <w:t>período</w:t>
            </w:r>
            <w:r w:rsidRPr="00A774D3">
              <w:rPr>
                <w:rFonts w:asciiTheme="majorHAnsi" w:hAnsiTheme="majorHAnsi" w:cs="Arial"/>
                <w:sz w:val="16"/>
                <w:szCs w:val="16"/>
              </w:rPr>
              <w:t xml:space="preserve"> </w:t>
            </w:r>
          </w:p>
        </w:tc>
        <w:tc>
          <w:tcPr>
            <w:tcW w:w="626" w:type="pct"/>
            <w:tcBorders>
              <w:top w:val="nil"/>
              <w:left w:val="single" w:sz="8" w:space="0" w:color="auto"/>
              <w:bottom w:val="nil"/>
              <w:right w:val="single" w:sz="8" w:space="0" w:color="auto"/>
            </w:tcBorders>
            <w:shd w:val="clear" w:color="auto" w:fill="auto"/>
            <w:noWrap/>
            <w:vAlign w:val="center"/>
            <w:hideMark/>
          </w:tcPr>
          <w:p w14:paraId="579C38D1" w14:textId="77777777" w:rsidR="008F3CCB" w:rsidRPr="00A774D3" w:rsidRDefault="008F3CCB" w:rsidP="00A774D3">
            <w:pPr>
              <w:jc w:val="right"/>
              <w:rPr>
                <w:rFonts w:asciiTheme="majorHAnsi" w:hAnsiTheme="majorHAnsi" w:cs="Arial"/>
                <w:sz w:val="16"/>
                <w:szCs w:val="16"/>
              </w:rPr>
            </w:pPr>
            <w:r w:rsidRPr="00A774D3">
              <w:rPr>
                <w:rFonts w:asciiTheme="majorHAnsi" w:hAnsiTheme="majorHAnsi" w:cs="Arial"/>
                <w:sz w:val="16"/>
                <w:szCs w:val="16"/>
              </w:rPr>
              <w:t xml:space="preserve">                               -   </w:t>
            </w:r>
          </w:p>
        </w:tc>
        <w:tc>
          <w:tcPr>
            <w:tcW w:w="919" w:type="pct"/>
            <w:tcBorders>
              <w:top w:val="nil"/>
              <w:left w:val="nil"/>
              <w:bottom w:val="nil"/>
              <w:right w:val="nil"/>
            </w:tcBorders>
            <w:shd w:val="clear" w:color="auto" w:fill="auto"/>
            <w:noWrap/>
            <w:vAlign w:val="center"/>
            <w:hideMark/>
          </w:tcPr>
          <w:p w14:paraId="1F3C83B1" w14:textId="77777777" w:rsidR="008F3CCB" w:rsidRPr="00A774D3" w:rsidRDefault="008F3CCB" w:rsidP="00A774D3">
            <w:pPr>
              <w:jc w:val="right"/>
              <w:rPr>
                <w:rFonts w:asciiTheme="majorHAnsi" w:hAnsiTheme="majorHAnsi" w:cs="Arial"/>
                <w:sz w:val="16"/>
                <w:szCs w:val="16"/>
              </w:rPr>
            </w:pPr>
            <w:r w:rsidRPr="00A774D3">
              <w:rPr>
                <w:rFonts w:asciiTheme="majorHAnsi" w:hAnsiTheme="majorHAnsi" w:cs="Arial"/>
                <w:sz w:val="16"/>
                <w:szCs w:val="16"/>
              </w:rPr>
              <w:t xml:space="preserve">                                                -   </w:t>
            </w:r>
          </w:p>
        </w:tc>
        <w:tc>
          <w:tcPr>
            <w:tcW w:w="867" w:type="pct"/>
            <w:tcBorders>
              <w:top w:val="nil"/>
              <w:left w:val="single" w:sz="8" w:space="0" w:color="auto"/>
              <w:bottom w:val="nil"/>
              <w:right w:val="single" w:sz="8" w:space="0" w:color="auto"/>
            </w:tcBorders>
            <w:shd w:val="clear" w:color="auto" w:fill="auto"/>
            <w:noWrap/>
            <w:vAlign w:val="center"/>
            <w:hideMark/>
          </w:tcPr>
          <w:p w14:paraId="6F94E800" w14:textId="77777777" w:rsidR="008F3CCB" w:rsidRPr="00A774D3" w:rsidRDefault="008F3CCB" w:rsidP="00A774D3">
            <w:pPr>
              <w:jc w:val="right"/>
              <w:rPr>
                <w:rFonts w:asciiTheme="majorHAnsi" w:hAnsiTheme="majorHAnsi" w:cs="Arial"/>
                <w:sz w:val="16"/>
                <w:szCs w:val="16"/>
              </w:rPr>
            </w:pPr>
            <w:r w:rsidRPr="00A774D3">
              <w:rPr>
                <w:rFonts w:asciiTheme="majorHAnsi" w:hAnsiTheme="majorHAnsi" w:cs="Arial"/>
                <w:sz w:val="16"/>
                <w:szCs w:val="16"/>
              </w:rPr>
              <w:t xml:space="preserve">                 (101.934.258)</w:t>
            </w:r>
          </w:p>
        </w:tc>
        <w:tc>
          <w:tcPr>
            <w:tcW w:w="1051" w:type="pct"/>
            <w:tcBorders>
              <w:top w:val="nil"/>
              <w:left w:val="nil"/>
              <w:bottom w:val="nil"/>
              <w:right w:val="single" w:sz="8" w:space="0" w:color="auto"/>
            </w:tcBorders>
            <w:shd w:val="clear" w:color="auto" w:fill="auto"/>
            <w:noWrap/>
            <w:vAlign w:val="center"/>
            <w:hideMark/>
          </w:tcPr>
          <w:p w14:paraId="3E954BE0" w14:textId="77777777" w:rsidR="008F3CCB" w:rsidRPr="00A774D3" w:rsidRDefault="008F3CCB" w:rsidP="00A774D3">
            <w:pPr>
              <w:jc w:val="right"/>
              <w:rPr>
                <w:rFonts w:asciiTheme="majorHAnsi" w:hAnsiTheme="majorHAnsi" w:cs="Arial"/>
                <w:sz w:val="16"/>
                <w:szCs w:val="16"/>
              </w:rPr>
            </w:pPr>
            <w:r w:rsidRPr="00A774D3">
              <w:rPr>
                <w:rFonts w:asciiTheme="majorHAnsi" w:hAnsiTheme="majorHAnsi" w:cs="Arial"/>
                <w:sz w:val="16"/>
                <w:szCs w:val="16"/>
              </w:rPr>
              <w:t xml:space="preserve">                                (101.934.258)</w:t>
            </w:r>
          </w:p>
        </w:tc>
      </w:tr>
      <w:tr w:rsidR="00A774D3" w:rsidRPr="00A774D3" w14:paraId="5C962115" w14:textId="77777777" w:rsidTr="00A774D3">
        <w:trPr>
          <w:trHeight w:val="315"/>
        </w:trPr>
        <w:tc>
          <w:tcPr>
            <w:tcW w:w="1537" w:type="pct"/>
            <w:tcBorders>
              <w:top w:val="nil"/>
              <w:left w:val="single" w:sz="8" w:space="0" w:color="auto"/>
              <w:bottom w:val="nil"/>
              <w:right w:val="nil"/>
            </w:tcBorders>
            <w:shd w:val="clear" w:color="auto" w:fill="auto"/>
            <w:noWrap/>
            <w:vAlign w:val="center"/>
            <w:hideMark/>
          </w:tcPr>
          <w:p w14:paraId="2D9EE659" w14:textId="77777777" w:rsidR="008F3CCB" w:rsidRPr="00A774D3" w:rsidRDefault="008F3CCB">
            <w:pPr>
              <w:rPr>
                <w:rFonts w:asciiTheme="majorHAnsi" w:hAnsiTheme="majorHAnsi" w:cs="Arial"/>
                <w:sz w:val="16"/>
                <w:szCs w:val="16"/>
              </w:rPr>
            </w:pPr>
            <w:r w:rsidRPr="00A774D3">
              <w:rPr>
                <w:rFonts w:asciiTheme="majorHAnsi" w:hAnsiTheme="majorHAnsi" w:cs="Arial"/>
                <w:sz w:val="16"/>
                <w:szCs w:val="16"/>
              </w:rPr>
              <w:t>Adiantamento para Futuro Aumento de Capital</w:t>
            </w:r>
          </w:p>
        </w:tc>
        <w:tc>
          <w:tcPr>
            <w:tcW w:w="626" w:type="pct"/>
            <w:tcBorders>
              <w:top w:val="nil"/>
              <w:left w:val="single" w:sz="8" w:space="0" w:color="auto"/>
              <w:bottom w:val="single" w:sz="8" w:space="0" w:color="auto"/>
              <w:right w:val="single" w:sz="8" w:space="0" w:color="auto"/>
            </w:tcBorders>
            <w:shd w:val="clear" w:color="auto" w:fill="auto"/>
            <w:noWrap/>
            <w:vAlign w:val="center"/>
            <w:hideMark/>
          </w:tcPr>
          <w:p w14:paraId="43F79E8D" w14:textId="77777777" w:rsidR="008F3CCB" w:rsidRPr="00A774D3" w:rsidRDefault="008F3CCB" w:rsidP="00A774D3">
            <w:pPr>
              <w:jc w:val="right"/>
              <w:rPr>
                <w:rFonts w:asciiTheme="majorHAnsi" w:hAnsiTheme="majorHAnsi" w:cs="Arial"/>
                <w:sz w:val="16"/>
                <w:szCs w:val="16"/>
              </w:rPr>
            </w:pPr>
            <w:r w:rsidRPr="00A774D3">
              <w:rPr>
                <w:rFonts w:asciiTheme="majorHAnsi" w:hAnsiTheme="majorHAnsi" w:cs="Arial"/>
                <w:sz w:val="16"/>
                <w:szCs w:val="16"/>
              </w:rPr>
              <w:t xml:space="preserve">                               -   </w:t>
            </w:r>
          </w:p>
        </w:tc>
        <w:tc>
          <w:tcPr>
            <w:tcW w:w="919" w:type="pct"/>
            <w:tcBorders>
              <w:top w:val="nil"/>
              <w:left w:val="nil"/>
              <w:bottom w:val="nil"/>
              <w:right w:val="single" w:sz="8" w:space="0" w:color="auto"/>
            </w:tcBorders>
            <w:shd w:val="clear" w:color="auto" w:fill="auto"/>
            <w:noWrap/>
            <w:vAlign w:val="center"/>
            <w:hideMark/>
          </w:tcPr>
          <w:p w14:paraId="0D8A71BD" w14:textId="77777777" w:rsidR="008F3CCB" w:rsidRPr="00A774D3" w:rsidRDefault="008F3CCB" w:rsidP="00A774D3">
            <w:pPr>
              <w:jc w:val="right"/>
              <w:rPr>
                <w:rFonts w:asciiTheme="majorHAnsi" w:hAnsiTheme="majorHAnsi" w:cs="Arial"/>
                <w:sz w:val="16"/>
                <w:szCs w:val="16"/>
              </w:rPr>
            </w:pPr>
            <w:r w:rsidRPr="00A774D3">
              <w:rPr>
                <w:rFonts w:asciiTheme="majorHAnsi" w:hAnsiTheme="majorHAnsi" w:cs="Arial"/>
                <w:sz w:val="16"/>
                <w:szCs w:val="16"/>
              </w:rPr>
              <w:t>277.743.872</w:t>
            </w:r>
          </w:p>
        </w:tc>
        <w:tc>
          <w:tcPr>
            <w:tcW w:w="867" w:type="pct"/>
            <w:tcBorders>
              <w:top w:val="nil"/>
              <w:left w:val="nil"/>
              <w:bottom w:val="single" w:sz="8" w:space="0" w:color="auto"/>
              <w:right w:val="single" w:sz="8" w:space="0" w:color="auto"/>
            </w:tcBorders>
            <w:shd w:val="clear" w:color="auto" w:fill="auto"/>
            <w:noWrap/>
            <w:vAlign w:val="center"/>
            <w:hideMark/>
          </w:tcPr>
          <w:p w14:paraId="133A07AD" w14:textId="77777777" w:rsidR="008F3CCB" w:rsidRPr="00A774D3" w:rsidRDefault="008F3CCB" w:rsidP="00A774D3">
            <w:pPr>
              <w:jc w:val="right"/>
              <w:rPr>
                <w:rFonts w:asciiTheme="majorHAnsi" w:hAnsiTheme="majorHAnsi" w:cs="Arial"/>
                <w:sz w:val="16"/>
                <w:szCs w:val="16"/>
              </w:rPr>
            </w:pPr>
            <w:r w:rsidRPr="00A774D3">
              <w:rPr>
                <w:rFonts w:asciiTheme="majorHAnsi" w:hAnsiTheme="majorHAnsi" w:cs="Arial"/>
                <w:sz w:val="16"/>
                <w:szCs w:val="16"/>
              </w:rPr>
              <w:t xml:space="preserve">                                             -   </w:t>
            </w:r>
          </w:p>
        </w:tc>
        <w:tc>
          <w:tcPr>
            <w:tcW w:w="1051" w:type="pct"/>
            <w:tcBorders>
              <w:top w:val="nil"/>
              <w:left w:val="nil"/>
              <w:bottom w:val="nil"/>
              <w:right w:val="single" w:sz="8" w:space="0" w:color="auto"/>
            </w:tcBorders>
            <w:shd w:val="clear" w:color="auto" w:fill="auto"/>
            <w:noWrap/>
            <w:vAlign w:val="center"/>
            <w:hideMark/>
          </w:tcPr>
          <w:p w14:paraId="34452B2D" w14:textId="77777777" w:rsidR="008F3CCB" w:rsidRPr="00A774D3" w:rsidRDefault="008F3CCB" w:rsidP="00A774D3">
            <w:pPr>
              <w:jc w:val="right"/>
              <w:rPr>
                <w:rFonts w:asciiTheme="majorHAnsi" w:hAnsiTheme="majorHAnsi" w:cs="Arial"/>
                <w:sz w:val="16"/>
                <w:szCs w:val="16"/>
              </w:rPr>
            </w:pPr>
            <w:r w:rsidRPr="00A774D3">
              <w:rPr>
                <w:rFonts w:asciiTheme="majorHAnsi" w:hAnsiTheme="majorHAnsi" w:cs="Arial"/>
                <w:sz w:val="16"/>
                <w:szCs w:val="16"/>
              </w:rPr>
              <w:t>277.743.872</w:t>
            </w:r>
          </w:p>
        </w:tc>
      </w:tr>
      <w:tr w:rsidR="00A774D3" w:rsidRPr="00A774D3" w14:paraId="48A54822" w14:textId="77777777" w:rsidTr="00A774D3">
        <w:trPr>
          <w:trHeight w:val="315"/>
        </w:trPr>
        <w:tc>
          <w:tcPr>
            <w:tcW w:w="1537"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800444" w14:textId="77777777" w:rsidR="008F3CCB" w:rsidRPr="00A774D3" w:rsidRDefault="008F3CCB">
            <w:pPr>
              <w:rPr>
                <w:rFonts w:asciiTheme="majorHAnsi" w:hAnsiTheme="majorHAnsi" w:cs="Arial"/>
                <w:b/>
                <w:bCs/>
                <w:sz w:val="16"/>
                <w:szCs w:val="16"/>
              </w:rPr>
            </w:pPr>
            <w:r w:rsidRPr="00A774D3">
              <w:rPr>
                <w:rFonts w:asciiTheme="majorHAnsi" w:hAnsiTheme="majorHAnsi" w:cs="Arial"/>
                <w:b/>
                <w:bCs/>
                <w:sz w:val="16"/>
                <w:szCs w:val="16"/>
              </w:rPr>
              <w:t>Saldo em 30 de setembro de 2021</w:t>
            </w:r>
          </w:p>
        </w:tc>
        <w:tc>
          <w:tcPr>
            <w:tcW w:w="626" w:type="pct"/>
            <w:tcBorders>
              <w:top w:val="nil"/>
              <w:left w:val="nil"/>
              <w:bottom w:val="single" w:sz="8" w:space="0" w:color="auto"/>
              <w:right w:val="single" w:sz="8" w:space="0" w:color="auto"/>
            </w:tcBorders>
            <w:shd w:val="clear" w:color="auto" w:fill="auto"/>
            <w:noWrap/>
            <w:vAlign w:val="center"/>
            <w:hideMark/>
          </w:tcPr>
          <w:p w14:paraId="78304BD0" w14:textId="77777777" w:rsidR="008F3CCB" w:rsidRPr="00A774D3" w:rsidRDefault="008F3CCB" w:rsidP="00A774D3">
            <w:pPr>
              <w:jc w:val="right"/>
              <w:rPr>
                <w:rFonts w:asciiTheme="majorHAnsi" w:hAnsiTheme="majorHAnsi" w:cs="Arial"/>
                <w:b/>
                <w:bCs/>
                <w:sz w:val="16"/>
                <w:szCs w:val="16"/>
              </w:rPr>
            </w:pPr>
            <w:r w:rsidRPr="00A774D3">
              <w:rPr>
                <w:rFonts w:asciiTheme="majorHAnsi" w:hAnsiTheme="majorHAnsi" w:cs="Arial"/>
                <w:b/>
                <w:bCs/>
                <w:sz w:val="16"/>
                <w:szCs w:val="16"/>
              </w:rPr>
              <w:t xml:space="preserve">    22.233.502.272 </w:t>
            </w:r>
          </w:p>
        </w:tc>
        <w:tc>
          <w:tcPr>
            <w:tcW w:w="919" w:type="pct"/>
            <w:tcBorders>
              <w:top w:val="single" w:sz="8" w:space="0" w:color="auto"/>
              <w:left w:val="nil"/>
              <w:bottom w:val="single" w:sz="8" w:space="0" w:color="auto"/>
              <w:right w:val="nil"/>
            </w:tcBorders>
            <w:shd w:val="clear" w:color="auto" w:fill="auto"/>
            <w:noWrap/>
            <w:vAlign w:val="center"/>
            <w:hideMark/>
          </w:tcPr>
          <w:p w14:paraId="6FD963B8" w14:textId="77777777" w:rsidR="008F3CCB" w:rsidRPr="00A774D3" w:rsidRDefault="008F3CCB" w:rsidP="00A774D3">
            <w:pPr>
              <w:jc w:val="right"/>
              <w:rPr>
                <w:rFonts w:asciiTheme="majorHAnsi" w:hAnsiTheme="majorHAnsi" w:cs="Arial"/>
                <w:b/>
                <w:bCs/>
                <w:sz w:val="16"/>
                <w:szCs w:val="16"/>
              </w:rPr>
            </w:pPr>
            <w:r w:rsidRPr="00A774D3">
              <w:rPr>
                <w:rFonts w:asciiTheme="majorHAnsi" w:hAnsiTheme="majorHAnsi" w:cs="Arial"/>
                <w:b/>
                <w:bCs/>
                <w:sz w:val="16"/>
                <w:szCs w:val="16"/>
              </w:rPr>
              <w:t xml:space="preserve">                  1.181.233.779 </w:t>
            </w:r>
          </w:p>
        </w:tc>
        <w:tc>
          <w:tcPr>
            <w:tcW w:w="867" w:type="pct"/>
            <w:tcBorders>
              <w:top w:val="nil"/>
              <w:left w:val="single" w:sz="8" w:space="0" w:color="auto"/>
              <w:bottom w:val="single" w:sz="8" w:space="0" w:color="auto"/>
              <w:right w:val="nil"/>
            </w:tcBorders>
            <w:shd w:val="clear" w:color="auto" w:fill="auto"/>
            <w:noWrap/>
            <w:vAlign w:val="center"/>
            <w:hideMark/>
          </w:tcPr>
          <w:p w14:paraId="01D37F1C" w14:textId="77777777" w:rsidR="008F3CCB" w:rsidRPr="00A774D3" w:rsidRDefault="008F3CCB" w:rsidP="00A774D3">
            <w:pPr>
              <w:jc w:val="right"/>
              <w:rPr>
                <w:rFonts w:asciiTheme="majorHAnsi" w:hAnsiTheme="majorHAnsi" w:cs="Arial"/>
                <w:b/>
                <w:bCs/>
                <w:sz w:val="16"/>
                <w:szCs w:val="16"/>
              </w:rPr>
            </w:pPr>
            <w:r w:rsidRPr="00A774D3">
              <w:rPr>
                <w:rFonts w:asciiTheme="majorHAnsi" w:hAnsiTheme="majorHAnsi" w:cs="Arial"/>
                <w:b/>
                <w:bCs/>
                <w:sz w:val="16"/>
                <w:szCs w:val="16"/>
              </w:rPr>
              <w:t xml:space="preserve">             (20.356.221.907)</w:t>
            </w:r>
          </w:p>
        </w:tc>
        <w:tc>
          <w:tcPr>
            <w:tcW w:w="1051"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C012FD" w14:textId="77777777" w:rsidR="008F3CCB" w:rsidRPr="00A774D3" w:rsidRDefault="008F3CCB" w:rsidP="00A774D3">
            <w:pPr>
              <w:jc w:val="right"/>
              <w:rPr>
                <w:rFonts w:asciiTheme="majorHAnsi" w:hAnsiTheme="majorHAnsi" w:cs="Arial"/>
                <w:b/>
                <w:bCs/>
                <w:sz w:val="16"/>
                <w:szCs w:val="16"/>
              </w:rPr>
            </w:pPr>
            <w:r w:rsidRPr="00A774D3">
              <w:rPr>
                <w:rFonts w:asciiTheme="majorHAnsi" w:hAnsiTheme="majorHAnsi" w:cs="Arial"/>
                <w:b/>
                <w:bCs/>
                <w:sz w:val="16"/>
                <w:szCs w:val="16"/>
              </w:rPr>
              <w:t>3.058.514.144</w:t>
            </w:r>
          </w:p>
        </w:tc>
      </w:tr>
      <w:tr w:rsidR="00A774D3" w:rsidRPr="00A774D3" w14:paraId="3B7190B0" w14:textId="77777777" w:rsidTr="00A774D3">
        <w:trPr>
          <w:trHeight w:val="300"/>
        </w:trPr>
        <w:tc>
          <w:tcPr>
            <w:tcW w:w="1537" w:type="pct"/>
            <w:tcBorders>
              <w:top w:val="nil"/>
              <w:left w:val="nil"/>
              <w:bottom w:val="nil"/>
              <w:right w:val="nil"/>
            </w:tcBorders>
            <w:shd w:val="clear" w:color="auto" w:fill="auto"/>
            <w:noWrap/>
            <w:vAlign w:val="center"/>
            <w:hideMark/>
          </w:tcPr>
          <w:p w14:paraId="07CD1121" w14:textId="77777777" w:rsidR="008F3CCB" w:rsidRPr="00A774D3" w:rsidRDefault="008F3CCB">
            <w:pPr>
              <w:jc w:val="right"/>
              <w:rPr>
                <w:rFonts w:asciiTheme="majorHAnsi" w:hAnsiTheme="majorHAnsi" w:cs="Arial"/>
                <w:b/>
                <w:bCs/>
                <w:sz w:val="16"/>
                <w:szCs w:val="16"/>
              </w:rPr>
            </w:pPr>
          </w:p>
        </w:tc>
        <w:tc>
          <w:tcPr>
            <w:tcW w:w="626" w:type="pct"/>
            <w:tcBorders>
              <w:top w:val="nil"/>
              <w:left w:val="nil"/>
              <w:bottom w:val="nil"/>
              <w:right w:val="nil"/>
            </w:tcBorders>
            <w:shd w:val="clear" w:color="auto" w:fill="auto"/>
            <w:noWrap/>
            <w:vAlign w:val="center"/>
            <w:hideMark/>
          </w:tcPr>
          <w:p w14:paraId="6116CB1F" w14:textId="77777777" w:rsidR="008F3CCB" w:rsidRPr="00A774D3" w:rsidRDefault="008F3CCB">
            <w:pPr>
              <w:rPr>
                <w:rFonts w:asciiTheme="majorHAnsi" w:hAnsiTheme="majorHAnsi"/>
                <w:sz w:val="16"/>
                <w:szCs w:val="16"/>
              </w:rPr>
            </w:pPr>
          </w:p>
        </w:tc>
        <w:tc>
          <w:tcPr>
            <w:tcW w:w="919" w:type="pct"/>
            <w:tcBorders>
              <w:top w:val="nil"/>
              <w:left w:val="nil"/>
              <w:bottom w:val="nil"/>
              <w:right w:val="nil"/>
            </w:tcBorders>
            <w:shd w:val="clear" w:color="auto" w:fill="auto"/>
            <w:noWrap/>
            <w:vAlign w:val="center"/>
            <w:hideMark/>
          </w:tcPr>
          <w:p w14:paraId="427B3D94" w14:textId="77777777" w:rsidR="008F3CCB" w:rsidRPr="00A774D3" w:rsidRDefault="008F3CCB">
            <w:pPr>
              <w:jc w:val="right"/>
              <w:rPr>
                <w:rFonts w:asciiTheme="majorHAnsi" w:hAnsiTheme="majorHAnsi"/>
                <w:sz w:val="16"/>
                <w:szCs w:val="16"/>
              </w:rPr>
            </w:pPr>
          </w:p>
        </w:tc>
        <w:tc>
          <w:tcPr>
            <w:tcW w:w="867" w:type="pct"/>
            <w:tcBorders>
              <w:top w:val="nil"/>
              <w:left w:val="nil"/>
              <w:bottom w:val="nil"/>
              <w:right w:val="nil"/>
            </w:tcBorders>
            <w:shd w:val="clear" w:color="auto" w:fill="auto"/>
            <w:noWrap/>
            <w:vAlign w:val="center"/>
            <w:hideMark/>
          </w:tcPr>
          <w:p w14:paraId="0CF61E07" w14:textId="77777777" w:rsidR="008F3CCB" w:rsidRPr="00A774D3" w:rsidRDefault="008F3CCB">
            <w:pPr>
              <w:jc w:val="right"/>
              <w:rPr>
                <w:rFonts w:asciiTheme="majorHAnsi" w:hAnsiTheme="majorHAnsi"/>
                <w:sz w:val="16"/>
                <w:szCs w:val="16"/>
              </w:rPr>
            </w:pPr>
          </w:p>
        </w:tc>
        <w:tc>
          <w:tcPr>
            <w:tcW w:w="1051" w:type="pct"/>
            <w:tcBorders>
              <w:top w:val="nil"/>
              <w:left w:val="nil"/>
              <w:bottom w:val="nil"/>
              <w:right w:val="nil"/>
            </w:tcBorders>
            <w:shd w:val="clear" w:color="auto" w:fill="auto"/>
            <w:noWrap/>
            <w:vAlign w:val="center"/>
            <w:hideMark/>
          </w:tcPr>
          <w:p w14:paraId="58EA9C0D" w14:textId="77777777" w:rsidR="008F3CCB" w:rsidRPr="00A774D3" w:rsidRDefault="008F3CCB">
            <w:pPr>
              <w:jc w:val="right"/>
              <w:rPr>
                <w:rFonts w:asciiTheme="majorHAnsi" w:hAnsiTheme="majorHAnsi"/>
                <w:sz w:val="16"/>
                <w:szCs w:val="16"/>
              </w:rPr>
            </w:pPr>
          </w:p>
        </w:tc>
      </w:tr>
      <w:tr w:rsidR="008F3CCB" w:rsidRPr="00A774D3" w14:paraId="3FEFB6BB" w14:textId="77777777" w:rsidTr="00A774D3">
        <w:trPr>
          <w:trHeight w:val="300"/>
        </w:trPr>
        <w:tc>
          <w:tcPr>
            <w:tcW w:w="5000" w:type="pct"/>
            <w:gridSpan w:val="5"/>
            <w:tcBorders>
              <w:top w:val="nil"/>
              <w:left w:val="nil"/>
              <w:bottom w:val="nil"/>
              <w:right w:val="nil"/>
            </w:tcBorders>
            <w:shd w:val="clear" w:color="auto" w:fill="auto"/>
            <w:noWrap/>
            <w:vAlign w:val="center"/>
            <w:hideMark/>
          </w:tcPr>
          <w:p w14:paraId="0EC89458" w14:textId="77777777" w:rsidR="008F3CCB" w:rsidRPr="00A774D3" w:rsidRDefault="008F3CCB">
            <w:pPr>
              <w:jc w:val="center"/>
              <w:rPr>
                <w:rFonts w:asciiTheme="majorHAnsi" w:hAnsiTheme="majorHAnsi" w:cs="Arial"/>
                <w:sz w:val="16"/>
                <w:szCs w:val="16"/>
              </w:rPr>
            </w:pPr>
            <w:r w:rsidRPr="00A774D3">
              <w:rPr>
                <w:rFonts w:asciiTheme="majorHAnsi" w:hAnsiTheme="majorHAnsi" w:cs="Arial"/>
                <w:sz w:val="16"/>
                <w:szCs w:val="16"/>
              </w:rPr>
              <w:t>(As Notas Explicativas são parte integrante das demonstrações contábeis intermediárias)</w:t>
            </w:r>
          </w:p>
        </w:tc>
      </w:tr>
    </w:tbl>
    <w:p w14:paraId="5A773F46" w14:textId="2111F5FE" w:rsidR="00EE5736" w:rsidRDefault="00EE5736" w:rsidP="002E2B5B">
      <w:pPr>
        <w:pStyle w:val="Ttulo1"/>
        <w:tabs>
          <w:tab w:val="left" w:pos="1701"/>
        </w:tabs>
        <w:ind w:right="-142"/>
        <w:rPr>
          <w:rFonts w:ascii="Calibri" w:hAnsi="Calibri" w:cs="Calibri"/>
          <w:szCs w:val="22"/>
        </w:rPr>
      </w:pPr>
    </w:p>
    <w:p w14:paraId="4916D6BB" w14:textId="31CC3B2E" w:rsidR="00A774D3" w:rsidRDefault="00A774D3" w:rsidP="00A774D3"/>
    <w:p w14:paraId="03072CF4" w14:textId="45544CEE" w:rsidR="00A774D3" w:rsidRDefault="00A774D3" w:rsidP="00A774D3"/>
    <w:p w14:paraId="4E181A75" w14:textId="0DBBDCBD" w:rsidR="00A774D3" w:rsidRDefault="00A774D3" w:rsidP="00A774D3"/>
    <w:p w14:paraId="7B0FF727" w14:textId="2E8991B9" w:rsidR="00A774D3" w:rsidRDefault="00A774D3" w:rsidP="00A774D3"/>
    <w:p w14:paraId="6EA8381A" w14:textId="467D2BBD" w:rsidR="00A774D3" w:rsidRDefault="00A774D3" w:rsidP="00A774D3"/>
    <w:p w14:paraId="4B03D9E3" w14:textId="6DCAA657" w:rsidR="00A774D3" w:rsidRDefault="00A774D3" w:rsidP="00A774D3"/>
    <w:p w14:paraId="125C3F62" w14:textId="77F85C1A" w:rsidR="00A774D3" w:rsidRDefault="00A774D3" w:rsidP="00A774D3"/>
    <w:p w14:paraId="0DF258EB" w14:textId="2549F26F" w:rsidR="00A774D3" w:rsidRDefault="00A774D3" w:rsidP="00A774D3"/>
    <w:p w14:paraId="20E6559B" w14:textId="3F6EE783" w:rsidR="00A774D3" w:rsidRDefault="00A774D3" w:rsidP="00A774D3"/>
    <w:p w14:paraId="1CB45C04" w14:textId="4E3ACD9C" w:rsidR="00A774D3" w:rsidRDefault="00A774D3" w:rsidP="00A774D3"/>
    <w:p w14:paraId="40EEB070" w14:textId="1FF39F91" w:rsidR="00A774D3" w:rsidRDefault="00A774D3" w:rsidP="00A774D3"/>
    <w:p w14:paraId="603D4036" w14:textId="28D53CD9" w:rsidR="00A774D3" w:rsidRDefault="00A774D3" w:rsidP="00A774D3"/>
    <w:p w14:paraId="178C1385" w14:textId="73D5A21D" w:rsidR="00A774D3" w:rsidRDefault="00A774D3" w:rsidP="00A774D3"/>
    <w:p w14:paraId="65B939B4" w14:textId="0DE7A24F" w:rsidR="00A774D3" w:rsidRDefault="00A774D3" w:rsidP="00A774D3"/>
    <w:p w14:paraId="0A4A641B" w14:textId="62EF0426" w:rsidR="00A774D3" w:rsidRDefault="00A774D3" w:rsidP="00A774D3"/>
    <w:p w14:paraId="067F0352" w14:textId="51AF0847" w:rsidR="00A774D3" w:rsidRDefault="00A774D3" w:rsidP="00A774D3"/>
    <w:p w14:paraId="42DD5B11" w14:textId="40FB7BC2" w:rsidR="00A774D3" w:rsidRDefault="00A774D3" w:rsidP="00A774D3"/>
    <w:p w14:paraId="0AC7A07D" w14:textId="27649B2D" w:rsidR="00A774D3" w:rsidRDefault="00A774D3" w:rsidP="00A774D3"/>
    <w:p w14:paraId="59A1D6ED" w14:textId="77777777" w:rsidR="00A774D3" w:rsidRDefault="00A774D3" w:rsidP="00A774D3"/>
    <w:p w14:paraId="753A0D61" w14:textId="4F204403" w:rsidR="00A774D3" w:rsidRDefault="00A774D3" w:rsidP="00A774D3"/>
    <w:tbl>
      <w:tblPr>
        <w:tblW w:w="5000" w:type="pct"/>
        <w:tblCellMar>
          <w:left w:w="70" w:type="dxa"/>
          <w:right w:w="70" w:type="dxa"/>
        </w:tblCellMar>
        <w:tblLook w:val="04A0" w:firstRow="1" w:lastRow="0" w:firstColumn="1" w:lastColumn="0" w:noHBand="0" w:noVBand="1"/>
      </w:tblPr>
      <w:tblGrid>
        <w:gridCol w:w="6749"/>
        <w:gridCol w:w="1675"/>
        <w:gridCol w:w="2043"/>
      </w:tblGrid>
      <w:tr w:rsidR="00A774D3" w:rsidRPr="00A774D3" w14:paraId="73EE42D4" w14:textId="77777777" w:rsidTr="00A774D3">
        <w:trPr>
          <w:trHeight w:hRule="exact" w:val="227"/>
        </w:trPr>
        <w:tc>
          <w:tcPr>
            <w:tcW w:w="5000" w:type="pct"/>
            <w:gridSpan w:val="3"/>
            <w:tcBorders>
              <w:top w:val="nil"/>
              <w:left w:val="nil"/>
              <w:bottom w:val="nil"/>
              <w:right w:val="nil"/>
            </w:tcBorders>
            <w:shd w:val="clear" w:color="000000" w:fill="FFFFFF"/>
            <w:noWrap/>
            <w:vAlign w:val="bottom"/>
            <w:hideMark/>
          </w:tcPr>
          <w:p w14:paraId="459EB0B7" w14:textId="77777777" w:rsidR="00A774D3" w:rsidRPr="00A774D3" w:rsidRDefault="00A774D3">
            <w:pPr>
              <w:jc w:val="center"/>
              <w:rPr>
                <w:rFonts w:asciiTheme="majorHAnsi" w:hAnsiTheme="majorHAnsi" w:cs="Arial"/>
                <w:b/>
                <w:bCs/>
                <w:sz w:val="16"/>
                <w:szCs w:val="16"/>
              </w:rPr>
            </w:pPr>
            <w:r w:rsidRPr="00A774D3">
              <w:rPr>
                <w:rFonts w:asciiTheme="majorHAnsi" w:hAnsiTheme="majorHAnsi" w:cs="Arial"/>
                <w:b/>
                <w:bCs/>
                <w:sz w:val="16"/>
                <w:szCs w:val="16"/>
              </w:rPr>
              <w:t>VALEC ENGENHARIA, CONSTRUÇÕES E FERROVIAS S/A</w:t>
            </w:r>
          </w:p>
        </w:tc>
      </w:tr>
      <w:tr w:rsidR="00A774D3" w:rsidRPr="00A774D3" w14:paraId="4B14D112" w14:textId="77777777" w:rsidTr="00A774D3">
        <w:trPr>
          <w:trHeight w:hRule="exact" w:val="227"/>
        </w:trPr>
        <w:tc>
          <w:tcPr>
            <w:tcW w:w="5000" w:type="pct"/>
            <w:gridSpan w:val="3"/>
            <w:tcBorders>
              <w:top w:val="nil"/>
              <w:left w:val="nil"/>
              <w:bottom w:val="nil"/>
              <w:right w:val="nil"/>
            </w:tcBorders>
            <w:shd w:val="clear" w:color="000000" w:fill="FFFFFF"/>
            <w:noWrap/>
            <w:vAlign w:val="bottom"/>
            <w:hideMark/>
          </w:tcPr>
          <w:p w14:paraId="1686C3DE" w14:textId="77777777" w:rsidR="00A774D3" w:rsidRPr="00A774D3" w:rsidRDefault="00A774D3">
            <w:pPr>
              <w:jc w:val="center"/>
              <w:rPr>
                <w:rFonts w:asciiTheme="majorHAnsi" w:hAnsiTheme="majorHAnsi" w:cs="Arial"/>
                <w:b/>
                <w:bCs/>
                <w:sz w:val="16"/>
                <w:szCs w:val="16"/>
              </w:rPr>
            </w:pPr>
            <w:r w:rsidRPr="00A774D3">
              <w:rPr>
                <w:rFonts w:asciiTheme="majorHAnsi" w:hAnsiTheme="majorHAnsi" w:cs="Arial"/>
                <w:b/>
                <w:bCs/>
                <w:sz w:val="16"/>
                <w:szCs w:val="16"/>
              </w:rPr>
              <w:t>DEMONSTRAÇÕES DO FLUXO DE CAIXA</w:t>
            </w:r>
          </w:p>
        </w:tc>
      </w:tr>
      <w:tr w:rsidR="00A774D3" w:rsidRPr="00A774D3" w14:paraId="021C8E29" w14:textId="77777777" w:rsidTr="00A774D3">
        <w:trPr>
          <w:trHeight w:hRule="exact" w:val="227"/>
        </w:trPr>
        <w:tc>
          <w:tcPr>
            <w:tcW w:w="5000" w:type="pct"/>
            <w:gridSpan w:val="3"/>
            <w:tcBorders>
              <w:top w:val="nil"/>
              <w:left w:val="nil"/>
              <w:bottom w:val="nil"/>
              <w:right w:val="nil"/>
            </w:tcBorders>
            <w:shd w:val="clear" w:color="auto" w:fill="auto"/>
            <w:noWrap/>
            <w:vAlign w:val="bottom"/>
            <w:hideMark/>
          </w:tcPr>
          <w:p w14:paraId="78A58CEE" w14:textId="77777777" w:rsidR="00A774D3" w:rsidRPr="00A774D3" w:rsidRDefault="00A774D3">
            <w:pPr>
              <w:jc w:val="center"/>
              <w:rPr>
                <w:rFonts w:asciiTheme="majorHAnsi" w:hAnsiTheme="majorHAnsi" w:cs="Arial"/>
                <w:b/>
                <w:bCs/>
                <w:sz w:val="16"/>
                <w:szCs w:val="16"/>
              </w:rPr>
            </w:pPr>
            <w:r w:rsidRPr="00A774D3">
              <w:rPr>
                <w:rFonts w:asciiTheme="majorHAnsi" w:hAnsiTheme="majorHAnsi" w:cs="Arial"/>
                <w:b/>
                <w:bCs/>
                <w:sz w:val="16"/>
                <w:szCs w:val="16"/>
              </w:rPr>
              <w:t>3º TRIMESTRE 2021</w:t>
            </w:r>
          </w:p>
        </w:tc>
      </w:tr>
      <w:tr w:rsidR="00A774D3" w:rsidRPr="00A774D3" w14:paraId="6C00074A" w14:textId="77777777" w:rsidTr="00A774D3">
        <w:trPr>
          <w:trHeight w:hRule="exact" w:val="227"/>
        </w:trPr>
        <w:tc>
          <w:tcPr>
            <w:tcW w:w="5000" w:type="pct"/>
            <w:gridSpan w:val="3"/>
            <w:tcBorders>
              <w:top w:val="nil"/>
              <w:left w:val="nil"/>
              <w:bottom w:val="nil"/>
              <w:right w:val="nil"/>
            </w:tcBorders>
            <w:shd w:val="clear" w:color="000000" w:fill="FFFFFF"/>
            <w:noWrap/>
            <w:vAlign w:val="bottom"/>
            <w:hideMark/>
          </w:tcPr>
          <w:p w14:paraId="1C866C93" w14:textId="77777777" w:rsidR="00A774D3" w:rsidRPr="00A774D3" w:rsidRDefault="00A774D3">
            <w:pPr>
              <w:jc w:val="center"/>
              <w:rPr>
                <w:rFonts w:asciiTheme="majorHAnsi" w:hAnsiTheme="majorHAnsi" w:cs="Arial"/>
                <w:b/>
                <w:bCs/>
                <w:sz w:val="16"/>
                <w:szCs w:val="16"/>
              </w:rPr>
            </w:pPr>
            <w:r w:rsidRPr="00A774D3">
              <w:rPr>
                <w:rFonts w:asciiTheme="majorHAnsi" w:hAnsiTheme="majorHAnsi" w:cs="Arial"/>
                <w:b/>
                <w:bCs/>
                <w:sz w:val="16"/>
                <w:szCs w:val="16"/>
              </w:rPr>
              <w:t xml:space="preserve"> Em R$ 1 </w:t>
            </w:r>
          </w:p>
        </w:tc>
      </w:tr>
      <w:tr w:rsidR="00A774D3" w:rsidRPr="00A774D3" w14:paraId="4D5DCF73" w14:textId="77777777" w:rsidTr="00A774D3">
        <w:trPr>
          <w:trHeight w:hRule="exact" w:val="227"/>
        </w:trPr>
        <w:tc>
          <w:tcPr>
            <w:tcW w:w="3224" w:type="pct"/>
            <w:tcBorders>
              <w:top w:val="nil"/>
              <w:left w:val="nil"/>
              <w:bottom w:val="nil"/>
              <w:right w:val="nil"/>
            </w:tcBorders>
            <w:shd w:val="clear" w:color="000000" w:fill="FFFFFF"/>
            <w:noWrap/>
            <w:vAlign w:val="bottom"/>
            <w:hideMark/>
          </w:tcPr>
          <w:p w14:paraId="58248217" w14:textId="77777777" w:rsidR="00A774D3" w:rsidRPr="00A774D3" w:rsidRDefault="00A774D3">
            <w:pPr>
              <w:jc w:val="center"/>
              <w:rPr>
                <w:rFonts w:asciiTheme="majorHAnsi" w:hAnsiTheme="majorHAnsi" w:cs="Arial"/>
                <w:b/>
                <w:bCs/>
                <w:sz w:val="16"/>
                <w:szCs w:val="16"/>
              </w:rPr>
            </w:pPr>
            <w:r w:rsidRPr="00A774D3">
              <w:rPr>
                <w:rFonts w:asciiTheme="majorHAnsi" w:hAnsiTheme="majorHAnsi" w:cs="Arial"/>
                <w:b/>
                <w:bCs/>
                <w:sz w:val="16"/>
                <w:szCs w:val="16"/>
              </w:rPr>
              <w:t> </w:t>
            </w:r>
          </w:p>
        </w:tc>
        <w:tc>
          <w:tcPr>
            <w:tcW w:w="800" w:type="pct"/>
            <w:tcBorders>
              <w:top w:val="nil"/>
              <w:left w:val="nil"/>
              <w:bottom w:val="nil"/>
              <w:right w:val="nil"/>
            </w:tcBorders>
            <w:shd w:val="clear" w:color="000000" w:fill="FFFFFF"/>
            <w:noWrap/>
            <w:vAlign w:val="bottom"/>
            <w:hideMark/>
          </w:tcPr>
          <w:p w14:paraId="0B9F8EE4" w14:textId="77777777" w:rsidR="00A774D3" w:rsidRPr="00A774D3" w:rsidRDefault="00A774D3">
            <w:pPr>
              <w:jc w:val="center"/>
              <w:rPr>
                <w:rFonts w:asciiTheme="majorHAnsi" w:hAnsiTheme="majorHAnsi" w:cs="Arial"/>
                <w:b/>
                <w:bCs/>
                <w:sz w:val="16"/>
                <w:szCs w:val="16"/>
              </w:rPr>
            </w:pPr>
            <w:r w:rsidRPr="00A774D3">
              <w:rPr>
                <w:rFonts w:asciiTheme="majorHAnsi" w:hAnsiTheme="majorHAnsi" w:cs="Arial"/>
                <w:b/>
                <w:bCs/>
                <w:sz w:val="16"/>
                <w:szCs w:val="16"/>
              </w:rPr>
              <w:t> </w:t>
            </w:r>
          </w:p>
        </w:tc>
        <w:tc>
          <w:tcPr>
            <w:tcW w:w="976" w:type="pct"/>
            <w:tcBorders>
              <w:top w:val="nil"/>
              <w:left w:val="nil"/>
              <w:bottom w:val="nil"/>
              <w:right w:val="nil"/>
            </w:tcBorders>
            <w:shd w:val="clear" w:color="000000" w:fill="FFFFFF"/>
            <w:noWrap/>
            <w:vAlign w:val="bottom"/>
            <w:hideMark/>
          </w:tcPr>
          <w:p w14:paraId="03396ED7" w14:textId="77777777" w:rsidR="00A774D3" w:rsidRPr="00A774D3" w:rsidRDefault="00A774D3">
            <w:pPr>
              <w:jc w:val="center"/>
              <w:rPr>
                <w:rFonts w:asciiTheme="majorHAnsi" w:hAnsiTheme="majorHAnsi" w:cs="Arial"/>
                <w:b/>
                <w:bCs/>
                <w:sz w:val="16"/>
                <w:szCs w:val="16"/>
              </w:rPr>
            </w:pPr>
            <w:r w:rsidRPr="00A774D3">
              <w:rPr>
                <w:rFonts w:asciiTheme="majorHAnsi" w:hAnsiTheme="majorHAnsi" w:cs="Arial"/>
                <w:b/>
                <w:bCs/>
                <w:sz w:val="16"/>
                <w:szCs w:val="16"/>
              </w:rPr>
              <w:t> </w:t>
            </w:r>
          </w:p>
        </w:tc>
      </w:tr>
      <w:tr w:rsidR="00A774D3" w:rsidRPr="00A774D3" w14:paraId="7F41D17A" w14:textId="77777777" w:rsidTr="00A774D3">
        <w:trPr>
          <w:trHeight w:hRule="exact" w:val="227"/>
        </w:trPr>
        <w:tc>
          <w:tcPr>
            <w:tcW w:w="3224" w:type="pct"/>
            <w:tcBorders>
              <w:top w:val="nil"/>
              <w:left w:val="nil"/>
              <w:bottom w:val="nil"/>
              <w:right w:val="nil"/>
            </w:tcBorders>
            <w:shd w:val="clear" w:color="000000" w:fill="FFFFFF"/>
            <w:noWrap/>
            <w:vAlign w:val="bottom"/>
            <w:hideMark/>
          </w:tcPr>
          <w:p w14:paraId="22EC421A"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800" w:type="pct"/>
            <w:tcBorders>
              <w:top w:val="nil"/>
              <w:left w:val="nil"/>
              <w:bottom w:val="nil"/>
              <w:right w:val="nil"/>
            </w:tcBorders>
            <w:shd w:val="clear" w:color="000000" w:fill="FFFFFF"/>
            <w:noWrap/>
            <w:vAlign w:val="bottom"/>
            <w:hideMark/>
          </w:tcPr>
          <w:p w14:paraId="5CB0A953"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976" w:type="pct"/>
            <w:tcBorders>
              <w:top w:val="nil"/>
              <w:left w:val="nil"/>
              <w:bottom w:val="nil"/>
              <w:right w:val="nil"/>
            </w:tcBorders>
            <w:shd w:val="clear" w:color="000000" w:fill="FFFFFF"/>
            <w:vAlign w:val="bottom"/>
            <w:hideMark/>
          </w:tcPr>
          <w:p w14:paraId="005CB2BE" w14:textId="77777777" w:rsidR="00A774D3" w:rsidRPr="00A774D3" w:rsidRDefault="00A774D3">
            <w:pPr>
              <w:rPr>
                <w:rFonts w:asciiTheme="majorHAnsi" w:hAnsiTheme="majorHAnsi" w:cs="Arial"/>
                <w:b/>
                <w:bCs/>
                <w:sz w:val="16"/>
                <w:szCs w:val="16"/>
              </w:rPr>
            </w:pPr>
            <w:r w:rsidRPr="00A774D3">
              <w:rPr>
                <w:rFonts w:asciiTheme="majorHAnsi" w:hAnsiTheme="majorHAnsi" w:cs="Arial"/>
                <w:b/>
                <w:bCs/>
                <w:sz w:val="16"/>
                <w:szCs w:val="16"/>
              </w:rPr>
              <w:t> </w:t>
            </w:r>
          </w:p>
        </w:tc>
      </w:tr>
      <w:tr w:rsidR="00A774D3" w:rsidRPr="00A774D3" w14:paraId="795F645F" w14:textId="77777777" w:rsidTr="00A774D3">
        <w:trPr>
          <w:trHeight w:hRule="exact" w:val="227"/>
        </w:trPr>
        <w:tc>
          <w:tcPr>
            <w:tcW w:w="3224" w:type="pct"/>
            <w:tcBorders>
              <w:top w:val="nil"/>
              <w:left w:val="nil"/>
              <w:bottom w:val="nil"/>
              <w:right w:val="nil"/>
            </w:tcBorders>
            <w:shd w:val="clear" w:color="000000" w:fill="FFFFFF"/>
            <w:noWrap/>
            <w:vAlign w:val="bottom"/>
            <w:hideMark/>
          </w:tcPr>
          <w:p w14:paraId="1B0E26D7"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800" w:type="pct"/>
            <w:tcBorders>
              <w:top w:val="nil"/>
              <w:left w:val="nil"/>
              <w:bottom w:val="nil"/>
              <w:right w:val="nil"/>
            </w:tcBorders>
            <w:shd w:val="clear" w:color="auto" w:fill="auto"/>
            <w:vAlign w:val="bottom"/>
            <w:hideMark/>
          </w:tcPr>
          <w:p w14:paraId="08F4CF2A" w14:textId="77777777" w:rsidR="00A774D3" w:rsidRPr="00A774D3" w:rsidRDefault="00A774D3">
            <w:pPr>
              <w:jc w:val="right"/>
              <w:rPr>
                <w:rFonts w:asciiTheme="majorHAnsi" w:hAnsiTheme="majorHAnsi" w:cs="Arial"/>
                <w:b/>
                <w:bCs/>
                <w:sz w:val="16"/>
                <w:szCs w:val="16"/>
              </w:rPr>
            </w:pPr>
            <w:r w:rsidRPr="00A774D3">
              <w:rPr>
                <w:rFonts w:asciiTheme="majorHAnsi" w:hAnsiTheme="majorHAnsi" w:cs="Arial"/>
                <w:b/>
                <w:bCs/>
                <w:sz w:val="16"/>
                <w:szCs w:val="16"/>
              </w:rPr>
              <w:t>01/01/2021</w:t>
            </w:r>
          </w:p>
        </w:tc>
        <w:tc>
          <w:tcPr>
            <w:tcW w:w="976" w:type="pct"/>
            <w:tcBorders>
              <w:top w:val="nil"/>
              <w:left w:val="nil"/>
              <w:bottom w:val="nil"/>
              <w:right w:val="nil"/>
            </w:tcBorders>
            <w:shd w:val="clear" w:color="auto" w:fill="auto"/>
            <w:noWrap/>
            <w:vAlign w:val="bottom"/>
            <w:hideMark/>
          </w:tcPr>
          <w:p w14:paraId="32BC358E" w14:textId="77777777" w:rsidR="00A774D3" w:rsidRPr="00A774D3" w:rsidRDefault="00A774D3">
            <w:pPr>
              <w:jc w:val="right"/>
              <w:rPr>
                <w:rFonts w:asciiTheme="majorHAnsi" w:hAnsiTheme="majorHAnsi" w:cs="Arial"/>
                <w:b/>
                <w:bCs/>
                <w:sz w:val="16"/>
                <w:szCs w:val="16"/>
              </w:rPr>
            </w:pPr>
            <w:r w:rsidRPr="00A774D3">
              <w:rPr>
                <w:rFonts w:asciiTheme="majorHAnsi" w:hAnsiTheme="majorHAnsi" w:cs="Arial"/>
                <w:b/>
                <w:bCs/>
                <w:sz w:val="16"/>
                <w:szCs w:val="16"/>
              </w:rPr>
              <w:t>01/01/2020</w:t>
            </w:r>
          </w:p>
        </w:tc>
      </w:tr>
      <w:tr w:rsidR="00A774D3" w:rsidRPr="00A774D3" w14:paraId="00436449" w14:textId="77777777" w:rsidTr="00A774D3">
        <w:trPr>
          <w:trHeight w:hRule="exact" w:val="227"/>
        </w:trPr>
        <w:tc>
          <w:tcPr>
            <w:tcW w:w="3224" w:type="pct"/>
            <w:tcBorders>
              <w:top w:val="nil"/>
              <w:left w:val="nil"/>
              <w:bottom w:val="nil"/>
              <w:right w:val="nil"/>
            </w:tcBorders>
            <w:shd w:val="clear" w:color="000000" w:fill="FFFFFF"/>
            <w:noWrap/>
            <w:vAlign w:val="bottom"/>
            <w:hideMark/>
          </w:tcPr>
          <w:p w14:paraId="5B9A7DE8"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800" w:type="pct"/>
            <w:tcBorders>
              <w:top w:val="nil"/>
              <w:left w:val="nil"/>
              <w:bottom w:val="nil"/>
              <w:right w:val="nil"/>
            </w:tcBorders>
            <w:shd w:val="clear" w:color="auto" w:fill="auto"/>
            <w:noWrap/>
            <w:vAlign w:val="bottom"/>
            <w:hideMark/>
          </w:tcPr>
          <w:p w14:paraId="50DD0E9D" w14:textId="77777777" w:rsidR="00A774D3" w:rsidRPr="00A774D3" w:rsidRDefault="00A774D3">
            <w:pPr>
              <w:jc w:val="right"/>
              <w:rPr>
                <w:rFonts w:asciiTheme="majorHAnsi" w:hAnsiTheme="majorHAnsi" w:cs="Arial"/>
                <w:b/>
                <w:bCs/>
                <w:sz w:val="16"/>
                <w:szCs w:val="16"/>
              </w:rPr>
            </w:pPr>
            <w:r w:rsidRPr="00A774D3">
              <w:rPr>
                <w:rFonts w:asciiTheme="majorHAnsi" w:hAnsiTheme="majorHAnsi" w:cs="Arial"/>
                <w:b/>
                <w:bCs/>
                <w:sz w:val="16"/>
                <w:szCs w:val="16"/>
              </w:rPr>
              <w:t xml:space="preserve"> a 30/09/2021</w:t>
            </w:r>
          </w:p>
        </w:tc>
        <w:tc>
          <w:tcPr>
            <w:tcW w:w="976" w:type="pct"/>
            <w:tcBorders>
              <w:top w:val="nil"/>
              <w:left w:val="nil"/>
              <w:bottom w:val="nil"/>
              <w:right w:val="nil"/>
            </w:tcBorders>
            <w:shd w:val="clear" w:color="auto" w:fill="auto"/>
            <w:noWrap/>
            <w:vAlign w:val="bottom"/>
            <w:hideMark/>
          </w:tcPr>
          <w:p w14:paraId="4B867500" w14:textId="77777777" w:rsidR="00A774D3" w:rsidRPr="00A774D3" w:rsidRDefault="00A774D3">
            <w:pPr>
              <w:jc w:val="right"/>
              <w:rPr>
                <w:rFonts w:asciiTheme="majorHAnsi" w:hAnsiTheme="majorHAnsi" w:cs="Arial"/>
                <w:b/>
                <w:bCs/>
                <w:sz w:val="16"/>
                <w:szCs w:val="16"/>
              </w:rPr>
            </w:pPr>
            <w:r w:rsidRPr="00A774D3">
              <w:rPr>
                <w:rFonts w:asciiTheme="majorHAnsi" w:hAnsiTheme="majorHAnsi" w:cs="Arial"/>
                <w:b/>
                <w:bCs/>
                <w:sz w:val="16"/>
                <w:szCs w:val="16"/>
              </w:rPr>
              <w:t xml:space="preserve"> a 30/09/2020</w:t>
            </w:r>
          </w:p>
        </w:tc>
      </w:tr>
      <w:tr w:rsidR="00A774D3" w:rsidRPr="00A774D3" w14:paraId="248FE0E4" w14:textId="77777777" w:rsidTr="00A774D3">
        <w:trPr>
          <w:trHeight w:hRule="exact" w:val="227"/>
        </w:trPr>
        <w:tc>
          <w:tcPr>
            <w:tcW w:w="3224" w:type="pct"/>
            <w:tcBorders>
              <w:top w:val="nil"/>
              <w:left w:val="nil"/>
              <w:bottom w:val="nil"/>
              <w:right w:val="nil"/>
            </w:tcBorders>
            <w:shd w:val="clear" w:color="000000" w:fill="FFFFFF"/>
            <w:noWrap/>
            <w:vAlign w:val="bottom"/>
            <w:hideMark/>
          </w:tcPr>
          <w:p w14:paraId="346AEB7C"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800" w:type="pct"/>
            <w:tcBorders>
              <w:top w:val="nil"/>
              <w:left w:val="nil"/>
              <w:bottom w:val="nil"/>
              <w:right w:val="nil"/>
            </w:tcBorders>
            <w:shd w:val="clear" w:color="000000" w:fill="FFFFFF"/>
            <w:noWrap/>
            <w:vAlign w:val="bottom"/>
            <w:hideMark/>
          </w:tcPr>
          <w:p w14:paraId="04D8B8E9" w14:textId="77777777" w:rsidR="00A774D3" w:rsidRPr="00A774D3" w:rsidRDefault="00A774D3">
            <w:pPr>
              <w:jc w:val="right"/>
              <w:rPr>
                <w:rFonts w:asciiTheme="majorHAnsi" w:hAnsiTheme="majorHAnsi" w:cs="Arial"/>
                <w:b/>
                <w:bCs/>
                <w:sz w:val="16"/>
                <w:szCs w:val="16"/>
              </w:rPr>
            </w:pPr>
            <w:r w:rsidRPr="00A774D3">
              <w:rPr>
                <w:rFonts w:asciiTheme="majorHAnsi" w:hAnsiTheme="majorHAnsi" w:cs="Arial"/>
                <w:b/>
                <w:bCs/>
                <w:sz w:val="16"/>
                <w:szCs w:val="16"/>
              </w:rPr>
              <w:t> </w:t>
            </w:r>
          </w:p>
        </w:tc>
        <w:tc>
          <w:tcPr>
            <w:tcW w:w="976" w:type="pct"/>
            <w:tcBorders>
              <w:top w:val="nil"/>
              <w:left w:val="nil"/>
              <w:bottom w:val="nil"/>
              <w:right w:val="nil"/>
            </w:tcBorders>
            <w:shd w:val="clear" w:color="000000" w:fill="FFFFFF"/>
            <w:noWrap/>
            <w:vAlign w:val="bottom"/>
            <w:hideMark/>
          </w:tcPr>
          <w:p w14:paraId="093A81BD" w14:textId="77777777" w:rsidR="00A774D3" w:rsidRPr="00A774D3" w:rsidRDefault="00A774D3">
            <w:pPr>
              <w:jc w:val="right"/>
              <w:rPr>
                <w:rFonts w:asciiTheme="majorHAnsi" w:hAnsiTheme="majorHAnsi" w:cs="Arial"/>
                <w:b/>
                <w:bCs/>
                <w:sz w:val="16"/>
                <w:szCs w:val="16"/>
              </w:rPr>
            </w:pPr>
            <w:r w:rsidRPr="00A774D3">
              <w:rPr>
                <w:rFonts w:asciiTheme="majorHAnsi" w:hAnsiTheme="majorHAnsi" w:cs="Arial"/>
                <w:b/>
                <w:bCs/>
                <w:sz w:val="16"/>
                <w:szCs w:val="16"/>
              </w:rPr>
              <w:t> </w:t>
            </w:r>
          </w:p>
        </w:tc>
      </w:tr>
      <w:tr w:rsidR="00A774D3" w:rsidRPr="00A774D3" w14:paraId="7F5B51A2" w14:textId="77777777" w:rsidTr="00A774D3">
        <w:trPr>
          <w:trHeight w:hRule="exact" w:val="227"/>
        </w:trPr>
        <w:tc>
          <w:tcPr>
            <w:tcW w:w="5000" w:type="pct"/>
            <w:gridSpan w:val="3"/>
            <w:tcBorders>
              <w:top w:val="nil"/>
              <w:left w:val="nil"/>
              <w:bottom w:val="nil"/>
              <w:right w:val="nil"/>
            </w:tcBorders>
            <w:shd w:val="clear" w:color="000000" w:fill="FFFFFF"/>
            <w:noWrap/>
            <w:vAlign w:val="bottom"/>
            <w:hideMark/>
          </w:tcPr>
          <w:p w14:paraId="3EB34B44" w14:textId="77777777" w:rsidR="00A774D3" w:rsidRPr="00A774D3" w:rsidRDefault="00A774D3">
            <w:pPr>
              <w:jc w:val="center"/>
              <w:rPr>
                <w:rFonts w:asciiTheme="majorHAnsi" w:hAnsiTheme="majorHAnsi" w:cs="Arial"/>
                <w:b/>
                <w:bCs/>
                <w:sz w:val="16"/>
                <w:szCs w:val="16"/>
              </w:rPr>
            </w:pPr>
            <w:r w:rsidRPr="00A774D3">
              <w:rPr>
                <w:rFonts w:asciiTheme="majorHAnsi" w:hAnsiTheme="majorHAnsi" w:cs="Arial"/>
                <w:b/>
                <w:bCs/>
                <w:sz w:val="16"/>
                <w:szCs w:val="16"/>
              </w:rPr>
              <w:t> </w:t>
            </w:r>
          </w:p>
        </w:tc>
      </w:tr>
      <w:tr w:rsidR="00A774D3" w:rsidRPr="00A774D3" w14:paraId="5536965A" w14:textId="77777777" w:rsidTr="00A774D3">
        <w:trPr>
          <w:trHeight w:hRule="exact" w:val="227"/>
        </w:trPr>
        <w:tc>
          <w:tcPr>
            <w:tcW w:w="5000" w:type="pct"/>
            <w:gridSpan w:val="3"/>
            <w:tcBorders>
              <w:top w:val="nil"/>
              <w:left w:val="nil"/>
              <w:bottom w:val="nil"/>
              <w:right w:val="nil"/>
            </w:tcBorders>
            <w:shd w:val="clear" w:color="000000" w:fill="FFFFFF"/>
            <w:noWrap/>
            <w:vAlign w:val="bottom"/>
            <w:hideMark/>
          </w:tcPr>
          <w:p w14:paraId="6D579D33" w14:textId="77777777" w:rsidR="00A774D3" w:rsidRPr="00A774D3" w:rsidRDefault="00A774D3">
            <w:pPr>
              <w:jc w:val="center"/>
              <w:rPr>
                <w:rFonts w:asciiTheme="majorHAnsi" w:hAnsiTheme="majorHAnsi" w:cs="Arial"/>
                <w:b/>
                <w:bCs/>
                <w:sz w:val="16"/>
                <w:szCs w:val="16"/>
              </w:rPr>
            </w:pPr>
            <w:r w:rsidRPr="00A774D3">
              <w:rPr>
                <w:rFonts w:asciiTheme="majorHAnsi" w:hAnsiTheme="majorHAnsi" w:cs="Arial"/>
                <w:b/>
                <w:bCs/>
                <w:sz w:val="16"/>
                <w:szCs w:val="16"/>
              </w:rPr>
              <w:t xml:space="preserve"> FLUXOS DE CAIXA DAS ATIVIDADES OPERACIONAIS </w:t>
            </w:r>
          </w:p>
        </w:tc>
      </w:tr>
      <w:tr w:rsidR="00A774D3" w:rsidRPr="00A774D3" w14:paraId="3E043684" w14:textId="77777777" w:rsidTr="00A774D3">
        <w:trPr>
          <w:trHeight w:hRule="exact" w:val="227"/>
        </w:trPr>
        <w:tc>
          <w:tcPr>
            <w:tcW w:w="3224" w:type="pct"/>
            <w:tcBorders>
              <w:top w:val="nil"/>
              <w:left w:val="nil"/>
              <w:bottom w:val="nil"/>
              <w:right w:val="nil"/>
            </w:tcBorders>
            <w:shd w:val="clear" w:color="000000" w:fill="FFFFFF"/>
            <w:noWrap/>
            <w:vAlign w:val="bottom"/>
            <w:hideMark/>
          </w:tcPr>
          <w:p w14:paraId="2A32D908" w14:textId="77777777" w:rsidR="00A774D3" w:rsidRPr="00A774D3" w:rsidRDefault="00A774D3">
            <w:pPr>
              <w:jc w:val="center"/>
              <w:rPr>
                <w:rFonts w:asciiTheme="majorHAnsi" w:hAnsiTheme="majorHAnsi" w:cs="Arial"/>
                <w:b/>
                <w:bCs/>
                <w:sz w:val="16"/>
                <w:szCs w:val="16"/>
              </w:rPr>
            </w:pPr>
            <w:r w:rsidRPr="00A774D3">
              <w:rPr>
                <w:rFonts w:asciiTheme="majorHAnsi" w:hAnsiTheme="majorHAnsi" w:cs="Arial"/>
                <w:b/>
                <w:bCs/>
                <w:sz w:val="16"/>
                <w:szCs w:val="16"/>
              </w:rPr>
              <w:t> </w:t>
            </w:r>
          </w:p>
        </w:tc>
        <w:tc>
          <w:tcPr>
            <w:tcW w:w="800" w:type="pct"/>
            <w:tcBorders>
              <w:top w:val="nil"/>
              <w:left w:val="nil"/>
              <w:bottom w:val="nil"/>
              <w:right w:val="nil"/>
            </w:tcBorders>
            <w:shd w:val="clear" w:color="000000" w:fill="FFFFFF"/>
            <w:noWrap/>
            <w:vAlign w:val="bottom"/>
            <w:hideMark/>
          </w:tcPr>
          <w:p w14:paraId="7BBCD5AE" w14:textId="77777777" w:rsidR="00A774D3" w:rsidRPr="00A774D3" w:rsidRDefault="00A774D3">
            <w:pPr>
              <w:jc w:val="center"/>
              <w:rPr>
                <w:rFonts w:asciiTheme="majorHAnsi" w:hAnsiTheme="majorHAnsi" w:cs="Arial"/>
                <w:b/>
                <w:bCs/>
                <w:sz w:val="16"/>
                <w:szCs w:val="16"/>
              </w:rPr>
            </w:pPr>
            <w:r w:rsidRPr="00A774D3">
              <w:rPr>
                <w:rFonts w:asciiTheme="majorHAnsi" w:hAnsiTheme="majorHAnsi" w:cs="Arial"/>
                <w:b/>
                <w:bCs/>
                <w:sz w:val="16"/>
                <w:szCs w:val="16"/>
              </w:rPr>
              <w:t> </w:t>
            </w:r>
          </w:p>
        </w:tc>
        <w:tc>
          <w:tcPr>
            <w:tcW w:w="976" w:type="pct"/>
            <w:tcBorders>
              <w:top w:val="nil"/>
              <w:left w:val="nil"/>
              <w:bottom w:val="nil"/>
              <w:right w:val="nil"/>
            </w:tcBorders>
            <w:shd w:val="clear" w:color="auto" w:fill="auto"/>
            <w:noWrap/>
            <w:vAlign w:val="bottom"/>
            <w:hideMark/>
          </w:tcPr>
          <w:p w14:paraId="165E62E2" w14:textId="77777777" w:rsidR="00A774D3" w:rsidRPr="00A774D3" w:rsidRDefault="00A774D3">
            <w:pPr>
              <w:jc w:val="center"/>
              <w:rPr>
                <w:rFonts w:asciiTheme="majorHAnsi" w:hAnsiTheme="majorHAnsi" w:cs="Arial"/>
                <w:b/>
                <w:bCs/>
                <w:sz w:val="16"/>
                <w:szCs w:val="16"/>
              </w:rPr>
            </w:pPr>
          </w:p>
        </w:tc>
      </w:tr>
      <w:tr w:rsidR="00A774D3" w:rsidRPr="00A774D3" w14:paraId="537F4266" w14:textId="77777777" w:rsidTr="00A774D3">
        <w:trPr>
          <w:trHeight w:hRule="exact" w:val="227"/>
        </w:trPr>
        <w:tc>
          <w:tcPr>
            <w:tcW w:w="3224" w:type="pct"/>
            <w:tcBorders>
              <w:top w:val="nil"/>
              <w:left w:val="nil"/>
              <w:bottom w:val="nil"/>
              <w:right w:val="nil"/>
            </w:tcBorders>
            <w:shd w:val="clear" w:color="000000" w:fill="FFFFFF"/>
            <w:noWrap/>
            <w:vAlign w:val="bottom"/>
            <w:hideMark/>
          </w:tcPr>
          <w:p w14:paraId="42AC4B8E" w14:textId="77777777" w:rsidR="00A774D3" w:rsidRPr="00A774D3" w:rsidRDefault="00A774D3">
            <w:pPr>
              <w:rPr>
                <w:rFonts w:asciiTheme="majorHAnsi" w:hAnsiTheme="majorHAnsi" w:cs="Arial"/>
                <w:b/>
                <w:bCs/>
                <w:sz w:val="16"/>
                <w:szCs w:val="16"/>
              </w:rPr>
            </w:pPr>
            <w:r w:rsidRPr="00A774D3">
              <w:rPr>
                <w:rFonts w:asciiTheme="majorHAnsi" w:hAnsiTheme="majorHAnsi" w:cs="Arial"/>
                <w:b/>
                <w:bCs/>
                <w:sz w:val="16"/>
                <w:szCs w:val="16"/>
              </w:rPr>
              <w:t xml:space="preserve"> Resultado do Exercício </w:t>
            </w:r>
          </w:p>
        </w:tc>
        <w:tc>
          <w:tcPr>
            <w:tcW w:w="800" w:type="pct"/>
            <w:tcBorders>
              <w:top w:val="nil"/>
              <w:left w:val="nil"/>
              <w:bottom w:val="nil"/>
              <w:right w:val="nil"/>
            </w:tcBorders>
            <w:shd w:val="clear" w:color="000000" w:fill="FFFFFF"/>
            <w:noWrap/>
            <w:vAlign w:val="bottom"/>
            <w:hideMark/>
          </w:tcPr>
          <w:p w14:paraId="66DB6C1D" w14:textId="77777777" w:rsidR="00A774D3" w:rsidRPr="00A774D3" w:rsidRDefault="00A774D3" w:rsidP="00A774D3">
            <w:pPr>
              <w:jc w:val="right"/>
              <w:rPr>
                <w:rFonts w:asciiTheme="majorHAnsi" w:hAnsiTheme="majorHAnsi" w:cs="Arial"/>
                <w:b/>
                <w:bCs/>
                <w:sz w:val="16"/>
                <w:szCs w:val="16"/>
              </w:rPr>
            </w:pPr>
            <w:r w:rsidRPr="00A774D3">
              <w:rPr>
                <w:rFonts w:asciiTheme="majorHAnsi" w:hAnsiTheme="majorHAnsi" w:cs="Arial"/>
                <w:b/>
                <w:bCs/>
                <w:sz w:val="16"/>
                <w:szCs w:val="16"/>
              </w:rPr>
              <w:t xml:space="preserve">        (101.934.258)</w:t>
            </w:r>
          </w:p>
        </w:tc>
        <w:tc>
          <w:tcPr>
            <w:tcW w:w="976" w:type="pct"/>
            <w:tcBorders>
              <w:top w:val="nil"/>
              <w:left w:val="nil"/>
              <w:bottom w:val="nil"/>
              <w:right w:val="nil"/>
            </w:tcBorders>
            <w:shd w:val="clear" w:color="000000" w:fill="FFFFFF"/>
            <w:noWrap/>
            <w:vAlign w:val="bottom"/>
            <w:hideMark/>
          </w:tcPr>
          <w:p w14:paraId="0ACF7319" w14:textId="77777777" w:rsidR="00A774D3" w:rsidRPr="00A774D3" w:rsidRDefault="00A774D3" w:rsidP="00A774D3">
            <w:pPr>
              <w:jc w:val="right"/>
              <w:rPr>
                <w:rFonts w:asciiTheme="majorHAnsi" w:hAnsiTheme="majorHAnsi" w:cs="Arial"/>
                <w:b/>
                <w:bCs/>
                <w:sz w:val="16"/>
                <w:szCs w:val="16"/>
              </w:rPr>
            </w:pPr>
            <w:r w:rsidRPr="00A774D3">
              <w:rPr>
                <w:rFonts w:asciiTheme="majorHAnsi" w:hAnsiTheme="majorHAnsi" w:cs="Arial"/>
                <w:b/>
                <w:bCs/>
                <w:sz w:val="16"/>
                <w:szCs w:val="16"/>
              </w:rPr>
              <w:t xml:space="preserve">               (474.158.193)</w:t>
            </w:r>
          </w:p>
        </w:tc>
      </w:tr>
      <w:tr w:rsidR="00A774D3" w:rsidRPr="00A774D3" w14:paraId="6ADE1AFC" w14:textId="77777777" w:rsidTr="00A774D3">
        <w:trPr>
          <w:trHeight w:hRule="exact" w:val="227"/>
        </w:trPr>
        <w:tc>
          <w:tcPr>
            <w:tcW w:w="3224" w:type="pct"/>
            <w:tcBorders>
              <w:top w:val="nil"/>
              <w:left w:val="nil"/>
              <w:bottom w:val="nil"/>
              <w:right w:val="nil"/>
            </w:tcBorders>
            <w:shd w:val="clear" w:color="000000" w:fill="FFFFFF"/>
            <w:noWrap/>
            <w:vAlign w:val="bottom"/>
            <w:hideMark/>
          </w:tcPr>
          <w:p w14:paraId="5423255C" w14:textId="7FD2BA6A" w:rsidR="00A774D3" w:rsidRPr="00A774D3" w:rsidRDefault="00A774D3">
            <w:pPr>
              <w:rPr>
                <w:rFonts w:asciiTheme="majorHAnsi" w:hAnsiTheme="majorHAnsi" w:cs="Arial"/>
                <w:sz w:val="16"/>
                <w:szCs w:val="16"/>
              </w:rPr>
            </w:pPr>
            <w:r w:rsidRPr="00A774D3">
              <w:rPr>
                <w:rFonts w:asciiTheme="majorHAnsi" w:hAnsiTheme="majorHAnsi" w:cs="Arial"/>
                <w:sz w:val="16"/>
                <w:szCs w:val="16"/>
              </w:rPr>
              <w:t xml:space="preserve"> Ajustes do resultado do período </w:t>
            </w:r>
          </w:p>
        </w:tc>
        <w:tc>
          <w:tcPr>
            <w:tcW w:w="800" w:type="pct"/>
            <w:tcBorders>
              <w:top w:val="nil"/>
              <w:left w:val="nil"/>
              <w:bottom w:val="nil"/>
              <w:right w:val="nil"/>
            </w:tcBorders>
            <w:shd w:val="clear" w:color="000000" w:fill="FFFFFF"/>
            <w:noWrap/>
            <w:vAlign w:val="bottom"/>
            <w:hideMark/>
          </w:tcPr>
          <w:p w14:paraId="635D203F" w14:textId="77777777" w:rsidR="00A774D3" w:rsidRPr="00A774D3" w:rsidRDefault="00A774D3" w:rsidP="00A774D3">
            <w:pPr>
              <w:jc w:val="right"/>
              <w:rPr>
                <w:rFonts w:asciiTheme="majorHAnsi" w:hAnsiTheme="majorHAnsi" w:cs="Arial"/>
                <w:sz w:val="16"/>
                <w:szCs w:val="16"/>
              </w:rPr>
            </w:pPr>
            <w:r w:rsidRPr="00A774D3">
              <w:rPr>
                <w:rFonts w:asciiTheme="majorHAnsi" w:hAnsiTheme="majorHAnsi" w:cs="Arial"/>
                <w:sz w:val="16"/>
                <w:szCs w:val="16"/>
              </w:rPr>
              <w:t xml:space="preserve">               5.822.225 </w:t>
            </w:r>
          </w:p>
        </w:tc>
        <w:tc>
          <w:tcPr>
            <w:tcW w:w="976" w:type="pct"/>
            <w:tcBorders>
              <w:top w:val="nil"/>
              <w:left w:val="nil"/>
              <w:bottom w:val="nil"/>
              <w:right w:val="nil"/>
            </w:tcBorders>
            <w:shd w:val="clear" w:color="000000" w:fill="FFFFFF"/>
            <w:noWrap/>
            <w:vAlign w:val="bottom"/>
            <w:hideMark/>
          </w:tcPr>
          <w:p w14:paraId="06AB0B53" w14:textId="77777777" w:rsidR="00A774D3" w:rsidRPr="00A774D3" w:rsidRDefault="00A774D3" w:rsidP="00A774D3">
            <w:pPr>
              <w:jc w:val="right"/>
              <w:rPr>
                <w:rFonts w:asciiTheme="majorHAnsi" w:hAnsiTheme="majorHAnsi" w:cs="Arial"/>
                <w:sz w:val="16"/>
                <w:szCs w:val="16"/>
              </w:rPr>
            </w:pPr>
            <w:r w:rsidRPr="00A774D3">
              <w:rPr>
                <w:rFonts w:asciiTheme="majorHAnsi" w:hAnsiTheme="majorHAnsi" w:cs="Arial"/>
                <w:sz w:val="16"/>
                <w:szCs w:val="16"/>
              </w:rPr>
              <w:t xml:space="preserve">             374.233.082 </w:t>
            </w:r>
          </w:p>
        </w:tc>
      </w:tr>
      <w:tr w:rsidR="00A774D3" w:rsidRPr="00A774D3" w14:paraId="58278B80" w14:textId="77777777" w:rsidTr="00A774D3">
        <w:trPr>
          <w:trHeight w:hRule="exact" w:val="227"/>
        </w:trPr>
        <w:tc>
          <w:tcPr>
            <w:tcW w:w="3224" w:type="pct"/>
            <w:tcBorders>
              <w:top w:val="nil"/>
              <w:left w:val="nil"/>
              <w:bottom w:val="nil"/>
              <w:right w:val="nil"/>
            </w:tcBorders>
            <w:shd w:val="clear" w:color="000000" w:fill="FFFFFF"/>
            <w:noWrap/>
            <w:vAlign w:val="bottom"/>
            <w:hideMark/>
          </w:tcPr>
          <w:p w14:paraId="65BE1959"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xml:space="preserve">      Depreciação e Amortização </w:t>
            </w:r>
          </w:p>
        </w:tc>
        <w:tc>
          <w:tcPr>
            <w:tcW w:w="800" w:type="pct"/>
            <w:tcBorders>
              <w:top w:val="nil"/>
              <w:left w:val="nil"/>
              <w:bottom w:val="nil"/>
              <w:right w:val="nil"/>
            </w:tcBorders>
            <w:shd w:val="clear" w:color="000000" w:fill="FFFFFF"/>
            <w:noWrap/>
            <w:vAlign w:val="bottom"/>
            <w:hideMark/>
          </w:tcPr>
          <w:p w14:paraId="48DF6970" w14:textId="77777777" w:rsidR="00A774D3" w:rsidRPr="00A774D3" w:rsidRDefault="00A774D3" w:rsidP="00A774D3">
            <w:pPr>
              <w:jc w:val="right"/>
              <w:rPr>
                <w:rFonts w:asciiTheme="majorHAnsi" w:hAnsiTheme="majorHAnsi" w:cs="Arial"/>
                <w:sz w:val="16"/>
                <w:szCs w:val="16"/>
              </w:rPr>
            </w:pPr>
            <w:r w:rsidRPr="00A774D3">
              <w:rPr>
                <w:rFonts w:asciiTheme="majorHAnsi" w:hAnsiTheme="majorHAnsi" w:cs="Arial"/>
                <w:sz w:val="16"/>
                <w:szCs w:val="16"/>
              </w:rPr>
              <w:t xml:space="preserve">               4.698.894 </w:t>
            </w:r>
          </w:p>
        </w:tc>
        <w:tc>
          <w:tcPr>
            <w:tcW w:w="976" w:type="pct"/>
            <w:tcBorders>
              <w:top w:val="nil"/>
              <w:left w:val="nil"/>
              <w:bottom w:val="nil"/>
              <w:right w:val="nil"/>
            </w:tcBorders>
            <w:shd w:val="clear" w:color="000000" w:fill="FFFFFF"/>
            <w:noWrap/>
            <w:vAlign w:val="bottom"/>
            <w:hideMark/>
          </w:tcPr>
          <w:p w14:paraId="3DDCBC10" w14:textId="77777777" w:rsidR="00A774D3" w:rsidRPr="00A774D3" w:rsidRDefault="00A774D3" w:rsidP="00A774D3">
            <w:pPr>
              <w:jc w:val="right"/>
              <w:rPr>
                <w:rFonts w:asciiTheme="majorHAnsi" w:hAnsiTheme="majorHAnsi" w:cs="Arial"/>
                <w:sz w:val="16"/>
                <w:szCs w:val="16"/>
              </w:rPr>
            </w:pPr>
            <w:r w:rsidRPr="00A774D3">
              <w:rPr>
                <w:rFonts w:asciiTheme="majorHAnsi" w:hAnsiTheme="majorHAnsi" w:cs="Arial"/>
                <w:sz w:val="16"/>
                <w:szCs w:val="16"/>
              </w:rPr>
              <w:t xml:space="preserve">                      5.991.510 </w:t>
            </w:r>
          </w:p>
        </w:tc>
      </w:tr>
      <w:tr w:rsidR="00A774D3" w:rsidRPr="00A774D3" w14:paraId="64EBE2AF" w14:textId="77777777" w:rsidTr="00A774D3">
        <w:trPr>
          <w:trHeight w:hRule="exact" w:val="227"/>
        </w:trPr>
        <w:tc>
          <w:tcPr>
            <w:tcW w:w="3224" w:type="pct"/>
            <w:tcBorders>
              <w:top w:val="nil"/>
              <w:left w:val="nil"/>
              <w:bottom w:val="nil"/>
              <w:right w:val="nil"/>
            </w:tcBorders>
            <w:shd w:val="clear" w:color="000000" w:fill="FFFFFF"/>
            <w:noWrap/>
            <w:vAlign w:val="bottom"/>
            <w:hideMark/>
          </w:tcPr>
          <w:p w14:paraId="001F979A"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xml:space="preserve">      Depreciação de Direito de Uso </w:t>
            </w:r>
          </w:p>
        </w:tc>
        <w:tc>
          <w:tcPr>
            <w:tcW w:w="800" w:type="pct"/>
            <w:tcBorders>
              <w:top w:val="nil"/>
              <w:left w:val="nil"/>
              <w:bottom w:val="nil"/>
              <w:right w:val="nil"/>
            </w:tcBorders>
            <w:shd w:val="clear" w:color="000000" w:fill="FFFFFF"/>
            <w:noWrap/>
            <w:vAlign w:val="bottom"/>
            <w:hideMark/>
          </w:tcPr>
          <w:p w14:paraId="5707AA36" w14:textId="77777777" w:rsidR="00A774D3" w:rsidRPr="00A774D3" w:rsidRDefault="00A774D3" w:rsidP="00A774D3">
            <w:pPr>
              <w:jc w:val="right"/>
              <w:rPr>
                <w:rFonts w:asciiTheme="majorHAnsi" w:hAnsiTheme="majorHAnsi" w:cs="Arial"/>
                <w:sz w:val="16"/>
                <w:szCs w:val="16"/>
              </w:rPr>
            </w:pPr>
            <w:r w:rsidRPr="00A774D3">
              <w:rPr>
                <w:rFonts w:asciiTheme="majorHAnsi" w:hAnsiTheme="majorHAnsi" w:cs="Arial"/>
                <w:sz w:val="16"/>
                <w:szCs w:val="16"/>
              </w:rPr>
              <w:t xml:space="preserve">               4.262.299 </w:t>
            </w:r>
          </w:p>
        </w:tc>
        <w:tc>
          <w:tcPr>
            <w:tcW w:w="976" w:type="pct"/>
            <w:tcBorders>
              <w:top w:val="nil"/>
              <w:left w:val="nil"/>
              <w:bottom w:val="nil"/>
              <w:right w:val="nil"/>
            </w:tcBorders>
            <w:shd w:val="clear" w:color="000000" w:fill="FFFFFF"/>
            <w:noWrap/>
            <w:vAlign w:val="bottom"/>
            <w:hideMark/>
          </w:tcPr>
          <w:p w14:paraId="5C19CD75" w14:textId="77777777" w:rsidR="00A774D3" w:rsidRPr="00A774D3" w:rsidRDefault="00A774D3" w:rsidP="00A774D3">
            <w:pPr>
              <w:jc w:val="right"/>
              <w:rPr>
                <w:rFonts w:asciiTheme="majorHAnsi" w:hAnsiTheme="majorHAnsi" w:cs="Arial"/>
                <w:sz w:val="16"/>
                <w:szCs w:val="16"/>
              </w:rPr>
            </w:pPr>
            <w:r w:rsidRPr="00A774D3">
              <w:rPr>
                <w:rFonts w:asciiTheme="majorHAnsi" w:hAnsiTheme="majorHAnsi" w:cs="Arial"/>
                <w:sz w:val="16"/>
                <w:szCs w:val="16"/>
              </w:rPr>
              <w:t xml:space="preserve">                      5.729.042 </w:t>
            </w:r>
          </w:p>
        </w:tc>
      </w:tr>
      <w:tr w:rsidR="00A774D3" w:rsidRPr="00A774D3" w14:paraId="4AB53BB4" w14:textId="77777777" w:rsidTr="00A774D3">
        <w:trPr>
          <w:trHeight w:hRule="exact" w:val="227"/>
        </w:trPr>
        <w:tc>
          <w:tcPr>
            <w:tcW w:w="3224" w:type="pct"/>
            <w:tcBorders>
              <w:top w:val="nil"/>
              <w:left w:val="nil"/>
              <w:bottom w:val="nil"/>
              <w:right w:val="nil"/>
            </w:tcBorders>
            <w:shd w:val="clear" w:color="000000" w:fill="FFFFFF"/>
            <w:noWrap/>
            <w:vAlign w:val="bottom"/>
            <w:hideMark/>
          </w:tcPr>
          <w:p w14:paraId="486443F7"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xml:space="preserve">      Ajuste de perdas estimadas </w:t>
            </w:r>
          </w:p>
        </w:tc>
        <w:tc>
          <w:tcPr>
            <w:tcW w:w="800" w:type="pct"/>
            <w:tcBorders>
              <w:top w:val="nil"/>
              <w:left w:val="nil"/>
              <w:bottom w:val="nil"/>
              <w:right w:val="nil"/>
            </w:tcBorders>
            <w:shd w:val="clear" w:color="000000" w:fill="FFFFFF"/>
            <w:noWrap/>
            <w:vAlign w:val="bottom"/>
            <w:hideMark/>
          </w:tcPr>
          <w:p w14:paraId="49904641" w14:textId="77777777" w:rsidR="00A774D3" w:rsidRPr="00A774D3" w:rsidRDefault="00A774D3" w:rsidP="00A774D3">
            <w:pPr>
              <w:jc w:val="right"/>
              <w:rPr>
                <w:rFonts w:asciiTheme="majorHAnsi" w:hAnsiTheme="majorHAnsi" w:cs="Arial"/>
                <w:sz w:val="16"/>
                <w:szCs w:val="16"/>
              </w:rPr>
            </w:pPr>
            <w:r w:rsidRPr="00A774D3">
              <w:rPr>
                <w:rFonts w:asciiTheme="majorHAnsi" w:hAnsiTheme="majorHAnsi" w:cs="Arial"/>
                <w:sz w:val="16"/>
                <w:szCs w:val="16"/>
              </w:rPr>
              <w:t xml:space="preserve">                              -   </w:t>
            </w:r>
          </w:p>
        </w:tc>
        <w:tc>
          <w:tcPr>
            <w:tcW w:w="976" w:type="pct"/>
            <w:tcBorders>
              <w:top w:val="nil"/>
              <w:left w:val="nil"/>
              <w:bottom w:val="nil"/>
              <w:right w:val="nil"/>
            </w:tcBorders>
            <w:shd w:val="clear" w:color="000000" w:fill="FFFFFF"/>
            <w:noWrap/>
            <w:vAlign w:val="bottom"/>
            <w:hideMark/>
          </w:tcPr>
          <w:p w14:paraId="3EE3F831" w14:textId="77777777" w:rsidR="00A774D3" w:rsidRPr="00A774D3" w:rsidRDefault="00A774D3" w:rsidP="00A774D3">
            <w:pPr>
              <w:jc w:val="right"/>
              <w:rPr>
                <w:rFonts w:asciiTheme="majorHAnsi" w:hAnsiTheme="majorHAnsi" w:cs="Arial"/>
                <w:sz w:val="16"/>
                <w:szCs w:val="16"/>
              </w:rPr>
            </w:pPr>
            <w:r w:rsidRPr="00A774D3">
              <w:rPr>
                <w:rFonts w:asciiTheme="majorHAnsi" w:hAnsiTheme="majorHAnsi" w:cs="Arial"/>
                <w:sz w:val="16"/>
                <w:szCs w:val="16"/>
              </w:rPr>
              <w:t xml:space="preserve">                                     -   </w:t>
            </w:r>
          </w:p>
        </w:tc>
      </w:tr>
      <w:tr w:rsidR="00A774D3" w:rsidRPr="00A774D3" w14:paraId="2499EEF5" w14:textId="77777777" w:rsidTr="00A774D3">
        <w:trPr>
          <w:trHeight w:hRule="exact" w:val="227"/>
        </w:trPr>
        <w:tc>
          <w:tcPr>
            <w:tcW w:w="3224" w:type="pct"/>
            <w:tcBorders>
              <w:top w:val="nil"/>
              <w:left w:val="nil"/>
              <w:bottom w:val="nil"/>
              <w:right w:val="nil"/>
            </w:tcBorders>
            <w:shd w:val="clear" w:color="000000" w:fill="FFFFFF"/>
            <w:noWrap/>
            <w:vAlign w:val="bottom"/>
            <w:hideMark/>
          </w:tcPr>
          <w:p w14:paraId="25C0424E"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xml:space="preserve">      Resultado na Baixa de Ativos Imobilizados / Intangíveis </w:t>
            </w:r>
          </w:p>
        </w:tc>
        <w:tc>
          <w:tcPr>
            <w:tcW w:w="800" w:type="pct"/>
            <w:tcBorders>
              <w:top w:val="nil"/>
              <w:left w:val="nil"/>
              <w:bottom w:val="nil"/>
              <w:right w:val="nil"/>
            </w:tcBorders>
            <w:shd w:val="clear" w:color="000000" w:fill="FFFFFF"/>
            <w:noWrap/>
            <w:vAlign w:val="bottom"/>
            <w:hideMark/>
          </w:tcPr>
          <w:p w14:paraId="5BBC82FA" w14:textId="77777777" w:rsidR="00A774D3" w:rsidRPr="00A774D3" w:rsidRDefault="00A774D3" w:rsidP="00A774D3">
            <w:pPr>
              <w:jc w:val="right"/>
              <w:rPr>
                <w:rFonts w:asciiTheme="majorHAnsi" w:hAnsiTheme="majorHAnsi" w:cs="Arial"/>
                <w:sz w:val="16"/>
                <w:szCs w:val="16"/>
              </w:rPr>
            </w:pPr>
            <w:r w:rsidRPr="00A774D3">
              <w:rPr>
                <w:rFonts w:asciiTheme="majorHAnsi" w:hAnsiTheme="majorHAnsi" w:cs="Arial"/>
                <w:sz w:val="16"/>
                <w:szCs w:val="16"/>
              </w:rPr>
              <w:t xml:space="preserve">                   167.491 </w:t>
            </w:r>
          </w:p>
        </w:tc>
        <w:tc>
          <w:tcPr>
            <w:tcW w:w="976" w:type="pct"/>
            <w:tcBorders>
              <w:top w:val="nil"/>
              <w:left w:val="nil"/>
              <w:bottom w:val="nil"/>
              <w:right w:val="nil"/>
            </w:tcBorders>
            <w:shd w:val="clear" w:color="000000" w:fill="FFFFFF"/>
            <w:noWrap/>
            <w:vAlign w:val="bottom"/>
            <w:hideMark/>
          </w:tcPr>
          <w:p w14:paraId="69F98616" w14:textId="77777777" w:rsidR="00A774D3" w:rsidRPr="00A774D3" w:rsidRDefault="00A774D3" w:rsidP="00A774D3">
            <w:pPr>
              <w:jc w:val="right"/>
              <w:rPr>
                <w:rFonts w:asciiTheme="majorHAnsi" w:hAnsiTheme="majorHAnsi" w:cs="Arial"/>
                <w:sz w:val="16"/>
                <w:szCs w:val="16"/>
              </w:rPr>
            </w:pPr>
            <w:r w:rsidRPr="00A774D3">
              <w:rPr>
                <w:rFonts w:asciiTheme="majorHAnsi" w:hAnsiTheme="majorHAnsi" w:cs="Arial"/>
                <w:sz w:val="16"/>
                <w:szCs w:val="16"/>
              </w:rPr>
              <w:t xml:space="preserve">                          348.901 </w:t>
            </w:r>
          </w:p>
        </w:tc>
      </w:tr>
      <w:tr w:rsidR="00A774D3" w:rsidRPr="00A774D3" w14:paraId="22B57E2C" w14:textId="77777777" w:rsidTr="00A774D3">
        <w:trPr>
          <w:trHeight w:hRule="exact" w:val="227"/>
        </w:trPr>
        <w:tc>
          <w:tcPr>
            <w:tcW w:w="3224" w:type="pct"/>
            <w:tcBorders>
              <w:top w:val="nil"/>
              <w:left w:val="nil"/>
              <w:bottom w:val="nil"/>
              <w:right w:val="nil"/>
            </w:tcBorders>
            <w:shd w:val="clear" w:color="000000" w:fill="FFFFFF"/>
            <w:noWrap/>
            <w:vAlign w:val="bottom"/>
            <w:hideMark/>
          </w:tcPr>
          <w:p w14:paraId="4070F53C"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xml:space="preserve">      Atualização Monetária Ativa </w:t>
            </w:r>
          </w:p>
        </w:tc>
        <w:tc>
          <w:tcPr>
            <w:tcW w:w="800" w:type="pct"/>
            <w:tcBorders>
              <w:top w:val="nil"/>
              <w:left w:val="nil"/>
              <w:bottom w:val="nil"/>
              <w:right w:val="nil"/>
            </w:tcBorders>
            <w:shd w:val="clear" w:color="000000" w:fill="FFFFFF"/>
            <w:noWrap/>
            <w:vAlign w:val="bottom"/>
            <w:hideMark/>
          </w:tcPr>
          <w:p w14:paraId="487CDC88" w14:textId="77777777" w:rsidR="00A774D3" w:rsidRPr="00A774D3" w:rsidRDefault="00A774D3" w:rsidP="00A774D3">
            <w:pPr>
              <w:jc w:val="right"/>
              <w:rPr>
                <w:rFonts w:asciiTheme="majorHAnsi" w:hAnsiTheme="majorHAnsi" w:cs="Arial"/>
                <w:sz w:val="16"/>
                <w:szCs w:val="16"/>
              </w:rPr>
            </w:pPr>
            <w:r w:rsidRPr="00A774D3">
              <w:rPr>
                <w:rFonts w:asciiTheme="majorHAnsi" w:hAnsiTheme="majorHAnsi" w:cs="Arial"/>
                <w:sz w:val="16"/>
                <w:szCs w:val="16"/>
              </w:rPr>
              <w:t xml:space="preserve">             (4.185.367)</w:t>
            </w:r>
          </w:p>
        </w:tc>
        <w:tc>
          <w:tcPr>
            <w:tcW w:w="976" w:type="pct"/>
            <w:tcBorders>
              <w:top w:val="nil"/>
              <w:left w:val="nil"/>
              <w:bottom w:val="nil"/>
              <w:right w:val="nil"/>
            </w:tcBorders>
            <w:shd w:val="clear" w:color="000000" w:fill="FFFFFF"/>
            <w:noWrap/>
            <w:vAlign w:val="bottom"/>
            <w:hideMark/>
          </w:tcPr>
          <w:p w14:paraId="79253029" w14:textId="77777777" w:rsidR="00A774D3" w:rsidRPr="00A774D3" w:rsidRDefault="00A774D3" w:rsidP="00A774D3">
            <w:pPr>
              <w:jc w:val="right"/>
              <w:rPr>
                <w:rFonts w:asciiTheme="majorHAnsi" w:hAnsiTheme="majorHAnsi" w:cs="Arial"/>
                <w:sz w:val="16"/>
                <w:szCs w:val="16"/>
              </w:rPr>
            </w:pPr>
            <w:r w:rsidRPr="00A774D3">
              <w:rPr>
                <w:rFonts w:asciiTheme="majorHAnsi" w:hAnsiTheme="majorHAnsi" w:cs="Arial"/>
                <w:sz w:val="16"/>
                <w:szCs w:val="16"/>
              </w:rPr>
              <w:t xml:space="preserve">                    (3.088.337)</w:t>
            </w:r>
          </w:p>
        </w:tc>
      </w:tr>
      <w:tr w:rsidR="00A774D3" w:rsidRPr="00A774D3" w14:paraId="243AF866" w14:textId="77777777" w:rsidTr="00A774D3">
        <w:trPr>
          <w:trHeight w:hRule="exact" w:val="227"/>
        </w:trPr>
        <w:tc>
          <w:tcPr>
            <w:tcW w:w="3224" w:type="pct"/>
            <w:tcBorders>
              <w:top w:val="nil"/>
              <w:left w:val="nil"/>
              <w:bottom w:val="nil"/>
              <w:right w:val="nil"/>
            </w:tcBorders>
            <w:shd w:val="clear" w:color="000000" w:fill="FFFFFF"/>
            <w:noWrap/>
            <w:vAlign w:val="bottom"/>
            <w:hideMark/>
          </w:tcPr>
          <w:p w14:paraId="27B61968"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xml:space="preserve">      Atualização Monetária Passiva </w:t>
            </w:r>
          </w:p>
        </w:tc>
        <w:tc>
          <w:tcPr>
            <w:tcW w:w="800" w:type="pct"/>
            <w:tcBorders>
              <w:top w:val="nil"/>
              <w:left w:val="nil"/>
              <w:bottom w:val="nil"/>
              <w:right w:val="nil"/>
            </w:tcBorders>
            <w:shd w:val="clear" w:color="000000" w:fill="FFFFFF"/>
            <w:noWrap/>
            <w:vAlign w:val="bottom"/>
            <w:hideMark/>
          </w:tcPr>
          <w:p w14:paraId="0FF95FD5" w14:textId="77777777" w:rsidR="00A774D3" w:rsidRPr="00A774D3" w:rsidRDefault="00A774D3" w:rsidP="00A774D3">
            <w:pPr>
              <w:jc w:val="right"/>
              <w:rPr>
                <w:rFonts w:asciiTheme="majorHAnsi" w:hAnsiTheme="majorHAnsi" w:cs="Arial"/>
                <w:sz w:val="16"/>
                <w:szCs w:val="16"/>
              </w:rPr>
            </w:pPr>
            <w:r w:rsidRPr="00A774D3">
              <w:rPr>
                <w:rFonts w:asciiTheme="majorHAnsi" w:hAnsiTheme="majorHAnsi" w:cs="Arial"/>
                <w:sz w:val="16"/>
                <w:szCs w:val="16"/>
              </w:rPr>
              <w:t xml:space="preserve">                              -   </w:t>
            </w:r>
          </w:p>
        </w:tc>
        <w:tc>
          <w:tcPr>
            <w:tcW w:w="976" w:type="pct"/>
            <w:tcBorders>
              <w:top w:val="nil"/>
              <w:left w:val="nil"/>
              <w:bottom w:val="nil"/>
              <w:right w:val="nil"/>
            </w:tcBorders>
            <w:shd w:val="clear" w:color="000000" w:fill="FFFFFF"/>
            <w:noWrap/>
            <w:vAlign w:val="bottom"/>
            <w:hideMark/>
          </w:tcPr>
          <w:p w14:paraId="6CDE38EE" w14:textId="77777777" w:rsidR="00A774D3" w:rsidRPr="00A774D3" w:rsidRDefault="00A774D3" w:rsidP="00A774D3">
            <w:pPr>
              <w:jc w:val="right"/>
              <w:rPr>
                <w:rFonts w:asciiTheme="majorHAnsi" w:hAnsiTheme="majorHAnsi" w:cs="Arial"/>
                <w:sz w:val="16"/>
                <w:szCs w:val="16"/>
              </w:rPr>
            </w:pPr>
            <w:r w:rsidRPr="00A774D3">
              <w:rPr>
                <w:rFonts w:asciiTheme="majorHAnsi" w:hAnsiTheme="majorHAnsi" w:cs="Arial"/>
                <w:sz w:val="16"/>
                <w:szCs w:val="16"/>
              </w:rPr>
              <w:t xml:space="preserve">                                     -   </w:t>
            </w:r>
          </w:p>
        </w:tc>
      </w:tr>
      <w:tr w:rsidR="00A774D3" w:rsidRPr="00A774D3" w14:paraId="07594058" w14:textId="77777777" w:rsidTr="00A774D3">
        <w:trPr>
          <w:trHeight w:hRule="exact" w:val="227"/>
        </w:trPr>
        <w:tc>
          <w:tcPr>
            <w:tcW w:w="3224" w:type="pct"/>
            <w:tcBorders>
              <w:top w:val="nil"/>
              <w:left w:val="nil"/>
              <w:bottom w:val="nil"/>
              <w:right w:val="nil"/>
            </w:tcBorders>
            <w:shd w:val="clear" w:color="000000" w:fill="FFFFFF"/>
            <w:noWrap/>
            <w:vAlign w:val="bottom"/>
            <w:hideMark/>
          </w:tcPr>
          <w:p w14:paraId="0558374D"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xml:space="preserve">      Despesas Líquidas de Provisões para Contingências </w:t>
            </w:r>
          </w:p>
        </w:tc>
        <w:tc>
          <w:tcPr>
            <w:tcW w:w="800" w:type="pct"/>
            <w:tcBorders>
              <w:top w:val="nil"/>
              <w:left w:val="nil"/>
              <w:bottom w:val="nil"/>
              <w:right w:val="nil"/>
            </w:tcBorders>
            <w:shd w:val="clear" w:color="000000" w:fill="FFFFFF"/>
            <w:noWrap/>
            <w:vAlign w:val="bottom"/>
            <w:hideMark/>
          </w:tcPr>
          <w:p w14:paraId="244E3B13" w14:textId="77777777" w:rsidR="00A774D3" w:rsidRPr="00A774D3" w:rsidRDefault="00A774D3" w:rsidP="00A774D3">
            <w:pPr>
              <w:jc w:val="right"/>
              <w:rPr>
                <w:rFonts w:asciiTheme="majorHAnsi" w:hAnsiTheme="majorHAnsi" w:cs="Arial"/>
                <w:sz w:val="16"/>
                <w:szCs w:val="16"/>
              </w:rPr>
            </w:pPr>
            <w:r w:rsidRPr="00A774D3">
              <w:rPr>
                <w:rFonts w:asciiTheme="majorHAnsi" w:hAnsiTheme="majorHAnsi" w:cs="Arial"/>
                <w:sz w:val="16"/>
                <w:szCs w:val="16"/>
              </w:rPr>
              <w:t xml:space="preserve">             70.667.674 </w:t>
            </w:r>
          </w:p>
        </w:tc>
        <w:tc>
          <w:tcPr>
            <w:tcW w:w="976" w:type="pct"/>
            <w:tcBorders>
              <w:top w:val="nil"/>
              <w:left w:val="nil"/>
              <w:bottom w:val="nil"/>
              <w:right w:val="nil"/>
            </w:tcBorders>
            <w:shd w:val="clear" w:color="000000" w:fill="FFFFFF"/>
            <w:noWrap/>
            <w:vAlign w:val="bottom"/>
            <w:hideMark/>
          </w:tcPr>
          <w:p w14:paraId="683D00EC" w14:textId="77777777" w:rsidR="00A774D3" w:rsidRPr="00A774D3" w:rsidRDefault="00A774D3" w:rsidP="00A774D3">
            <w:pPr>
              <w:jc w:val="right"/>
              <w:rPr>
                <w:rFonts w:asciiTheme="majorHAnsi" w:hAnsiTheme="majorHAnsi" w:cs="Arial"/>
                <w:sz w:val="16"/>
                <w:szCs w:val="16"/>
              </w:rPr>
            </w:pPr>
            <w:r w:rsidRPr="00A774D3">
              <w:rPr>
                <w:rFonts w:asciiTheme="majorHAnsi" w:hAnsiTheme="majorHAnsi" w:cs="Arial"/>
                <w:sz w:val="16"/>
                <w:szCs w:val="16"/>
              </w:rPr>
              <w:t xml:space="preserve">                 464.778.002 </w:t>
            </w:r>
          </w:p>
        </w:tc>
      </w:tr>
      <w:tr w:rsidR="00A774D3" w:rsidRPr="00A774D3" w14:paraId="10E940E3" w14:textId="77777777" w:rsidTr="00A774D3">
        <w:trPr>
          <w:trHeight w:hRule="exact" w:val="227"/>
        </w:trPr>
        <w:tc>
          <w:tcPr>
            <w:tcW w:w="3224" w:type="pct"/>
            <w:tcBorders>
              <w:top w:val="nil"/>
              <w:left w:val="nil"/>
              <w:bottom w:val="nil"/>
              <w:right w:val="nil"/>
            </w:tcBorders>
            <w:shd w:val="clear" w:color="000000" w:fill="FFFFFF"/>
            <w:noWrap/>
            <w:vAlign w:val="bottom"/>
            <w:hideMark/>
          </w:tcPr>
          <w:p w14:paraId="060624F2"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xml:space="preserve">      Provisão p/ 13º Salário, Férias e Encargos </w:t>
            </w:r>
          </w:p>
        </w:tc>
        <w:tc>
          <w:tcPr>
            <w:tcW w:w="800" w:type="pct"/>
            <w:tcBorders>
              <w:top w:val="nil"/>
              <w:left w:val="nil"/>
              <w:bottom w:val="nil"/>
              <w:right w:val="nil"/>
            </w:tcBorders>
            <w:shd w:val="clear" w:color="000000" w:fill="FFFFFF"/>
            <w:noWrap/>
            <w:vAlign w:val="bottom"/>
            <w:hideMark/>
          </w:tcPr>
          <w:p w14:paraId="34C41B80" w14:textId="77777777" w:rsidR="00A774D3" w:rsidRPr="00A774D3" w:rsidRDefault="00A774D3" w:rsidP="00A774D3">
            <w:pPr>
              <w:jc w:val="right"/>
              <w:rPr>
                <w:rFonts w:asciiTheme="majorHAnsi" w:hAnsiTheme="majorHAnsi" w:cs="Arial"/>
                <w:sz w:val="16"/>
                <w:szCs w:val="16"/>
              </w:rPr>
            </w:pPr>
            <w:r w:rsidRPr="00A774D3">
              <w:rPr>
                <w:rFonts w:asciiTheme="majorHAnsi" w:hAnsiTheme="majorHAnsi" w:cs="Arial"/>
                <w:sz w:val="16"/>
                <w:szCs w:val="16"/>
              </w:rPr>
              <w:t xml:space="preserve">               2.720.573 </w:t>
            </w:r>
          </w:p>
        </w:tc>
        <w:tc>
          <w:tcPr>
            <w:tcW w:w="976" w:type="pct"/>
            <w:tcBorders>
              <w:top w:val="nil"/>
              <w:left w:val="nil"/>
              <w:bottom w:val="nil"/>
              <w:right w:val="nil"/>
            </w:tcBorders>
            <w:shd w:val="clear" w:color="000000" w:fill="FFFFFF"/>
            <w:noWrap/>
            <w:vAlign w:val="bottom"/>
            <w:hideMark/>
          </w:tcPr>
          <w:p w14:paraId="625FD131" w14:textId="77777777" w:rsidR="00A774D3" w:rsidRPr="00A774D3" w:rsidRDefault="00A774D3" w:rsidP="00A774D3">
            <w:pPr>
              <w:jc w:val="right"/>
              <w:rPr>
                <w:rFonts w:asciiTheme="majorHAnsi" w:hAnsiTheme="majorHAnsi" w:cs="Arial"/>
                <w:sz w:val="16"/>
                <w:szCs w:val="16"/>
              </w:rPr>
            </w:pPr>
            <w:r w:rsidRPr="00A774D3">
              <w:rPr>
                <w:rFonts w:asciiTheme="majorHAnsi" w:hAnsiTheme="majorHAnsi" w:cs="Arial"/>
                <w:sz w:val="16"/>
                <w:szCs w:val="16"/>
              </w:rPr>
              <w:t xml:space="preserve">                                     -   </w:t>
            </w:r>
          </w:p>
        </w:tc>
      </w:tr>
      <w:tr w:rsidR="00A774D3" w:rsidRPr="00A774D3" w14:paraId="159AC639" w14:textId="77777777" w:rsidTr="00A774D3">
        <w:trPr>
          <w:trHeight w:hRule="exact" w:val="227"/>
        </w:trPr>
        <w:tc>
          <w:tcPr>
            <w:tcW w:w="3224" w:type="pct"/>
            <w:tcBorders>
              <w:top w:val="nil"/>
              <w:left w:val="nil"/>
              <w:bottom w:val="nil"/>
              <w:right w:val="nil"/>
            </w:tcBorders>
            <w:shd w:val="clear" w:color="000000" w:fill="FFFFFF"/>
            <w:noWrap/>
            <w:vAlign w:val="bottom"/>
            <w:hideMark/>
          </w:tcPr>
          <w:p w14:paraId="5F6AF025"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xml:space="preserve">      Resultado de Equivalência Patrimonial </w:t>
            </w:r>
          </w:p>
        </w:tc>
        <w:tc>
          <w:tcPr>
            <w:tcW w:w="800" w:type="pct"/>
            <w:tcBorders>
              <w:top w:val="nil"/>
              <w:left w:val="nil"/>
              <w:bottom w:val="nil"/>
              <w:right w:val="nil"/>
            </w:tcBorders>
            <w:shd w:val="clear" w:color="000000" w:fill="FFFFFF"/>
            <w:noWrap/>
            <w:vAlign w:val="bottom"/>
            <w:hideMark/>
          </w:tcPr>
          <w:p w14:paraId="248BB7AD" w14:textId="77777777" w:rsidR="00A774D3" w:rsidRPr="00A774D3" w:rsidRDefault="00A774D3" w:rsidP="00A774D3">
            <w:pPr>
              <w:jc w:val="right"/>
              <w:rPr>
                <w:rFonts w:asciiTheme="majorHAnsi" w:hAnsiTheme="majorHAnsi" w:cs="Arial"/>
                <w:sz w:val="16"/>
                <w:szCs w:val="16"/>
              </w:rPr>
            </w:pPr>
            <w:r w:rsidRPr="00A774D3">
              <w:rPr>
                <w:rFonts w:asciiTheme="majorHAnsi" w:hAnsiTheme="majorHAnsi" w:cs="Arial"/>
                <w:sz w:val="16"/>
                <w:szCs w:val="16"/>
              </w:rPr>
              <w:t xml:space="preserve">             32.248.507 </w:t>
            </w:r>
          </w:p>
        </w:tc>
        <w:tc>
          <w:tcPr>
            <w:tcW w:w="976" w:type="pct"/>
            <w:tcBorders>
              <w:top w:val="nil"/>
              <w:left w:val="nil"/>
              <w:bottom w:val="nil"/>
              <w:right w:val="nil"/>
            </w:tcBorders>
            <w:shd w:val="clear" w:color="000000" w:fill="FFFFFF"/>
            <w:noWrap/>
            <w:vAlign w:val="bottom"/>
            <w:hideMark/>
          </w:tcPr>
          <w:p w14:paraId="1F122178" w14:textId="77777777" w:rsidR="00A774D3" w:rsidRPr="00A774D3" w:rsidRDefault="00A774D3" w:rsidP="00A774D3">
            <w:pPr>
              <w:jc w:val="right"/>
              <w:rPr>
                <w:rFonts w:asciiTheme="majorHAnsi" w:hAnsiTheme="majorHAnsi" w:cs="Arial"/>
                <w:sz w:val="16"/>
                <w:szCs w:val="16"/>
              </w:rPr>
            </w:pPr>
            <w:r w:rsidRPr="00A774D3">
              <w:rPr>
                <w:rFonts w:asciiTheme="majorHAnsi" w:hAnsiTheme="majorHAnsi" w:cs="Arial"/>
                <w:sz w:val="16"/>
                <w:szCs w:val="16"/>
              </w:rPr>
              <w:t xml:space="preserve">                    20.073.940 </w:t>
            </w:r>
          </w:p>
        </w:tc>
      </w:tr>
      <w:tr w:rsidR="00A774D3" w:rsidRPr="00A774D3" w14:paraId="436162EA" w14:textId="77777777" w:rsidTr="00A774D3">
        <w:trPr>
          <w:trHeight w:hRule="exact" w:val="227"/>
        </w:trPr>
        <w:tc>
          <w:tcPr>
            <w:tcW w:w="3224" w:type="pct"/>
            <w:tcBorders>
              <w:top w:val="nil"/>
              <w:left w:val="nil"/>
              <w:bottom w:val="nil"/>
              <w:right w:val="nil"/>
            </w:tcBorders>
            <w:shd w:val="clear" w:color="000000" w:fill="FFFFFF"/>
            <w:noWrap/>
            <w:vAlign w:val="bottom"/>
            <w:hideMark/>
          </w:tcPr>
          <w:p w14:paraId="6DB33313"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xml:space="preserve">      Prescrição de créditos previdenciários  </w:t>
            </w:r>
          </w:p>
        </w:tc>
        <w:tc>
          <w:tcPr>
            <w:tcW w:w="800" w:type="pct"/>
            <w:tcBorders>
              <w:top w:val="nil"/>
              <w:left w:val="nil"/>
              <w:bottom w:val="nil"/>
              <w:right w:val="nil"/>
            </w:tcBorders>
            <w:shd w:val="clear" w:color="000000" w:fill="FFFFFF"/>
            <w:noWrap/>
            <w:vAlign w:val="bottom"/>
            <w:hideMark/>
          </w:tcPr>
          <w:p w14:paraId="0EBB4CDA" w14:textId="77777777" w:rsidR="00A774D3" w:rsidRPr="00A774D3" w:rsidRDefault="00A774D3" w:rsidP="00A774D3">
            <w:pPr>
              <w:jc w:val="right"/>
              <w:rPr>
                <w:rFonts w:asciiTheme="majorHAnsi" w:hAnsiTheme="majorHAnsi" w:cs="Arial"/>
                <w:sz w:val="16"/>
                <w:szCs w:val="16"/>
              </w:rPr>
            </w:pPr>
            <w:r w:rsidRPr="00A774D3">
              <w:rPr>
                <w:rFonts w:asciiTheme="majorHAnsi" w:hAnsiTheme="majorHAnsi" w:cs="Arial"/>
                <w:sz w:val="16"/>
                <w:szCs w:val="16"/>
              </w:rPr>
              <w:t xml:space="preserve">                              -   </w:t>
            </w:r>
          </w:p>
        </w:tc>
        <w:tc>
          <w:tcPr>
            <w:tcW w:w="976" w:type="pct"/>
            <w:tcBorders>
              <w:top w:val="nil"/>
              <w:left w:val="nil"/>
              <w:bottom w:val="nil"/>
              <w:right w:val="nil"/>
            </w:tcBorders>
            <w:shd w:val="clear" w:color="000000" w:fill="FFFFFF"/>
            <w:noWrap/>
            <w:vAlign w:val="bottom"/>
            <w:hideMark/>
          </w:tcPr>
          <w:p w14:paraId="427FFEDE" w14:textId="77777777" w:rsidR="00A774D3" w:rsidRPr="00A774D3" w:rsidRDefault="00A774D3" w:rsidP="00A774D3">
            <w:pPr>
              <w:jc w:val="right"/>
              <w:rPr>
                <w:rFonts w:asciiTheme="majorHAnsi" w:hAnsiTheme="majorHAnsi" w:cs="Arial"/>
                <w:sz w:val="16"/>
                <w:szCs w:val="16"/>
              </w:rPr>
            </w:pPr>
            <w:r w:rsidRPr="00A774D3">
              <w:rPr>
                <w:rFonts w:asciiTheme="majorHAnsi" w:hAnsiTheme="majorHAnsi" w:cs="Arial"/>
                <w:sz w:val="16"/>
                <w:szCs w:val="16"/>
              </w:rPr>
              <w:t xml:space="preserve">                                     -   </w:t>
            </w:r>
          </w:p>
        </w:tc>
      </w:tr>
      <w:tr w:rsidR="00A774D3" w:rsidRPr="00A774D3" w14:paraId="4D33F900" w14:textId="77777777" w:rsidTr="00A774D3">
        <w:trPr>
          <w:trHeight w:hRule="exact" w:val="227"/>
        </w:trPr>
        <w:tc>
          <w:tcPr>
            <w:tcW w:w="3224" w:type="pct"/>
            <w:tcBorders>
              <w:top w:val="nil"/>
              <w:left w:val="nil"/>
              <w:bottom w:val="nil"/>
              <w:right w:val="nil"/>
            </w:tcBorders>
            <w:shd w:val="clear" w:color="000000" w:fill="FFFFFF"/>
            <w:noWrap/>
            <w:vAlign w:val="bottom"/>
            <w:hideMark/>
          </w:tcPr>
          <w:p w14:paraId="0A1C83CD"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xml:space="preserve">      Receitas reconhecida pelo diferimento de contratos </w:t>
            </w:r>
          </w:p>
        </w:tc>
        <w:tc>
          <w:tcPr>
            <w:tcW w:w="800" w:type="pct"/>
            <w:tcBorders>
              <w:top w:val="nil"/>
              <w:left w:val="nil"/>
              <w:bottom w:val="nil"/>
              <w:right w:val="nil"/>
            </w:tcBorders>
            <w:shd w:val="clear" w:color="000000" w:fill="FFFFFF"/>
            <w:noWrap/>
            <w:vAlign w:val="bottom"/>
            <w:hideMark/>
          </w:tcPr>
          <w:p w14:paraId="02F90C52" w14:textId="77777777" w:rsidR="00A774D3" w:rsidRPr="00A774D3" w:rsidRDefault="00A774D3" w:rsidP="00A774D3">
            <w:pPr>
              <w:jc w:val="right"/>
              <w:rPr>
                <w:rFonts w:asciiTheme="majorHAnsi" w:hAnsiTheme="majorHAnsi" w:cs="Arial"/>
                <w:sz w:val="16"/>
                <w:szCs w:val="16"/>
              </w:rPr>
            </w:pPr>
            <w:r w:rsidRPr="00A774D3">
              <w:rPr>
                <w:rFonts w:asciiTheme="majorHAnsi" w:hAnsiTheme="majorHAnsi" w:cs="Arial"/>
                <w:sz w:val="16"/>
                <w:szCs w:val="16"/>
              </w:rPr>
              <w:t xml:space="preserve">             (1.905.712)</w:t>
            </w:r>
          </w:p>
        </w:tc>
        <w:tc>
          <w:tcPr>
            <w:tcW w:w="976" w:type="pct"/>
            <w:tcBorders>
              <w:top w:val="nil"/>
              <w:left w:val="nil"/>
              <w:bottom w:val="nil"/>
              <w:right w:val="nil"/>
            </w:tcBorders>
            <w:shd w:val="clear" w:color="000000" w:fill="FFFFFF"/>
            <w:noWrap/>
            <w:vAlign w:val="bottom"/>
            <w:hideMark/>
          </w:tcPr>
          <w:p w14:paraId="275A45C9" w14:textId="77777777" w:rsidR="00A774D3" w:rsidRPr="00A774D3" w:rsidRDefault="00A774D3" w:rsidP="00A774D3">
            <w:pPr>
              <w:jc w:val="right"/>
              <w:rPr>
                <w:rFonts w:asciiTheme="majorHAnsi" w:hAnsiTheme="majorHAnsi" w:cs="Arial"/>
                <w:sz w:val="16"/>
                <w:szCs w:val="16"/>
              </w:rPr>
            </w:pPr>
            <w:r w:rsidRPr="00A774D3">
              <w:rPr>
                <w:rFonts w:asciiTheme="majorHAnsi" w:hAnsiTheme="majorHAnsi" w:cs="Arial"/>
                <w:sz w:val="16"/>
                <w:szCs w:val="16"/>
              </w:rPr>
              <w:t xml:space="preserve">                    (1.395.411)</w:t>
            </w:r>
          </w:p>
        </w:tc>
      </w:tr>
      <w:tr w:rsidR="00A774D3" w:rsidRPr="00A774D3" w14:paraId="026EC389" w14:textId="77777777" w:rsidTr="00A774D3">
        <w:trPr>
          <w:trHeight w:hRule="exact" w:val="227"/>
        </w:trPr>
        <w:tc>
          <w:tcPr>
            <w:tcW w:w="3224" w:type="pct"/>
            <w:tcBorders>
              <w:top w:val="nil"/>
              <w:left w:val="nil"/>
              <w:bottom w:val="nil"/>
              <w:right w:val="nil"/>
            </w:tcBorders>
            <w:shd w:val="clear" w:color="000000" w:fill="FFFFFF"/>
            <w:noWrap/>
            <w:vAlign w:val="bottom"/>
            <w:hideMark/>
          </w:tcPr>
          <w:p w14:paraId="5DE462B2"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xml:space="preserve">      Baixa de depósito retido de fornecedores </w:t>
            </w:r>
          </w:p>
        </w:tc>
        <w:tc>
          <w:tcPr>
            <w:tcW w:w="800" w:type="pct"/>
            <w:tcBorders>
              <w:top w:val="nil"/>
              <w:left w:val="nil"/>
              <w:bottom w:val="nil"/>
              <w:right w:val="nil"/>
            </w:tcBorders>
            <w:shd w:val="clear" w:color="000000" w:fill="FFFFFF"/>
            <w:noWrap/>
            <w:vAlign w:val="bottom"/>
            <w:hideMark/>
          </w:tcPr>
          <w:p w14:paraId="1DAB1D82" w14:textId="77777777" w:rsidR="00A774D3" w:rsidRPr="00A774D3" w:rsidRDefault="00A774D3" w:rsidP="00A774D3">
            <w:pPr>
              <w:jc w:val="right"/>
              <w:rPr>
                <w:rFonts w:asciiTheme="majorHAnsi" w:hAnsiTheme="majorHAnsi" w:cs="Arial"/>
                <w:sz w:val="16"/>
                <w:szCs w:val="16"/>
              </w:rPr>
            </w:pPr>
            <w:r w:rsidRPr="00A774D3">
              <w:rPr>
                <w:rFonts w:asciiTheme="majorHAnsi" w:hAnsiTheme="majorHAnsi" w:cs="Arial"/>
                <w:sz w:val="16"/>
                <w:szCs w:val="16"/>
              </w:rPr>
              <w:t xml:space="preserve">                (450.980)</w:t>
            </w:r>
          </w:p>
        </w:tc>
        <w:tc>
          <w:tcPr>
            <w:tcW w:w="976" w:type="pct"/>
            <w:tcBorders>
              <w:top w:val="nil"/>
              <w:left w:val="nil"/>
              <w:bottom w:val="nil"/>
              <w:right w:val="nil"/>
            </w:tcBorders>
            <w:shd w:val="clear" w:color="000000" w:fill="FFFFFF"/>
            <w:noWrap/>
            <w:vAlign w:val="bottom"/>
            <w:hideMark/>
          </w:tcPr>
          <w:p w14:paraId="4897CBB5" w14:textId="77777777" w:rsidR="00A774D3" w:rsidRPr="00A774D3" w:rsidRDefault="00A774D3" w:rsidP="00A774D3">
            <w:pPr>
              <w:jc w:val="right"/>
              <w:rPr>
                <w:rFonts w:asciiTheme="majorHAnsi" w:hAnsiTheme="majorHAnsi" w:cs="Arial"/>
                <w:sz w:val="16"/>
                <w:szCs w:val="16"/>
              </w:rPr>
            </w:pPr>
            <w:r w:rsidRPr="00A774D3">
              <w:rPr>
                <w:rFonts w:asciiTheme="majorHAnsi" w:hAnsiTheme="majorHAnsi" w:cs="Arial"/>
                <w:sz w:val="16"/>
                <w:szCs w:val="16"/>
              </w:rPr>
              <w:t xml:space="preserve">                                     -   </w:t>
            </w:r>
          </w:p>
        </w:tc>
      </w:tr>
      <w:tr w:rsidR="00A774D3" w:rsidRPr="00A774D3" w14:paraId="132B76F7" w14:textId="77777777" w:rsidTr="00A774D3">
        <w:trPr>
          <w:trHeight w:hRule="exact" w:val="227"/>
        </w:trPr>
        <w:tc>
          <w:tcPr>
            <w:tcW w:w="3224" w:type="pct"/>
            <w:tcBorders>
              <w:top w:val="nil"/>
              <w:left w:val="nil"/>
              <w:bottom w:val="nil"/>
              <w:right w:val="nil"/>
            </w:tcBorders>
            <w:shd w:val="clear" w:color="000000" w:fill="FFFFFF"/>
            <w:noWrap/>
            <w:vAlign w:val="bottom"/>
            <w:hideMark/>
          </w:tcPr>
          <w:p w14:paraId="6E501E02" w14:textId="77777777" w:rsidR="00A774D3" w:rsidRPr="00A774D3" w:rsidRDefault="00A774D3">
            <w:pPr>
              <w:rPr>
                <w:rFonts w:asciiTheme="majorHAnsi" w:hAnsiTheme="majorHAnsi" w:cs="Arial"/>
                <w:color w:val="000000"/>
                <w:sz w:val="16"/>
                <w:szCs w:val="16"/>
              </w:rPr>
            </w:pPr>
            <w:r w:rsidRPr="00A774D3">
              <w:rPr>
                <w:rFonts w:asciiTheme="majorHAnsi" w:hAnsiTheme="majorHAnsi" w:cs="Arial"/>
                <w:color w:val="000000"/>
                <w:sz w:val="16"/>
                <w:szCs w:val="16"/>
              </w:rPr>
              <w:t xml:space="preserve">      Recebimento de trilhos DNIT</w:t>
            </w:r>
          </w:p>
        </w:tc>
        <w:tc>
          <w:tcPr>
            <w:tcW w:w="800" w:type="pct"/>
            <w:tcBorders>
              <w:top w:val="nil"/>
              <w:left w:val="nil"/>
              <w:bottom w:val="nil"/>
              <w:right w:val="nil"/>
            </w:tcBorders>
            <w:shd w:val="clear" w:color="000000" w:fill="FFFFFF"/>
            <w:noWrap/>
            <w:vAlign w:val="bottom"/>
            <w:hideMark/>
          </w:tcPr>
          <w:p w14:paraId="129C1843" w14:textId="77777777" w:rsidR="00A774D3" w:rsidRPr="00A774D3" w:rsidRDefault="00A774D3" w:rsidP="00A774D3">
            <w:pPr>
              <w:jc w:val="right"/>
              <w:rPr>
                <w:rFonts w:asciiTheme="majorHAnsi" w:hAnsiTheme="majorHAnsi" w:cs="Arial"/>
                <w:sz w:val="16"/>
                <w:szCs w:val="16"/>
              </w:rPr>
            </w:pPr>
            <w:r w:rsidRPr="00A774D3">
              <w:rPr>
                <w:rFonts w:asciiTheme="majorHAnsi" w:hAnsiTheme="majorHAnsi" w:cs="Arial"/>
                <w:sz w:val="16"/>
                <w:szCs w:val="16"/>
              </w:rPr>
              <w:t xml:space="preserve">                              -   </w:t>
            </w:r>
          </w:p>
        </w:tc>
        <w:tc>
          <w:tcPr>
            <w:tcW w:w="976" w:type="pct"/>
            <w:tcBorders>
              <w:top w:val="nil"/>
              <w:left w:val="nil"/>
              <w:bottom w:val="nil"/>
              <w:right w:val="nil"/>
            </w:tcBorders>
            <w:shd w:val="clear" w:color="000000" w:fill="FFFFFF"/>
            <w:noWrap/>
            <w:vAlign w:val="bottom"/>
            <w:hideMark/>
          </w:tcPr>
          <w:p w14:paraId="095B6B2E" w14:textId="77777777" w:rsidR="00A774D3" w:rsidRPr="00A774D3" w:rsidRDefault="00A774D3" w:rsidP="00A774D3">
            <w:pPr>
              <w:jc w:val="right"/>
              <w:rPr>
                <w:rFonts w:asciiTheme="majorHAnsi" w:hAnsiTheme="majorHAnsi" w:cs="Arial"/>
                <w:sz w:val="16"/>
                <w:szCs w:val="16"/>
              </w:rPr>
            </w:pPr>
            <w:r w:rsidRPr="00A774D3">
              <w:rPr>
                <w:rFonts w:asciiTheme="majorHAnsi" w:hAnsiTheme="majorHAnsi" w:cs="Arial"/>
                <w:sz w:val="16"/>
                <w:szCs w:val="16"/>
              </w:rPr>
              <w:t xml:space="preserve">                 (18.551.962)</w:t>
            </w:r>
          </w:p>
        </w:tc>
      </w:tr>
      <w:tr w:rsidR="00A774D3" w:rsidRPr="00A774D3" w14:paraId="2DE266C8" w14:textId="77777777" w:rsidTr="00A774D3">
        <w:trPr>
          <w:trHeight w:hRule="exact" w:val="227"/>
        </w:trPr>
        <w:tc>
          <w:tcPr>
            <w:tcW w:w="3224" w:type="pct"/>
            <w:tcBorders>
              <w:top w:val="nil"/>
              <w:left w:val="nil"/>
              <w:bottom w:val="nil"/>
              <w:right w:val="nil"/>
            </w:tcBorders>
            <w:shd w:val="clear" w:color="000000" w:fill="FFFFFF"/>
            <w:noWrap/>
            <w:vAlign w:val="bottom"/>
            <w:hideMark/>
          </w:tcPr>
          <w:p w14:paraId="057F9E80"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xml:space="preserve">      Subvenção do Tesouro Nacional - repasse para custeio/pessoal </w:t>
            </w:r>
          </w:p>
        </w:tc>
        <w:tc>
          <w:tcPr>
            <w:tcW w:w="800" w:type="pct"/>
            <w:tcBorders>
              <w:top w:val="nil"/>
              <w:left w:val="nil"/>
              <w:bottom w:val="nil"/>
              <w:right w:val="nil"/>
            </w:tcBorders>
            <w:shd w:val="clear" w:color="000000" w:fill="FFFFFF"/>
            <w:noWrap/>
            <w:vAlign w:val="bottom"/>
            <w:hideMark/>
          </w:tcPr>
          <w:p w14:paraId="0BF053E5" w14:textId="77777777" w:rsidR="00A774D3" w:rsidRPr="00A774D3" w:rsidRDefault="00A774D3" w:rsidP="00A774D3">
            <w:pPr>
              <w:jc w:val="right"/>
              <w:rPr>
                <w:rFonts w:asciiTheme="majorHAnsi" w:hAnsiTheme="majorHAnsi" w:cs="Arial"/>
                <w:sz w:val="16"/>
                <w:szCs w:val="16"/>
              </w:rPr>
            </w:pPr>
            <w:r w:rsidRPr="00A774D3">
              <w:rPr>
                <w:rFonts w:asciiTheme="majorHAnsi" w:hAnsiTheme="majorHAnsi" w:cs="Arial"/>
                <w:sz w:val="16"/>
                <w:szCs w:val="16"/>
              </w:rPr>
              <w:t xml:space="preserve">        (102.401.154)</w:t>
            </w:r>
          </w:p>
        </w:tc>
        <w:tc>
          <w:tcPr>
            <w:tcW w:w="976" w:type="pct"/>
            <w:tcBorders>
              <w:top w:val="nil"/>
              <w:left w:val="nil"/>
              <w:bottom w:val="nil"/>
              <w:right w:val="nil"/>
            </w:tcBorders>
            <w:shd w:val="clear" w:color="000000" w:fill="FFFFFF"/>
            <w:noWrap/>
            <w:vAlign w:val="bottom"/>
            <w:hideMark/>
          </w:tcPr>
          <w:p w14:paraId="1DCF1EEF" w14:textId="77777777" w:rsidR="00A774D3" w:rsidRPr="00A774D3" w:rsidRDefault="00A774D3" w:rsidP="00A774D3">
            <w:pPr>
              <w:jc w:val="right"/>
              <w:rPr>
                <w:rFonts w:asciiTheme="majorHAnsi" w:hAnsiTheme="majorHAnsi" w:cs="Arial"/>
                <w:sz w:val="16"/>
                <w:szCs w:val="16"/>
              </w:rPr>
            </w:pPr>
            <w:r w:rsidRPr="00A774D3">
              <w:rPr>
                <w:rFonts w:asciiTheme="majorHAnsi" w:hAnsiTheme="majorHAnsi" w:cs="Arial"/>
                <w:sz w:val="16"/>
                <w:szCs w:val="16"/>
              </w:rPr>
              <w:t xml:space="preserve">                 (99.652.603)</w:t>
            </w:r>
          </w:p>
        </w:tc>
      </w:tr>
      <w:tr w:rsidR="00A774D3" w:rsidRPr="00A774D3" w14:paraId="1F8A8838" w14:textId="77777777" w:rsidTr="00A774D3">
        <w:trPr>
          <w:trHeight w:hRule="exact" w:val="227"/>
        </w:trPr>
        <w:tc>
          <w:tcPr>
            <w:tcW w:w="3224" w:type="pct"/>
            <w:tcBorders>
              <w:top w:val="nil"/>
              <w:left w:val="nil"/>
              <w:bottom w:val="nil"/>
              <w:right w:val="nil"/>
            </w:tcBorders>
            <w:shd w:val="clear" w:color="000000" w:fill="FFFFFF"/>
            <w:noWrap/>
            <w:vAlign w:val="bottom"/>
            <w:hideMark/>
          </w:tcPr>
          <w:p w14:paraId="618DC3B9" w14:textId="77777777" w:rsidR="00A774D3" w:rsidRPr="00A774D3" w:rsidRDefault="00A774D3">
            <w:pPr>
              <w:rPr>
                <w:rFonts w:asciiTheme="majorHAnsi" w:hAnsiTheme="majorHAnsi" w:cs="Arial"/>
                <w:b/>
                <w:bCs/>
                <w:sz w:val="16"/>
                <w:szCs w:val="16"/>
              </w:rPr>
            </w:pPr>
            <w:r w:rsidRPr="00A774D3">
              <w:rPr>
                <w:rFonts w:asciiTheme="majorHAnsi" w:hAnsiTheme="majorHAnsi" w:cs="Arial"/>
                <w:b/>
                <w:bCs/>
                <w:sz w:val="16"/>
                <w:szCs w:val="16"/>
              </w:rPr>
              <w:t xml:space="preserve"> Resultado do Exercício Ajustado </w:t>
            </w:r>
          </w:p>
        </w:tc>
        <w:tc>
          <w:tcPr>
            <w:tcW w:w="800" w:type="pct"/>
            <w:tcBorders>
              <w:top w:val="nil"/>
              <w:left w:val="nil"/>
              <w:bottom w:val="nil"/>
              <w:right w:val="nil"/>
            </w:tcBorders>
            <w:shd w:val="clear" w:color="000000" w:fill="FFFFFF"/>
            <w:noWrap/>
            <w:vAlign w:val="bottom"/>
            <w:hideMark/>
          </w:tcPr>
          <w:p w14:paraId="169A6B79" w14:textId="77777777" w:rsidR="00A774D3" w:rsidRPr="00A774D3" w:rsidRDefault="00A774D3" w:rsidP="00A774D3">
            <w:pPr>
              <w:jc w:val="right"/>
              <w:rPr>
                <w:rFonts w:asciiTheme="majorHAnsi" w:hAnsiTheme="majorHAnsi" w:cs="Arial"/>
                <w:b/>
                <w:bCs/>
                <w:sz w:val="16"/>
                <w:szCs w:val="16"/>
              </w:rPr>
            </w:pPr>
            <w:r w:rsidRPr="00A774D3">
              <w:rPr>
                <w:rFonts w:asciiTheme="majorHAnsi" w:hAnsiTheme="majorHAnsi" w:cs="Arial"/>
                <w:b/>
                <w:bCs/>
                <w:sz w:val="16"/>
                <w:szCs w:val="16"/>
              </w:rPr>
              <w:t xml:space="preserve">          (96.112.033)</w:t>
            </w:r>
          </w:p>
        </w:tc>
        <w:tc>
          <w:tcPr>
            <w:tcW w:w="976" w:type="pct"/>
            <w:tcBorders>
              <w:top w:val="nil"/>
              <w:left w:val="nil"/>
              <w:bottom w:val="nil"/>
              <w:right w:val="nil"/>
            </w:tcBorders>
            <w:shd w:val="clear" w:color="000000" w:fill="FFFFFF"/>
            <w:noWrap/>
            <w:vAlign w:val="bottom"/>
            <w:hideMark/>
          </w:tcPr>
          <w:p w14:paraId="3D19BD93" w14:textId="77777777" w:rsidR="00A774D3" w:rsidRPr="00A774D3" w:rsidRDefault="00A774D3" w:rsidP="00A774D3">
            <w:pPr>
              <w:jc w:val="right"/>
              <w:rPr>
                <w:rFonts w:asciiTheme="majorHAnsi" w:hAnsiTheme="majorHAnsi" w:cs="Arial"/>
                <w:b/>
                <w:bCs/>
                <w:sz w:val="16"/>
                <w:szCs w:val="16"/>
              </w:rPr>
            </w:pPr>
            <w:r w:rsidRPr="00A774D3">
              <w:rPr>
                <w:rFonts w:asciiTheme="majorHAnsi" w:hAnsiTheme="majorHAnsi" w:cs="Arial"/>
                <w:b/>
                <w:bCs/>
                <w:sz w:val="16"/>
                <w:szCs w:val="16"/>
              </w:rPr>
              <w:t xml:space="preserve">                 (99.925.110)</w:t>
            </w:r>
          </w:p>
        </w:tc>
      </w:tr>
      <w:tr w:rsidR="00A774D3" w:rsidRPr="00A774D3" w14:paraId="21D7665B" w14:textId="77777777" w:rsidTr="00A774D3">
        <w:trPr>
          <w:trHeight w:hRule="exact" w:val="227"/>
        </w:trPr>
        <w:tc>
          <w:tcPr>
            <w:tcW w:w="3224" w:type="pct"/>
            <w:tcBorders>
              <w:top w:val="nil"/>
              <w:left w:val="nil"/>
              <w:bottom w:val="nil"/>
              <w:right w:val="nil"/>
            </w:tcBorders>
            <w:shd w:val="clear" w:color="000000" w:fill="FFFFFF"/>
            <w:noWrap/>
            <w:vAlign w:val="bottom"/>
            <w:hideMark/>
          </w:tcPr>
          <w:p w14:paraId="2098A1B0" w14:textId="77777777" w:rsidR="00A774D3" w:rsidRPr="00A774D3" w:rsidRDefault="00A774D3">
            <w:pPr>
              <w:rPr>
                <w:rFonts w:asciiTheme="majorHAnsi" w:hAnsiTheme="majorHAnsi" w:cs="Arial"/>
                <w:b/>
                <w:bCs/>
                <w:sz w:val="16"/>
                <w:szCs w:val="16"/>
              </w:rPr>
            </w:pPr>
            <w:r w:rsidRPr="00A774D3">
              <w:rPr>
                <w:rFonts w:asciiTheme="majorHAnsi" w:hAnsiTheme="majorHAnsi" w:cs="Arial"/>
                <w:b/>
                <w:bCs/>
                <w:sz w:val="16"/>
                <w:szCs w:val="16"/>
              </w:rPr>
              <w:t> </w:t>
            </w:r>
          </w:p>
        </w:tc>
        <w:tc>
          <w:tcPr>
            <w:tcW w:w="800" w:type="pct"/>
            <w:tcBorders>
              <w:top w:val="nil"/>
              <w:left w:val="nil"/>
              <w:bottom w:val="nil"/>
              <w:right w:val="nil"/>
            </w:tcBorders>
            <w:shd w:val="clear" w:color="000000" w:fill="FFFFFF"/>
            <w:noWrap/>
            <w:vAlign w:val="bottom"/>
            <w:hideMark/>
          </w:tcPr>
          <w:p w14:paraId="1A7FB282" w14:textId="77777777" w:rsidR="00A774D3" w:rsidRPr="00A774D3" w:rsidRDefault="00A774D3" w:rsidP="00A774D3">
            <w:pPr>
              <w:jc w:val="right"/>
              <w:rPr>
                <w:rFonts w:asciiTheme="majorHAnsi" w:hAnsiTheme="majorHAnsi" w:cs="Arial"/>
                <w:b/>
                <w:bCs/>
                <w:sz w:val="16"/>
                <w:szCs w:val="16"/>
              </w:rPr>
            </w:pPr>
            <w:r w:rsidRPr="00A774D3">
              <w:rPr>
                <w:rFonts w:asciiTheme="majorHAnsi" w:hAnsiTheme="majorHAnsi" w:cs="Arial"/>
                <w:b/>
                <w:bCs/>
                <w:sz w:val="16"/>
                <w:szCs w:val="16"/>
              </w:rPr>
              <w:t> </w:t>
            </w:r>
          </w:p>
        </w:tc>
        <w:tc>
          <w:tcPr>
            <w:tcW w:w="976" w:type="pct"/>
            <w:tcBorders>
              <w:top w:val="nil"/>
              <w:left w:val="nil"/>
              <w:bottom w:val="nil"/>
              <w:right w:val="nil"/>
            </w:tcBorders>
            <w:shd w:val="clear" w:color="auto" w:fill="auto"/>
            <w:noWrap/>
            <w:vAlign w:val="bottom"/>
            <w:hideMark/>
          </w:tcPr>
          <w:p w14:paraId="2FEFE956" w14:textId="77777777" w:rsidR="00A774D3" w:rsidRPr="00A774D3" w:rsidRDefault="00A774D3" w:rsidP="00A774D3">
            <w:pPr>
              <w:jc w:val="right"/>
              <w:rPr>
                <w:rFonts w:asciiTheme="majorHAnsi" w:hAnsiTheme="majorHAnsi" w:cs="Arial"/>
                <w:b/>
                <w:bCs/>
                <w:sz w:val="16"/>
                <w:szCs w:val="16"/>
              </w:rPr>
            </w:pPr>
          </w:p>
        </w:tc>
      </w:tr>
      <w:tr w:rsidR="00A774D3" w:rsidRPr="00A774D3" w14:paraId="2891C8E0" w14:textId="77777777" w:rsidTr="00A774D3">
        <w:trPr>
          <w:trHeight w:hRule="exact" w:val="227"/>
        </w:trPr>
        <w:tc>
          <w:tcPr>
            <w:tcW w:w="3224" w:type="pct"/>
            <w:tcBorders>
              <w:top w:val="nil"/>
              <w:left w:val="nil"/>
              <w:bottom w:val="nil"/>
              <w:right w:val="nil"/>
            </w:tcBorders>
            <w:shd w:val="clear" w:color="000000" w:fill="FFFFFF"/>
            <w:noWrap/>
            <w:vAlign w:val="bottom"/>
            <w:hideMark/>
          </w:tcPr>
          <w:p w14:paraId="5F7E69ED" w14:textId="77777777" w:rsidR="00A774D3" w:rsidRPr="00A774D3" w:rsidRDefault="00A774D3">
            <w:pPr>
              <w:rPr>
                <w:rFonts w:asciiTheme="majorHAnsi" w:hAnsiTheme="majorHAnsi" w:cs="Arial"/>
                <w:b/>
                <w:bCs/>
                <w:sz w:val="16"/>
                <w:szCs w:val="16"/>
              </w:rPr>
            </w:pPr>
            <w:r w:rsidRPr="00A774D3">
              <w:rPr>
                <w:rFonts w:asciiTheme="majorHAnsi" w:hAnsiTheme="majorHAnsi" w:cs="Arial"/>
                <w:b/>
                <w:bCs/>
                <w:sz w:val="16"/>
                <w:szCs w:val="16"/>
              </w:rPr>
              <w:t xml:space="preserve"> Aumento ou Redução nos Ativos e Passivos Operacionais </w:t>
            </w:r>
          </w:p>
        </w:tc>
        <w:tc>
          <w:tcPr>
            <w:tcW w:w="800" w:type="pct"/>
            <w:tcBorders>
              <w:top w:val="nil"/>
              <w:left w:val="nil"/>
              <w:bottom w:val="nil"/>
              <w:right w:val="nil"/>
            </w:tcBorders>
            <w:shd w:val="clear" w:color="000000" w:fill="FFFFFF"/>
            <w:noWrap/>
            <w:vAlign w:val="bottom"/>
            <w:hideMark/>
          </w:tcPr>
          <w:p w14:paraId="0FB2A422" w14:textId="77777777" w:rsidR="00A774D3" w:rsidRPr="00A774D3" w:rsidRDefault="00A774D3" w:rsidP="00A774D3">
            <w:pPr>
              <w:jc w:val="right"/>
              <w:rPr>
                <w:rFonts w:asciiTheme="majorHAnsi" w:hAnsiTheme="majorHAnsi" w:cs="Arial"/>
                <w:b/>
                <w:bCs/>
                <w:sz w:val="16"/>
                <w:szCs w:val="16"/>
              </w:rPr>
            </w:pPr>
            <w:r w:rsidRPr="00A774D3">
              <w:rPr>
                <w:rFonts w:asciiTheme="majorHAnsi" w:hAnsiTheme="majorHAnsi" w:cs="Arial"/>
                <w:b/>
                <w:bCs/>
                <w:sz w:val="16"/>
                <w:szCs w:val="16"/>
              </w:rPr>
              <w:t xml:space="preserve">             19.734.565 </w:t>
            </w:r>
          </w:p>
        </w:tc>
        <w:tc>
          <w:tcPr>
            <w:tcW w:w="976" w:type="pct"/>
            <w:tcBorders>
              <w:top w:val="nil"/>
              <w:left w:val="nil"/>
              <w:bottom w:val="nil"/>
              <w:right w:val="nil"/>
            </w:tcBorders>
            <w:shd w:val="clear" w:color="000000" w:fill="FFFFFF"/>
            <w:noWrap/>
            <w:vAlign w:val="bottom"/>
            <w:hideMark/>
          </w:tcPr>
          <w:p w14:paraId="534F6991" w14:textId="77777777" w:rsidR="00A774D3" w:rsidRPr="00A774D3" w:rsidRDefault="00A774D3" w:rsidP="00A774D3">
            <w:pPr>
              <w:jc w:val="right"/>
              <w:rPr>
                <w:rFonts w:asciiTheme="majorHAnsi" w:hAnsiTheme="majorHAnsi" w:cs="Arial"/>
                <w:b/>
                <w:bCs/>
                <w:sz w:val="16"/>
                <w:szCs w:val="16"/>
              </w:rPr>
            </w:pPr>
            <w:r w:rsidRPr="00A774D3">
              <w:rPr>
                <w:rFonts w:asciiTheme="majorHAnsi" w:hAnsiTheme="majorHAnsi" w:cs="Arial"/>
                <w:b/>
                <w:bCs/>
                <w:sz w:val="16"/>
                <w:szCs w:val="16"/>
              </w:rPr>
              <w:t xml:space="preserve">                       (779.283)</w:t>
            </w:r>
          </w:p>
        </w:tc>
      </w:tr>
      <w:tr w:rsidR="00A774D3" w:rsidRPr="00A774D3" w14:paraId="024315DA" w14:textId="77777777" w:rsidTr="00A774D3">
        <w:trPr>
          <w:trHeight w:hRule="exact" w:val="227"/>
        </w:trPr>
        <w:tc>
          <w:tcPr>
            <w:tcW w:w="3224" w:type="pct"/>
            <w:tcBorders>
              <w:top w:val="nil"/>
              <w:left w:val="nil"/>
              <w:bottom w:val="nil"/>
              <w:right w:val="nil"/>
            </w:tcBorders>
            <w:shd w:val="clear" w:color="000000" w:fill="FFFFFF"/>
            <w:noWrap/>
            <w:vAlign w:val="bottom"/>
            <w:hideMark/>
          </w:tcPr>
          <w:p w14:paraId="7BD4141C"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xml:space="preserve">        Redução (Aumento) de Direitos Realizáveis Curto Prazo </w:t>
            </w:r>
          </w:p>
        </w:tc>
        <w:tc>
          <w:tcPr>
            <w:tcW w:w="800" w:type="pct"/>
            <w:tcBorders>
              <w:top w:val="nil"/>
              <w:left w:val="nil"/>
              <w:bottom w:val="nil"/>
              <w:right w:val="nil"/>
            </w:tcBorders>
            <w:shd w:val="clear" w:color="000000" w:fill="FFFFFF"/>
            <w:noWrap/>
            <w:vAlign w:val="bottom"/>
            <w:hideMark/>
          </w:tcPr>
          <w:p w14:paraId="1214751B" w14:textId="77777777" w:rsidR="00A774D3" w:rsidRPr="00A774D3" w:rsidRDefault="00A774D3" w:rsidP="00A774D3">
            <w:pPr>
              <w:jc w:val="right"/>
              <w:rPr>
                <w:rFonts w:asciiTheme="majorHAnsi" w:hAnsiTheme="majorHAnsi" w:cs="Arial"/>
                <w:sz w:val="16"/>
                <w:szCs w:val="16"/>
              </w:rPr>
            </w:pPr>
            <w:r w:rsidRPr="00A774D3">
              <w:rPr>
                <w:rFonts w:asciiTheme="majorHAnsi" w:hAnsiTheme="majorHAnsi" w:cs="Arial"/>
                <w:sz w:val="16"/>
                <w:szCs w:val="16"/>
              </w:rPr>
              <w:t xml:space="preserve">          (10.262.250)</w:t>
            </w:r>
          </w:p>
        </w:tc>
        <w:tc>
          <w:tcPr>
            <w:tcW w:w="976" w:type="pct"/>
            <w:tcBorders>
              <w:top w:val="nil"/>
              <w:left w:val="nil"/>
              <w:bottom w:val="nil"/>
              <w:right w:val="nil"/>
            </w:tcBorders>
            <w:shd w:val="clear" w:color="000000" w:fill="FFFFFF"/>
            <w:noWrap/>
            <w:vAlign w:val="bottom"/>
            <w:hideMark/>
          </w:tcPr>
          <w:p w14:paraId="35DD34E5" w14:textId="77777777" w:rsidR="00A774D3" w:rsidRPr="00A774D3" w:rsidRDefault="00A774D3" w:rsidP="00A774D3">
            <w:pPr>
              <w:jc w:val="right"/>
              <w:rPr>
                <w:rFonts w:asciiTheme="majorHAnsi" w:hAnsiTheme="majorHAnsi" w:cs="Arial"/>
                <w:sz w:val="16"/>
                <w:szCs w:val="16"/>
              </w:rPr>
            </w:pPr>
            <w:r w:rsidRPr="00A774D3">
              <w:rPr>
                <w:rFonts w:asciiTheme="majorHAnsi" w:hAnsiTheme="majorHAnsi" w:cs="Arial"/>
                <w:sz w:val="16"/>
                <w:szCs w:val="16"/>
              </w:rPr>
              <w:t xml:space="preserve">                    (3.026.008)</w:t>
            </w:r>
          </w:p>
        </w:tc>
      </w:tr>
      <w:tr w:rsidR="00A774D3" w:rsidRPr="00A774D3" w14:paraId="77BED31A" w14:textId="77777777" w:rsidTr="00A774D3">
        <w:trPr>
          <w:trHeight w:hRule="exact" w:val="227"/>
        </w:trPr>
        <w:tc>
          <w:tcPr>
            <w:tcW w:w="3224" w:type="pct"/>
            <w:tcBorders>
              <w:top w:val="nil"/>
              <w:left w:val="nil"/>
              <w:bottom w:val="nil"/>
              <w:right w:val="nil"/>
            </w:tcBorders>
            <w:shd w:val="clear" w:color="000000" w:fill="FFFFFF"/>
            <w:noWrap/>
            <w:vAlign w:val="bottom"/>
            <w:hideMark/>
          </w:tcPr>
          <w:p w14:paraId="62AA0BCF"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xml:space="preserve">        Redução (Aumento) de Direitos Realizáveis a Longo Prazo </w:t>
            </w:r>
          </w:p>
        </w:tc>
        <w:tc>
          <w:tcPr>
            <w:tcW w:w="800" w:type="pct"/>
            <w:tcBorders>
              <w:top w:val="nil"/>
              <w:left w:val="nil"/>
              <w:bottom w:val="nil"/>
              <w:right w:val="nil"/>
            </w:tcBorders>
            <w:shd w:val="clear" w:color="000000" w:fill="FFFFFF"/>
            <w:noWrap/>
            <w:vAlign w:val="bottom"/>
            <w:hideMark/>
          </w:tcPr>
          <w:p w14:paraId="3093E636" w14:textId="77777777" w:rsidR="00A774D3" w:rsidRPr="00A774D3" w:rsidRDefault="00A774D3" w:rsidP="00A774D3">
            <w:pPr>
              <w:jc w:val="right"/>
              <w:rPr>
                <w:rFonts w:asciiTheme="majorHAnsi" w:hAnsiTheme="majorHAnsi" w:cs="Arial"/>
                <w:sz w:val="16"/>
                <w:szCs w:val="16"/>
              </w:rPr>
            </w:pPr>
            <w:r w:rsidRPr="00A774D3">
              <w:rPr>
                <w:rFonts w:asciiTheme="majorHAnsi" w:hAnsiTheme="majorHAnsi" w:cs="Arial"/>
                <w:sz w:val="16"/>
                <w:szCs w:val="16"/>
              </w:rPr>
              <w:t xml:space="preserve">          (10.931.601)</w:t>
            </w:r>
          </w:p>
        </w:tc>
        <w:tc>
          <w:tcPr>
            <w:tcW w:w="976" w:type="pct"/>
            <w:tcBorders>
              <w:top w:val="nil"/>
              <w:left w:val="nil"/>
              <w:bottom w:val="nil"/>
              <w:right w:val="nil"/>
            </w:tcBorders>
            <w:shd w:val="clear" w:color="000000" w:fill="FFFFFF"/>
            <w:noWrap/>
            <w:vAlign w:val="bottom"/>
            <w:hideMark/>
          </w:tcPr>
          <w:p w14:paraId="34F36036" w14:textId="77777777" w:rsidR="00A774D3" w:rsidRPr="00A774D3" w:rsidRDefault="00A774D3" w:rsidP="00A774D3">
            <w:pPr>
              <w:jc w:val="right"/>
              <w:rPr>
                <w:rFonts w:asciiTheme="majorHAnsi" w:hAnsiTheme="majorHAnsi" w:cs="Arial"/>
                <w:sz w:val="16"/>
                <w:szCs w:val="16"/>
              </w:rPr>
            </w:pPr>
            <w:r w:rsidRPr="00A774D3">
              <w:rPr>
                <w:rFonts w:asciiTheme="majorHAnsi" w:hAnsiTheme="majorHAnsi" w:cs="Arial"/>
                <w:sz w:val="16"/>
                <w:szCs w:val="16"/>
              </w:rPr>
              <w:t xml:space="preserve">                          980.259 </w:t>
            </w:r>
          </w:p>
        </w:tc>
      </w:tr>
      <w:tr w:rsidR="00A774D3" w:rsidRPr="00A774D3" w14:paraId="1C58C435" w14:textId="77777777" w:rsidTr="00A774D3">
        <w:trPr>
          <w:trHeight w:hRule="exact" w:val="227"/>
        </w:trPr>
        <w:tc>
          <w:tcPr>
            <w:tcW w:w="3224" w:type="pct"/>
            <w:tcBorders>
              <w:top w:val="nil"/>
              <w:left w:val="nil"/>
              <w:bottom w:val="nil"/>
              <w:right w:val="nil"/>
            </w:tcBorders>
            <w:shd w:val="clear" w:color="000000" w:fill="FFFFFF"/>
            <w:noWrap/>
            <w:vAlign w:val="bottom"/>
            <w:hideMark/>
          </w:tcPr>
          <w:p w14:paraId="6EB58454" w14:textId="77777777" w:rsidR="00A774D3" w:rsidRPr="00A774D3" w:rsidRDefault="00A774D3">
            <w:pPr>
              <w:outlineLvl w:val="0"/>
              <w:rPr>
                <w:rFonts w:asciiTheme="majorHAnsi" w:hAnsiTheme="majorHAnsi" w:cs="Arial"/>
                <w:sz w:val="16"/>
                <w:szCs w:val="16"/>
              </w:rPr>
            </w:pPr>
            <w:r w:rsidRPr="00A774D3">
              <w:rPr>
                <w:rFonts w:asciiTheme="majorHAnsi" w:hAnsiTheme="majorHAnsi" w:cs="Arial"/>
                <w:sz w:val="16"/>
                <w:szCs w:val="16"/>
              </w:rPr>
              <w:t xml:space="preserve">        Aumento (Redução) de Fornecedores  </w:t>
            </w:r>
          </w:p>
        </w:tc>
        <w:tc>
          <w:tcPr>
            <w:tcW w:w="800" w:type="pct"/>
            <w:tcBorders>
              <w:top w:val="nil"/>
              <w:left w:val="nil"/>
              <w:bottom w:val="nil"/>
              <w:right w:val="nil"/>
            </w:tcBorders>
            <w:shd w:val="clear" w:color="000000" w:fill="FFFFFF"/>
            <w:noWrap/>
            <w:vAlign w:val="bottom"/>
            <w:hideMark/>
          </w:tcPr>
          <w:p w14:paraId="44A27C55" w14:textId="77777777" w:rsidR="00A774D3" w:rsidRPr="00A774D3" w:rsidRDefault="00A774D3" w:rsidP="00A774D3">
            <w:pPr>
              <w:jc w:val="right"/>
              <w:outlineLvl w:val="0"/>
              <w:rPr>
                <w:rFonts w:asciiTheme="majorHAnsi" w:hAnsiTheme="majorHAnsi" w:cs="Arial"/>
                <w:sz w:val="16"/>
                <w:szCs w:val="16"/>
              </w:rPr>
            </w:pPr>
            <w:r w:rsidRPr="00A774D3">
              <w:rPr>
                <w:rFonts w:asciiTheme="majorHAnsi" w:hAnsiTheme="majorHAnsi" w:cs="Arial"/>
                <w:sz w:val="16"/>
                <w:szCs w:val="16"/>
              </w:rPr>
              <w:t xml:space="preserve">                              -   </w:t>
            </w:r>
          </w:p>
        </w:tc>
        <w:tc>
          <w:tcPr>
            <w:tcW w:w="976" w:type="pct"/>
            <w:tcBorders>
              <w:top w:val="nil"/>
              <w:left w:val="nil"/>
              <w:bottom w:val="nil"/>
              <w:right w:val="nil"/>
            </w:tcBorders>
            <w:shd w:val="clear" w:color="000000" w:fill="FFFFFF"/>
            <w:noWrap/>
            <w:vAlign w:val="bottom"/>
            <w:hideMark/>
          </w:tcPr>
          <w:p w14:paraId="28889F6C" w14:textId="77777777" w:rsidR="00A774D3" w:rsidRPr="00A774D3" w:rsidRDefault="00A774D3" w:rsidP="00A774D3">
            <w:pPr>
              <w:jc w:val="right"/>
              <w:outlineLvl w:val="0"/>
              <w:rPr>
                <w:rFonts w:asciiTheme="majorHAnsi" w:hAnsiTheme="majorHAnsi" w:cs="Arial"/>
                <w:sz w:val="16"/>
                <w:szCs w:val="16"/>
              </w:rPr>
            </w:pPr>
            <w:r w:rsidRPr="00A774D3">
              <w:rPr>
                <w:rFonts w:asciiTheme="majorHAnsi" w:hAnsiTheme="majorHAnsi" w:cs="Arial"/>
                <w:sz w:val="16"/>
                <w:szCs w:val="16"/>
              </w:rPr>
              <w:t xml:space="preserve">                          (27.299)</w:t>
            </w:r>
          </w:p>
        </w:tc>
      </w:tr>
      <w:tr w:rsidR="00A774D3" w:rsidRPr="00A774D3" w14:paraId="1AD63978" w14:textId="77777777" w:rsidTr="00A774D3">
        <w:trPr>
          <w:trHeight w:hRule="exact" w:val="227"/>
        </w:trPr>
        <w:tc>
          <w:tcPr>
            <w:tcW w:w="3224" w:type="pct"/>
            <w:tcBorders>
              <w:top w:val="nil"/>
              <w:left w:val="nil"/>
              <w:bottom w:val="nil"/>
              <w:right w:val="nil"/>
            </w:tcBorders>
            <w:shd w:val="clear" w:color="000000" w:fill="FFFFFF"/>
            <w:noWrap/>
            <w:vAlign w:val="bottom"/>
            <w:hideMark/>
          </w:tcPr>
          <w:p w14:paraId="146BF428"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xml:space="preserve">        Aumento (Redução) de Contas a Pagar  </w:t>
            </w:r>
          </w:p>
        </w:tc>
        <w:tc>
          <w:tcPr>
            <w:tcW w:w="800" w:type="pct"/>
            <w:tcBorders>
              <w:top w:val="nil"/>
              <w:left w:val="nil"/>
              <w:bottom w:val="nil"/>
              <w:right w:val="nil"/>
            </w:tcBorders>
            <w:shd w:val="clear" w:color="000000" w:fill="FFFFFF"/>
            <w:noWrap/>
            <w:vAlign w:val="bottom"/>
            <w:hideMark/>
          </w:tcPr>
          <w:p w14:paraId="0C826047" w14:textId="77777777" w:rsidR="00A774D3" w:rsidRPr="00A774D3" w:rsidRDefault="00A774D3" w:rsidP="00A774D3">
            <w:pPr>
              <w:jc w:val="right"/>
              <w:rPr>
                <w:rFonts w:asciiTheme="majorHAnsi" w:hAnsiTheme="majorHAnsi" w:cs="Arial"/>
                <w:sz w:val="16"/>
                <w:szCs w:val="16"/>
              </w:rPr>
            </w:pPr>
            <w:r w:rsidRPr="00A774D3">
              <w:rPr>
                <w:rFonts w:asciiTheme="majorHAnsi" w:hAnsiTheme="majorHAnsi" w:cs="Arial"/>
                <w:sz w:val="16"/>
                <w:szCs w:val="16"/>
              </w:rPr>
              <w:t xml:space="preserve">             40.928.416 </w:t>
            </w:r>
          </w:p>
        </w:tc>
        <w:tc>
          <w:tcPr>
            <w:tcW w:w="976" w:type="pct"/>
            <w:tcBorders>
              <w:top w:val="nil"/>
              <w:left w:val="nil"/>
              <w:bottom w:val="nil"/>
              <w:right w:val="nil"/>
            </w:tcBorders>
            <w:shd w:val="clear" w:color="000000" w:fill="FFFFFF"/>
            <w:noWrap/>
            <w:vAlign w:val="bottom"/>
            <w:hideMark/>
          </w:tcPr>
          <w:p w14:paraId="00B42AAF" w14:textId="77777777" w:rsidR="00A774D3" w:rsidRPr="00A774D3" w:rsidRDefault="00A774D3" w:rsidP="00A774D3">
            <w:pPr>
              <w:jc w:val="right"/>
              <w:rPr>
                <w:rFonts w:asciiTheme="majorHAnsi" w:hAnsiTheme="majorHAnsi" w:cs="Arial"/>
                <w:sz w:val="16"/>
                <w:szCs w:val="16"/>
              </w:rPr>
            </w:pPr>
            <w:r w:rsidRPr="00A774D3">
              <w:rPr>
                <w:rFonts w:asciiTheme="majorHAnsi" w:hAnsiTheme="majorHAnsi" w:cs="Arial"/>
                <w:sz w:val="16"/>
                <w:szCs w:val="16"/>
              </w:rPr>
              <w:t xml:space="preserve">                      1.293.765 </w:t>
            </w:r>
          </w:p>
        </w:tc>
      </w:tr>
      <w:tr w:rsidR="00A774D3" w:rsidRPr="00A774D3" w14:paraId="0ECC61DC" w14:textId="77777777" w:rsidTr="00A774D3">
        <w:trPr>
          <w:trHeight w:hRule="exact" w:val="227"/>
        </w:trPr>
        <w:tc>
          <w:tcPr>
            <w:tcW w:w="3224" w:type="pct"/>
            <w:tcBorders>
              <w:top w:val="nil"/>
              <w:left w:val="nil"/>
              <w:bottom w:val="nil"/>
              <w:right w:val="nil"/>
            </w:tcBorders>
            <w:shd w:val="clear" w:color="000000" w:fill="FFFFFF"/>
            <w:noWrap/>
            <w:vAlign w:val="bottom"/>
            <w:hideMark/>
          </w:tcPr>
          <w:p w14:paraId="2767656C" w14:textId="77777777" w:rsidR="00A774D3" w:rsidRPr="00A774D3" w:rsidRDefault="00A774D3">
            <w:pPr>
              <w:rPr>
                <w:rFonts w:asciiTheme="majorHAnsi" w:hAnsiTheme="majorHAnsi" w:cs="Arial"/>
                <w:b/>
                <w:bCs/>
                <w:sz w:val="16"/>
                <w:szCs w:val="16"/>
              </w:rPr>
            </w:pPr>
            <w:r w:rsidRPr="00A774D3">
              <w:rPr>
                <w:rFonts w:asciiTheme="majorHAnsi" w:hAnsiTheme="majorHAnsi" w:cs="Arial"/>
                <w:b/>
                <w:bCs/>
                <w:sz w:val="16"/>
                <w:szCs w:val="16"/>
              </w:rPr>
              <w:t xml:space="preserve">  = Caixa Líquido Gerado ou Consumido nas atividades operacionais </w:t>
            </w:r>
          </w:p>
        </w:tc>
        <w:tc>
          <w:tcPr>
            <w:tcW w:w="800" w:type="pct"/>
            <w:tcBorders>
              <w:top w:val="nil"/>
              <w:left w:val="nil"/>
              <w:bottom w:val="nil"/>
              <w:right w:val="nil"/>
            </w:tcBorders>
            <w:shd w:val="clear" w:color="000000" w:fill="FFFFFF"/>
            <w:noWrap/>
            <w:vAlign w:val="bottom"/>
            <w:hideMark/>
          </w:tcPr>
          <w:p w14:paraId="44AAA162" w14:textId="77777777" w:rsidR="00A774D3" w:rsidRPr="00A774D3" w:rsidRDefault="00A774D3" w:rsidP="00A774D3">
            <w:pPr>
              <w:jc w:val="right"/>
              <w:rPr>
                <w:rFonts w:asciiTheme="majorHAnsi" w:hAnsiTheme="majorHAnsi" w:cs="Arial"/>
                <w:b/>
                <w:bCs/>
                <w:sz w:val="16"/>
                <w:szCs w:val="16"/>
              </w:rPr>
            </w:pPr>
            <w:r w:rsidRPr="00A774D3">
              <w:rPr>
                <w:rFonts w:asciiTheme="majorHAnsi" w:hAnsiTheme="majorHAnsi" w:cs="Arial"/>
                <w:b/>
                <w:bCs/>
                <w:sz w:val="16"/>
                <w:szCs w:val="16"/>
              </w:rPr>
              <w:t xml:space="preserve">          (76.377.468)</w:t>
            </w:r>
          </w:p>
        </w:tc>
        <w:tc>
          <w:tcPr>
            <w:tcW w:w="976" w:type="pct"/>
            <w:tcBorders>
              <w:top w:val="nil"/>
              <w:left w:val="nil"/>
              <w:bottom w:val="nil"/>
              <w:right w:val="nil"/>
            </w:tcBorders>
            <w:shd w:val="clear" w:color="000000" w:fill="FFFFFF"/>
            <w:noWrap/>
            <w:vAlign w:val="bottom"/>
            <w:hideMark/>
          </w:tcPr>
          <w:p w14:paraId="60FE172F" w14:textId="77777777" w:rsidR="00A774D3" w:rsidRPr="00A774D3" w:rsidRDefault="00A774D3" w:rsidP="00A774D3">
            <w:pPr>
              <w:jc w:val="right"/>
              <w:rPr>
                <w:rFonts w:asciiTheme="majorHAnsi" w:hAnsiTheme="majorHAnsi" w:cs="Arial"/>
                <w:b/>
                <w:bCs/>
                <w:sz w:val="16"/>
                <w:szCs w:val="16"/>
              </w:rPr>
            </w:pPr>
            <w:r w:rsidRPr="00A774D3">
              <w:rPr>
                <w:rFonts w:asciiTheme="majorHAnsi" w:hAnsiTheme="majorHAnsi" w:cs="Arial"/>
                <w:b/>
                <w:bCs/>
                <w:sz w:val="16"/>
                <w:szCs w:val="16"/>
              </w:rPr>
              <w:t xml:space="preserve">               (100.704.393)</w:t>
            </w:r>
          </w:p>
        </w:tc>
      </w:tr>
      <w:tr w:rsidR="00A774D3" w:rsidRPr="00A774D3" w14:paraId="7FA8BCE3" w14:textId="77777777" w:rsidTr="00A774D3">
        <w:trPr>
          <w:trHeight w:hRule="exact" w:val="227"/>
        </w:trPr>
        <w:tc>
          <w:tcPr>
            <w:tcW w:w="3224" w:type="pct"/>
            <w:tcBorders>
              <w:top w:val="nil"/>
              <w:left w:val="nil"/>
              <w:bottom w:val="nil"/>
              <w:right w:val="nil"/>
            </w:tcBorders>
            <w:shd w:val="clear" w:color="000000" w:fill="FFFFFF"/>
            <w:noWrap/>
            <w:vAlign w:val="bottom"/>
            <w:hideMark/>
          </w:tcPr>
          <w:p w14:paraId="51D2EB18"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800" w:type="pct"/>
            <w:tcBorders>
              <w:top w:val="nil"/>
              <w:left w:val="nil"/>
              <w:bottom w:val="nil"/>
              <w:right w:val="nil"/>
            </w:tcBorders>
            <w:shd w:val="clear" w:color="000000" w:fill="FFFFFF"/>
            <w:noWrap/>
            <w:vAlign w:val="bottom"/>
            <w:hideMark/>
          </w:tcPr>
          <w:p w14:paraId="2391DE13"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976" w:type="pct"/>
            <w:tcBorders>
              <w:top w:val="nil"/>
              <w:left w:val="nil"/>
              <w:bottom w:val="nil"/>
              <w:right w:val="nil"/>
            </w:tcBorders>
            <w:shd w:val="clear" w:color="000000" w:fill="FFFFFF"/>
            <w:noWrap/>
            <w:vAlign w:val="bottom"/>
            <w:hideMark/>
          </w:tcPr>
          <w:p w14:paraId="2E013706"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r>
      <w:tr w:rsidR="00A774D3" w:rsidRPr="00A774D3" w14:paraId="2B6F72E6" w14:textId="77777777" w:rsidTr="00A774D3">
        <w:trPr>
          <w:trHeight w:hRule="exact" w:val="227"/>
        </w:trPr>
        <w:tc>
          <w:tcPr>
            <w:tcW w:w="3224" w:type="pct"/>
            <w:tcBorders>
              <w:top w:val="nil"/>
              <w:left w:val="nil"/>
              <w:bottom w:val="nil"/>
              <w:right w:val="nil"/>
            </w:tcBorders>
            <w:shd w:val="clear" w:color="000000" w:fill="FFFFFF"/>
            <w:noWrap/>
            <w:vAlign w:val="bottom"/>
            <w:hideMark/>
          </w:tcPr>
          <w:p w14:paraId="07635D42"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800" w:type="pct"/>
            <w:tcBorders>
              <w:top w:val="nil"/>
              <w:left w:val="nil"/>
              <w:bottom w:val="nil"/>
              <w:right w:val="nil"/>
            </w:tcBorders>
            <w:shd w:val="clear" w:color="000000" w:fill="FFFFFF"/>
            <w:noWrap/>
            <w:vAlign w:val="bottom"/>
            <w:hideMark/>
          </w:tcPr>
          <w:p w14:paraId="09FD6C25"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976" w:type="pct"/>
            <w:tcBorders>
              <w:top w:val="nil"/>
              <w:left w:val="nil"/>
              <w:bottom w:val="nil"/>
              <w:right w:val="nil"/>
            </w:tcBorders>
            <w:shd w:val="clear" w:color="000000" w:fill="FFFFFF"/>
            <w:noWrap/>
            <w:vAlign w:val="bottom"/>
            <w:hideMark/>
          </w:tcPr>
          <w:p w14:paraId="5A2A7FA3"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r>
      <w:tr w:rsidR="00A774D3" w:rsidRPr="00A774D3" w14:paraId="6C81F6F6" w14:textId="77777777" w:rsidTr="00A774D3">
        <w:trPr>
          <w:trHeight w:hRule="exact" w:val="227"/>
        </w:trPr>
        <w:tc>
          <w:tcPr>
            <w:tcW w:w="5000" w:type="pct"/>
            <w:gridSpan w:val="3"/>
            <w:tcBorders>
              <w:top w:val="nil"/>
              <w:left w:val="nil"/>
              <w:bottom w:val="nil"/>
              <w:right w:val="nil"/>
            </w:tcBorders>
            <w:shd w:val="clear" w:color="000000" w:fill="FFFFFF"/>
            <w:noWrap/>
            <w:vAlign w:val="bottom"/>
            <w:hideMark/>
          </w:tcPr>
          <w:p w14:paraId="6D979D7F" w14:textId="77777777" w:rsidR="00A774D3" w:rsidRPr="00A774D3" w:rsidRDefault="00A774D3">
            <w:pPr>
              <w:jc w:val="center"/>
              <w:rPr>
                <w:rFonts w:asciiTheme="majorHAnsi" w:hAnsiTheme="majorHAnsi" w:cs="Arial"/>
                <w:b/>
                <w:bCs/>
                <w:sz w:val="16"/>
                <w:szCs w:val="16"/>
              </w:rPr>
            </w:pPr>
            <w:r w:rsidRPr="00A774D3">
              <w:rPr>
                <w:rFonts w:asciiTheme="majorHAnsi" w:hAnsiTheme="majorHAnsi" w:cs="Arial"/>
                <w:b/>
                <w:bCs/>
                <w:sz w:val="16"/>
                <w:szCs w:val="16"/>
              </w:rPr>
              <w:t xml:space="preserve"> FLUXOS DE CAIXA DAS ATIVIDADES DE INVESTIMENTOS </w:t>
            </w:r>
          </w:p>
        </w:tc>
      </w:tr>
      <w:tr w:rsidR="00A774D3" w:rsidRPr="00A774D3" w14:paraId="5E490FEE" w14:textId="77777777" w:rsidTr="00A774D3">
        <w:trPr>
          <w:trHeight w:hRule="exact" w:val="227"/>
        </w:trPr>
        <w:tc>
          <w:tcPr>
            <w:tcW w:w="3224" w:type="pct"/>
            <w:tcBorders>
              <w:top w:val="nil"/>
              <w:left w:val="nil"/>
              <w:bottom w:val="nil"/>
              <w:right w:val="nil"/>
            </w:tcBorders>
            <w:shd w:val="clear" w:color="000000" w:fill="FFFFFF"/>
            <w:noWrap/>
            <w:vAlign w:val="bottom"/>
            <w:hideMark/>
          </w:tcPr>
          <w:p w14:paraId="50EC35E0" w14:textId="77777777" w:rsidR="00A774D3" w:rsidRPr="00A774D3" w:rsidRDefault="00A774D3">
            <w:pPr>
              <w:jc w:val="center"/>
              <w:rPr>
                <w:rFonts w:asciiTheme="majorHAnsi" w:hAnsiTheme="majorHAnsi" w:cs="Arial"/>
                <w:b/>
                <w:bCs/>
                <w:sz w:val="16"/>
                <w:szCs w:val="16"/>
              </w:rPr>
            </w:pPr>
            <w:r w:rsidRPr="00A774D3">
              <w:rPr>
                <w:rFonts w:asciiTheme="majorHAnsi" w:hAnsiTheme="majorHAnsi" w:cs="Arial"/>
                <w:b/>
                <w:bCs/>
                <w:sz w:val="16"/>
                <w:szCs w:val="16"/>
              </w:rPr>
              <w:t> </w:t>
            </w:r>
          </w:p>
        </w:tc>
        <w:tc>
          <w:tcPr>
            <w:tcW w:w="800" w:type="pct"/>
            <w:tcBorders>
              <w:top w:val="nil"/>
              <w:left w:val="nil"/>
              <w:bottom w:val="nil"/>
              <w:right w:val="nil"/>
            </w:tcBorders>
            <w:shd w:val="clear" w:color="000000" w:fill="FFFFFF"/>
            <w:noWrap/>
            <w:vAlign w:val="bottom"/>
            <w:hideMark/>
          </w:tcPr>
          <w:p w14:paraId="10DBAB9E"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976" w:type="pct"/>
            <w:tcBorders>
              <w:top w:val="nil"/>
              <w:left w:val="nil"/>
              <w:bottom w:val="nil"/>
              <w:right w:val="nil"/>
            </w:tcBorders>
            <w:shd w:val="clear" w:color="000000" w:fill="FFFFFF"/>
            <w:noWrap/>
            <w:vAlign w:val="bottom"/>
            <w:hideMark/>
          </w:tcPr>
          <w:p w14:paraId="56538CB0" w14:textId="77777777" w:rsidR="00A774D3" w:rsidRPr="00A774D3" w:rsidRDefault="00A774D3">
            <w:pPr>
              <w:jc w:val="center"/>
              <w:rPr>
                <w:rFonts w:asciiTheme="majorHAnsi" w:hAnsiTheme="majorHAnsi" w:cs="Arial"/>
                <w:b/>
                <w:bCs/>
                <w:sz w:val="16"/>
                <w:szCs w:val="16"/>
              </w:rPr>
            </w:pPr>
            <w:r w:rsidRPr="00A774D3">
              <w:rPr>
                <w:rFonts w:asciiTheme="majorHAnsi" w:hAnsiTheme="majorHAnsi" w:cs="Arial"/>
                <w:b/>
                <w:bCs/>
                <w:sz w:val="16"/>
                <w:szCs w:val="16"/>
              </w:rPr>
              <w:t> </w:t>
            </w:r>
          </w:p>
        </w:tc>
      </w:tr>
      <w:tr w:rsidR="00A774D3" w:rsidRPr="00A774D3" w14:paraId="41208862" w14:textId="77777777" w:rsidTr="00A774D3">
        <w:trPr>
          <w:trHeight w:hRule="exact" w:val="227"/>
        </w:trPr>
        <w:tc>
          <w:tcPr>
            <w:tcW w:w="3224" w:type="pct"/>
            <w:tcBorders>
              <w:top w:val="nil"/>
              <w:left w:val="nil"/>
              <w:bottom w:val="nil"/>
              <w:right w:val="nil"/>
            </w:tcBorders>
            <w:shd w:val="clear" w:color="000000" w:fill="FFFFFF"/>
            <w:noWrap/>
            <w:vAlign w:val="bottom"/>
            <w:hideMark/>
          </w:tcPr>
          <w:p w14:paraId="33F50F0E" w14:textId="77777777" w:rsidR="00A774D3" w:rsidRPr="00A774D3" w:rsidRDefault="00A774D3">
            <w:pPr>
              <w:outlineLvl w:val="0"/>
              <w:rPr>
                <w:rFonts w:asciiTheme="majorHAnsi" w:hAnsiTheme="majorHAnsi" w:cs="Arial"/>
                <w:sz w:val="16"/>
                <w:szCs w:val="16"/>
              </w:rPr>
            </w:pPr>
            <w:r w:rsidRPr="00A774D3">
              <w:rPr>
                <w:rFonts w:asciiTheme="majorHAnsi" w:hAnsiTheme="majorHAnsi" w:cs="Arial"/>
                <w:sz w:val="16"/>
                <w:szCs w:val="16"/>
              </w:rPr>
              <w:t xml:space="preserve"> Aquisição de Imobilizado/Intangível </w:t>
            </w:r>
          </w:p>
        </w:tc>
        <w:tc>
          <w:tcPr>
            <w:tcW w:w="800" w:type="pct"/>
            <w:tcBorders>
              <w:top w:val="nil"/>
              <w:left w:val="nil"/>
              <w:bottom w:val="nil"/>
              <w:right w:val="nil"/>
            </w:tcBorders>
            <w:shd w:val="clear" w:color="000000" w:fill="FFFFFF"/>
            <w:noWrap/>
            <w:vAlign w:val="bottom"/>
            <w:hideMark/>
          </w:tcPr>
          <w:p w14:paraId="5B4F4DA6" w14:textId="77777777" w:rsidR="00A774D3" w:rsidRPr="00A774D3" w:rsidRDefault="00A774D3" w:rsidP="00A774D3">
            <w:pPr>
              <w:jc w:val="right"/>
              <w:outlineLvl w:val="0"/>
              <w:rPr>
                <w:rFonts w:asciiTheme="majorHAnsi" w:hAnsiTheme="majorHAnsi" w:cs="Arial"/>
                <w:sz w:val="16"/>
                <w:szCs w:val="16"/>
              </w:rPr>
            </w:pPr>
            <w:r w:rsidRPr="00A774D3">
              <w:rPr>
                <w:rFonts w:asciiTheme="majorHAnsi" w:hAnsiTheme="majorHAnsi" w:cs="Arial"/>
                <w:sz w:val="16"/>
                <w:szCs w:val="16"/>
              </w:rPr>
              <w:t xml:space="preserve">        (268.804.402)</w:t>
            </w:r>
          </w:p>
        </w:tc>
        <w:tc>
          <w:tcPr>
            <w:tcW w:w="976" w:type="pct"/>
            <w:tcBorders>
              <w:top w:val="nil"/>
              <w:left w:val="nil"/>
              <w:bottom w:val="nil"/>
              <w:right w:val="nil"/>
            </w:tcBorders>
            <w:shd w:val="clear" w:color="000000" w:fill="FFFFFF"/>
            <w:noWrap/>
            <w:vAlign w:val="bottom"/>
            <w:hideMark/>
          </w:tcPr>
          <w:p w14:paraId="0C62B0AD" w14:textId="77777777" w:rsidR="00A774D3" w:rsidRPr="00A774D3" w:rsidRDefault="00A774D3" w:rsidP="00A774D3">
            <w:pPr>
              <w:jc w:val="right"/>
              <w:outlineLvl w:val="0"/>
              <w:rPr>
                <w:rFonts w:asciiTheme="majorHAnsi" w:hAnsiTheme="majorHAnsi" w:cs="Arial"/>
                <w:sz w:val="16"/>
                <w:szCs w:val="16"/>
              </w:rPr>
            </w:pPr>
            <w:r w:rsidRPr="00A774D3">
              <w:rPr>
                <w:rFonts w:asciiTheme="majorHAnsi" w:hAnsiTheme="majorHAnsi" w:cs="Arial"/>
                <w:sz w:val="16"/>
                <w:szCs w:val="16"/>
              </w:rPr>
              <w:t xml:space="preserve">               (234.974.995)</w:t>
            </w:r>
          </w:p>
        </w:tc>
      </w:tr>
      <w:tr w:rsidR="00A774D3" w:rsidRPr="00A774D3" w14:paraId="23425A59" w14:textId="77777777" w:rsidTr="00A774D3">
        <w:trPr>
          <w:trHeight w:hRule="exact" w:val="227"/>
        </w:trPr>
        <w:tc>
          <w:tcPr>
            <w:tcW w:w="3224" w:type="pct"/>
            <w:tcBorders>
              <w:top w:val="nil"/>
              <w:left w:val="nil"/>
              <w:bottom w:val="nil"/>
              <w:right w:val="nil"/>
            </w:tcBorders>
            <w:shd w:val="clear" w:color="000000" w:fill="FFFFFF"/>
            <w:noWrap/>
            <w:vAlign w:val="bottom"/>
            <w:hideMark/>
          </w:tcPr>
          <w:p w14:paraId="181CDF89"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xml:space="preserve"> Aumento (Redução) de passivo do Imobilizado/Intangível </w:t>
            </w:r>
          </w:p>
        </w:tc>
        <w:tc>
          <w:tcPr>
            <w:tcW w:w="800" w:type="pct"/>
            <w:tcBorders>
              <w:top w:val="nil"/>
              <w:left w:val="nil"/>
              <w:bottom w:val="nil"/>
              <w:right w:val="nil"/>
            </w:tcBorders>
            <w:shd w:val="clear" w:color="000000" w:fill="FFFFFF"/>
            <w:noWrap/>
            <w:vAlign w:val="bottom"/>
            <w:hideMark/>
          </w:tcPr>
          <w:p w14:paraId="26B84CA2" w14:textId="77777777" w:rsidR="00A774D3" w:rsidRPr="00A774D3" w:rsidRDefault="00A774D3" w:rsidP="00A774D3">
            <w:pPr>
              <w:jc w:val="right"/>
              <w:rPr>
                <w:rFonts w:asciiTheme="majorHAnsi" w:hAnsiTheme="majorHAnsi" w:cs="Arial"/>
                <w:sz w:val="16"/>
                <w:szCs w:val="16"/>
              </w:rPr>
            </w:pPr>
            <w:r w:rsidRPr="00A774D3">
              <w:rPr>
                <w:rFonts w:asciiTheme="majorHAnsi" w:hAnsiTheme="majorHAnsi" w:cs="Arial"/>
                <w:sz w:val="16"/>
                <w:szCs w:val="16"/>
              </w:rPr>
              <w:t xml:space="preserve">               1.495.252 </w:t>
            </w:r>
          </w:p>
        </w:tc>
        <w:tc>
          <w:tcPr>
            <w:tcW w:w="976" w:type="pct"/>
            <w:tcBorders>
              <w:top w:val="nil"/>
              <w:left w:val="nil"/>
              <w:bottom w:val="nil"/>
              <w:right w:val="nil"/>
            </w:tcBorders>
            <w:shd w:val="clear" w:color="000000" w:fill="FFFFFF"/>
            <w:noWrap/>
            <w:vAlign w:val="bottom"/>
            <w:hideMark/>
          </w:tcPr>
          <w:p w14:paraId="0760AFBB" w14:textId="77777777" w:rsidR="00A774D3" w:rsidRPr="00A774D3" w:rsidRDefault="00A774D3" w:rsidP="00A774D3">
            <w:pPr>
              <w:jc w:val="right"/>
              <w:rPr>
                <w:rFonts w:asciiTheme="majorHAnsi" w:hAnsiTheme="majorHAnsi" w:cs="Arial"/>
                <w:sz w:val="16"/>
                <w:szCs w:val="16"/>
              </w:rPr>
            </w:pPr>
            <w:r w:rsidRPr="00A774D3">
              <w:rPr>
                <w:rFonts w:asciiTheme="majorHAnsi" w:hAnsiTheme="majorHAnsi" w:cs="Arial"/>
                <w:sz w:val="16"/>
                <w:szCs w:val="16"/>
              </w:rPr>
              <w:t xml:space="preserve">                          120.313 </w:t>
            </w:r>
          </w:p>
        </w:tc>
      </w:tr>
      <w:tr w:rsidR="00A774D3" w:rsidRPr="00A774D3" w14:paraId="00AF6A0F" w14:textId="77777777" w:rsidTr="00A774D3">
        <w:trPr>
          <w:trHeight w:hRule="exact" w:val="227"/>
        </w:trPr>
        <w:tc>
          <w:tcPr>
            <w:tcW w:w="3224" w:type="pct"/>
            <w:tcBorders>
              <w:top w:val="nil"/>
              <w:left w:val="nil"/>
              <w:bottom w:val="nil"/>
              <w:right w:val="nil"/>
            </w:tcBorders>
            <w:shd w:val="clear" w:color="000000" w:fill="FFFFFF"/>
            <w:noWrap/>
            <w:vAlign w:val="bottom"/>
            <w:hideMark/>
          </w:tcPr>
          <w:p w14:paraId="4390D1C3" w14:textId="77777777" w:rsidR="00A774D3" w:rsidRPr="00A774D3" w:rsidRDefault="00A774D3">
            <w:pPr>
              <w:rPr>
                <w:rFonts w:asciiTheme="majorHAnsi" w:hAnsiTheme="majorHAnsi" w:cs="Arial"/>
                <w:b/>
                <w:bCs/>
                <w:sz w:val="16"/>
                <w:szCs w:val="16"/>
              </w:rPr>
            </w:pPr>
            <w:r w:rsidRPr="00A774D3">
              <w:rPr>
                <w:rFonts w:asciiTheme="majorHAnsi" w:hAnsiTheme="majorHAnsi" w:cs="Arial"/>
                <w:b/>
                <w:bCs/>
                <w:sz w:val="16"/>
                <w:szCs w:val="16"/>
              </w:rPr>
              <w:t xml:space="preserve"> = Disponib.liquidas geradas (aplicadas) nas atividades de investimentos </w:t>
            </w:r>
          </w:p>
        </w:tc>
        <w:tc>
          <w:tcPr>
            <w:tcW w:w="800" w:type="pct"/>
            <w:tcBorders>
              <w:top w:val="nil"/>
              <w:left w:val="nil"/>
              <w:bottom w:val="nil"/>
              <w:right w:val="nil"/>
            </w:tcBorders>
            <w:shd w:val="clear" w:color="000000" w:fill="FFFFFF"/>
            <w:noWrap/>
            <w:vAlign w:val="bottom"/>
            <w:hideMark/>
          </w:tcPr>
          <w:p w14:paraId="25CBFFFB" w14:textId="77777777" w:rsidR="00A774D3" w:rsidRPr="00A774D3" w:rsidRDefault="00A774D3" w:rsidP="00A774D3">
            <w:pPr>
              <w:jc w:val="right"/>
              <w:rPr>
                <w:rFonts w:asciiTheme="majorHAnsi" w:hAnsiTheme="majorHAnsi" w:cs="Arial"/>
                <w:b/>
                <w:bCs/>
                <w:sz w:val="16"/>
                <w:szCs w:val="16"/>
              </w:rPr>
            </w:pPr>
            <w:r w:rsidRPr="00A774D3">
              <w:rPr>
                <w:rFonts w:asciiTheme="majorHAnsi" w:hAnsiTheme="majorHAnsi" w:cs="Arial"/>
                <w:b/>
                <w:bCs/>
                <w:sz w:val="16"/>
                <w:szCs w:val="16"/>
              </w:rPr>
              <w:t xml:space="preserve">        (267.309.150)</w:t>
            </w:r>
          </w:p>
        </w:tc>
        <w:tc>
          <w:tcPr>
            <w:tcW w:w="976" w:type="pct"/>
            <w:tcBorders>
              <w:top w:val="nil"/>
              <w:left w:val="nil"/>
              <w:bottom w:val="nil"/>
              <w:right w:val="nil"/>
            </w:tcBorders>
            <w:shd w:val="clear" w:color="000000" w:fill="FFFFFF"/>
            <w:noWrap/>
            <w:vAlign w:val="bottom"/>
            <w:hideMark/>
          </w:tcPr>
          <w:p w14:paraId="1E28075E" w14:textId="77777777" w:rsidR="00A774D3" w:rsidRPr="00A774D3" w:rsidRDefault="00A774D3" w:rsidP="00A774D3">
            <w:pPr>
              <w:jc w:val="right"/>
              <w:rPr>
                <w:rFonts w:asciiTheme="majorHAnsi" w:hAnsiTheme="majorHAnsi" w:cs="Arial"/>
                <w:b/>
                <w:bCs/>
                <w:sz w:val="16"/>
                <w:szCs w:val="16"/>
              </w:rPr>
            </w:pPr>
            <w:r w:rsidRPr="00A774D3">
              <w:rPr>
                <w:rFonts w:asciiTheme="majorHAnsi" w:hAnsiTheme="majorHAnsi" w:cs="Arial"/>
                <w:b/>
                <w:bCs/>
                <w:sz w:val="16"/>
                <w:szCs w:val="16"/>
              </w:rPr>
              <w:t xml:space="preserve">               (234.854.682)</w:t>
            </w:r>
          </w:p>
        </w:tc>
      </w:tr>
      <w:tr w:rsidR="00A774D3" w:rsidRPr="00A774D3" w14:paraId="07ED2D13" w14:textId="77777777" w:rsidTr="00A774D3">
        <w:trPr>
          <w:trHeight w:hRule="exact" w:val="227"/>
        </w:trPr>
        <w:tc>
          <w:tcPr>
            <w:tcW w:w="3224" w:type="pct"/>
            <w:tcBorders>
              <w:top w:val="nil"/>
              <w:left w:val="nil"/>
              <w:bottom w:val="nil"/>
              <w:right w:val="nil"/>
            </w:tcBorders>
            <w:shd w:val="clear" w:color="000000" w:fill="FFFFFF"/>
            <w:noWrap/>
            <w:vAlign w:val="bottom"/>
            <w:hideMark/>
          </w:tcPr>
          <w:p w14:paraId="64846ACF"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800" w:type="pct"/>
            <w:tcBorders>
              <w:top w:val="nil"/>
              <w:left w:val="nil"/>
              <w:bottom w:val="nil"/>
              <w:right w:val="nil"/>
            </w:tcBorders>
            <w:shd w:val="clear" w:color="000000" w:fill="FFFFFF"/>
            <w:noWrap/>
            <w:vAlign w:val="bottom"/>
            <w:hideMark/>
          </w:tcPr>
          <w:p w14:paraId="47026B3B"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976" w:type="pct"/>
            <w:tcBorders>
              <w:top w:val="nil"/>
              <w:left w:val="nil"/>
              <w:bottom w:val="nil"/>
              <w:right w:val="nil"/>
            </w:tcBorders>
            <w:shd w:val="clear" w:color="000000" w:fill="FFFFFF"/>
            <w:noWrap/>
            <w:vAlign w:val="bottom"/>
            <w:hideMark/>
          </w:tcPr>
          <w:p w14:paraId="42D8882E"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r>
      <w:tr w:rsidR="00A774D3" w:rsidRPr="00A774D3" w14:paraId="143CB3EB" w14:textId="77777777" w:rsidTr="00A774D3">
        <w:trPr>
          <w:trHeight w:hRule="exact" w:val="227"/>
        </w:trPr>
        <w:tc>
          <w:tcPr>
            <w:tcW w:w="3224" w:type="pct"/>
            <w:tcBorders>
              <w:top w:val="nil"/>
              <w:left w:val="nil"/>
              <w:bottom w:val="nil"/>
              <w:right w:val="nil"/>
            </w:tcBorders>
            <w:shd w:val="clear" w:color="000000" w:fill="FFFFFF"/>
            <w:noWrap/>
            <w:vAlign w:val="bottom"/>
            <w:hideMark/>
          </w:tcPr>
          <w:p w14:paraId="30E6D5A5"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800" w:type="pct"/>
            <w:tcBorders>
              <w:top w:val="nil"/>
              <w:left w:val="nil"/>
              <w:bottom w:val="nil"/>
              <w:right w:val="nil"/>
            </w:tcBorders>
            <w:shd w:val="clear" w:color="000000" w:fill="FFFFFF"/>
            <w:noWrap/>
            <w:vAlign w:val="bottom"/>
            <w:hideMark/>
          </w:tcPr>
          <w:p w14:paraId="229EE712"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976" w:type="pct"/>
            <w:tcBorders>
              <w:top w:val="nil"/>
              <w:left w:val="nil"/>
              <w:bottom w:val="nil"/>
              <w:right w:val="nil"/>
            </w:tcBorders>
            <w:shd w:val="clear" w:color="000000" w:fill="FFFFFF"/>
            <w:noWrap/>
            <w:vAlign w:val="bottom"/>
            <w:hideMark/>
          </w:tcPr>
          <w:p w14:paraId="451365FF" w14:textId="77777777" w:rsidR="00A774D3" w:rsidRPr="00A774D3" w:rsidRDefault="00A774D3">
            <w:pPr>
              <w:jc w:val="center"/>
              <w:rPr>
                <w:rFonts w:asciiTheme="majorHAnsi" w:hAnsiTheme="majorHAnsi" w:cs="Arial"/>
                <w:sz w:val="16"/>
                <w:szCs w:val="16"/>
              </w:rPr>
            </w:pPr>
            <w:r w:rsidRPr="00A774D3">
              <w:rPr>
                <w:rFonts w:asciiTheme="majorHAnsi" w:hAnsiTheme="majorHAnsi" w:cs="Arial"/>
                <w:sz w:val="16"/>
                <w:szCs w:val="16"/>
              </w:rPr>
              <w:t> </w:t>
            </w:r>
          </w:p>
        </w:tc>
      </w:tr>
      <w:tr w:rsidR="00A774D3" w:rsidRPr="00A774D3" w14:paraId="589CA974" w14:textId="77777777" w:rsidTr="00A774D3">
        <w:trPr>
          <w:trHeight w:hRule="exact" w:val="227"/>
        </w:trPr>
        <w:tc>
          <w:tcPr>
            <w:tcW w:w="5000" w:type="pct"/>
            <w:gridSpan w:val="3"/>
            <w:tcBorders>
              <w:top w:val="nil"/>
              <w:left w:val="nil"/>
              <w:bottom w:val="nil"/>
              <w:right w:val="nil"/>
            </w:tcBorders>
            <w:shd w:val="clear" w:color="000000" w:fill="FFFFFF"/>
            <w:noWrap/>
            <w:vAlign w:val="bottom"/>
            <w:hideMark/>
          </w:tcPr>
          <w:p w14:paraId="77CEEE66" w14:textId="77777777" w:rsidR="00A774D3" w:rsidRPr="00A774D3" w:rsidRDefault="00A774D3">
            <w:pPr>
              <w:jc w:val="center"/>
              <w:rPr>
                <w:rFonts w:asciiTheme="majorHAnsi" w:hAnsiTheme="majorHAnsi" w:cs="Arial"/>
                <w:b/>
                <w:bCs/>
                <w:sz w:val="16"/>
                <w:szCs w:val="16"/>
              </w:rPr>
            </w:pPr>
            <w:r w:rsidRPr="00A774D3">
              <w:rPr>
                <w:rFonts w:asciiTheme="majorHAnsi" w:hAnsiTheme="majorHAnsi" w:cs="Arial"/>
                <w:b/>
                <w:bCs/>
                <w:sz w:val="16"/>
                <w:szCs w:val="16"/>
              </w:rPr>
              <w:t xml:space="preserve"> FLUXOS DE CAIXA DAS ATIVIDADES DE FINANCIAMENTO </w:t>
            </w:r>
          </w:p>
        </w:tc>
      </w:tr>
      <w:tr w:rsidR="00A774D3" w:rsidRPr="00A774D3" w14:paraId="39AB3134" w14:textId="77777777" w:rsidTr="00A774D3">
        <w:trPr>
          <w:trHeight w:hRule="exact" w:val="227"/>
        </w:trPr>
        <w:tc>
          <w:tcPr>
            <w:tcW w:w="3224" w:type="pct"/>
            <w:tcBorders>
              <w:top w:val="nil"/>
              <w:left w:val="nil"/>
              <w:bottom w:val="nil"/>
              <w:right w:val="nil"/>
            </w:tcBorders>
            <w:shd w:val="clear" w:color="000000" w:fill="FFFFFF"/>
            <w:noWrap/>
            <w:vAlign w:val="bottom"/>
            <w:hideMark/>
          </w:tcPr>
          <w:p w14:paraId="0D1D9E49" w14:textId="77777777" w:rsidR="00A774D3" w:rsidRPr="00A774D3" w:rsidRDefault="00A774D3">
            <w:pPr>
              <w:jc w:val="center"/>
              <w:rPr>
                <w:rFonts w:asciiTheme="majorHAnsi" w:hAnsiTheme="majorHAnsi" w:cs="Arial"/>
                <w:b/>
                <w:bCs/>
                <w:sz w:val="16"/>
                <w:szCs w:val="16"/>
              </w:rPr>
            </w:pPr>
            <w:r w:rsidRPr="00A774D3">
              <w:rPr>
                <w:rFonts w:asciiTheme="majorHAnsi" w:hAnsiTheme="majorHAnsi" w:cs="Arial"/>
                <w:b/>
                <w:bCs/>
                <w:sz w:val="16"/>
                <w:szCs w:val="16"/>
              </w:rPr>
              <w:t> </w:t>
            </w:r>
          </w:p>
        </w:tc>
        <w:tc>
          <w:tcPr>
            <w:tcW w:w="800" w:type="pct"/>
            <w:tcBorders>
              <w:top w:val="nil"/>
              <w:left w:val="nil"/>
              <w:bottom w:val="nil"/>
              <w:right w:val="nil"/>
            </w:tcBorders>
            <w:shd w:val="clear" w:color="000000" w:fill="FFFFFF"/>
            <w:noWrap/>
            <w:vAlign w:val="bottom"/>
            <w:hideMark/>
          </w:tcPr>
          <w:p w14:paraId="444E1383" w14:textId="77777777" w:rsidR="00A774D3" w:rsidRPr="00A774D3" w:rsidRDefault="00A774D3">
            <w:pPr>
              <w:jc w:val="center"/>
              <w:rPr>
                <w:rFonts w:asciiTheme="majorHAnsi" w:hAnsiTheme="majorHAnsi" w:cs="Arial"/>
                <w:b/>
                <w:bCs/>
                <w:sz w:val="16"/>
                <w:szCs w:val="16"/>
              </w:rPr>
            </w:pPr>
            <w:r w:rsidRPr="00A774D3">
              <w:rPr>
                <w:rFonts w:asciiTheme="majorHAnsi" w:hAnsiTheme="majorHAnsi" w:cs="Arial"/>
                <w:b/>
                <w:bCs/>
                <w:sz w:val="16"/>
                <w:szCs w:val="16"/>
              </w:rPr>
              <w:t> </w:t>
            </w:r>
          </w:p>
        </w:tc>
        <w:tc>
          <w:tcPr>
            <w:tcW w:w="976" w:type="pct"/>
            <w:tcBorders>
              <w:top w:val="nil"/>
              <w:left w:val="nil"/>
              <w:bottom w:val="nil"/>
              <w:right w:val="nil"/>
            </w:tcBorders>
            <w:shd w:val="clear" w:color="000000" w:fill="FFFFFF"/>
            <w:noWrap/>
            <w:vAlign w:val="bottom"/>
            <w:hideMark/>
          </w:tcPr>
          <w:p w14:paraId="024F5CE3" w14:textId="77777777" w:rsidR="00A774D3" w:rsidRPr="00A774D3" w:rsidRDefault="00A774D3">
            <w:pPr>
              <w:jc w:val="center"/>
              <w:rPr>
                <w:rFonts w:asciiTheme="majorHAnsi" w:hAnsiTheme="majorHAnsi" w:cs="Arial"/>
                <w:b/>
                <w:bCs/>
                <w:sz w:val="16"/>
                <w:szCs w:val="16"/>
              </w:rPr>
            </w:pPr>
            <w:r w:rsidRPr="00A774D3">
              <w:rPr>
                <w:rFonts w:asciiTheme="majorHAnsi" w:hAnsiTheme="majorHAnsi" w:cs="Arial"/>
                <w:b/>
                <w:bCs/>
                <w:sz w:val="16"/>
                <w:szCs w:val="16"/>
              </w:rPr>
              <w:t> </w:t>
            </w:r>
          </w:p>
        </w:tc>
      </w:tr>
      <w:tr w:rsidR="00A774D3" w:rsidRPr="00A774D3" w14:paraId="72CB6211" w14:textId="77777777" w:rsidTr="00A774D3">
        <w:trPr>
          <w:trHeight w:hRule="exact" w:val="227"/>
        </w:trPr>
        <w:tc>
          <w:tcPr>
            <w:tcW w:w="3224" w:type="pct"/>
            <w:tcBorders>
              <w:top w:val="nil"/>
              <w:left w:val="nil"/>
              <w:bottom w:val="nil"/>
              <w:right w:val="nil"/>
            </w:tcBorders>
            <w:shd w:val="clear" w:color="000000" w:fill="FFFFFF"/>
            <w:noWrap/>
            <w:vAlign w:val="bottom"/>
            <w:hideMark/>
          </w:tcPr>
          <w:p w14:paraId="778B6F55"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xml:space="preserve"> Créditos Recebidos da União - AFAC </w:t>
            </w:r>
          </w:p>
        </w:tc>
        <w:tc>
          <w:tcPr>
            <w:tcW w:w="800" w:type="pct"/>
            <w:tcBorders>
              <w:top w:val="nil"/>
              <w:left w:val="nil"/>
              <w:bottom w:val="nil"/>
              <w:right w:val="nil"/>
            </w:tcBorders>
            <w:shd w:val="clear" w:color="000000" w:fill="FFFFFF"/>
            <w:noWrap/>
            <w:vAlign w:val="bottom"/>
            <w:hideMark/>
          </w:tcPr>
          <w:p w14:paraId="3B3AFFBF" w14:textId="77777777" w:rsidR="00A774D3" w:rsidRPr="00A774D3" w:rsidRDefault="00A774D3" w:rsidP="00A774D3">
            <w:pPr>
              <w:jc w:val="right"/>
              <w:rPr>
                <w:rFonts w:asciiTheme="majorHAnsi" w:hAnsiTheme="majorHAnsi" w:cs="Arial"/>
                <w:sz w:val="16"/>
                <w:szCs w:val="16"/>
              </w:rPr>
            </w:pPr>
            <w:r w:rsidRPr="00A774D3">
              <w:rPr>
                <w:rFonts w:asciiTheme="majorHAnsi" w:hAnsiTheme="majorHAnsi" w:cs="Arial"/>
                <w:sz w:val="16"/>
                <w:szCs w:val="16"/>
              </w:rPr>
              <w:t xml:space="preserve">          277.743.872 </w:t>
            </w:r>
          </w:p>
        </w:tc>
        <w:tc>
          <w:tcPr>
            <w:tcW w:w="976" w:type="pct"/>
            <w:tcBorders>
              <w:top w:val="nil"/>
              <w:left w:val="nil"/>
              <w:bottom w:val="nil"/>
              <w:right w:val="nil"/>
            </w:tcBorders>
            <w:shd w:val="clear" w:color="000000" w:fill="FFFFFF"/>
            <w:noWrap/>
            <w:vAlign w:val="bottom"/>
            <w:hideMark/>
          </w:tcPr>
          <w:p w14:paraId="61722391" w14:textId="77777777" w:rsidR="00A774D3" w:rsidRPr="00A774D3" w:rsidRDefault="00A774D3" w:rsidP="00A774D3">
            <w:pPr>
              <w:jc w:val="right"/>
              <w:rPr>
                <w:rFonts w:asciiTheme="majorHAnsi" w:hAnsiTheme="majorHAnsi" w:cs="Arial"/>
                <w:sz w:val="16"/>
                <w:szCs w:val="16"/>
              </w:rPr>
            </w:pPr>
            <w:r w:rsidRPr="00A774D3">
              <w:rPr>
                <w:rFonts w:asciiTheme="majorHAnsi" w:hAnsiTheme="majorHAnsi" w:cs="Arial"/>
                <w:sz w:val="16"/>
                <w:szCs w:val="16"/>
              </w:rPr>
              <w:t xml:space="preserve">                 236.267.310 </w:t>
            </w:r>
          </w:p>
        </w:tc>
      </w:tr>
      <w:tr w:rsidR="00A774D3" w:rsidRPr="00A774D3" w14:paraId="6F95954A" w14:textId="77777777" w:rsidTr="00A774D3">
        <w:trPr>
          <w:trHeight w:hRule="exact" w:val="227"/>
        </w:trPr>
        <w:tc>
          <w:tcPr>
            <w:tcW w:w="3224" w:type="pct"/>
            <w:tcBorders>
              <w:top w:val="nil"/>
              <w:left w:val="nil"/>
              <w:bottom w:val="nil"/>
              <w:right w:val="nil"/>
            </w:tcBorders>
            <w:shd w:val="clear" w:color="000000" w:fill="FFFFFF"/>
            <w:noWrap/>
            <w:vAlign w:val="bottom"/>
            <w:hideMark/>
          </w:tcPr>
          <w:p w14:paraId="7F7E11B2"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xml:space="preserve">  Subvenção do Tesouro Nacional - repasse para custeio/pessoal </w:t>
            </w:r>
          </w:p>
        </w:tc>
        <w:tc>
          <w:tcPr>
            <w:tcW w:w="800" w:type="pct"/>
            <w:tcBorders>
              <w:top w:val="nil"/>
              <w:left w:val="nil"/>
              <w:bottom w:val="nil"/>
              <w:right w:val="nil"/>
            </w:tcBorders>
            <w:shd w:val="clear" w:color="000000" w:fill="FFFFFF"/>
            <w:noWrap/>
            <w:vAlign w:val="bottom"/>
            <w:hideMark/>
          </w:tcPr>
          <w:p w14:paraId="2279CCAE" w14:textId="77777777" w:rsidR="00A774D3" w:rsidRPr="00A774D3" w:rsidRDefault="00A774D3" w:rsidP="00A774D3">
            <w:pPr>
              <w:jc w:val="right"/>
              <w:rPr>
                <w:rFonts w:asciiTheme="majorHAnsi" w:hAnsiTheme="majorHAnsi" w:cs="Arial"/>
                <w:sz w:val="16"/>
                <w:szCs w:val="16"/>
              </w:rPr>
            </w:pPr>
            <w:r w:rsidRPr="00A774D3">
              <w:rPr>
                <w:rFonts w:asciiTheme="majorHAnsi" w:hAnsiTheme="majorHAnsi" w:cs="Arial"/>
                <w:sz w:val="16"/>
                <w:szCs w:val="16"/>
              </w:rPr>
              <w:t xml:space="preserve">          102.401.154 </w:t>
            </w:r>
          </w:p>
        </w:tc>
        <w:tc>
          <w:tcPr>
            <w:tcW w:w="976" w:type="pct"/>
            <w:tcBorders>
              <w:top w:val="nil"/>
              <w:left w:val="nil"/>
              <w:bottom w:val="nil"/>
              <w:right w:val="nil"/>
            </w:tcBorders>
            <w:shd w:val="clear" w:color="000000" w:fill="FFFFFF"/>
            <w:noWrap/>
            <w:vAlign w:val="bottom"/>
            <w:hideMark/>
          </w:tcPr>
          <w:p w14:paraId="35AE0228" w14:textId="77777777" w:rsidR="00A774D3" w:rsidRPr="00A774D3" w:rsidRDefault="00A774D3" w:rsidP="00A774D3">
            <w:pPr>
              <w:jc w:val="right"/>
              <w:rPr>
                <w:rFonts w:asciiTheme="majorHAnsi" w:hAnsiTheme="majorHAnsi" w:cs="Arial"/>
                <w:sz w:val="16"/>
                <w:szCs w:val="16"/>
              </w:rPr>
            </w:pPr>
            <w:r w:rsidRPr="00A774D3">
              <w:rPr>
                <w:rFonts w:asciiTheme="majorHAnsi" w:hAnsiTheme="majorHAnsi" w:cs="Arial"/>
                <w:sz w:val="16"/>
                <w:szCs w:val="16"/>
              </w:rPr>
              <w:t xml:space="preserve">                    99.652.603 </w:t>
            </w:r>
          </w:p>
        </w:tc>
      </w:tr>
      <w:tr w:rsidR="00A774D3" w:rsidRPr="00A774D3" w14:paraId="3B7C408A" w14:textId="77777777" w:rsidTr="00A774D3">
        <w:trPr>
          <w:trHeight w:hRule="exact" w:val="227"/>
        </w:trPr>
        <w:tc>
          <w:tcPr>
            <w:tcW w:w="3224" w:type="pct"/>
            <w:tcBorders>
              <w:top w:val="nil"/>
              <w:left w:val="nil"/>
              <w:bottom w:val="nil"/>
              <w:right w:val="nil"/>
            </w:tcBorders>
            <w:shd w:val="clear" w:color="000000" w:fill="FFFFFF"/>
            <w:noWrap/>
            <w:vAlign w:val="bottom"/>
            <w:hideMark/>
          </w:tcPr>
          <w:p w14:paraId="588D3324" w14:textId="77777777" w:rsidR="00A774D3" w:rsidRPr="00A774D3" w:rsidRDefault="00A774D3">
            <w:pPr>
              <w:rPr>
                <w:rFonts w:asciiTheme="majorHAnsi" w:hAnsiTheme="majorHAnsi" w:cs="Arial"/>
                <w:b/>
                <w:bCs/>
                <w:sz w:val="16"/>
                <w:szCs w:val="16"/>
              </w:rPr>
            </w:pPr>
            <w:r w:rsidRPr="00A774D3">
              <w:rPr>
                <w:rFonts w:asciiTheme="majorHAnsi" w:hAnsiTheme="majorHAnsi" w:cs="Arial"/>
                <w:b/>
                <w:bCs/>
                <w:sz w:val="16"/>
                <w:szCs w:val="16"/>
              </w:rPr>
              <w:t xml:space="preserve"> = Disponib. líquidas geradas (aplicadas) nas atividades de financiamentos </w:t>
            </w:r>
          </w:p>
        </w:tc>
        <w:tc>
          <w:tcPr>
            <w:tcW w:w="800" w:type="pct"/>
            <w:tcBorders>
              <w:top w:val="nil"/>
              <w:left w:val="nil"/>
              <w:bottom w:val="nil"/>
              <w:right w:val="nil"/>
            </w:tcBorders>
            <w:shd w:val="clear" w:color="000000" w:fill="FFFFFF"/>
            <w:noWrap/>
            <w:vAlign w:val="bottom"/>
            <w:hideMark/>
          </w:tcPr>
          <w:p w14:paraId="3BEFBE46" w14:textId="77777777" w:rsidR="00A774D3" w:rsidRPr="00A774D3" w:rsidRDefault="00A774D3" w:rsidP="00A774D3">
            <w:pPr>
              <w:jc w:val="right"/>
              <w:rPr>
                <w:rFonts w:asciiTheme="majorHAnsi" w:hAnsiTheme="majorHAnsi" w:cs="Arial"/>
                <w:b/>
                <w:bCs/>
                <w:sz w:val="16"/>
                <w:szCs w:val="16"/>
              </w:rPr>
            </w:pPr>
            <w:r w:rsidRPr="00A774D3">
              <w:rPr>
                <w:rFonts w:asciiTheme="majorHAnsi" w:hAnsiTheme="majorHAnsi" w:cs="Arial"/>
                <w:b/>
                <w:bCs/>
                <w:sz w:val="16"/>
                <w:szCs w:val="16"/>
              </w:rPr>
              <w:t xml:space="preserve">          380.145.026 </w:t>
            </w:r>
          </w:p>
        </w:tc>
        <w:tc>
          <w:tcPr>
            <w:tcW w:w="976" w:type="pct"/>
            <w:tcBorders>
              <w:top w:val="nil"/>
              <w:left w:val="nil"/>
              <w:bottom w:val="nil"/>
              <w:right w:val="nil"/>
            </w:tcBorders>
            <w:shd w:val="clear" w:color="000000" w:fill="FFFFFF"/>
            <w:noWrap/>
            <w:vAlign w:val="bottom"/>
            <w:hideMark/>
          </w:tcPr>
          <w:p w14:paraId="7763673B" w14:textId="77777777" w:rsidR="00A774D3" w:rsidRPr="00A774D3" w:rsidRDefault="00A774D3" w:rsidP="00A774D3">
            <w:pPr>
              <w:jc w:val="right"/>
              <w:rPr>
                <w:rFonts w:asciiTheme="majorHAnsi" w:hAnsiTheme="majorHAnsi" w:cs="Arial"/>
                <w:b/>
                <w:bCs/>
                <w:sz w:val="16"/>
                <w:szCs w:val="16"/>
              </w:rPr>
            </w:pPr>
            <w:r w:rsidRPr="00A774D3">
              <w:rPr>
                <w:rFonts w:asciiTheme="majorHAnsi" w:hAnsiTheme="majorHAnsi" w:cs="Arial"/>
                <w:b/>
                <w:bCs/>
                <w:sz w:val="16"/>
                <w:szCs w:val="16"/>
              </w:rPr>
              <w:t xml:space="preserve">                 335.919.913 </w:t>
            </w:r>
          </w:p>
        </w:tc>
      </w:tr>
      <w:tr w:rsidR="00A774D3" w:rsidRPr="00A774D3" w14:paraId="672B0CA4" w14:textId="77777777" w:rsidTr="00A774D3">
        <w:trPr>
          <w:trHeight w:hRule="exact" w:val="227"/>
        </w:trPr>
        <w:tc>
          <w:tcPr>
            <w:tcW w:w="3224" w:type="pct"/>
            <w:tcBorders>
              <w:top w:val="nil"/>
              <w:left w:val="nil"/>
              <w:bottom w:val="nil"/>
              <w:right w:val="nil"/>
            </w:tcBorders>
            <w:shd w:val="clear" w:color="000000" w:fill="FFFFFF"/>
            <w:noWrap/>
            <w:vAlign w:val="bottom"/>
            <w:hideMark/>
          </w:tcPr>
          <w:p w14:paraId="28C4BC96"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800" w:type="pct"/>
            <w:tcBorders>
              <w:top w:val="nil"/>
              <w:left w:val="nil"/>
              <w:bottom w:val="nil"/>
              <w:right w:val="nil"/>
            </w:tcBorders>
            <w:shd w:val="clear" w:color="000000" w:fill="FFFFFF"/>
            <w:noWrap/>
            <w:vAlign w:val="bottom"/>
            <w:hideMark/>
          </w:tcPr>
          <w:p w14:paraId="1E8380CA"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976" w:type="pct"/>
            <w:tcBorders>
              <w:top w:val="nil"/>
              <w:left w:val="nil"/>
              <w:bottom w:val="nil"/>
              <w:right w:val="nil"/>
            </w:tcBorders>
            <w:shd w:val="clear" w:color="000000" w:fill="FFFFFF"/>
            <w:noWrap/>
            <w:vAlign w:val="bottom"/>
            <w:hideMark/>
          </w:tcPr>
          <w:p w14:paraId="35F084FF" w14:textId="77777777" w:rsidR="00A774D3" w:rsidRPr="00A774D3" w:rsidRDefault="00A774D3">
            <w:pPr>
              <w:rPr>
                <w:rFonts w:asciiTheme="majorHAnsi" w:hAnsiTheme="majorHAnsi" w:cs="Arial"/>
                <w:b/>
                <w:bCs/>
                <w:sz w:val="16"/>
                <w:szCs w:val="16"/>
              </w:rPr>
            </w:pPr>
            <w:r w:rsidRPr="00A774D3">
              <w:rPr>
                <w:rFonts w:asciiTheme="majorHAnsi" w:hAnsiTheme="majorHAnsi" w:cs="Arial"/>
                <w:b/>
                <w:bCs/>
                <w:sz w:val="16"/>
                <w:szCs w:val="16"/>
              </w:rPr>
              <w:t> </w:t>
            </w:r>
          </w:p>
        </w:tc>
      </w:tr>
      <w:tr w:rsidR="00A774D3" w:rsidRPr="00A774D3" w14:paraId="38017F43" w14:textId="77777777" w:rsidTr="00A774D3">
        <w:trPr>
          <w:trHeight w:hRule="exact" w:val="227"/>
        </w:trPr>
        <w:tc>
          <w:tcPr>
            <w:tcW w:w="3224" w:type="pct"/>
            <w:tcBorders>
              <w:top w:val="nil"/>
              <w:left w:val="nil"/>
              <w:bottom w:val="nil"/>
              <w:right w:val="nil"/>
            </w:tcBorders>
            <w:shd w:val="clear" w:color="000000" w:fill="FFFFFF"/>
            <w:noWrap/>
            <w:vAlign w:val="bottom"/>
            <w:hideMark/>
          </w:tcPr>
          <w:p w14:paraId="7990DFE4" w14:textId="77777777" w:rsidR="00A774D3" w:rsidRPr="00A774D3" w:rsidRDefault="00A774D3">
            <w:pPr>
              <w:rPr>
                <w:rFonts w:asciiTheme="majorHAnsi" w:hAnsiTheme="majorHAnsi" w:cs="Arial"/>
                <w:b/>
                <w:bCs/>
                <w:sz w:val="16"/>
                <w:szCs w:val="16"/>
              </w:rPr>
            </w:pPr>
            <w:r w:rsidRPr="00A774D3">
              <w:rPr>
                <w:rFonts w:asciiTheme="majorHAnsi" w:hAnsiTheme="majorHAnsi" w:cs="Arial"/>
                <w:b/>
                <w:bCs/>
                <w:sz w:val="16"/>
                <w:szCs w:val="16"/>
              </w:rPr>
              <w:t xml:space="preserve"> Aumento (redução) das disponibilidades </w:t>
            </w:r>
          </w:p>
        </w:tc>
        <w:tc>
          <w:tcPr>
            <w:tcW w:w="800" w:type="pct"/>
            <w:tcBorders>
              <w:top w:val="nil"/>
              <w:left w:val="nil"/>
              <w:bottom w:val="nil"/>
              <w:right w:val="nil"/>
            </w:tcBorders>
            <w:shd w:val="clear" w:color="000000" w:fill="FFFFFF"/>
            <w:noWrap/>
            <w:vAlign w:val="bottom"/>
            <w:hideMark/>
          </w:tcPr>
          <w:p w14:paraId="45EA38BF" w14:textId="77777777" w:rsidR="00A774D3" w:rsidRPr="00A774D3" w:rsidRDefault="00A774D3" w:rsidP="00A774D3">
            <w:pPr>
              <w:jc w:val="right"/>
              <w:rPr>
                <w:rFonts w:asciiTheme="majorHAnsi" w:hAnsiTheme="majorHAnsi" w:cs="Arial"/>
                <w:b/>
                <w:bCs/>
                <w:sz w:val="16"/>
                <w:szCs w:val="16"/>
              </w:rPr>
            </w:pPr>
            <w:r w:rsidRPr="00A774D3">
              <w:rPr>
                <w:rFonts w:asciiTheme="majorHAnsi" w:hAnsiTheme="majorHAnsi" w:cs="Arial"/>
                <w:b/>
                <w:bCs/>
                <w:sz w:val="16"/>
                <w:szCs w:val="16"/>
              </w:rPr>
              <w:t xml:space="preserve">             36.458.407 </w:t>
            </w:r>
          </w:p>
        </w:tc>
        <w:tc>
          <w:tcPr>
            <w:tcW w:w="976" w:type="pct"/>
            <w:tcBorders>
              <w:top w:val="nil"/>
              <w:left w:val="nil"/>
              <w:bottom w:val="nil"/>
              <w:right w:val="nil"/>
            </w:tcBorders>
            <w:shd w:val="clear" w:color="000000" w:fill="FFFFFF"/>
            <w:noWrap/>
            <w:vAlign w:val="bottom"/>
            <w:hideMark/>
          </w:tcPr>
          <w:p w14:paraId="458FC83C" w14:textId="77777777" w:rsidR="00A774D3" w:rsidRPr="00A774D3" w:rsidRDefault="00A774D3" w:rsidP="00A774D3">
            <w:pPr>
              <w:jc w:val="right"/>
              <w:rPr>
                <w:rFonts w:asciiTheme="majorHAnsi" w:hAnsiTheme="majorHAnsi" w:cs="Arial"/>
                <w:b/>
                <w:bCs/>
                <w:sz w:val="16"/>
                <w:szCs w:val="16"/>
              </w:rPr>
            </w:pPr>
            <w:r w:rsidRPr="00A774D3">
              <w:rPr>
                <w:rFonts w:asciiTheme="majorHAnsi" w:hAnsiTheme="majorHAnsi" w:cs="Arial"/>
                <w:b/>
                <w:bCs/>
                <w:sz w:val="16"/>
                <w:szCs w:val="16"/>
              </w:rPr>
              <w:t xml:space="preserve">                          360.838 </w:t>
            </w:r>
          </w:p>
        </w:tc>
      </w:tr>
      <w:tr w:rsidR="00A774D3" w:rsidRPr="00A774D3" w14:paraId="60A3E2ED" w14:textId="77777777" w:rsidTr="00A774D3">
        <w:trPr>
          <w:trHeight w:hRule="exact" w:val="227"/>
        </w:trPr>
        <w:tc>
          <w:tcPr>
            <w:tcW w:w="3224" w:type="pct"/>
            <w:tcBorders>
              <w:top w:val="nil"/>
              <w:left w:val="nil"/>
              <w:bottom w:val="nil"/>
              <w:right w:val="nil"/>
            </w:tcBorders>
            <w:shd w:val="clear" w:color="auto" w:fill="auto"/>
            <w:noWrap/>
            <w:vAlign w:val="bottom"/>
            <w:hideMark/>
          </w:tcPr>
          <w:p w14:paraId="2C7C0289" w14:textId="30C1BF4A" w:rsidR="00A774D3" w:rsidRPr="00A774D3" w:rsidRDefault="00A774D3">
            <w:pPr>
              <w:rPr>
                <w:rFonts w:asciiTheme="majorHAnsi" w:hAnsiTheme="majorHAnsi" w:cs="Arial"/>
                <w:sz w:val="16"/>
                <w:szCs w:val="16"/>
              </w:rPr>
            </w:pPr>
            <w:r w:rsidRPr="00A774D3">
              <w:rPr>
                <w:rFonts w:asciiTheme="majorHAnsi" w:hAnsiTheme="majorHAnsi" w:cs="Arial"/>
                <w:sz w:val="16"/>
                <w:szCs w:val="16"/>
              </w:rPr>
              <w:t xml:space="preserve"> Disponibilidades no início do período </w:t>
            </w:r>
          </w:p>
        </w:tc>
        <w:tc>
          <w:tcPr>
            <w:tcW w:w="800" w:type="pct"/>
            <w:tcBorders>
              <w:top w:val="nil"/>
              <w:left w:val="nil"/>
              <w:bottom w:val="nil"/>
              <w:right w:val="nil"/>
            </w:tcBorders>
            <w:shd w:val="clear" w:color="000000" w:fill="FFFFFF"/>
            <w:noWrap/>
            <w:vAlign w:val="bottom"/>
            <w:hideMark/>
          </w:tcPr>
          <w:p w14:paraId="2C7A0967" w14:textId="77777777" w:rsidR="00A774D3" w:rsidRPr="00A774D3" w:rsidRDefault="00A774D3" w:rsidP="00A774D3">
            <w:pPr>
              <w:jc w:val="right"/>
              <w:rPr>
                <w:rFonts w:asciiTheme="majorHAnsi" w:hAnsiTheme="majorHAnsi" w:cs="Arial"/>
                <w:sz w:val="16"/>
                <w:szCs w:val="16"/>
              </w:rPr>
            </w:pPr>
            <w:r w:rsidRPr="00A774D3">
              <w:rPr>
                <w:rFonts w:asciiTheme="majorHAnsi" w:hAnsiTheme="majorHAnsi" w:cs="Arial"/>
                <w:sz w:val="16"/>
                <w:szCs w:val="16"/>
              </w:rPr>
              <w:t xml:space="preserve">             32.350.978 </w:t>
            </w:r>
          </w:p>
        </w:tc>
        <w:tc>
          <w:tcPr>
            <w:tcW w:w="976" w:type="pct"/>
            <w:tcBorders>
              <w:top w:val="nil"/>
              <w:left w:val="nil"/>
              <w:bottom w:val="nil"/>
              <w:right w:val="nil"/>
            </w:tcBorders>
            <w:shd w:val="clear" w:color="000000" w:fill="FFFFFF"/>
            <w:noWrap/>
            <w:vAlign w:val="bottom"/>
            <w:hideMark/>
          </w:tcPr>
          <w:p w14:paraId="60C780C5" w14:textId="77777777" w:rsidR="00A774D3" w:rsidRPr="00A774D3" w:rsidRDefault="00A774D3" w:rsidP="00A774D3">
            <w:pPr>
              <w:jc w:val="right"/>
              <w:rPr>
                <w:rFonts w:asciiTheme="majorHAnsi" w:hAnsiTheme="majorHAnsi" w:cs="Arial"/>
                <w:sz w:val="16"/>
                <w:szCs w:val="16"/>
              </w:rPr>
            </w:pPr>
            <w:r w:rsidRPr="00A774D3">
              <w:rPr>
                <w:rFonts w:asciiTheme="majorHAnsi" w:hAnsiTheme="majorHAnsi" w:cs="Arial"/>
                <w:sz w:val="16"/>
                <w:szCs w:val="16"/>
              </w:rPr>
              <w:t xml:space="preserve">              39.662.846 </w:t>
            </w:r>
          </w:p>
        </w:tc>
      </w:tr>
      <w:tr w:rsidR="00A774D3" w:rsidRPr="00A774D3" w14:paraId="0D8814F3" w14:textId="77777777" w:rsidTr="00A774D3">
        <w:trPr>
          <w:trHeight w:hRule="exact" w:val="227"/>
        </w:trPr>
        <w:tc>
          <w:tcPr>
            <w:tcW w:w="3224" w:type="pct"/>
            <w:tcBorders>
              <w:top w:val="nil"/>
              <w:left w:val="nil"/>
              <w:bottom w:val="nil"/>
              <w:right w:val="nil"/>
            </w:tcBorders>
            <w:shd w:val="clear" w:color="auto" w:fill="auto"/>
            <w:noWrap/>
            <w:vAlign w:val="bottom"/>
            <w:hideMark/>
          </w:tcPr>
          <w:p w14:paraId="0A458461" w14:textId="512FCDD0" w:rsidR="00A774D3" w:rsidRPr="00A774D3" w:rsidRDefault="00A774D3">
            <w:pPr>
              <w:rPr>
                <w:rFonts w:asciiTheme="majorHAnsi" w:hAnsiTheme="majorHAnsi" w:cs="Arial"/>
                <w:sz w:val="16"/>
                <w:szCs w:val="16"/>
              </w:rPr>
            </w:pPr>
            <w:r w:rsidRPr="00A774D3">
              <w:rPr>
                <w:rFonts w:asciiTheme="majorHAnsi" w:hAnsiTheme="majorHAnsi" w:cs="Arial"/>
                <w:sz w:val="16"/>
                <w:szCs w:val="16"/>
              </w:rPr>
              <w:t xml:space="preserve"> Disponibilidades no final do período </w:t>
            </w:r>
          </w:p>
        </w:tc>
        <w:tc>
          <w:tcPr>
            <w:tcW w:w="800" w:type="pct"/>
            <w:tcBorders>
              <w:top w:val="nil"/>
              <w:left w:val="nil"/>
              <w:bottom w:val="nil"/>
              <w:right w:val="nil"/>
            </w:tcBorders>
            <w:shd w:val="clear" w:color="000000" w:fill="FFFFFF"/>
            <w:noWrap/>
            <w:vAlign w:val="bottom"/>
            <w:hideMark/>
          </w:tcPr>
          <w:p w14:paraId="27F42E65" w14:textId="77777777" w:rsidR="00A774D3" w:rsidRPr="00A774D3" w:rsidRDefault="00A774D3" w:rsidP="00A774D3">
            <w:pPr>
              <w:jc w:val="right"/>
              <w:rPr>
                <w:rFonts w:asciiTheme="majorHAnsi" w:hAnsiTheme="majorHAnsi" w:cs="Arial"/>
                <w:sz w:val="16"/>
                <w:szCs w:val="16"/>
              </w:rPr>
            </w:pPr>
            <w:r w:rsidRPr="00A774D3">
              <w:rPr>
                <w:rFonts w:asciiTheme="majorHAnsi" w:hAnsiTheme="majorHAnsi" w:cs="Arial"/>
                <w:sz w:val="16"/>
                <w:szCs w:val="16"/>
              </w:rPr>
              <w:t xml:space="preserve">             68.809.385 </w:t>
            </w:r>
          </w:p>
        </w:tc>
        <w:tc>
          <w:tcPr>
            <w:tcW w:w="976" w:type="pct"/>
            <w:tcBorders>
              <w:top w:val="nil"/>
              <w:left w:val="nil"/>
              <w:bottom w:val="nil"/>
              <w:right w:val="nil"/>
            </w:tcBorders>
            <w:shd w:val="clear" w:color="000000" w:fill="FFFFFF"/>
            <w:noWrap/>
            <w:vAlign w:val="bottom"/>
            <w:hideMark/>
          </w:tcPr>
          <w:p w14:paraId="5DA49229" w14:textId="77777777" w:rsidR="00A774D3" w:rsidRPr="00A774D3" w:rsidRDefault="00A774D3" w:rsidP="00A774D3">
            <w:pPr>
              <w:jc w:val="right"/>
              <w:rPr>
                <w:rFonts w:asciiTheme="majorHAnsi" w:hAnsiTheme="majorHAnsi" w:cs="Arial"/>
                <w:sz w:val="16"/>
                <w:szCs w:val="16"/>
              </w:rPr>
            </w:pPr>
            <w:r w:rsidRPr="00A774D3">
              <w:rPr>
                <w:rFonts w:asciiTheme="majorHAnsi" w:hAnsiTheme="majorHAnsi" w:cs="Arial"/>
                <w:sz w:val="16"/>
                <w:szCs w:val="16"/>
              </w:rPr>
              <w:t xml:space="preserve">              40.023.684 </w:t>
            </w:r>
          </w:p>
        </w:tc>
      </w:tr>
      <w:tr w:rsidR="00A774D3" w:rsidRPr="00A774D3" w14:paraId="4B2FA0A9" w14:textId="77777777" w:rsidTr="00A774D3">
        <w:trPr>
          <w:trHeight w:hRule="exact" w:val="227"/>
        </w:trPr>
        <w:tc>
          <w:tcPr>
            <w:tcW w:w="5000" w:type="pct"/>
            <w:gridSpan w:val="3"/>
            <w:tcBorders>
              <w:top w:val="nil"/>
              <w:left w:val="nil"/>
              <w:bottom w:val="nil"/>
              <w:right w:val="nil"/>
            </w:tcBorders>
            <w:shd w:val="clear" w:color="000000" w:fill="FFFFFF"/>
            <w:noWrap/>
            <w:vAlign w:val="bottom"/>
            <w:hideMark/>
          </w:tcPr>
          <w:p w14:paraId="389870E4" w14:textId="77777777" w:rsidR="00A774D3" w:rsidRPr="00A774D3" w:rsidRDefault="00A774D3">
            <w:pPr>
              <w:jc w:val="center"/>
              <w:rPr>
                <w:rFonts w:asciiTheme="majorHAnsi" w:hAnsiTheme="majorHAnsi" w:cs="Arial"/>
                <w:sz w:val="16"/>
                <w:szCs w:val="16"/>
              </w:rPr>
            </w:pPr>
            <w:r w:rsidRPr="00A774D3">
              <w:rPr>
                <w:rFonts w:asciiTheme="majorHAnsi" w:hAnsiTheme="majorHAnsi" w:cs="Arial"/>
                <w:sz w:val="16"/>
                <w:szCs w:val="16"/>
              </w:rPr>
              <w:t> </w:t>
            </w:r>
          </w:p>
        </w:tc>
      </w:tr>
      <w:tr w:rsidR="00A774D3" w:rsidRPr="00A774D3" w14:paraId="35D03554" w14:textId="77777777" w:rsidTr="00A774D3">
        <w:trPr>
          <w:trHeight w:hRule="exact" w:val="227"/>
        </w:trPr>
        <w:tc>
          <w:tcPr>
            <w:tcW w:w="5000" w:type="pct"/>
            <w:gridSpan w:val="3"/>
            <w:tcBorders>
              <w:top w:val="nil"/>
              <w:left w:val="nil"/>
              <w:bottom w:val="nil"/>
              <w:right w:val="nil"/>
            </w:tcBorders>
            <w:shd w:val="clear" w:color="auto" w:fill="auto"/>
            <w:noWrap/>
            <w:vAlign w:val="bottom"/>
            <w:hideMark/>
          </w:tcPr>
          <w:p w14:paraId="7D335852" w14:textId="77777777" w:rsidR="00A774D3" w:rsidRPr="00A774D3" w:rsidRDefault="00A774D3">
            <w:pPr>
              <w:jc w:val="center"/>
              <w:rPr>
                <w:rFonts w:asciiTheme="majorHAnsi" w:hAnsiTheme="majorHAnsi" w:cs="Arial"/>
                <w:sz w:val="16"/>
                <w:szCs w:val="16"/>
              </w:rPr>
            </w:pPr>
            <w:r w:rsidRPr="00A774D3">
              <w:rPr>
                <w:rFonts w:asciiTheme="majorHAnsi" w:hAnsiTheme="majorHAnsi" w:cs="Arial"/>
                <w:sz w:val="16"/>
                <w:szCs w:val="16"/>
              </w:rPr>
              <w:t>(As Notas Explicativas são parte integrante das demonstrações contábeis intermediárias)</w:t>
            </w:r>
          </w:p>
        </w:tc>
      </w:tr>
    </w:tbl>
    <w:p w14:paraId="23DE1802" w14:textId="77777777" w:rsidR="00A774D3" w:rsidRPr="00A774D3" w:rsidRDefault="00A774D3" w:rsidP="00A774D3"/>
    <w:p w14:paraId="28D7EEEA" w14:textId="77777777" w:rsidR="00EE5736" w:rsidRDefault="00EE5736" w:rsidP="002E2B5B">
      <w:pPr>
        <w:pStyle w:val="Ttulo1"/>
        <w:tabs>
          <w:tab w:val="left" w:pos="1701"/>
        </w:tabs>
        <w:ind w:right="-142"/>
        <w:rPr>
          <w:rFonts w:ascii="Calibri" w:hAnsi="Calibri" w:cs="Calibri"/>
          <w:szCs w:val="22"/>
        </w:rPr>
      </w:pPr>
    </w:p>
    <w:tbl>
      <w:tblPr>
        <w:tblW w:w="4798" w:type="pct"/>
        <w:tblLayout w:type="fixed"/>
        <w:tblCellMar>
          <w:left w:w="70" w:type="dxa"/>
          <w:right w:w="70" w:type="dxa"/>
        </w:tblCellMar>
        <w:tblLook w:val="04A0" w:firstRow="1" w:lastRow="0" w:firstColumn="1" w:lastColumn="0" w:noHBand="0" w:noVBand="1"/>
      </w:tblPr>
      <w:tblGrid>
        <w:gridCol w:w="4679"/>
        <w:gridCol w:w="193"/>
        <w:gridCol w:w="1932"/>
        <w:gridCol w:w="1364"/>
        <w:gridCol w:w="1876"/>
      </w:tblGrid>
      <w:tr w:rsidR="00A774D3" w:rsidRPr="00A774D3" w14:paraId="731E2576" w14:textId="77777777" w:rsidTr="00A774D3">
        <w:trPr>
          <w:trHeight w:val="300"/>
        </w:trPr>
        <w:tc>
          <w:tcPr>
            <w:tcW w:w="5000" w:type="pct"/>
            <w:gridSpan w:val="5"/>
            <w:tcBorders>
              <w:top w:val="nil"/>
              <w:left w:val="nil"/>
              <w:bottom w:val="nil"/>
              <w:right w:val="nil"/>
            </w:tcBorders>
            <w:shd w:val="clear" w:color="000000" w:fill="FFFFFF"/>
            <w:noWrap/>
            <w:vAlign w:val="bottom"/>
            <w:hideMark/>
          </w:tcPr>
          <w:p w14:paraId="7A92F717" w14:textId="77777777" w:rsidR="00A774D3" w:rsidRPr="00A774D3" w:rsidRDefault="00A774D3">
            <w:pPr>
              <w:jc w:val="center"/>
              <w:rPr>
                <w:rFonts w:asciiTheme="majorHAnsi" w:hAnsiTheme="majorHAnsi" w:cs="Arial"/>
                <w:b/>
                <w:bCs/>
                <w:sz w:val="16"/>
                <w:szCs w:val="16"/>
              </w:rPr>
            </w:pPr>
            <w:r w:rsidRPr="00A774D3">
              <w:rPr>
                <w:rFonts w:asciiTheme="majorHAnsi" w:hAnsiTheme="majorHAnsi" w:cs="Arial"/>
                <w:b/>
                <w:bCs/>
                <w:sz w:val="16"/>
                <w:szCs w:val="16"/>
              </w:rPr>
              <w:t>VALEC ENGENHARIA, CONSTRUÇÕES E FERROVIAS S/A</w:t>
            </w:r>
          </w:p>
        </w:tc>
      </w:tr>
      <w:tr w:rsidR="00A774D3" w:rsidRPr="00A774D3" w14:paraId="432818E8" w14:textId="77777777" w:rsidTr="00A774D3">
        <w:trPr>
          <w:trHeight w:val="300"/>
        </w:trPr>
        <w:tc>
          <w:tcPr>
            <w:tcW w:w="5000" w:type="pct"/>
            <w:gridSpan w:val="5"/>
            <w:tcBorders>
              <w:top w:val="nil"/>
              <w:left w:val="nil"/>
              <w:bottom w:val="nil"/>
              <w:right w:val="nil"/>
            </w:tcBorders>
            <w:shd w:val="clear" w:color="000000" w:fill="FFFFFF"/>
            <w:noWrap/>
            <w:vAlign w:val="bottom"/>
            <w:hideMark/>
          </w:tcPr>
          <w:p w14:paraId="669026A9" w14:textId="77777777" w:rsidR="00A774D3" w:rsidRPr="00A774D3" w:rsidRDefault="00A774D3">
            <w:pPr>
              <w:jc w:val="center"/>
              <w:rPr>
                <w:rFonts w:asciiTheme="majorHAnsi" w:hAnsiTheme="majorHAnsi" w:cs="Arial"/>
                <w:b/>
                <w:bCs/>
                <w:sz w:val="16"/>
                <w:szCs w:val="16"/>
              </w:rPr>
            </w:pPr>
            <w:r w:rsidRPr="00A774D3">
              <w:rPr>
                <w:rFonts w:asciiTheme="majorHAnsi" w:hAnsiTheme="majorHAnsi" w:cs="Arial"/>
                <w:b/>
                <w:bCs/>
                <w:sz w:val="16"/>
                <w:szCs w:val="16"/>
              </w:rPr>
              <w:t>DEMONSTRAÇÃO DO VALOR ADICIONADO (DVA)</w:t>
            </w:r>
          </w:p>
        </w:tc>
      </w:tr>
      <w:tr w:rsidR="00A774D3" w:rsidRPr="00A774D3" w14:paraId="4763E7B0" w14:textId="77777777" w:rsidTr="00A774D3">
        <w:trPr>
          <w:trHeight w:val="300"/>
        </w:trPr>
        <w:tc>
          <w:tcPr>
            <w:tcW w:w="5000" w:type="pct"/>
            <w:gridSpan w:val="5"/>
            <w:tcBorders>
              <w:top w:val="nil"/>
              <w:left w:val="nil"/>
              <w:bottom w:val="nil"/>
              <w:right w:val="nil"/>
            </w:tcBorders>
            <w:shd w:val="clear" w:color="auto" w:fill="auto"/>
            <w:noWrap/>
            <w:vAlign w:val="bottom"/>
            <w:hideMark/>
          </w:tcPr>
          <w:p w14:paraId="74504B41" w14:textId="77777777" w:rsidR="00A774D3" w:rsidRPr="00A774D3" w:rsidRDefault="00A774D3">
            <w:pPr>
              <w:jc w:val="center"/>
              <w:rPr>
                <w:rFonts w:asciiTheme="majorHAnsi" w:hAnsiTheme="majorHAnsi" w:cs="Arial"/>
                <w:b/>
                <w:bCs/>
                <w:sz w:val="16"/>
                <w:szCs w:val="16"/>
              </w:rPr>
            </w:pPr>
            <w:r w:rsidRPr="00A774D3">
              <w:rPr>
                <w:rFonts w:asciiTheme="majorHAnsi" w:hAnsiTheme="majorHAnsi" w:cs="Arial"/>
                <w:b/>
                <w:bCs/>
                <w:sz w:val="16"/>
                <w:szCs w:val="16"/>
              </w:rPr>
              <w:t>3º TRIMESTRE 2021</w:t>
            </w:r>
          </w:p>
        </w:tc>
      </w:tr>
      <w:tr w:rsidR="00A774D3" w:rsidRPr="00A774D3" w14:paraId="705D94AC" w14:textId="77777777" w:rsidTr="00A774D3">
        <w:trPr>
          <w:trHeight w:val="300"/>
        </w:trPr>
        <w:tc>
          <w:tcPr>
            <w:tcW w:w="5000" w:type="pct"/>
            <w:gridSpan w:val="5"/>
            <w:tcBorders>
              <w:top w:val="nil"/>
              <w:left w:val="nil"/>
              <w:bottom w:val="nil"/>
              <w:right w:val="nil"/>
            </w:tcBorders>
            <w:shd w:val="clear" w:color="auto" w:fill="auto"/>
            <w:noWrap/>
            <w:vAlign w:val="bottom"/>
            <w:hideMark/>
          </w:tcPr>
          <w:p w14:paraId="5EBC1424" w14:textId="77777777" w:rsidR="00A774D3" w:rsidRPr="00A774D3" w:rsidRDefault="00A774D3">
            <w:pPr>
              <w:jc w:val="center"/>
              <w:rPr>
                <w:rFonts w:asciiTheme="majorHAnsi" w:hAnsiTheme="majorHAnsi" w:cs="Arial"/>
                <w:b/>
                <w:bCs/>
                <w:sz w:val="16"/>
                <w:szCs w:val="16"/>
              </w:rPr>
            </w:pPr>
            <w:r w:rsidRPr="00A774D3">
              <w:rPr>
                <w:rFonts w:asciiTheme="majorHAnsi" w:hAnsiTheme="majorHAnsi" w:cs="Arial"/>
                <w:b/>
                <w:bCs/>
                <w:sz w:val="16"/>
                <w:szCs w:val="16"/>
              </w:rPr>
              <w:t>Em R$</w:t>
            </w:r>
          </w:p>
        </w:tc>
      </w:tr>
      <w:tr w:rsidR="00A774D3" w:rsidRPr="00A774D3" w14:paraId="3B56111E" w14:textId="77777777" w:rsidTr="00A774D3">
        <w:trPr>
          <w:trHeight w:val="630"/>
        </w:trPr>
        <w:tc>
          <w:tcPr>
            <w:tcW w:w="2329" w:type="pct"/>
            <w:tcBorders>
              <w:top w:val="nil"/>
              <w:left w:val="nil"/>
              <w:bottom w:val="nil"/>
              <w:right w:val="nil"/>
            </w:tcBorders>
            <w:shd w:val="clear" w:color="000000" w:fill="FFFFFF"/>
            <w:noWrap/>
            <w:vAlign w:val="bottom"/>
            <w:hideMark/>
          </w:tcPr>
          <w:p w14:paraId="409A8BD0" w14:textId="77777777" w:rsidR="00A774D3" w:rsidRPr="00A774D3" w:rsidRDefault="00A774D3">
            <w:pPr>
              <w:jc w:val="center"/>
              <w:rPr>
                <w:rFonts w:asciiTheme="majorHAnsi" w:hAnsiTheme="majorHAnsi" w:cs="Arial"/>
                <w:b/>
                <w:bCs/>
                <w:sz w:val="16"/>
                <w:szCs w:val="16"/>
              </w:rPr>
            </w:pPr>
            <w:r w:rsidRPr="00A774D3">
              <w:rPr>
                <w:rFonts w:asciiTheme="majorHAnsi" w:hAnsiTheme="majorHAnsi" w:cs="Arial"/>
                <w:b/>
                <w:bCs/>
                <w:sz w:val="16"/>
                <w:szCs w:val="16"/>
              </w:rPr>
              <w:t> </w:t>
            </w:r>
          </w:p>
        </w:tc>
        <w:tc>
          <w:tcPr>
            <w:tcW w:w="96" w:type="pct"/>
            <w:tcBorders>
              <w:top w:val="nil"/>
              <w:left w:val="nil"/>
              <w:bottom w:val="nil"/>
              <w:right w:val="nil"/>
            </w:tcBorders>
            <w:shd w:val="clear" w:color="000000" w:fill="FFFFFF"/>
            <w:noWrap/>
            <w:vAlign w:val="bottom"/>
            <w:hideMark/>
          </w:tcPr>
          <w:p w14:paraId="03F28CCC" w14:textId="77777777" w:rsidR="00A774D3" w:rsidRPr="00A774D3" w:rsidRDefault="00A774D3">
            <w:pPr>
              <w:jc w:val="center"/>
              <w:rPr>
                <w:rFonts w:asciiTheme="majorHAnsi" w:hAnsiTheme="majorHAnsi" w:cs="Arial"/>
                <w:b/>
                <w:bCs/>
                <w:sz w:val="16"/>
                <w:szCs w:val="16"/>
              </w:rPr>
            </w:pPr>
            <w:r w:rsidRPr="00A774D3">
              <w:rPr>
                <w:rFonts w:asciiTheme="majorHAnsi" w:hAnsiTheme="majorHAnsi" w:cs="Arial"/>
                <w:b/>
                <w:bCs/>
                <w:sz w:val="16"/>
                <w:szCs w:val="16"/>
              </w:rPr>
              <w:t> </w:t>
            </w:r>
          </w:p>
        </w:tc>
        <w:tc>
          <w:tcPr>
            <w:tcW w:w="962" w:type="pct"/>
            <w:tcBorders>
              <w:top w:val="nil"/>
              <w:left w:val="nil"/>
              <w:bottom w:val="nil"/>
              <w:right w:val="nil"/>
            </w:tcBorders>
            <w:shd w:val="clear" w:color="000000" w:fill="FFFFFF"/>
            <w:noWrap/>
            <w:vAlign w:val="bottom"/>
            <w:hideMark/>
          </w:tcPr>
          <w:p w14:paraId="0B10269C" w14:textId="77777777" w:rsidR="00A774D3" w:rsidRPr="00A774D3" w:rsidRDefault="00A774D3">
            <w:pPr>
              <w:jc w:val="center"/>
              <w:rPr>
                <w:rFonts w:asciiTheme="majorHAnsi" w:hAnsiTheme="majorHAnsi" w:cs="Arial"/>
                <w:b/>
                <w:bCs/>
                <w:sz w:val="16"/>
                <w:szCs w:val="16"/>
              </w:rPr>
            </w:pPr>
            <w:r w:rsidRPr="00A774D3">
              <w:rPr>
                <w:rFonts w:asciiTheme="majorHAnsi" w:hAnsiTheme="majorHAnsi" w:cs="Arial"/>
                <w:b/>
                <w:bCs/>
                <w:sz w:val="16"/>
                <w:szCs w:val="16"/>
              </w:rPr>
              <w:t> </w:t>
            </w:r>
          </w:p>
        </w:tc>
        <w:tc>
          <w:tcPr>
            <w:tcW w:w="679" w:type="pct"/>
            <w:tcBorders>
              <w:top w:val="nil"/>
              <w:left w:val="nil"/>
              <w:bottom w:val="nil"/>
              <w:right w:val="nil"/>
            </w:tcBorders>
            <w:shd w:val="clear" w:color="auto" w:fill="auto"/>
            <w:vAlign w:val="bottom"/>
            <w:hideMark/>
          </w:tcPr>
          <w:p w14:paraId="05A5E081" w14:textId="77777777" w:rsidR="00A774D3" w:rsidRPr="00A774D3" w:rsidRDefault="00A774D3">
            <w:pPr>
              <w:jc w:val="right"/>
              <w:rPr>
                <w:rFonts w:asciiTheme="majorHAnsi" w:hAnsiTheme="majorHAnsi" w:cs="Arial"/>
                <w:b/>
                <w:bCs/>
                <w:sz w:val="16"/>
                <w:szCs w:val="16"/>
              </w:rPr>
            </w:pPr>
            <w:r w:rsidRPr="00A774D3">
              <w:rPr>
                <w:rFonts w:asciiTheme="majorHAnsi" w:hAnsiTheme="majorHAnsi" w:cs="Arial"/>
                <w:b/>
                <w:bCs/>
                <w:sz w:val="16"/>
                <w:szCs w:val="16"/>
              </w:rPr>
              <w:t>01/01/2021</w:t>
            </w:r>
          </w:p>
        </w:tc>
        <w:tc>
          <w:tcPr>
            <w:tcW w:w="934" w:type="pct"/>
            <w:tcBorders>
              <w:top w:val="nil"/>
              <w:left w:val="nil"/>
              <w:bottom w:val="nil"/>
              <w:right w:val="nil"/>
            </w:tcBorders>
            <w:shd w:val="clear" w:color="auto" w:fill="auto"/>
            <w:vAlign w:val="bottom"/>
            <w:hideMark/>
          </w:tcPr>
          <w:p w14:paraId="47A26052" w14:textId="77777777" w:rsidR="00A774D3" w:rsidRPr="00A774D3" w:rsidRDefault="00A774D3">
            <w:pPr>
              <w:jc w:val="right"/>
              <w:rPr>
                <w:rFonts w:asciiTheme="majorHAnsi" w:hAnsiTheme="majorHAnsi" w:cs="Arial"/>
                <w:b/>
                <w:bCs/>
                <w:sz w:val="16"/>
                <w:szCs w:val="16"/>
              </w:rPr>
            </w:pPr>
            <w:r w:rsidRPr="00A774D3">
              <w:rPr>
                <w:rFonts w:asciiTheme="majorHAnsi" w:hAnsiTheme="majorHAnsi" w:cs="Arial"/>
                <w:b/>
                <w:bCs/>
                <w:sz w:val="16"/>
                <w:szCs w:val="16"/>
              </w:rPr>
              <w:t>01/01/2020</w:t>
            </w:r>
          </w:p>
        </w:tc>
      </w:tr>
      <w:tr w:rsidR="00A774D3" w:rsidRPr="00A774D3" w14:paraId="16B49EFA" w14:textId="77777777" w:rsidTr="00A774D3">
        <w:trPr>
          <w:trHeight w:val="300"/>
        </w:trPr>
        <w:tc>
          <w:tcPr>
            <w:tcW w:w="2329" w:type="pct"/>
            <w:tcBorders>
              <w:top w:val="nil"/>
              <w:left w:val="nil"/>
              <w:bottom w:val="nil"/>
              <w:right w:val="nil"/>
            </w:tcBorders>
            <w:shd w:val="clear" w:color="000000" w:fill="FFFFFF"/>
            <w:noWrap/>
            <w:vAlign w:val="bottom"/>
            <w:hideMark/>
          </w:tcPr>
          <w:p w14:paraId="6FDB71E1" w14:textId="77777777" w:rsidR="00A774D3" w:rsidRPr="00A774D3" w:rsidRDefault="00A774D3">
            <w:pPr>
              <w:jc w:val="center"/>
              <w:rPr>
                <w:rFonts w:asciiTheme="majorHAnsi" w:hAnsiTheme="majorHAnsi" w:cs="Arial"/>
                <w:b/>
                <w:bCs/>
                <w:sz w:val="16"/>
                <w:szCs w:val="16"/>
              </w:rPr>
            </w:pPr>
            <w:r w:rsidRPr="00A774D3">
              <w:rPr>
                <w:rFonts w:asciiTheme="majorHAnsi" w:hAnsiTheme="majorHAnsi" w:cs="Arial"/>
                <w:b/>
                <w:bCs/>
                <w:sz w:val="16"/>
                <w:szCs w:val="16"/>
              </w:rPr>
              <w:t> </w:t>
            </w:r>
          </w:p>
        </w:tc>
        <w:tc>
          <w:tcPr>
            <w:tcW w:w="96" w:type="pct"/>
            <w:tcBorders>
              <w:top w:val="nil"/>
              <w:left w:val="nil"/>
              <w:bottom w:val="nil"/>
              <w:right w:val="nil"/>
            </w:tcBorders>
            <w:shd w:val="clear" w:color="000000" w:fill="FFFFFF"/>
            <w:noWrap/>
            <w:vAlign w:val="bottom"/>
            <w:hideMark/>
          </w:tcPr>
          <w:p w14:paraId="50ACB79A" w14:textId="77777777" w:rsidR="00A774D3" w:rsidRPr="00A774D3" w:rsidRDefault="00A774D3">
            <w:pPr>
              <w:jc w:val="center"/>
              <w:rPr>
                <w:rFonts w:asciiTheme="majorHAnsi" w:hAnsiTheme="majorHAnsi" w:cs="Arial"/>
                <w:b/>
                <w:bCs/>
                <w:sz w:val="16"/>
                <w:szCs w:val="16"/>
              </w:rPr>
            </w:pPr>
            <w:r w:rsidRPr="00A774D3">
              <w:rPr>
                <w:rFonts w:asciiTheme="majorHAnsi" w:hAnsiTheme="majorHAnsi" w:cs="Arial"/>
                <w:b/>
                <w:bCs/>
                <w:sz w:val="16"/>
                <w:szCs w:val="16"/>
              </w:rPr>
              <w:t> </w:t>
            </w:r>
          </w:p>
        </w:tc>
        <w:tc>
          <w:tcPr>
            <w:tcW w:w="962" w:type="pct"/>
            <w:tcBorders>
              <w:top w:val="nil"/>
              <w:left w:val="nil"/>
              <w:bottom w:val="nil"/>
              <w:right w:val="nil"/>
            </w:tcBorders>
            <w:shd w:val="clear" w:color="000000" w:fill="FFFFFF"/>
            <w:noWrap/>
            <w:vAlign w:val="bottom"/>
            <w:hideMark/>
          </w:tcPr>
          <w:p w14:paraId="0D0C7A52" w14:textId="77777777" w:rsidR="00A774D3" w:rsidRPr="00A774D3" w:rsidRDefault="00A774D3">
            <w:pPr>
              <w:jc w:val="center"/>
              <w:rPr>
                <w:rFonts w:asciiTheme="majorHAnsi" w:hAnsiTheme="majorHAnsi" w:cs="Arial"/>
                <w:b/>
                <w:bCs/>
                <w:sz w:val="16"/>
                <w:szCs w:val="16"/>
              </w:rPr>
            </w:pPr>
            <w:r w:rsidRPr="00A774D3">
              <w:rPr>
                <w:rFonts w:asciiTheme="majorHAnsi" w:hAnsiTheme="majorHAnsi" w:cs="Arial"/>
                <w:b/>
                <w:bCs/>
                <w:sz w:val="16"/>
                <w:szCs w:val="16"/>
              </w:rPr>
              <w:t> </w:t>
            </w:r>
          </w:p>
        </w:tc>
        <w:tc>
          <w:tcPr>
            <w:tcW w:w="679" w:type="pct"/>
            <w:tcBorders>
              <w:top w:val="nil"/>
              <w:left w:val="nil"/>
              <w:bottom w:val="nil"/>
              <w:right w:val="nil"/>
            </w:tcBorders>
            <w:shd w:val="clear" w:color="auto" w:fill="auto"/>
            <w:noWrap/>
            <w:vAlign w:val="bottom"/>
            <w:hideMark/>
          </w:tcPr>
          <w:p w14:paraId="32BD5A6E" w14:textId="77777777" w:rsidR="00A774D3" w:rsidRPr="00A774D3" w:rsidRDefault="00A774D3">
            <w:pPr>
              <w:jc w:val="right"/>
              <w:rPr>
                <w:rFonts w:asciiTheme="majorHAnsi" w:hAnsiTheme="majorHAnsi" w:cs="Arial"/>
                <w:b/>
                <w:bCs/>
                <w:sz w:val="16"/>
                <w:szCs w:val="16"/>
              </w:rPr>
            </w:pPr>
            <w:r w:rsidRPr="00A774D3">
              <w:rPr>
                <w:rFonts w:asciiTheme="majorHAnsi" w:hAnsiTheme="majorHAnsi" w:cs="Arial"/>
                <w:b/>
                <w:bCs/>
                <w:sz w:val="16"/>
                <w:szCs w:val="16"/>
              </w:rPr>
              <w:t>a 30/09/2021</w:t>
            </w:r>
          </w:p>
        </w:tc>
        <w:tc>
          <w:tcPr>
            <w:tcW w:w="934" w:type="pct"/>
            <w:tcBorders>
              <w:top w:val="nil"/>
              <w:left w:val="nil"/>
              <w:bottom w:val="nil"/>
              <w:right w:val="nil"/>
            </w:tcBorders>
            <w:shd w:val="clear" w:color="auto" w:fill="auto"/>
            <w:noWrap/>
            <w:vAlign w:val="bottom"/>
            <w:hideMark/>
          </w:tcPr>
          <w:p w14:paraId="2543021B" w14:textId="77777777" w:rsidR="00A774D3" w:rsidRPr="00A774D3" w:rsidRDefault="00A774D3">
            <w:pPr>
              <w:jc w:val="right"/>
              <w:rPr>
                <w:rFonts w:asciiTheme="majorHAnsi" w:hAnsiTheme="majorHAnsi" w:cs="Arial"/>
                <w:b/>
                <w:bCs/>
                <w:sz w:val="16"/>
                <w:szCs w:val="16"/>
              </w:rPr>
            </w:pPr>
            <w:r w:rsidRPr="00A774D3">
              <w:rPr>
                <w:rFonts w:asciiTheme="majorHAnsi" w:hAnsiTheme="majorHAnsi" w:cs="Arial"/>
                <w:b/>
                <w:bCs/>
                <w:sz w:val="16"/>
                <w:szCs w:val="16"/>
              </w:rPr>
              <w:t>a 30/09/2020</w:t>
            </w:r>
          </w:p>
        </w:tc>
      </w:tr>
      <w:tr w:rsidR="00A774D3" w:rsidRPr="00A774D3" w14:paraId="78F7281B" w14:textId="77777777" w:rsidTr="00A774D3">
        <w:trPr>
          <w:trHeight w:val="300"/>
        </w:trPr>
        <w:tc>
          <w:tcPr>
            <w:tcW w:w="2329" w:type="pct"/>
            <w:tcBorders>
              <w:top w:val="nil"/>
              <w:left w:val="nil"/>
              <w:bottom w:val="nil"/>
              <w:right w:val="nil"/>
            </w:tcBorders>
            <w:shd w:val="clear" w:color="000000" w:fill="FFFFFF"/>
            <w:noWrap/>
            <w:vAlign w:val="bottom"/>
            <w:hideMark/>
          </w:tcPr>
          <w:p w14:paraId="2A439624" w14:textId="77777777" w:rsidR="00A774D3" w:rsidRPr="00A774D3" w:rsidRDefault="00A774D3">
            <w:pPr>
              <w:jc w:val="center"/>
              <w:rPr>
                <w:rFonts w:asciiTheme="majorHAnsi" w:hAnsiTheme="majorHAnsi" w:cs="Arial"/>
                <w:b/>
                <w:bCs/>
                <w:sz w:val="16"/>
                <w:szCs w:val="16"/>
              </w:rPr>
            </w:pPr>
            <w:r w:rsidRPr="00A774D3">
              <w:rPr>
                <w:rFonts w:asciiTheme="majorHAnsi" w:hAnsiTheme="majorHAnsi" w:cs="Arial"/>
                <w:b/>
                <w:bCs/>
                <w:sz w:val="16"/>
                <w:szCs w:val="16"/>
              </w:rPr>
              <w:t> </w:t>
            </w:r>
          </w:p>
        </w:tc>
        <w:tc>
          <w:tcPr>
            <w:tcW w:w="96" w:type="pct"/>
            <w:tcBorders>
              <w:top w:val="nil"/>
              <w:left w:val="nil"/>
              <w:bottom w:val="nil"/>
              <w:right w:val="nil"/>
            </w:tcBorders>
            <w:shd w:val="clear" w:color="000000" w:fill="FFFFFF"/>
            <w:noWrap/>
            <w:vAlign w:val="bottom"/>
            <w:hideMark/>
          </w:tcPr>
          <w:p w14:paraId="7DE3BB31" w14:textId="77777777" w:rsidR="00A774D3" w:rsidRPr="00A774D3" w:rsidRDefault="00A774D3">
            <w:pPr>
              <w:jc w:val="center"/>
              <w:rPr>
                <w:rFonts w:asciiTheme="majorHAnsi" w:hAnsiTheme="majorHAnsi" w:cs="Arial"/>
                <w:b/>
                <w:bCs/>
                <w:sz w:val="16"/>
                <w:szCs w:val="16"/>
              </w:rPr>
            </w:pPr>
            <w:r w:rsidRPr="00A774D3">
              <w:rPr>
                <w:rFonts w:asciiTheme="majorHAnsi" w:hAnsiTheme="majorHAnsi" w:cs="Arial"/>
                <w:b/>
                <w:bCs/>
                <w:sz w:val="16"/>
                <w:szCs w:val="16"/>
              </w:rPr>
              <w:t> </w:t>
            </w:r>
          </w:p>
        </w:tc>
        <w:tc>
          <w:tcPr>
            <w:tcW w:w="962" w:type="pct"/>
            <w:tcBorders>
              <w:top w:val="nil"/>
              <w:left w:val="nil"/>
              <w:bottom w:val="nil"/>
              <w:right w:val="nil"/>
            </w:tcBorders>
            <w:shd w:val="clear" w:color="000000" w:fill="FFFFFF"/>
            <w:noWrap/>
            <w:vAlign w:val="bottom"/>
            <w:hideMark/>
          </w:tcPr>
          <w:p w14:paraId="24913805"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679" w:type="pct"/>
            <w:tcBorders>
              <w:top w:val="nil"/>
              <w:left w:val="nil"/>
              <w:bottom w:val="nil"/>
              <w:right w:val="nil"/>
            </w:tcBorders>
            <w:shd w:val="clear" w:color="000000" w:fill="FFFFFF"/>
            <w:noWrap/>
            <w:vAlign w:val="bottom"/>
            <w:hideMark/>
          </w:tcPr>
          <w:p w14:paraId="721EDCF9" w14:textId="77777777" w:rsidR="00A774D3" w:rsidRPr="00A774D3" w:rsidRDefault="00A774D3">
            <w:pPr>
              <w:jc w:val="right"/>
              <w:rPr>
                <w:rFonts w:asciiTheme="majorHAnsi" w:hAnsiTheme="majorHAnsi" w:cs="Arial"/>
                <w:b/>
                <w:bCs/>
                <w:sz w:val="16"/>
                <w:szCs w:val="16"/>
              </w:rPr>
            </w:pPr>
            <w:r w:rsidRPr="00A774D3">
              <w:rPr>
                <w:rFonts w:asciiTheme="majorHAnsi" w:hAnsiTheme="majorHAnsi" w:cs="Arial"/>
                <w:b/>
                <w:bCs/>
                <w:sz w:val="16"/>
                <w:szCs w:val="16"/>
              </w:rPr>
              <w:t> </w:t>
            </w:r>
          </w:p>
        </w:tc>
        <w:tc>
          <w:tcPr>
            <w:tcW w:w="934" w:type="pct"/>
            <w:tcBorders>
              <w:top w:val="nil"/>
              <w:left w:val="nil"/>
              <w:bottom w:val="nil"/>
              <w:right w:val="nil"/>
            </w:tcBorders>
            <w:shd w:val="clear" w:color="000000" w:fill="FFFFFF"/>
            <w:noWrap/>
            <w:vAlign w:val="bottom"/>
            <w:hideMark/>
          </w:tcPr>
          <w:p w14:paraId="25102F66" w14:textId="77777777" w:rsidR="00A774D3" w:rsidRPr="00A774D3" w:rsidRDefault="00A774D3">
            <w:pPr>
              <w:jc w:val="right"/>
              <w:rPr>
                <w:rFonts w:asciiTheme="majorHAnsi" w:hAnsiTheme="majorHAnsi" w:cs="Arial"/>
                <w:sz w:val="16"/>
                <w:szCs w:val="16"/>
              </w:rPr>
            </w:pPr>
            <w:r w:rsidRPr="00A774D3">
              <w:rPr>
                <w:rFonts w:asciiTheme="majorHAnsi" w:hAnsiTheme="majorHAnsi" w:cs="Arial"/>
                <w:sz w:val="16"/>
                <w:szCs w:val="16"/>
              </w:rPr>
              <w:t> </w:t>
            </w:r>
          </w:p>
        </w:tc>
      </w:tr>
      <w:tr w:rsidR="00A774D3" w:rsidRPr="00A774D3" w14:paraId="6A11EDED" w14:textId="77777777" w:rsidTr="00A774D3">
        <w:trPr>
          <w:trHeight w:val="300"/>
        </w:trPr>
        <w:tc>
          <w:tcPr>
            <w:tcW w:w="2329" w:type="pct"/>
            <w:tcBorders>
              <w:top w:val="nil"/>
              <w:left w:val="nil"/>
              <w:bottom w:val="nil"/>
              <w:right w:val="nil"/>
            </w:tcBorders>
            <w:shd w:val="clear" w:color="000000" w:fill="FFFFFF"/>
            <w:noWrap/>
            <w:vAlign w:val="bottom"/>
            <w:hideMark/>
          </w:tcPr>
          <w:p w14:paraId="3CCA7BA9" w14:textId="77777777" w:rsidR="00A774D3" w:rsidRPr="00A774D3" w:rsidRDefault="00A774D3">
            <w:pPr>
              <w:rPr>
                <w:rFonts w:asciiTheme="majorHAnsi" w:hAnsiTheme="majorHAnsi" w:cs="Arial"/>
                <w:b/>
                <w:bCs/>
                <w:sz w:val="16"/>
                <w:szCs w:val="16"/>
              </w:rPr>
            </w:pPr>
            <w:r w:rsidRPr="00A774D3">
              <w:rPr>
                <w:rFonts w:asciiTheme="majorHAnsi" w:hAnsiTheme="majorHAnsi" w:cs="Arial"/>
                <w:b/>
                <w:bCs/>
                <w:sz w:val="16"/>
                <w:szCs w:val="16"/>
              </w:rPr>
              <w:t>I. RECEITAS</w:t>
            </w:r>
          </w:p>
        </w:tc>
        <w:tc>
          <w:tcPr>
            <w:tcW w:w="96" w:type="pct"/>
            <w:tcBorders>
              <w:top w:val="nil"/>
              <w:left w:val="nil"/>
              <w:bottom w:val="nil"/>
              <w:right w:val="nil"/>
            </w:tcBorders>
            <w:shd w:val="clear" w:color="000000" w:fill="FFFFFF"/>
            <w:noWrap/>
            <w:vAlign w:val="bottom"/>
            <w:hideMark/>
          </w:tcPr>
          <w:p w14:paraId="3EF6D2F1" w14:textId="77777777" w:rsidR="00A774D3" w:rsidRPr="00A774D3" w:rsidRDefault="00A774D3">
            <w:pPr>
              <w:rPr>
                <w:rFonts w:asciiTheme="majorHAnsi" w:hAnsiTheme="majorHAnsi" w:cs="Arial"/>
                <w:b/>
                <w:bCs/>
                <w:sz w:val="16"/>
                <w:szCs w:val="16"/>
              </w:rPr>
            </w:pPr>
            <w:r w:rsidRPr="00A774D3">
              <w:rPr>
                <w:rFonts w:asciiTheme="majorHAnsi" w:hAnsiTheme="majorHAnsi" w:cs="Arial"/>
                <w:b/>
                <w:bCs/>
                <w:sz w:val="16"/>
                <w:szCs w:val="16"/>
              </w:rPr>
              <w:t> </w:t>
            </w:r>
          </w:p>
        </w:tc>
        <w:tc>
          <w:tcPr>
            <w:tcW w:w="962" w:type="pct"/>
            <w:tcBorders>
              <w:top w:val="nil"/>
              <w:left w:val="nil"/>
              <w:bottom w:val="nil"/>
              <w:right w:val="nil"/>
            </w:tcBorders>
            <w:shd w:val="clear" w:color="000000" w:fill="FFFFFF"/>
            <w:noWrap/>
            <w:vAlign w:val="bottom"/>
            <w:hideMark/>
          </w:tcPr>
          <w:p w14:paraId="1E074B82"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679" w:type="pct"/>
            <w:tcBorders>
              <w:top w:val="nil"/>
              <w:left w:val="nil"/>
              <w:bottom w:val="nil"/>
              <w:right w:val="nil"/>
            </w:tcBorders>
            <w:shd w:val="clear" w:color="000000" w:fill="FFFFFF"/>
            <w:noWrap/>
            <w:vAlign w:val="bottom"/>
            <w:hideMark/>
          </w:tcPr>
          <w:p w14:paraId="18E8798B" w14:textId="77777777" w:rsidR="00A774D3" w:rsidRPr="00A774D3" w:rsidRDefault="00A774D3">
            <w:pPr>
              <w:jc w:val="right"/>
              <w:rPr>
                <w:rFonts w:asciiTheme="majorHAnsi" w:hAnsiTheme="majorHAnsi" w:cs="Arial"/>
                <w:b/>
                <w:bCs/>
                <w:sz w:val="16"/>
                <w:szCs w:val="16"/>
              </w:rPr>
            </w:pPr>
            <w:r w:rsidRPr="00A774D3">
              <w:rPr>
                <w:rFonts w:asciiTheme="majorHAnsi" w:hAnsiTheme="majorHAnsi" w:cs="Arial"/>
                <w:b/>
                <w:bCs/>
                <w:sz w:val="16"/>
                <w:szCs w:val="16"/>
              </w:rPr>
              <w:t>104.417.743</w:t>
            </w:r>
          </w:p>
        </w:tc>
        <w:tc>
          <w:tcPr>
            <w:tcW w:w="934" w:type="pct"/>
            <w:tcBorders>
              <w:top w:val="nil"/>
              <w:left w:val="nil"/>
              <w:bottom w:val="nil"/>
              <w:right w:val="nil"/>
            </w:tcBorders>
            <w:shd w:val="clear" w:color="000000" w:fill="FFFFFF"/>
            <w:noWrap/>
            <w:vAlign w:val="bottom"/>
            <w:hideMark/>
          </w:tcPr>
          <w:p w14:paraId="298B8FA1" w14:textId="77777777" w:rsidR="00A774D3" w:rsidRPr="00A774D3" w:rsidRDefault="00A774D3">
            <w:pPr>
              <w:jc w:val="right"/>
              <w:rPr>
                <w:rFonts w:asciiTheme="majorHAnsi" w:hAnsiTheme="majorHAnsi" w:cs="Arial"/>
                <w:b/>
                <w:bCs/>
                <w:sz w:val="16"/>
                <w:szCs w:val="16"/>
              </w:rPr>
            </w:pPr>
            <w:r w:rsidRPr="00A774D3">
              <w:rPr>
                <w:rFonts w:asciiTheme="majorHAnsi" w:hAnsiTheme="majorHAnsi" w:cs="Arial"/>
                <w:b/>
                <w:bCs/>
                <w:sz w:val="16"/>
                <w:szCs w:val="16"/>
              </w:rPr>
              <w:t>101.054.265</w:t>
            </w:r>
          </w:p>
        </w:tc>
      </w:tr>
      <w:tr w:rsidR="00A774D3" w:rsidRPr="00A774D3" w14:paraId="20888A07" w14:textId="77777777" w:rsidTr="00A774D3">
        <w:trPr>
          <w:trHeight w:val="300"/>
        </w:trPr>
        <w:tc>
          <w:tcPr>
            <w:tcW w:w="2425" w:type="pct"/>
            <w:gridSpan w:val="2"/>
            <w:tcBorders>
              <w:top w:val="nil"/>
              <w:left w:val="nil"/>
              <w:bottom w:val="nil"/>
              <w:right w:val="nil"/>
            </w:tcBorders>
            <w:shd w:val="clear" w:color="000000" w:fill="FFFFFF"/>
            <w:noWrap/>
            <w:vAlign w:val="bottom"/>
            <w:hideMark/>
          </w:tcPr>
          <w:p w14:paraId="4CE18027"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xml:space="preserve">        Receitas de Exploração da Ferrovia</w:t>
            </w:r>
          </w:p>
        </w:tc>
        <w:tc>
          <w:tcPr>
            <w:tcW w:w="962" w:type="pct"/>
            <w:tcBorders>
              <w:top w:val="nil"/>
              <w:left w:val="nil"/>
              <w:bottom w:val="nil"/>
              <w:right w:val="nil"/>
            </w:tcBorders>
            <w:shd w:val="clear" w:color="000000" w:fill="FFFFFF"/>
            <w:noWrap/>
            <w:vAlign w:val="bottom"/>
            <w:hideMark/>
          </w:tcPr>
          <w:p w14:paraId="01FE36F5"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679" w:type="pct"/>
            <w:tcBorders>
              <w:top w:val="nil"/>
              <w:left w:val="nil"/>
              <w:bottom w:val="nil"/>
              <w:right w:val="nil"/>
            </w:tcBorders>
            <w:shd w:val="clear" w:color="000000" w:fill="FFFFFF"/>
            <w:noWrap/>
            <w:vAlign w:val="bottom"/>
            <w:hideMark/>
          </w:tcPr>
          <w:p w14:paraId="108EFFDE" w14:textId="77777777" w:rsidR="00A774D3" w:rsidRPr="00A774D3" w:rsidRDefault="00A774D3">
            <w:pPr>
              <w:jc w:val="right"/>
              <w:rPr>
                <w:rFonts w:asciiTheme="majorHAnsi" w:hAnsiTheme="majorHAnsi" w:cs="Arial"/>
                <w:sz w:val="16"/>
                <w:szCs w:val="16"/>
              </w:rPr>
            </w:pPr>
            <w:r w:rsidRPr="00A774D3">
              <w:rPr>
                <w:rFonts w:asciiTheme="majorHAnsi" w:hAnsiTheme="majorHAnsi" w:cs="Arial"/>
                <w:sz w:val="16"/>
                <w:szCs w:val="16"/>
              </w:rPr>
              <w:t>110.877</w:t>
            </w:r>
          </w:p>
        </w:tc>
        <w:tc>
          <w:tcPr>
            <w:tcW w:w="934" w:type="pct"/>
            <w:tcBorders>
              <w:top w:val="nil"/>
              <w:left w:val="nil"/>
              <w:bottom w:val="nil"/>
              <w:right w:val="nil"/>
            </w:tcBorders>
            <w:shd w:val="clear" w:color="000000" w:fill="FFFFFF"/>
            <w:noWrap/>
            <w:vAlign w:val="bottom"/>
            <w:hideMark/>
          </w:tcPr>
          <w:p w14:paraId="58FA973B" w14:textId="77777777" w:rsidR="00A774D3" w:rsidRPr="00A774D3" w:rsidRDefault="00A774D3">
            <w:pPr>
              <w:jc w:val="right"/>
              <w:rPr>
                <w:rFonts w:asciiTheme="majorHAnsi" w:hAnsiTheme="majorHAnsi" w:cs="Arial"/>
                <w:sz w:val="16"/>
                <w:szCs w:val="16"/>
              </w:rPr>
            </w:pPr>
            <w:r w:rsidRPr="00A774D3">
              <w:rPr>
                <w:rFonts w:asciiTheme="majorHAnsi" w:hAnsiTheme="majorHAnsi" w:cs="Arial"/>
                <w:sz w:val="16"/>
                <w:szCs w:val="16"/>
              </w:rPr>
              <w:t>6.251</w:t>
            </w:r>
          </w:p>
        </w:tc>
      </w:tr>
      <w:tr w:rsidR="00A774D3" w:rsidRPr="00A774D3" w14:paraId="6461629D" w14:textId="77777777" w:rsidTr="00A774D3">
        <w:trPr>
          <w:trHeight w:val="300"/>
        </w:trPr>
        <w:tc>
          <w:tcPr>
            <w:tcW w:w="2425" w:type="pct"/>
            <w:gridSpan w:val="2"/>
            <w:tcBorders>
              <w:top w:val="nil"/>
              <w:left w:val="nil"/>
              <w:bottom w:val="nil"/>
              <w:right w:val="nil"/>
            </w:tcBorders>
            <w:shd w:val="clear" w:color="000000" w:fill="FFFFFF"/>
            <w:noWrap/>
            <w:vAlign w:val="bottom"/>
            <w:hideMark/>
          </w:tcPr>
          <w:p w14:paraId="3123EEFC"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xml:space="preserve">        Permissões para uso de pátios</w:t>
            </w:r>
          </w:p>
        </w:tc>
        <w:tc>
          <w:tcPr>
            <w:tcW w:w="962" w:type="pct"/>
            <w:tcBorders>
              <w:top w:val="nil"/>
              <w:left w:val="nil"/>
              <w:bottom w:val="nil"/>
              <w:right w:val="nil"/>
            </w:tcBorders>
            <w:shd w:val="clear" w:color="000000" w:fill="FFFFFF"/>
            <w:noWrap/>
            <w:vAlign w:val="bottom"/>
            <w:hideMark/>
          </w:tcPr>
          <w:p w14:paraId="4A93F51D" w14:textId="77777777" w:rsidR="00A774D3" w:rsidRPr="00A774D3" w:rsidRDefault="00A774D3" w:rsidP="00A774D3">
            <w:pPr>
              <w:ind w:left="511"/>
              <w:rPr>
                <w:rFonts w:asciiTheme="majorHAnsi" w:hAnsiTheme="majorHAnsi" w:cs="Arial"/>
                <w:sz w:val="16"/>
                <w:szCs w:val="16"/>
              </w:rPr>
            </w:pPr>
            <w:r w:rsidRPr="00A774D3">
              <w:rPr>
                <w:rFonts w:asciiTheme="majorHAnsi" w:hAnsiTheme="majorHAnsi" w:cs="Arial"/>
                <w:sz w:val="16"/>
                <w:szCs w:val="16"/>
              </w:rPr>
              <w:t> </w:t>
            </w:r>
          </w:p>
        </w:tc>
        <w:tc>
          <w:tcPr>
            <w:tcW w:w="679" w:type="pct"/>
            <w:tcBorders>
              <w:top w:val="nil"/>
              <w:left w:val="nil"/>
              <w:bottom w:val="nil"/>
              <w:right w:val="nil"/>
            </w:tcBorders>
            <w:shd w:val="clear" w:color="000000" w:fill="FFFFFF"/>
            <w:noWrap/>
            <w:vAlign w:val="bottom"/>
            <w:hideMark/>
          </w:tcPr>
          <w:p w14:paraId="292F42E3" w14:textId="77777777" w:rsidR="00A774D3" w:rsidRPr="00A774D3" w:rsidRDefault="00A774D3">
            <w:pPr>
              <w:jc w:val="right"/>
              <w:rPr>
                <w:rFonts w:asciiTheme="majorHAnsi" w:hAnsiTheme="majorHAnsi" w:cs="Arial"/>
                <w:sz w:val="16"/>
                <w:szCs w:val="16"/>
              </w:rPr>
            </w:pPr>
            <w:r w:rsidRPr="00A774D3">
              <w:rPr>
                <w:rFonts w:asciiTheme="majorHAnsi" w:hAnsiTheme="majorHAnsi" w:cs="Arial"/>
                <w:sz w:val="16"/>
                <w:szCs w:val="16"/>
              </w:rPr>
              <w:t>1.905.712</w:t>
            </w:r>
          </w:p>
        </w:tc>
        <w:tc>
          <w:tcPr>
            <w:tcW w:w="934" w:type="pct"/>
            <w:tcBorders>
              <w:top w:val="nil"/>
              <w:left w:val="nil"/>
              <w:bottom w:val="nil"/>
              <w:right w:val="nil"/>
            </w:tcBorders>
            <w:shd w:val="clear" w:color="000000" w:fill="FFFFFF"/>
            <w:noWrap/>
            <w:vAlign w:val="bottom"/>
            <w:hideMark/>
          </w:tcPr>
          <w:p w14:paraId="1525C0C8" w14:textId="77777777" w:rsidR="00A774D3" w:rsidRPr="00A774D3" w:rsidRDefault="00A774D3">
            <w:pPr>
              <w:jc w:val="right"/>
              <w:rPr>
                <w:rFonts w:asciiTheme="majorHAnsi" w:hAnsiTheme="majorHAnsi" w:cs="Arial"/>
                <w:sz w:val="16"/>
                <w:szCs w:val="16"/>
              </w:rPr>
            </w:pPr>
            <w:r w:rsidRPr="00A774D3">
              <w:rPr>
                <w:rFonts w:asciiTheme="majorHAnsi" w:hAnsiTheme="majorHAnsi" w:cs="Arial"/>
                <w:sz w:val="16"/>
                <w:szCs w:val="16"/>
              </w:rPr>
              <w:t>1.395.411</w:t>
            </w:r>
          </w:p>
        </w:tc>
      </w:tr>
      <w:tr w:rsidR="00A774D3" w:rsidRPr="00A774D3" w14:paraId="0D56D75E" w14:textId="77777777" w:rsidTr="00A774D3">
        <w:trPr>
          <w:trHeight w:val="300"/>
        </w:trPr>
        <w:tc>
          <w:tcPr>
            <w:tcW w:w="2425" w:type="pct"/>
            <w:gridSpan w:val="2"/>
            <w:tcBorders>
              <w:top w:val="nil"/>
              <w:left w:val="nil"/>
              <w:bottom w:val="nil"/>
              <w:right w:val="nil"/>
            </w:tcBorders>
            <w:shd w:val="clear" w:color="000000" w:fill="FFFFFF"/>
            <w:noWrap/>
            <w:vAlign w:val="bottom"/>
            <w:hideMark/>
          </w:tcPr>
          <w:p w14:paraId="07111674" w14:textId="77777777" w:rsidR="00A774D3" w:rsidRPr="00A774D3" w:rsidRDefault="00A774D3">
            <w:pPr>
              <w:rPr>
                <w:rFonts w:asciiTheme="majorHAnsi" w:hAnsiTheme="majorHAnsi" w:cs="Arial"/>
                <w:b/>
                <w:bCs/>
                <w:sz w:val="16"/>
                <w:szCs w:val="16"/>
              </w:rPr>
            </w:pPr>
            <w:r w:rsidRPr="00A774D3">
              <w:rPr>
                <w:rFonts w:asciiTheme="majorHAnsi" w:hAnsiTheme="majorHAnsi" w:cs="Arial"/>
                <w:b/>
                <w:bCs/>
                <w:sz w:val="16"/>
                <w:szCs w:val="16"/>
              </w:rPr>
              <w:t xml:space="preserve">        </w:t>
            </w:r>
            <w:r w:rsidRPr="00A774D3">
              <w:rPr>
                <w:rFonts w:asciiTheme="majorHAnsi" w:hAnsiTheme="majorHAnsi" w:cs="Arial"/>
                <w:sz w:val="16"/>
                <w:szCs w:val="16"/>
              </w:rPr>
              <w:t>Repasses Recebidos (subvenções p/ custeio)</w:t>
            </w:r>
          </w:p>
        </w:tc>
        <w:tc>
          <w:tcPr>
            <w:tcW w:w="962" w:type="pct"/>
            <w:tcBorders>
              <w:top w:val="nil"/>
              <w:left w:val="nil"/>
              <w:bottom w:val="nil"/>
              <w:right w:val="nil"/>
            </w:tcBorders>
            <w:shd w:val="clear" w:color="000000" w:fill="FFFFFF"/>
            <w:noWrap/>
            <w:vAlign w:val="bottom"/>
            <w:hideMark/>
          </w:tcPr>
          <w:p w14:paraId="35970575"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679" w:type="pct"/>
            <w:tcBorders>
              <w:top w:val="nil"/>
              <w:left w:val="nil"/>
              <w:bottom w:val="nil"/>
              <w:right w:val="nil"/>
            </w:tcBorders>
            <w:shd w:val="clear" w:color="000000" w:fill="FFFFFF"/>
            <w:noWrap/>
            <w:vAlign w:val="bottom"/>
            <w:hideMark/>
          </w:tcPr>
          <w:p w14:paraId="7DB91E82" w14:textId="77777777" w:rsidR="00A774D3" w:rsidRPr="00A774D3" w:rsidRDefault="00A774D3">
            <w:pPr>
              <w:jc w:val="right"/>
              <w:rPr>
                <w:rFonts w:asciiTheme="majorHAnsi" w:hAnsiTheme="majorHAnsi" w:cs="Arial"/>
                <w:sz w:val="16"/>
                <w:szCs w:val="16"/>
              </w:rPr>
            </w:pPr>
            <w:r w:rsidRPr="00A774D3">
              <w:rPr>
                <w:rFonts w:asciiTheme="majorHAnsi" w:hAnsiTheme="majorHAnsi" w:cs="Arial"/>
                <w:sz w:val="16"/>
                <w:szCs w:val="16"/>
              </w:rPr>
              <w:t>102.401.154</w:t>
            </w:r>
          </w:p>
        </w:tc>
        <w:tc>
          <w:tcPr>
            <w:tcW w:w="934" w:type="pct"/>
            <w:tcBorders>
              <w:top w:val="nil"/>
              <w:left w:val="nil"/>
              <w:bottom w:val="nil"/>
              <w:right w:val="nil"/>
            </w:tcBorders>
            <w:shd w:val="clear" w:color="000000" w:fill="FFFFFF"/>
            <w:noWrap/>
            <w:vAlign w:val="bottom"/>
            <w:hideMark/>
          </w:tcPr>
          <w:p w14:paraId="41D46C98" w14:textId="77777777" w:rsidR="00A774D3" w:rsidRPr="00A774D3" w:rsidRDefault="00A774D3">
            <w:pPr>
              <w:jc w:val="right"/>
              <w:rPr>
                <w:rFonts w:asciiTheme="majorHAnsi" w:hAnsiTheme="majorHAnsi" w:cs="Arial"/>
                <w:sz w:val="16"/>
                <w:szCs w:val="16"/>
              </w:rPr>
            </w:pPr>
            <w:r w:rsidRPr="00A774D3">
              <w:rPr>
                <w:rFonts w:asciiTheme="majorHAnsi" w:hAnsiTheme="majorHAnsi" w:cs="Arial"/>
                <w:sz w:val="16"/>
                <w:szCs w:val="16"/>
              </w:rPr>
              <w:t>99.652.603</w:t>
            </w:r>
          </w:p>
        </w:tc>
      </w:tr>
      <w:tr w:rsidR="00A774D3" w:rsidRPr="00A774D3" w14:paraId="4D8FA29F" w14:textId="77777777" w:rsidTr="00A774D3">
        <w:trPr>
          <w:trHeight w:val="300"/>
        </w:trPr>
        <w:tc>
          <w:tcPr>
            <w:tcW w:w="2329" w:type="pct"/>
            <w:tcBorders>
              <w:top w:val="nil"/>
              <w:left w:val="nil"/>
              <w:bottom w:val="nil"/>
              <w:right w:val="nil"/>
            </w:tcBorders>
            <w:shd w:val="clear" w:color="000000" w:fill="FFFFFF"/>
            <w:noWrap/>
            <w:vAlign w:val="bottom"/>
            <w:hideMark/>
          </w:tcPr>
          <w:p w14:paraId="66209A7A" w14:textId="77777777" w:rsidR="00A774D3" w:rsidRPr="00A774D3" w:rsidRDefault="00A774D3">
            <w:pPr>
              <w:rPr>
                <w:rFonts w:asciiTheme="majorHAnsi" w:hAnsiTheme="majorHAnsi" w:cs="Arial"/>
                <w:b/>
                <w:bCs/>
                <w:sz w:val="16"/>
                <w:szCs w:val="16"/>
              </w:rPr>
            </w:pPr>
            <w:r w:rsidRPr="00A774D3">
              <w:rPr>
                <w:rFonts w:asciiTheme="majorHAnsi" w:hAnsiTheme="majorHAnsi" w:cs="Arial"/>
                <w:b/>
                <w:bCs/>
                <w:sz w:val="16"/>
                <w:szCs w:val="16"/>
              </w:rPr>
              <w:t>II. INSUMOS</w:t>
            </w:r>
          </w:p>
        </w:tc>
        <w:tc>
          <w:tcPr>
            <w:tcW w:w="96" w:type="pct"/>
            <w:tcBorders>
              <w:top w:val="nil"/>
              <w:left w:val="nil"/>
              <w:bottom w:val="nil"/>
              <w:right w:val="nil"/>
            </w:tcBorders>
            <w:shd w:val="clear" w:color="000000" w:fill="FFFFFF"/>
            <w:noWrap/>
            <w:vAlign w:val="bottom"/>
            <w:hideMark/>
          </w:tcPr>
          <w:p w14:paraId="0BD33A3A"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962" w:type="pct"/>
            <w:tcBorders>
              <w:top w:val="nil"/>
              <w:left w:val="nil"/>
              <w:bottom w:val="nil"/>
              <w:right w:val="nil"/>
            </w:tcBorders>
            <w:shd w:val="clear" w:color="000000" w:fill="FFFFFF"/>
            <w:noWrap/>
            <w:vAlign w:val="bottom"/>
            <w:hideMark/>
          </w:tcPr>
          <w:p w14:paraId="416D78DE"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679" w:type="pct"/>
            <w:tcBorders>
              <w:top w:val="nil"/>
              <w:left w:val="nil"/>
              <w:bottom w:val="nil"/>
              <w:right w:val="nil"/>
            </w:tcBorders>
            <w:shd w:val="clear" w:color="000000" w:fill="FFFFFF"/>
            <w:noWrap/>
            <w:vAlign w:val="bottom"/>
            <w:hideMark/>
          </w:tcPr>
          <w:p w14:paraId="1FC2C686" w14:textId="77777777" w:rsidR="00A774D3" w:rsidRPr="00A774D3" w:rsidRDefault="00A774D3">
            <w:pPr>
              <w:rPr>
                <w:rFonts w:asciiTheme="majorHAnsi" w:hAnsiTheme="majorHAnsi" w:cs="Arial"/>
                <w:b/>
                <w:bCs/>
                <w:sz w:val="16"/>
                <w:szCs w:val="16"/>
              </w:rPr>
            </w:pPr>
            <w:r w:rsidRPr="00A774D3">
              <w:rPr>
                <w:rFonts w:asciiTheme="majorHAnsi" w:hAnsiTheme="majorHAnsi" w:cs="Arial"/>
                <w:b/>
                <w:bCs/>
                <w:sz w:val="16"/>
                <w:szCs w:val="16"/>
              </w:rPr>
              <w:t xml:space="preserve">             70.544.835 </w:t>
            </w:r>
          </w:p>
        </w:tc>
        <w:tc>
          <w:tcPr>
            <w:tcW w:w="934" w:type="pct"/>
            <w:tcBorders>
              <w:top w:val="nil"/>
              <w:left w:val="nil"/>
              <w:bottom w:val="nil"/>
              <w:right w:val="nil"/>
            </w:tcBorders>
            <w:shd w:val="clear" w:color="000000" w:fill="FFFFFF"/>
            <w:noWrap/>
            <w:vAlign w:val="bottom"/>
            <w:hideMark/>
          </w:tcPr>
          <w:p w14:paraId="0E46CF69" w14:textId="77777777" w:rsidR="00A774D3" w:rsidRPr="00A774D3" w:rsidRDefault="00A774D3">
            <w:pPr>
              <w:rPr>
                <w:rFonts w:asciiTheme="majorHAnsi" w:hAnsiTheme="majorHAnsi" w:cs="Arial"/>
                <w:b/>
                <w:bCs/>
                <w:sz w:val="16"/>
                <w:szCs w:val="16"/>
              </w:rPr>
            </w:pPr>
            <w:r w:rsidRPr="00A774D3">
              <w:rPr>
                <w:rFonts w:asciiTheme="majorHAnsi" w:hAnsiTheme="majorHAnsi" w:cs="Arial"/>
                <w:b/>
                <w:bCs/>
                <w:sz w:val="16"/>
                <w:szCs w:val="16"/>
              </w:rPr>
              <w:t xml:space="preserve">                        197.117.177 </w:t>
            </w:r>
          </w:p>
        </w:tc>
      </w:tr>
      <w:tr w:rsidR="00A774D3" w:rsidRPr="00A774D3" w14:paraId="0DD44635" w14:textId="77777777" w:rsidTr="00A774D3">
        <w:trPr>
          <w:trHeight w:val="300"/>
        </w:trPr>
        <w:tc>
          <w:tcPr>
            <w:tcW w:w="2425" w:type="pct"/>
            <w:gridSpan w:val="2"/>
            <w:tcBorders>
              <w:top w:val="nil"/>
              <w:left w:val="nil"/>
              <w:bottom w:val="nil"/>
              <w:right w:val="nil"/>
            </w:tcBorders>
            <w:shd w:val="clear" w:color="000000" w:fill="FFFFFF"/>
            <w:noWrap/>
            <w:vAlign w:val="bottom"/>
            <w:hideMark/>
          </w:tcPr>
          <w:p w14:paraId="1A5E7F70" w14:textId="77777777" w:rsidR="00A774D3" w:rsidRPr="00A774D3" w:rsidRDefault="00A774D3">
            <w:pPr>
              <w:rPr>
                <w:rFonts w:asciiTheme="majorHAnsi" w:hAnsiTheme="majorHAnsi" w:cs="Arial"/>
                <w:b/>
                <w:bCs/>
                <w:sz w:val="16"/>
                <w:szCs w:val="16"/>
              </w:rPr>
            </w:pPr>
            <w:r w:rsidRPr="00A774D3">
              <w:rPr>
                <w:rFonts w:asciiTheme="majorHAnsi" w:hAnsiTheme="majorHAnsi" w:cs="Arial"/>
                <w:b/>
                <w:bCs/>
                <w:sz w:val="16"/>
                <w:szCs w:val="16"/>
              </w:rPr>
              <w:t xml:space="preserve">        </w:t>
            </w:r>
            <w:r w:rsidRPr="00A774D3">
              <w:rPr>
                <w:rFonts w:asciiTheme="majorHAnsi" w:hAnsiTheme="majorHAnsi" w:cs="Arial"/>
                <w:sz w:val="16"/>
                <w:szCs w:val="16"/>
              </w:rPr>
              <w:t>Materiais, Energia, Serviços de Terceiros e Outros</w:t>
            </w:r>
          </w:p>
        </w:tc>
        <w:tc>
          <w:tcPr>
            <w:tcW w:w="962" w:type="pct"/>
            <w:tcBorders>
              <w:top w:val="nil"/>
              <w:left w:val="nil"/>
              <w:bottom w:val="nil"/>
              <w:right w:val="nil"/>
            </w:tcBorders>
            <w:shd w:val="clear" w:color="000000" w:fill="FFFFFF"/>
            <w:noWrap/>
            <w:vAlign w:val="bottom"/>
            <w:hideMark/>
          </w:tcPr>
          <w:p w14:paraId="364B9EB7"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679" w:type="pct"/>
            <w:tcBorders>
              <w:top w:val="nil"/>
              <w:left w:val="nil"/>
              <w:bottom w:val="nil"/>
              <w:right w:val="nil"/>
            </w:tcBorders>
            <w:shd w:val="clear" w:color="000000" w:fill="FFFFFF"/>
            <w:noWrap/>
            <w:vAlign w:val="bottom"/>
            <w:hideMark/>
          </w:tcPr>
          <w:p w14:paraId="0E14A0B5"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xml:space="preserve">             70.544.835 </w:t>
            </w:r>
          </w:p>
        </w:tc>
        <w:tc>
          <w:tcPr>
            <w:tcW w:w="934" w:type="pct"/>
            <w:tcBorders>
              <w:top w:val="nil"/>
              <w:left w:val="nil"/>
              <w:bottom w:val="nil"/>
              <w:right w:val="nil"/>
            </w:tcBorders>
            <w:shd w:val="clear" w:color="000000" w:fill="FFFFFF"/>
            <w:noWrap/>
            <w:vAlign w:val="bottom"/>
            <w:hideMark/>
          </w:tcPr>
          <w:p w14:paraId="48660B82"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xml:space="preserve">                        197.117.177 </w:t>
            </w:r>
          </w:p>
        </w:tc>
      </w:tr>
      <w:tr w:rsidR="00A774D3" w:rsidRPr="00A774D3" w14:paraId="19DE08FD" w14:textId="77777777" w:rsidTr="00A774D3">
        <w:trPr>
          <w:trHeight w:val="300"/>
        </w:trPr>
        <w:tc>
          <w:tcPr>
            <w:tcW w:w="2425" w:type="pct"/>
            <w:gridSpan w:val="2"/>
            <w:tcBorders>
              <w:top w:val="nil"/>
              <w:left w:val="nil"/>
              <w:bottom w:val="nil"/>
              <w:right w:val="nil"/>
            </w:tcBorders>
            <w:shd w:val="clear" w:color="000000" w:fill="FFFFFF"/>
            <w:noWrap/>
            <w:vAlign w:val="bottom"/>
            <w:hideMark/>
          </w:tcPr>
          <w:p w14:paraId="05785B08" w14:textId="77777777" w:rsidR="00A774D3" w:rsidRPr="00A774D3" w:rsidRDefault="00A774D3">
            <w:pPr>
              <w:rPr>
                <w:rFonts w:asciiTheme="majorHAnsi" w:hAnsiTheme="majorHAnsi" w:cs="Arial"/>
                <w:b/>
                <w:bCs/>
                <w:sz w:val="16"/>
                <w:szCs w:val="16"/>
              </w:rPr>
            </w:pPr>
            <w:r w:rsidRPr="00A774D3">
              <w:rPr>
                <w:rFonts w:asciiTheme="majorHAnsi" w:hAnsiTheme="majorHAnsi" w:cs="Arial"/>
                <w:b/>
                <w:bCs/>
                <w:sz w:val="16"/>
                <w:szCs w:val="16"/>
              </w:rPr>
              <w:t>III. VALOR ADICIONADO BRUTO (I - II)</w:t>
            </w:r>
          </w:p>
        </w:tc>
        <w:tc>
          <w:tcPr>
            <w:tcW w:w="962" w:type="pct"/>
            <w:tcBorders>
              <w:top w:val="nil"/>
              <w:left w:val="nil"/>
              <w:bottom w:val="nil"/>
              <w:right w:val="nil"/>
            </w:tcBorders>
            <w:shd w:val="clear" w:color="000000" w:fill="FFFFFF"/>
            <w:noWrap/>
            <w:vAlign w:val="bottom"/>
            <w:hideMark/>
          </w:tcPr>
          <w:p w14:paraId="7548EA84"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679" w:type="pct"/>
            <w:tcBorders>
              <w:top w:val="nil"/>
              <w:left w:val="nil"/>
              <w:bottom w:val="nil"/>
              <w:right w:val="nil"/>
            </w:tcBorders>
            <w:shd w:val="clear" w:color="000000" w:fill="FFFFFF"/>
            <w:noWrap/>
            <w:vAlign w:val="bottom"/>
            <w:hideMark/>
          </w:tcPr>
          <w:p w14:paraId="0959B508" w14:textId="77777777" w:rsidR="00A774D3" w:rsidRPr="00A774D3" w:rsidRDefault="00A774D3">
            <w:pPr>
              <w:rPr>
                <w:rFonts w:asciiTheme="majorHAnsi" w:hAnsiTheme="majorHAnsi" w:cs="Arial"/>
                <w:b/>
                <w:bCs/>
                <w:sz w:val="16"/>
                <w:szCs w:val="16"/>
              </w:rPr>
            </w:pPr>
            <w:r w:rsidRPr="00A774D3">
              <w:rPr>
                <w:rFonts w:asciiTheme="majorHAnsi" w:hAnsiTheme="majorHAnsi" w:cs="Arial"/>
                <w:b/>
                <w:bCs/>
                <w:sz w:val="16"/>
                <w:szCs w:val="16"/>
              </w:rPr>
              <w:t xml:space="preserve">             33.872.908 </w:t>
            </w:r>
          </w:p>
        </w:tc>
        <w:tc>
          <w:tcPr>
            <w:tcW w:w="934" w:type="pct"/>
            <w:tcBorders>
              <w:top w:val="nil"/>
              <w:left w:val="nil"/>
              <w:bottom w:val="nil"/>
              <w:right w:val="nil"/>
            </w:tcBorders>
            <w:shd w:val="clear" w:color="000000" w:fill="FFFFFF"/>
            <w:noWrap/>
            <w:vAlign w:val="bottom"/>
            <w:hideMark/>
          </w:tcPr>
          <w:p w14:paraId="518296BF" w14:textId="77777777" w:rsidR="00A774D3" w:rsidRPr="00A774D3" w:rsidRDefault="00A774D3">
            <w:pPr>
              <w:rPr>
                <w:rFonts w:asciiTheme="majorHAnsi" w:hAnsiTheme="majorHAnsi" w:cs="Arial"/>
                <w:b/>
                <w:bCs/>
                <w:sz w:val="16"/>
                <w:szCs w:val="16"/>
              </w:rPr>
            </w:pPr>
            <w:r w:rsidRPr="00A774D3">
              <w:rPr>
                <w:rFonts w:asciiTheme="majorHAnsi" w:hAnsiTheme="majorHAnsi" w:cs="Arial"/>
                <w:b/>
                <w:bCs/>
                <w:sz w:val="16"/>
                <w:szCs w:val="16"/>
              </w:rPr>
              <w:t xml:space="preserve">                        (96.062.912)</w:t>
            </w:r>
          </w:p>
        </w:tc>
      </w:tr>
      <w:tr w:rsidR="00A774D3" w:rsidRPr="00A774D3" w14:paraId="0EAD9762" w14:textId="77777777" w:rsidTr="00A774D3">
        <w:trPr>
          <w:trHeight w:val="300"/>
        </w:trPr>
        <w:tc>
          <w:tcPr>
            <w:tcW w:w="2329" w:type="pct"/>
            <w:tcBorders>
              <w:top w:val="nil"/>
              <w:left w:val="nil"/>
              <w:bottom w:val="nil"/>
              <w:right w:val="nil"/>
            </w:tcBorders>
            <w:shd w:val="clear" w:color="000000" w:fill="FFFFFF"/>
            <w:noWrap/>
            <w:vAlign w:val="bottom"/>
            <w:hideMark/>
          </w:tcPr>
          <w:p w14:paraId="5CE30292" w14:textId="77777777" w:rsidR="00A774D3" w:rsidRPr="00A774D3" w:rsidRDefault="00A774D3">
            <w:pPr>
              <w:rPr>
                <w:rFonts w:asciiTheme="majorHAnsi" w:hAnsiTheme="majorHAnsi" w:cs="Arial"/>
                <w:b/>
                <w:bCs/>
                <w:sz w:val="16"/>
                <w:szCs w:val="16"/>
              </w:rPr>
            </w:pPr>
            <w:r w:rsidRPr="00A774D3">
              <w:rPr>
                <w:rFonts w:asciiTheme="majorHAnsi" w:hAnsiTheme="majorHAnsi" w:cs="Arial"/>
                <w:b/>
                <w:bCs/>
                <w:sz w:val="16"/>
                <w:szCs w:val="16"/>
              </w:rPr>
              <w:t>IV. RETENÇÕES</w:t>
            </w:r>
          </w:p>
        </w:tc>
        <w:tc>
          <w:tcPr>
            <w:tcW w:w="96" w:type="pct"/>
            <w:tcBorders>
              <w:top w:val="nil"/>
              <w:left w:val="nil"/>
              <w:bottom w:val="nil"/>
              <w:right w:val="nil"/>
            </w:tcBorders>
            <w:shd w:val="clear" w:color="000000" w:fill="FFFFFF"/>
            <w:noWrap/>
            <w:vAlign w:val="bottom"/>
            <w:hideMark/>
          </w:tcPr>
          <w:p w14:paraId="0BE68178"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962" w:type="pct"/>
            <w:tcBorders>
              <w:top w:val="nil"/>
              <w:left w:val="nil"/>
              <w:bottom w:val="nil"/>
              <w:right w:val="nil"/>
            </w:tcBorders>
            <w:shd w:val="clear" w:color="000000" w:fill="FFFFFF"/>
            <w:noWrap/>
            <w:vAlign w:val="bottom"/>
            <w:hideMark/>
          </w:tcPr>
          <w:p w14:paraId="250197AF"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679" w:type="pct"/>
            <w:tcBorders>
              <w:top w:val="nil"/>
              <w:left w:val="nil"/>
              <w:bottom w:val="nil"/>
              <w:right w:val="nil"/>
            </w:tcBorders>
            <w:shd w:val="clear" w:color="000000" w:fill="FFFFFF"/>
            <w:noWrap/>
            <w:vAlign w:val="bottom"/>
            <w:hideMark/>
          </w:tcPr>
          <w:p w14:paraId="4924EC2A" w14:textId="77777777" w:rsidR="00A774D3" w:rsidRPr="00A774D3" w:rsidRDefault="00A774D3">
            <w:pPr>
              <w:jc w:val="right"/>
              <w:rPr>
                <w:rFonts w:asciiTheme="majorHAnsi" w:hAnsiTheme="majorHAnsi" w:cs="Arial"/>
                <w:b/>
                <w:bCs/>
                <w:sz w:val="16"/>
                <w:szCs w:val="16"/>
              </w:rPr>
            </w:pPr>
            <w:r w:rsidRPr="00A774D3">
              <w:rPr>
                <w:rFonts w:asciiTheme="majorHAnsi" w:hAnsiTheme="majorHAnsi" w:cs="Arial"/>
                <w:b/>
                <w:bCs/>
                <w:sz w:val="16"/>
                <w:szCs w:val="16"/>
              </w:rPr>
              <w:t>8.961.193</w:t>
            </w:r>
          </w:p>
        </w:tc>
        <w:tc>
          <w:tcPr>
            <w:tcW w:w="934" w:type="pct"/>
            <w:tcBorders>
              <w:top w:val="nil"/>
              <w:left w:val="nil"/>
              <w:bottom w:val="nil"/>
              <w:right w:val="nil"/>
            </w:tcBorders>
            <w:shd w:val="clear" w:color="000000" w:fill="FFFFFF"/>
            <w:noWrap/>
            <w:vAlign w:val="bottom"/>
            <w:hideMark/>
          </w:tcPr>
          <w:p w14:paraId="2884EE10" w14:textId="77777777" w:rsidR="00A774D3" w:rsidRPr="00A774D3" w:rsidRDefault="00A774D3">
            <w:pPr>
              <w:jc w:val="right"/>
              <w:rPr>
                <w:rFonts w:asciiTheme="majorHAnsi" w:hAnsiTheme="majorHAnsi" w:cs="Arial"/>
                <w:b/>
                <w:bCs/>
                <w:sz w:val="16"/>
                <w:szCs w:val="16"/>
              </w:rPr>
            </w:pPr>
            <w:r w:rsidRPr="00A774D3">
              <w:rPr>
                <w:rFonts w:asciiTheme="majorHAnsi" w:hAnsiTheme="majorHAnsi" w:cs="Arial"/>
                <w:b/>
                <w:bCs/>
                <w:sz w:val="16"/>
                <w:szCs w:val="16"/>
              </w:rPr>
              <w:t>11.720.552</w:t>
            </w:r>
          </w:p>
        </w:tc>
      </w:tr>
      <w:tr w:rsidR="00A774D3" w:rsidRPr="00A774D3" w14:paraId="22B42E69" w14:textId="77777777" w:rsidTr="00A774D3">
        <w:trPr>
          <w:trHeight w:val="285"/>
        </w:trPr>
        <w:tc>
          <w:tcPr>
            <w:tcW w:w="2425" w:type="pct"/>
            <w:gridSpan w:val="2"/>
            <w:tcBorders>
              <w:top w:val="nil"/>
              <w:left w:val="nil"/>
              <w:bottom w:val="nil"/>
              <w:right w:val="nil"/>
            </w:tcBorders>
            <w:shd w:val="clear" w:color="000000" w:fill="FFFFFF"/>
            <w:noWrap/>
            <w:vAlign w:val="bottom"/>
            <w:hideMark/>
          </w:tcPr>
          <w:p w14:paraId="34954D97"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xml:space="preserve">        Depreciação e Amortização</w:t>
            </w:r>
          </w:p>
        </w:tc>
        <w:tc>
          <w:tcPr>
            <w:tcW w:w="962" w:type="pct"/>
            <w:tcBorders>
              <w:top w:val="nil"/>
              <w:left w:val="nil"/>
              <w:bottom w:val="nil"/>
              <w:right w:val="nil"/>
            </w:tcBorders>
            <w:shd w:val="clear" w:color="000000" w:fill="FFFFFF"/>
            <w:noWrap/>
            <w:vAlign w:val="bottom"/>
            <w:hideMark/>
          </w:tcPr>
          <w:p w14:paraId="5ECE5C2A"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679" w:type="pct"/>
            <w:tcBorders>
              <w:top w:val="nil"/>
              <w:left w:val="nil"/>
              <w:bottom w:val="nil"/>
              <w:right w:val="nil"/>
            </w:tcBorders>
            <w:shd w:val="clear" w:color="000000" w:fill="FFFFFF"/>
            <w:noWrap/>
            <w:vAlign w:val="bottom"/>
            <w:hideMark/>
          </w:tcPr>
          <w:p w14:paraId="2DB2ADF2" w14:textId="77777777" w:rsidR="00A774D3" w:rsidRPr="00A774D3" w:rsidRDefault="00A774D3">
            <w:pPr>
              <w:jc w:val="right"/>
              <w:rPr>
                <w:rFonts w:asciiTheme="majorHAnsi" w:hAnsiTheme="majorHAnsi" w:cs="Arial"/>
                <w:sz w:val="16"/>
                <w:szCs w:val="16"/>
              </w:rPr>
            </w:pPr>
            <w:r w:rsidRPr="00A774D3">
              <w:rPr>
                <w:rFonts w:asciiTheme="majorHAnsi" w:hAnsiTheme="majorHAnsi" w:cs="Arial"/>
                <w:sz w:val="16"/>
                <w:szCs w:val="16"/>
              </w:rPr>
              <w:t>4.698.894</w:t>
            </w:r>
          </w:p>
        </w:tc>
        <w:tc>
          <w:tcPr>
            <w:tcW w:w="934" w:type="pct"/>
            <w:tcBorders>
              <w:top w:val="nil"/>
              <w:left w:val="nil"/>
              <w:bottom w:val="nil"/>
              <w:right w:val="nil"/>
            </w:tcBorders>
            <w:shd w:val="clear" w:color="000000" w:fill="FFFFFF"/>
            <w:noWrap/>
            <w:vAlign w:val="bottom"/>
            <w:hideMark/>
          </w:tcPr>
          <w:p w14:paraId="3AC7EBF7" w14:textId="77777777" w:rsidR="00A774D3" w:rsidRPr="00A774D3" w:rsidRDefault="00A774D3">
            <w:pPr>
              <w:jc w:val="right"/>
              <w:rPr>
                <w:rFonts w:asciiTheme="majorHAnsi" w:hAnsiTheme="majorHAnsi" w:cs="Arial"/>
                <w:sz w:val="16"/>
                <w:szCs w:val="16"/>
              </w:rPr>
            </w:pPr>
            <w:r w:rsidRPr="00A774D3">
              <w:rPr>
                <w:rFonts w:asciiTheme="majorHAnsi" w:hAnsiTheme="majorHAnsi" w:cs="Arial"/>
                <w:sz w:val="16"/>
                <w:szCs w:val="16"/>
              </w:rPr>
              <w:t>5.991.510</w:t>
            </w:r>
          </w:p>
        </w:tc>
      </w:tr>
      <w:tr w:rsidR="00A774D3" w:rsidRPr="00A774D3" w14:paraId="246FDADA" w14:textId="77777777" w:rsidTr="00A774D3">
        <w:trPr>
          <w:trHeight w:val="285"/>
        </w:trPr>
        <w:tc>
          <w:tcPr>
            <w:tcW w:w="2425" w:type="pct"/>
            <w:gridSpan w:val="2"/>
            <w:tcBorders>
              <w:top w:val="nil"/>
              <w:left w:val="nil"/>
              <w:bottom w:val="nil"/>
              <w:right w:val="nil"/>
            </w:tcBorders>
            <w:shd w:val="clear" w:color="000000" w:fill="FFFFFF"/>
            <w:noWrap/>
            <w:vAlign w:val="bottom"/>
            <w:hideMark/>
          </w:tcPr>
          <w:p w14:paraId="75653727"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xml:space="preserve">        Depreciação de Direito de Uso</w:t>
            </w:r>
          </w:p>
        </w:tc>
        <w:tc>
          <w:tcPr>
            <w:tcW w:w="962" w:type="pct"/>
            <w:tcBorders>
              <w:top w:val="nil"/>
              <w:left w:val="nil"/>
              <w:bottom w:val="nil"/>
              <w:right w:val="nil"/>
            </w:tcBorders>
            <w:shd w:val="clear" w:color="000000" w:fill="FFFFFF"/>
            <w:noWrap/>
            <w:vAlign w:val="bottom"/>
            <w:hideMark/>
          </w:tcPr>
          <w:p w14:paraId="4701B82C"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679" w:type="pct"/>
            <w:tcBorders>
              <w:top w:val="nil"/>
              <w:left w:val="nil"/>
              <w:bottom w:val="nil"/>
              <w:right w:val="nil"/>
            </w:tcBorders>
            <w:shd w:val="clear" w:color="000000" w:fill="FFFFFF"/>
            <w:noWrap/>
            <w:vAlign w:val="bottom"/>
            <w:hideMark/>
          </w:tcPr>
          <w:p w14:paraId="28034421" w14:textId="77777777" w:rsidR="00A774D3" w:rsidRPr="00A774D3" w:rsidRDefault="00A774D3">
            <w:pPr>
              <w:jc w:val="right"/>
              <w:rPr>
                <w:rFonts w:asciiTheme="majorHAnsi" w:hAnsiTheme="majorHAnsi" w:cs="Arial"/>
                <w:sz w:val="16"/>
                <w:szCs w:val="16"/>
              </w:rPr>
            </w:pPr>
            <w:r w:rsidRPr="00A774D3">
              <w:rPr>
                <w:rFonts w:asciiTheme="majorHAnsi" w:hAnsiTheme="majorHAnsi" w:cs="Arial"/>
                <w:sz w:val="16"/>
                <w:szCs w:val="16"/>
              </w:rPr>
              <w:t>4.262.299</w:t>
            </w:r>
          </w:p>
        </w:tc>
        <w:tc>
          <w:tcPr>
            <w:tcW w:w="934" w:type="pct"/>
            <w:tcBorders>
              <w:top w:val="nil"/>
              <w:left w:val="nil"/>
              <w:bottom w:val="nil"/>
              <w:right w:val="nil"/>
            </w:tcBorders>
            <w:shd w:val="clear" w:color="000000" w:fill="FFFFFF"/>
            <w:noWrap/>
            <w:vAlign w:val="bottom"/>
            <w:hideMark/>
          </w:tcPr>
          <w:p w14:paraId="20597F28" w14:textId="77777777" w:rsidR="00A774D3" w:rsidRPr="00A774D3" w:rsidRDefault="00A774D3">
            <w:pPr>
              <w:jc w:val="right"/>
              <w:rPr>
                <w:rFonts w:asciiTheme="majorHAnsi" w:hAnsiTheme="majorHAnsi" w:cs="Arial"/>
                <w:sz w:val="16"/>
                <w:szCs w:val="16"/>
              </w:rPr>
            </w:pPr>
            <w:r w:rsidRPr="00A774D3">
              <w:rPr>
                <w:rFonts w:asciiTheme="majorHAnsi" w:hAnsiTheme="majorHAnsi" w:cs="Arial"/>
                <w:sz w:val="16"/>
                <w:szCs w:val="16"/>
              </w:rPr>
              <w:t>5.729.042</w:t>
            </w:r>
          </w:p>
        </w:tc>
      </w:tr>
      <w:tr w:rsidR="00A774D3" w:rsidRPr="00A774D3" w14:paraId="57A2F61D" w14:textId="77777777" w:rsidTr="00A774D3">
        <w:trPr>
          <w:trHeight w:val="300"/>
        </w:trPr>
        <w:tc>
          <w:tcPr>
            <w:tcW w:w="2425" w:type="pct"/>
            <w:gridSpan w:val="2"/>
            <w:tcBorders>
              <w:top w:val="nil"/>
              <w:left w:val="nil"/>
              <w:bottom w:val="nil"/>
              <w:right w:val="nil"/>
            </w:tcBorders>
            <w:shd w:val="clear" w:color="000000" w:fill="FFFFFF"/>
            <w:noWrap/>
            <w:vAlign w:val="bottom"/>
            <w:hideMark/>
          </w:tcPr>
          <w:p w14:paraId="123FCBF2" w14:textId="77777777" w:rsidR="00A774D3" w:rsidRPr="00A774D3" w:rsidRDefault="00A774D3">
            <w:pPr>
              <w:rPr>
                <w:rFonts w:asciiTheme="majorHAnsi" w:hAnsiTheme="majorHAnsi" w:cs="Arial"/>
                <w:b/>
                <w:bCs/>
                <w:sz w:val="16"/>
                <w:szCs w:val="16"/>
              </w:rPr>
            </w:pPr>
            <w:r w:rsidRPr="00A774D3">
              <w:rPr>
                <w:rFonts w:asciiTheme="majorHAnsi" w:hAnsiTheme="majorHAnsi" w:cs="Arial"/>
                <w:b/>
                <w:bCs/>
                <w:sz w:val="16"/>
                <w:szCs w:val="16"/>
              </w:rPr>
              <w:t>V. VALOR ADICIONADO LÍQUIDO PRODUZIDO PELA ENTIDADE (III - IV)</w:t>
            </w:r>
          </w:p>
        </w:tc>
        <w:tc>
          <w:tcPr>
            <w:tcW w:w="962" w:type="pct"/>
            <w:tcBorders>
              <w:top w:val="nil"/>
              <w:left w:val="nil"/>
              <w:bottom w:val="nil"/>
              <w:right w:val="nil"/>
            </w:tcBorders>
            <w:shd w:val="clear" w:color="000000" w:fill="FFFFFF"/>
            <w:noWrap/>
            <w:vAlign w:val="bottom"/>
            <w:hideMark/>
          </w:tcPr>
          <w:p w14:paraId="347FC035"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679" w:type="pct"/>
            <w:tcBorders>
              <w:top w:val="nil"/>
              <w:left w:val="nil"/>
              <w:bottom w:val="nil"/>
              <w:right w:val="nil"/>
            </w:tcBorders>
            <w:shd w:val="clear" w:color="000000" w:fill="FFFFFF"/>
            <w:noWrap/>
            <w:vAlign w:val="bottom"/>
            <w:hideMark/>
          </w:tcPr>
          <w:p w14:paraId="23FD7B0F" w14:textId="77777777" w:rsidR="00A774D3" w:rsidRPr="00A774D3" w:rsidRDefault="00A774D3">
            <w:pPr>
              <w:jc w:val="right"/>
              <w:rPr>
                <w:rFonts w:asciiTheme="majorHAnsi" w:hAnsiTheme="majorHAnsi" w:cs="Arial"/>
                <w:b/>
                <w:bCs/>
                <w:sz w:val="16"/>
                <w:szCs w:val="16"/>
              </w:rPr>
            </w:pPr>
            <w:r w:rsidRPr="00A774D3">
              <w:rPr>
                <w:rFonts w:asciiTheme="majorHAnsi" w:hAnsiTheme="majorHAnsi" w:cs="Arial"/>
                <w:b/>
                <w:bCs/>
                <w:sz w:val="16"/>
                <w:szCs w:val="16"/>
              </w:rPr>
              <w:t xml:space="preserve">             24.911.715 </w:t>
            </w:r>
          </w:p>
        </w:tc>
        <w:tc>
          <w:tcPr>
            <w:tcW w:w="934" w:type="pct"/>
            <w:tcBorders>
              <w:top w:val="nil"/>
              <w:left w:val="nil"/>
              <w:bottom w:val="nil"/>
              <w:right w:val="nil"/>
            </w:tcBorders>
            <w:shd w:val="clear" w:color="000000" w:fill="FFFFFF"/>
            <w:noWrap/>
            <w:vAlign w:val="bottom"/>
            <w:hideMark/>
          </w:tcPr>
          <w:p w14:paraId="4E66C511" w14:textId="77777777" w:rsidR="00A774D3" w:rsidRPr="00A774D3" w:rsidRDefault="00A774D3">
            <w:pPr>
              <w:rPr>
                <w:rFonts w:asciiTheme="majorHAnsi" w:hAnsiTheme="majorHAnsi" w:cs="Arial"/>
                <w:b/>
                <w:bCs/>
                <w:sz w:val="16"/>
                <w:szCs w:val="16"/>
              </w:rPr>
            </w:pPr>
            <w:r w:rsidRPr="00A774D3">
              <w:rPr>
                <w:rFonts w:asciiTheme="majorHAnsi" w:hAnsiTheme="majorHAnsi" w:cs="Arial"/>
                <w:b/>
                <w:bCs/>
                <w:sz w:val="16"/>
                <w:szCs w:val="16"/>
              </w:rPr>
              <w:t xml:space="preserve">                     (107.783.464)</w:t>
            </w:r>
          </w:p>
        </w:tc>
      </w:tr>
      <w:tr w:rsidR="00A774D3" w:rsidRPr="00A774D3" w14:paraId="0C678348" w14:textId="77777777" w:rsidTr="00A774D3">
        <w:trPr>
          <w:trHeight w:val="300"/>
        </w:trPr>
        <w:tc>
          <w:tcPr>
            <w:tcW w:w="2425" w:type="pct"/>
            <w:gridSpan w:val="2"/>
            <w:tcBorders>
              <w:top w:val="nil"/>
              <w:left w:val="nil"/>
              <w:bottom w:val="nil"/>
              <w:right w:val="nil"/>
            </w:tcBorders>
            <w:shd w:val="clear" w:color="000000" w:fill="FFFFFF"/>
            <w:noWrap/>
            <w:vAlign w:val="bottom"/>
            <w:hideMark/>
          </w:tcPr>
          <w:p w14:paraId="6412FB8C" w14:textId="77777777" w:rsidR="00A774D3" w:rsidRPr="00A774D3" w:rsidRDefault="00A774D3">
            <w:pPr>
              <w:rPr>
                <w:rFonts w:asciiTheme="majorHAnsi" w:hAnsiTheme="majorHAnsi" w:cs="Arial"/>
                <w:b/>
                <w:bCs/>
                <w:sz w:val="16"/>
                <w:szCs w:val="16"/>
              </w:rPr>
            </w:pPr>
            <w:r w:rsidRPr="00A774D3">
              <w:rPr>
                <w:rFonts w:asciiTheme="majorHAnsi" w:hAnsiTheme="majorHAnsi" w:cs="Arial"/>
                <w:b/>
                <w:bCs/>
                <w:sz w:val="16"/>
                <w:szCs w:val="16"/>
              </w:rPr>
              <w:t xml:space="preserve">VI. VALOR ADICIONADO RECEBIDO EM TRANSFERÊNCIAS </w:t>
            </w:r>
          </w:p>
        </w:tc>
        <w:tc>
          <w:tcPr>
            <w:tcW w:w="962" w:type="pct"/>
            <w:tcBorders>
              <w:top w:val="nil"/>
              <w:left w:val="nil"/>
              <w:bottom w:val="nil"/>
              <w:right w:val="nil"/>
            </w:tcBorders>
            <w:shd w:val="clear" w:color="000000" w:fill="FFFFFF"/>
            <w:noWrap/>
            <w:vAlign w:val="bottom"/>
            <w:hideMark/>
          </w:tcPr>
          <w:p w14:paraId="47490892"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679" w:type="pct"/>
            <w:tcBorders>
              <w:top w:val="nil"/>
              <w:left w:val="nil"/>
              <w:bottom w:val="nil"/>
              <w:right w:val="nil"/>
            </w:tcBorders>
            <w:shd w:val="clear" w:color="000000" w:fill="FFFFFF"/>
            <w:noWrap/>
            <w:vAlign w:val="bottom"/>
            <w:hideMark/>
          </w:tcPr>
          <w:p w14:paraId="57DA934B" w14:textId="77777777" w:rsidR="00A774D3" w:rsidRPr="00A774D3" w:rsidRDefault="00A774D3">
            <w:pPr>
              <w:rPr>
                <w:rFonts w:asciiTheme="majorHAnsi" w:hAnsiTheme="majorHAnsi" w:cs="Arial"/>
                <w:b/>
                <w:bCs/>
                <w:sz w:val="16"/>
                <w:szCs w:val="16"/>
              </w:rPr>
            </w:pPr>
            <w:r w:rsidRPr="00A774D3">
              <w:rPr>
                <w:rFonts w:asciiTheme="majorHAnsi" w:hAnsiTheme="majorHAnsi" w:cs="Arial"/>
                <w:b/>
                <w:bCs/>
                <w:sz w:val="16"/>
                <w:szCs w:val="16"/>
              </w:rPr>
              <w:t xml:space="preserve">           (28.577.371)</w:t>
            </w:r>
          </w:p>
        </w:tc>
        <w:tc>
          <w:tcPr>
            <w:tcW w:w="934" w:type="pct"/>
            <w:tcBorders>
              <w:top w:val="nil"/>
              <w:left w:val="nil"/>
              <w:bottom w:val="nil"/>
              <w:right w:val="nil"/>
            </w:tcBorders>
            <w:shd w:val="clear" w:color="000000" w:fill="FFFFFF"/>
            <w:noWrap/>
            <w:vAlign w:val="bottom"/>
            <w:hideMark/>
          </w:tcPr>
          <w:p w14:paraId="77517E4F" w14:textId="77777777" w:rsidR="00A774D3" w:rsidRPr="00A774D3" w:rsidRDefault="00A774D3">
            <w:pPr>
              <w:rPr>
                <w:rFonts w:asciiTheme="majorHAnsi" w:hAnsiTheme="majorHAnsi" w:cs="Arial"/>
                <w:b/>
                <w:bCs/>
                <w:sz w:val="16"/>
                <w:szCs w:val="16"/>
              </w:rPr>
            </w:pPr>
            <w:r w:rsidRPr="00A774D3">
              <w:rPr>
                <w:rFonts w:asciiTheme="majorHAnsi" w:hAnsiTheme="majorHAnsi" w:cs="Arial"/>
                <w:b/>
                <w:bCs/>
                <w:sz w:val="16"/>
                <w:szCs w:val="16"/>
              </w:rPr>
              <w:t xml:space="preserve">                        (16.954.075)</w:t>
            </w:r>
          </w:p>
        </w:tc>
      </w:tr>
      <w:tr w:rsidR="00A774D3" w:rsidRPr="00A774D3" w14:paraId="0A87503B" w14:textId="77777777" w:rsidTr="00A774D3">
        <w:trPr>
          <w:trHeight w:val="360"/>
        </w:trPr>
        <w:tc>
          <w:tcPr>
            <w:tcW w:w="2425" w:type="pct"/>
            <w:gridSpan w:val="2"/>
            <w:tcBorders>
              <w:top w:val="nil"/>
              <w:left w:val="nil"/>
              <w:bottom w:val="nil"/>
              <w:right w:val="nil"/>
            </w:tcBorders>
            <w:shd w:val="clear" w:color="000000" w:fill="FFFFFF"/>
            <w:noWrap/>
            <w:vAlign w:val="center"/>
            <w:hideMark/>
          </w:tcPr>
          <w:p w14:paraId="7A2407E4"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xml:space="preserve">        Receitas Financeiras</w:t>
            </w:r>
          </w:p>
        </w:tc>
        <w:tc>
          <w:tcPr>
            <w:tcW w:w="962" w:type="pct"/>
            <w:tcBorders>
              <w:top w:val="nil"/>
              <w:left w:val="nil"/>
              <w:bottom w:val="nil"/>
              <w:right w:val="nil"/>
            </w:tcBorders>
            <w:shd w:val="clear" w:color="000000" w:fill="FFFFFF"/>
            <w:noWrap/>
            <w:vAlign w:val="bottom"/>
            <w:hideMark/>
          </w:tcPr>
          <w:p w14:paraId="534FB282"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679" w:type="pct"/>
            <w:tcBorders>
              <w:top w:val="nil"/>
              <w:left w:val="nil"/>
              <w:bottom w:val="nil"/>
              <w:right w:val="nil"/>
            </w:tcBorders>
            <w:shd w:val="clear" w:color="000000" w:fill="FFFFFF"/>
            <w:noWrap/>
            <w:vAlign w:val="bottom"/>
            <w:hideMark/>
          </w:tcPr>
          <w:p w14:paraId="338008A8" w14:textId="77777777" w:rsidR="00A774D3" w:rsidRPr="00A774D3" w:rsidRDefault="00A774D3">
            <w:pPr>
              <w:jc w:val="right"/>
              <w:rPr>
                <w:rFonts w:asciiTheme="majorHAnsi" w:hAnsiTheme="majorHAnsi" w:cs="Arial"/>
                <w:sz w:val="16"/>
                <w:szCs w:val="16"/>
              </w:rPr>
            </w:pPr>
            <w:r w:rsidRPr="00A774D3">
              <w:rPr>
                <w:rFonts w:asciiTheme="majorHAnsi" w:hAnsiTheme="majorHAnsi" w:cs="Arial"/>
                <w:sz w:val="16"/>
                <w:szCs w:val="16"/>
              </w:rPr>
              <w:t>4.295.598</w:t>
            </w:r>
          </w:p>
        </w:tc>
        <w:tc>
          <w:tcPr>
            <w:tcW w:w="934" w:type="pct"/>
            <w:tcBorders>
              <w:top w:val="nil"/>
              <w:left w:val="nil"/>
              <w:bottom w:val="nil"/>
              <w:right w:val="nil"/>
            </w:tcBorders>
            <w:shd w:val="clear" w:color="000000" w:fill="FFFFFF"/>
            <w:noWrap/>
            <w:vAlign w:val="bottom"/>
            <w:hideMark/>
          </w:tcPr>
          <w:p w14:paraId="51D8F04B" w14:textId="77777777" w:rsidR="00A774D3" w:rsidRPr="00A774D3" w:rsidRDefault="00A774D3">
            <w:pPr>
              <w:jc w:val="right"/>
              <w:rPr>
                <w:rFonts w:asciiTheme="majorHAnsi" w:hAnsiTheme="majorHAnsi" w:cs="Arial"/>
                <w:sz w:val="16"/>
                <w:szCs w:val="16"/>
              </w:rPr>
            </w:pPr>
            <w:r w:rsidRPr="00A774D3">
              <w:rPr>
                <w:rFonts w:asciiTheme="majorHAnsi" w:hAnsiTheme="majorHAnsi" w:cs="Arial"/>
                <w:sz w:val="16"/>
                <w:szCs w:val="16"/>
              </w:rPr>
              <w:t xml:space="preserve">                            3.128.417 </w:t>
            </w:r>
          </w:p>
        </w:tc>
      </w:tr>
      <w:tr w:rsidR="00A774D3" w:rsidRPr="00A774D3" w14:paraId="17AC1FE4" w14:textId="77777777" w:rsidTr="00A774D3">
        <w:trPr>
          <w:trHeight w:val="360"/>
        </w:trPr>
        <w:tc>
          <w:tcPr>
            <w:tcW w:w="2329" w:type="pct"/>
            <w:tcBorders>
              <w:top w:val="nil"/>
              <w:left w:val="nil"/>
              <w:bottom w:val="nil"/>
              <w:right w:val="nil"/>
            </w:tcBorders>
            <w:shd w:val="clear" w:color="000000" w:fill="FFFFFF"/>
            <w:noWrap/>
            <w:vAlign w:val="center"/>
            <w:hideMark/>
          </w:tcPr>
          <w:p w14:paraId="041D98E4"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xml:space="preserve">        Doações</w:t>
            </w:r>
          </w:p>
        </w:tc>
        <w:tc>
          <w:tcPr>
            <w:tcW w:w="96" w:type="pct"/>
            <w:tcBorders>
              <w:top w:val="nil"/>
              <w:left w:val="nil"/>
              <w:bottom w:val="nil"/>
              <w:right w:val="nil"/>
            </w:tcBorders>
            <w:shd w:val="clear" w:color="000000" w:fill="FFFFFF"/>
            <w:noWrap/>
            <w:vAlign w:val="bottom"/>
            <w:hideMark/>
          </w:tcPr>
          <w:p w14:paraId="7E7F11CE"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962" w:type="pct"/>
            <w:tcBorders>
              <w:top w:val="nil"/>
              <w:left w:val="nil"/>
              <w:bottom w:val="nil"/>
              <w:right w:val="nil"/>
            </w:tcBorders>
            <w:shd w:val="clear" w:color="000000" w:fill="FFFFFF"/>
            <w:noWrap/>
            <w:vAlign w:val="bottom"/>
            <w:hideMark/>
          </w:tcPr>
          <w:p w14:paraId="6BDB07C4"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679" w:type="pct"/>
            <w:tcBorders>
              <w:top w:val="nil"/>
              <w:left w:val="nil"/>
              <w:bottom w:val="nil"/>
              <w:right w:val="nil"/>
            </w:tcBorders>
            <w:shd w:val="clear" w:color="000000" w:fill="FFFFFF"/>
            <w:noWrap/>
            <w:vAlign w:val="bottom"/>
            <w:hideMark/>
          </w:tcPr>
          <w:p w14:paraId="4CC5D4D3" w14:textId="77777777" w:rsidR="00A774D3" w:rsidRPr="00A774D3" w:rsidRDefault="00A774D3">
            <w:pPr>
              <w:jc w:val="right"/>
              <w:rPr>
                <w:rFonts w:asciiTheme="majorHAnsi" w:hAnsiTheme="majorHAnsi" w:cs="Arial"/>
                <w:sz w:val="16"/>
                <w:szCs w:val="16"/>
              </w:rPr>
            </w:pPr>
            <w:r w:rsidRPr="00A774D3">
              <w:rPr>
                <w:rFonts w:asciiTheme="majorHAnsi" w:hAnsiTheme="majorHAnsi" w:cs="Arial"/>
                <w:sz w:val="16"/>
                <w:szCs w:val="16"/>
              </w:rPr>
              <w:t>578.776</w:t>
            </w:r>
          </w:p>
        </w:tc>
        <w:tc>
          <w:tcPr>
            <w:tcW w:w="934" w:type="pct"/>
            <w:tcBorders>
              <w:top w:val="nil"/>
              <w:left w:val="nil"/>
              <w:bottom w:val="nil"/>
              <w:right w:val="nil"/>
            </w:tcBorders>
            <w:shd w:val="clear" w:color="000000" w:fill="FFFFFF"/>
            <w:noWrap/>
            <w:vAlign w:val="bottom"/>
            <w:hideMark/>
          </w:tcPr>
          <w:p w14:paraId="5C828EC6" w14:textId="77777777" w:rsidR="00A774D3" w:rsidRPr="00A774D3" w:rsidRDefault="00A774D3">
            <w:pPr>
              <w:jc w:val="right"/>
              <w:rPr>
                <w:rFonts w:asciiTheme="majorHAnsi" w:hAnsiTheme="majorHAnsi" w:cs="Arial"/>
                <w:sz w:val="16"/>
                <w:szCs w:val="16"/>
              </w:rPr>
            </w:pPr>
            <w:r w:rsidRPr="00A774D3">
              <w:rPr>
                <w:rFonts w:asciiTheme="majorHAnsi" w:hAnsiTheme="majorHAnsi" w:cs="Arial"/>
                <w:sz w:val="16"/>
                <w:szCs w:val="16"/>
              </w:rPr>
              <w:t xml:space="preserve">                                            -   </w:t>
            </w:r>
          </w:p>
        </w:tc>
      </w:tr>
      <w:tr w:rsidR="00A774D3" w:rsidRPr="00A774D3" w14:paraId="1EF4B63D" w14:textId="77777777" w:rsidTr="00A774D3">
        <w:trPr>
          <w:trHeight w:val="300"/>
        </w:trPr>
        <w:tc>
          <w:tcPr>
            <w:tcW w:w="2425" w:type="pct"/>
            <w:gridSpan w:val="2"/>
            <w:tcBorders>
              <w:top w:val="nil"/>
              <w:left w:val="nil"/>
              <w:bottom w:val="nil"/>
              <w:right w:val="nil"/>
            </w:tcBorders>
            <w:shd w:val="clear" w:color="000000" w:fill="FFFFFF"/>
            <w:noWrap/>
            <w:vAlign w:val="bottom"/>
            <w:hideMark/>
          </w:tcPr>
          <w:p w14:paraId="41503F20"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xml:space="preserve">        Repasse Concedido</w:t>
            </w:r>
          </w:p>
        </w:tc>
        <w:tc>
          <w:tcPr>
            <w:tcW w:w="962" w:type="pct"/>
            <w:tcBorders>
              <w:top w:val="nil"/>
              <w:left w:val="nil"/>
              <w:bottom w:val="nil"/>
              <w:right w:val="nil"/>
            </w:tcBorders>
            <w:shd w:val="clear" w:color="000000" w:fill="FFFFFF"/>
            <w:noWrap/>
            <w:vAlign w:val="bottom"/>
            <w:hideMark/>
          </w:tcPr>
          <w:p w14:paraId="3E928B89"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679" w:type="pct"/>
            <w:tcBorders>
              <w:top w:val="nil"/>
              <w:left w:val="nil"/>
              <w:bottom w:val="nil"/>
              <w:right w:val="nil"/>
            </w:tcBorders>
            <w:shd w:val="clear" w:color="000000" w:fill="FFFFFF"/>
            <w:noWrap/>
            <w:vAlign w:val="bottom"/>
            <w:hideMark/>
          </w:tcPr>
          <w:p w14:paraId="16FFE99A" w14:textId="77777777" w:rsidR="00A774D3" w:rsidRPr="00A774D3" w:rsidRDefault="00A774D3">
            <w:pPr>
              <w:jc w:val="right"/>
              <w:rPr>
                <w:rFonts w:asciiTheme="majorHAnsi" w:hAnsiTheme="majorHAnsi" w:cs="Arial"/>
                <w:sz w:val="16"/>
                <w:szCs w:val="16"/>
              </w:rPr>
            </w:pPr>
            <w:r w:rsidRPr="00A774D3">
              <w:rPr>
                <w:rFonts w:asciiTheme="majorHAnsi" w:hAnsiTheme="majorHAnsi" w:cs="Arial"/>
                <w:sz w:val="16"/>
                <w:szCs w:val="16"/>
              </w:rPr>
              <w:t xml:space="preserve">             (1.203.236)</w:t>
            </w:r>
          </w:p>
        </w:tc>
        <w:tc>
          <w:tcPr>
            <w:tcW w:w="934" w:type="pct"/>
            <w:tcBorders>
              <w:top w:val="nil"/>
              <w:left w:val="nil"/>
              <w:bottom w:val="nil"/>
              <w:right w:val="nil"/>
            </w:tcBorders>
            <w:shd w:val="clear" w:color="000000" w:fill="FFFFFF"/>
            <w:noWrap/>
            <w:vAlign w:val="bottom"/>
            <w:hideMark/>
          </w:tcPr>
          <w:p w14:paraId="72B182D2" w14:textId="77777777" w:rsidR="00A774D3" w:rsidRPr="00A774D3" w:rsidRDefault="00A774D3">
            <w:pPr>
              <w:jc w:val="right"/>
              <w:rPr>
                <w:rFonts w:asciiTheme="majorHAnsi" w:hAnsiTheme="majorHAnsi" w:cs="Arial"/>
                <w:sz w:val="16"/>
                <w:szCs w:val="16"/>
              </w:rPr>
            </w:pPr>
            <w:r w:rsidRPr="00A774D3">
              <w:rPr>
                <w:rFonts w:asciiTheme="majorHAnsi" w:hAnsiTheme="majorHAnsi" w:cs="Arial"/>
                <w:sz w:val="16"/>
                <w:szCs w:val="16"/>
              </w:rPr>
              <w:t xml:space="preserve">                                  (8.552)</w:t>
            </w:r>
          </w:p>
        </w:tc>
      </w:tr>
      <w:tr w:rsidR="00A774D3" w:rsidRPr="00A774D3" w14:paraId="333A8437" w14:textId="77777777" w:rsidTr="00A774D3">
        <w:trPr>
          <w:trHeight w:val="300"/>
        </w:trPr>
        <w:tc>
          <w:tcPr>
            <w:tcW w:w="2425" w:type="pct"/>
            <w:gridSpan w:val="2"/>
            <w:tcBorders>
              <w:top w:val="nil"/>
              <w:left w:val="nil"/>
              <w:bottom w:val="nil"/>
              <w:right w:val="nil"/>
            </w:tcBorders>
            <w:shd w:val="clear" w:color="000000" w:fill="FFFFFF"/>
            <w:noWrap/>
            <w:vAlign w:val="bottom"/>
            <w:hideMark/>
          </w:tcPr>
          <w:p w14:paraId="2D00170E" w14:textId="77777777" w:rsidR="00A774D3" w:rsidRPr="00A774D3" w:rsidRDefault="00A774D3">
            <w:pPr>
              <w:rPr>
                <w:rFonts w:asciiTheme="majorHAnsi" w:hAnsiTheme="majorHAnsi" w:cs="Arial"/>
                <w:b/>
                <w:bCs/>
                <w:sz w:val="16"/>
                <w:szCs w:val="16"/>
              </w:rPr>
            </w:pPr>
            <w:r w:rsidRPr="00A774D3">
              <w:rPr>
                <w:rFonts w:asciiTheme="majorHAnsi" w:hAnsiTheme="majorHAnsi" w:cs="Arial"/>
                <w:b/>
                <w:bCs/>
                <w:sz w:val="16"/>
                <w:szCs w:val="16"/>
              </w:rPr>
              <w:t xml:space="preserve">        </w:t>
            </w:r>
            <w:r w:rsidRPr="00A774D3">
              <w:rPr>
                <w:rFonts w:asciiTheme="majorHAnsi" w:hAnsiTheme="majorHAnsi" w:cs="Arial"/>
                <w:sz w:val="16"/>
                <w:szCs w:val="16"/>
              </w:rPr>
              <w:t>Resultado de Equivalência Patrimonial</w:t>
            </w:r>
          </w:p>
        </w:tc>
        <w:tc>
          <w:tcPr>
            <w:tcW w:w="962" w:type="pct"/>
            <w:tcBorders>
              <w:top w:val="nil"/>
              <w:left w:val="nil"/>
              <w:bottom w:val="nil"/>
              <w:right w:val="nil"/>
            </w:tcBorders>
            <w:shd w:val="clear" w:color="000000" w:fill="FFFFFF"/>
            <w:noWrap/>
            <w:vAlign w:val="bottom"/>
            <w:hideMark/>
          </w:tcPr>
          <w:p w14:paraId="77814634"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679" w:type="pct"/>
            <w:tcBorders>
              <w:top w:val="nil"/>
              <w:left w:val="nil"/>
              <w:bottom w:val="nil"/>
              <w:right w:val="nil"/>
            </w:tcBorders>
            <w:shd w:val="clear" w:color="000000" w:fill="FFFFFF"/>
            <w:noWrap/>
            <w:vAlign w:val="bottom"/>
            <w:hideMark/>
          </w:tcPr>
          <w:p w14:paraId="356F3C17" w14:textId="77777777" w:rsidR="00A774D3" w:rsidRPr="00A774D3" w:rsidRDefault="00A774D3">
            <w:pPr>
              <w:jc w:val="right"/>
              <w:rPr>
                <w:rFonts w:asciiTheme="majorHAnsi" w:hAnsiTheme="majorHAnsi" w:cs="Arial"/>
                <w:sz w:val="16"/>
                <w:szCs w:val="16"/>
              </w:rPr>
            </w:pPr>
            <w:r w:rsidRPr="00A774D3">
              <w:rPr>
                <w:rFonts w:asciiTheme="majorHAnsi" w:hAnsiTheme="majorHAnsi" w:cs="Arial"/>
                <w:sz w:val="16"/>
                <w:szCs w:val="16"/>
              </w:rPr>
              <w:t xml:space="preserve">           (32.248.507)</w:t>
            </w:r>
          </w:p>
        </w:tc>
        <w:tc>
          <w:tcPr>
            <w:tcW w:w="934" w:type="pct"/>
            <w:tcBorders>
              <w:top w:val="nil"/>
              <w:left w:val="nil"/>
              <w:bottom w:val="nil"/>
              <w:right w:val="nil"/>
            </w:tcBorders>
            <w:shd w:val="clear" w:color="000000" w:fill="FFFFFF"/>
            <w:noWrap/>
            <w:vAlign w:val="bottom"/>
            <w:hideMark/>
          </w:tcPr>
          <w:p w14:paraId="07611A4C" w14:textId="77777777" w:rsidR="00A774D3" w:rsidRPr="00A774D3" w:rsidRDefault="00A774D3">
            <w:pPr>
              <w:jc w:val="right"/>
              <w:rPr>
                <w:rFonts w:asciiTheme="majorHAnsi" w:hAnsiTheme="majorHAnsi" w:cs="Arial"/>
                <w:sz w:val="16"/>
                <w:szCs w:val="16"/>
              </w:rPr>
            </w:pPr>
            <w:r w:rsidRPr="00A774D3">
              <w:rPr>
                <w:rFonts w:asciiTheme="majorHAnsi" w:hAnsiTheme="majorHAnsi" w:cs="Arial"/>
                <w:sz w:val="16"/>
                <w:szCs w:val="16"/>
              </w:rPr>
              <w:t xml:space="preserve">                        (20.073.940)</w:t>
            </w:r>
          </w:p>
        </w:tc>
      </w:tr>
      <w:tr w:rsidR="00A774D3" w:rsidRPr="00A774D3" w14:paraId="62A5ACD4" w14:textId="77777777" w:rsidTr="00A774D3">
        <w:trPr>
          <w:trHeight w:val="300"/>
        </w:trPr>
        <w:tc>
          <w:tcPr>
            <w:tcW w:w="2425" w:type="pct"/>
            <w:gridSpan w:val="2"/>
            <w:tcBorders>
              <w:top w:val="nil"/>
              <w:left w:val="nil"/>
              <w:bottom w:val="nil"/>
              <w:right w:val="nil"/>
            </w:tcBorders>
            <w:shd w:val="clear" w:color="000000" w:fill="FFFFFF"/>
            <w:noWrap/>
            <w:vAlign w:val="bottom"/>
            <w:hideMark/>
          </w:tcPr>
          <w:p w14:paraId="235C9E6A" w14:textId="77777777" w:rsidR="00A774D3" w:rsidRPr="00A774D3" w:rsidRDefault="00A774D3">
            <w:pPr>
              <w:rPr>
                <w:rFonts w:asciiTheme="majorHAnsi" w:hAnsiTheme="majorHAnsi" w:cs="Arial"/>
                <w:b/>
                <w:bCs/>
                <w:sz w:val="16"/>
                <w:szCs w:val="16"/>
              </w:rPr>
            </w:pPr>
            <w:r w:rsidRPr="00A774D3">
              <w:rPr>
                <w:rFonts w:asciiTheme="majorHAnsi" w:hAnsiTheme="majorHAnsi" w:cs="Arial"/>
                <w:b/>
                <w:bCs/>
                <w:sz w:val="16"/>
                <w:szCs w:val="16"/>
              </w:rPr>
              <w:t>VII. VALOR ADICIONADO TOTAL A DISTRIBUIR (V + VI)</w:t>
            </w:r>
          </w:p>
        </w:tc>
        <w:tc>
          <w:tcPr>
            <w:tcW w:w="962" w:type="pct"/>
            <w:tcBorders>
              <w:top w:val="nil"/>
              <w:left w:val="nil"/>
              <w:bottom w:val="nil"/>
              <w:right w:val="nil"/>
            </w:tcBorders>
            <w:shd w:val="clear" w:color="000000" w:fill="FFFFFF"/>
            <w:noWrap/>
            <w:vAlign w:val="bottom"/>
            <w:hideMark/>
          </w:tcPr>
          <w:p w14:paraId="333609C5"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679" w:type="pct"/>
            <w:tcBorders>
              <w:top w:val="nil"/>
              <w:left w:val="nil"/>
              <w:bottom w:val="nil"/>
              <w:right w:val="nil"/>
            </w:tcBorders>
            <w:shd w:val="clear" w:color="000000" w:fill="FFFFFF"/>
            <w:noWrap/>
            <w:vAlign w:val="bottom"/>
            <w:hideMark/>
          </w:tcPr>
          <w:p w14:paraId="3B21AC6C" w14:textId="77777777" w:rsidR="00A774D3" w:rsidRPr="00A774D3" w:rsidRDefault="00A774D3">
            <w:pPr>
              <w:jc w:val="right"/>
              <w:rPr>
                <w:rFonts w:asciiTheme="majorHAnsi" w:hAnsiTheme="majorHAnsi" w:cs="Arial"/>
                <w:b/>
                <w:bCs/>
                <w:sz w:val="16"/>
                <w:szCs w:val="16"/>
              </w:rPr>
            </w:pPr>
            <w:r w:rsidRPr="00A774D3">
              <w:rPr>
                <w:rFonts w:asciiTheme="majorHAnsi" w:hAnsiTheme="majorHAnsi" w:cs="Arial"/>
                <w:b/>
                <w:bCs/>
                <w:sz w:val="16"/>
                <w:szCs w:val="16"/>
              </w:rPr>
              <w:t xml:space="preserve">             (3.665.656)</w:t>
            </w:r>
          </w:p>
        </w:tc>
        <w:tc>
          <w:tcPr>
            <w:tcW w:w="934" w:type="pct"/>
            <w:tcBorders>
              <w:top w:val="nil"/>
              <w:left w:val="nil"/>
              <w:bottom w:val="nil"/>
              <w:right w:val="nil"/>
            </w:tcBorders>
            <w:shd w:val="clear" w:color="000000" w:fill="FFFFFF"/>
            <w:noWrap/>
            <w:vAlign w:val="bottom"/>
            <w:hideMark/>
          </w:tcPr>
          <w:p w14:paraId="15E08D9E" w14:textId="77777777" w:rsidR="00A774D3" w:rsidRPr="00A774D3" w:rsidRDefault="00A774D3">
            <w:pPr>
              <w:jc w:val="right"/>
              <w:rPr>
                <w:rFonts w:asciiTheme="majorHAnsi" w:hAnsiTheme="majorHAnsi" w:cs="Arial"/>
                <w:b/>
                <w:bCs/>
                <w:sz w:val="16"/>
                <w:szCs w:val="16"/>
              </w:rPr>
            </w:pPr>
            <w:r w:rsidRPr="00A774D3">
              <w:rPr>
                <w:rFonts w:asciiTheme="majorHAnsi" w:hAnsiTheme="majorHAnsi" w:cs="Arial"/>
                <w:b/>
                <w:bCs/>
                <w:sz w:val="16"/>
                <w:szCs w:val="16"/>
              </w:rPr>
              <w:t xml:space="preserve">                     (124.737.539)</w:t>
            </w:r>
          </w:p>
        </w:tc>
      </w:tr>
      <w:tr w:rsidR="00A774D3" w:rsidRPr="00A774D3" w14:paraId="3A3C9E33" w14:textId="77777777" w:rsidTr="00A774D3">
        <w:trPr>
          <w:trHeight w:val="300"/>
        </w:trPr>
        <w:tc>
          <w:tcPr>
            <w:tcW w:w="2425" w:type="pct"/>
            <w:gridSpan w:val="2"/>
            <w:tcBorders>
              <w:top w:val="nil"/>
              <w:left w:val="nil"/>
              <w:bottom w:val="nil"/>
              <w:right w:val="nil"/>
            </w:tcBorders>
            <w:shd w:val="clear" w:color="000000" w:fill="FFFFFF"/>
            <w:noWrap/>
            <w:vAlign w:val="bottom"/>
            <w:hideMark/>
          </w:tcPr>
          <w:p w14:paraId="0A7FD254" w14:textId="77777777" w:rsidR="00A774D3" w:rsidRPr="00A774D3" w:rsidRDefault="00A774D3">
            <w:pPr>
              <w:rPr>
                <w:rFonts w:asciiTheme="majorHAnsi" w:hAnsiTheme="majorHAnsi" w:cs="Arial"/>
                <w:b/>
                <w:bCs/>
                <w:sz w:val="16"/>
                <w:szCs w:val="16"/>
              </w:rPr>
            </w:pPr>
            <w:r w:rsidRPr="00A774D3">
              <w:rPr>
                <w:rFonts w:asciiTheme="majorHAnsi" w:hAnsiTheme="majorHAnsi" w:cs="Arial"/>
                <w:b/>
                <w:bCs/>
                <w:sz w:val="16"/>
                <w:szCs w:val="16"/>
              </w:rPr>
              <w:t>VIII. DISTRIBUIÇÃO DO VALOR ADICIONADO</w:t>
            </w:r>
          </w:p>
        </w:tc>
        <w:tc>
          <w:tcPr>
            <w:tcW w:w="962" w:type="pct"/>
            <w:tcBorders>
              <w:top w:val="nil"/>
              <w:left w:val="nil"/>
              <w:bottom w:val="nil"/>
              <w:right w:val="nil"/>
            </w:tcBorders>
            <w:shd w:val="clear" w:color="000000" w:fill="FFFFFF"/>
            <w:noWrap/>
            <w:vAlign w:val="bottom"/>
            <w:hideMark/>
          </w:tcPr>
          <w:p w14:paraId="64B4A539"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679" w:type="pct"/>
            <w:tcBorders>
              <w:top w:val="nil"/>
              <w:left w:val="nil"/>
              <w:bottom w:val="nil"/>
              <w:right w:val="nil"/>
            </w:tcBorders>
            <w:shd w:val="clear" w:color="000000" w:fill="FFFFFF"/>
            <w:noWrap/>
            <w:vAlign w:val="bottom"/>
            <w:hideMark/>
          </w:tcPr>
          <w:p w14:paraId="01336B34" w14:textId="77777777" w:rsidR="00A774D3" w:rsidRPr="00A774D3" w:rsidRDefault="00A774D3">
            <w:pPr>
              <w:jc w:val="right"/>
              <w:rPr>
                <w:rFonts w:asciiTheme="majorHAnsi" w:hAnsiTheme="majorHAnsi" w:cs="Arial"/>
                <w:b/>
                <w:bCs/>
                <w:sz w:val="16"/>
                <w:szCs w:val="16"/>
              </w:rPr>
            </w:pPr>
            <w:r w:rsidRPr="00A774D3">
              <w:rPr>
                <w:rFonts w:asciiTheme="majorHAnsi" w:hAnsiTheme="majorHAnsi" w:cs="Arial"/>
                <w:b/>
                <w:bCs/>
                <w:sz w:val="16"/>
                <w:szCs w:val="16"/>
              </w:rPr>
              <w:t xml:space="preserve">             (3.665.656)</w:t>
            </w:r>
          </w:p>
        </w:tc>
        <w:tc>
          <w:tcPr>
            <w:tcW w:w="934" w:type="pct"/>
            <w:tcBorders>
              <w:top w:val="nil"/>
              <w:left w:val="nil"/>
              <w:bottom w:val="nil"/>
              <w:right w:val="nil"/>
            </w:tcBorders>
            <w:shd w:val="clear" w:color="000000" w:fill="FFFFFF"/>
            <w:noWrap/>
            <w:vAlign w:val="bottom"/>
            <w:hideMark/>
          </w:tcPr>
          <w:p w14:paraId="2CA46828" w14:textId="77777777" w:rsidR="00A774D3" w:rsidRPr="00A774D3" w:rsidRDefault="00A774D3">
            <w:pPr>
              <w:jc w:val="right"/>
              <w:rPr>
                <w:rFonts w:asciiTheme="majorHAnsi" w:hAnsiTheme="majorHAnsi" w:cs="Arial"/>
                <w:b/>
                <w:bCs/>
                <w:sz w:val="16"/>
                <w:szCs w:val="16"/>
              </w:rPr>
            </w:pPr>
            <w:r w:rsidRPr="00A774D3">
              <w:rPr>
                <w:rFonts w:asciiTheme="majorHAnsi" w:hAnsiTheme="majorHAnsi" w:cs="Arial"/>
                <w:b/>
                <w:bCs/>
                <w:sz w:val="16"/>
                <w:szCs w:val="16"/>
              </w:rPr>
              <w:t xml:space="preserve">                     (124.737.539)</w:t>
            </w:r>
          </w:p>
        </w:tc>
      </w:tr>
      <w:tr w:rsidR="00A774D3" w:rsidRPr="00A774D3" w14:paraId="4A909998" w14:textId="77777777" w:rsidTr="00A774D3">
        <w:trPr>
          <w:trHeight w:val="300"/>
        </w:trPr>
        <w:tc>
          <w:tcPr>
            <w:tcW w:w="2329" w:type="pct"/>
            <w:tcBorders>
              <w:top w:val="nil"/>
              <w:left w:val="nil"/>
              <w:bottom w:val="nil"/>
              <w:right w:val="nil"/>
            </w:tcBorders>
            <w:shd w:val="clear" w:color="000000" w:fill="FFFFFF"/>
            <w:noWrap/>
            <w:vAlign w:val="bottom"/>
            <w:hideMark/>
          </w:tcPr>
          <w:p w14:paraId="2D446898" w14:textId="77777777" w:rsidR="00A774D3" w:rsidRPr="00A774D3" w:rsidRDefault="00A774D3">
            <w:pPr>
              <w:rPr>
                <w:rFonts w:asciiTheme="majorHAnsi" w:hAnsiTheme="majorHAnsi" w:cs="Arial"/>
                <w:sz w:val="16"/>
                <w:szCs w:val="16"/>
              </w:rPr>
            </w:pPr>
            <w:r w:rsidRPr="00A774D3">
              <w:rPr>
                <w:rFonts w:asciiTheme="majorHAnsi" w:hAnsiTheme="majorHAnsi" w:cs="Arial"/>
                <w:b/>
                <w:bCs/>
                <w:sz w:val="16"/>
                <w:szCs w:val="16"/>
              </w:rPr>
              <w:t>VIII. 1 PESSOAL</w:t>
            </w:r>
            <w:r w:rsidRPr="00A774D3">
              <w:rPr>
                <w:rFonts w:asciiTheme="majorHAnsi" w:hAnsiTheme="majorHAnsi" w:cs="Arial"/>
                <w:sz w:val="16"/>
                <w:szCs w:val="16"/>
              </w:rPr>
              <w:t xml:space="preserve">   </w:t>
            </w:r>
          </w:p>
        </w:tc>
        <w:tc>
          <w:tcPr>
            <w:tcW w:w="96" w:type="pct"/>
            <w:tcBorders>
              <w:top w:val="nil"/>
              <w:left w:val="nil"/>
              <w:bottom w:val="nil"/>
              <w:right w:val="nil"/>
            </w:tcBorders>
            <w:shd w:val="clear" w:color="000000" w:fill="FFFFFF"/>
            <w:noWrap/>
            <w:vAlign w:val="bottom"/>
            <w:hideMark/>
          </w:tcPr>
          <w:p w14:paraId="346D4FCF"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962" w:type="pct"/>
            <w:tcBorders>
              <w:top w:val="nil"/>
              <w:left w:val="nil"/>
              <w:bottom w:val="nil"/>
              <w:right w:val="nil"/>
            </w:tcBorders>
            <w:shd w:val="clear" w:color="000000" w:fill="FFFFFF"/>
            <w:noWrap/>
            <w:vAlign w:val="bottom"/>
            <w:hideMark/>
          </w:tcPr>
          <w:p w14:paraId="609B81B4"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679" w:type="pct"/>
            <w:tcBorders>
              <w:top w:val="nil"/>
              <w:left w:val="nil"/>
              <w:bottom w:val="nil"/>
              <w:right w:val="nil"/>
            </w:tcBorders>
            <w:shd w:val="clear" w:color="000000" w:fill="FFFFFF"/>
            <w:noWrap/>
            <w:vAlign w:val="bottom"/>
            <w:hideMark/>
          </w:tcPr>
          <w:p w14:paraId="48CBB77F" w14:textId="77777777" w:rsidR="00A774D3" w:rsidRPr="00A774D3" w:rsidRDefault="00A774D3">
            <w:pPr>
              <w:jc w:val="right"/>
              <w:rPr>
                <w:rFonts w:asciiTheme="majorHAnsi" w:hAnsiTheme="majorHAnsi" w:cs="Arial"/>
                <w:b/>
                <w:bCs/>
                <w:sz w:val="16"/>
                <w:szCs w:val="16"/>
              </w:rPr>
            </w:pPr>
            <w:r w:rsidRPr="00A774D3">
              <w:rPr>
                <w:rFonts w:asciiTheme="majorHAnsi" w:hAnsiTheme="majorHAnsi" w:cs="Arial"/>
                <w:b/>
                <w:bCs/>
                <w:sz w:val="16"/>
                <w:szCs w:val="16"/>
              </w:rPr>
              <w:t>81.125.821</w:t>
            </w:r>
          </w:p>
        </w:tc>
        <w:tc>
          <w:tcPr>
            <w:tcW w:w="934" w:type="pct"/>
            <w:tcBorders>
              <w:top w:val="nil"/>
              <w:left w:val="nil"/>
              <w:bottom w:val="nil"/>
              <w:right w:val="nil"/>
            </w:tcBorders>
            <w:shd w:val="clear" w:color="000000" w:fill="FFFFFF"/>
            <w:noWrap/>
            <w:vAlign w:val="bottom"/>
            <w:hideMark/>
          </w:tcPr>
          <w:p w14:paraId="4A4B6C8F" w14:textId="77777777" w:rsidR="00A774D3" w:rsidRPr="00A774D3" w:rsidRDefault="00A774D3">
            <w:pPr>
              <w:jc w:val="right"/>
              <w:rPr>
                <w:rFonts w:asciiTheme="majorHAnsi" w:hAnsiTheme="majorHAnsi" w:cs="Arial"/>
                <w:b/>
                <w:bCs/>
                <w:sz w:val="16"/>
                <w:szCs w:val="16"/>
              </w:rPr>
            </w:pPr>
            <w:r w:rsidRPr="00A774D3">
              <w:rPr>
                <w:rFonts w:asciiTheme="majorHAnsi" w:hAnsiTheme="majorHAnsi" w:cs="Arial"/>
                <w:b/>
                <w:bCs/>
                <w:sz w:val="16"/>
                <w:szCs w:val="16"/>
              </w:rPr>
              <w:t>331.076.926</w:t>
            </w:r>
          </w:p>
        </w:tc>
      </w:tr>
      <w:tr w:rsidR="00A774D3" w:rsidRPr="00A774D3" w14:paraId="2F785CCA" w14:textId="77777777" w:rsidTr="00A774D3">
        <w:trPr>
          <w:trHeight w:val="300"/>
        </w:trPr>
        <w:tc>
          <w:tcPr>
            <w:tcW w:w="2425" w:type="pct"/>
            <w:gridSpan w:val="2"/>
            <w:tcBorders>
              <w:top w:val="nil"/>
              <w:left w:val="nil"/>
              <w:bottom w:val="nil"/>
              <w:right w:val="nil"/>
            </w:tcBorders>
            <w:shd w:val="clear" w:color="000000" w:fill="FFFFFF"/>
            <w:noWrap/>
            <w:vAlign w:val="bottom"/>
            <w:hideMark/>
          </w:tcPr>
          <w:p w14:paraId="2861286C" w14:textId="77777777" w:rsidR="00A774D3" w:rsidRPr="00A774D3" w:rsidRDefault="00A774D3">
            <w:pPr>
              <w:rPr>
                <w:rFonts w:asciiTheme="majorHAnsi" w:hAnsiTheme="majorHAnsi" w:cs="Arial"/>
                <w:b/>
                <w:bCs/>
                <w:sz w:val="16"/>
                <w:szCs w:val="16"/>
              </w:rPr>
            </w:pPr>
            <w:r w:rsidRPr="00A774D3">
              <w:rPr>
                <w:rFonts w:asciiTheme="majorHAnsi" w:hAnsiTheme="majorHAnsi" w:cs="Arial"/>
                <w:b/>
                <w:bCs/>
                <w:sz w:val="16"/>
                <w:szCs w:val="16"/>
              </w:rPr>
              <w:t xml:space="preserve">         </w:t>
            </w:r>
            <w:r w:rsidRPr="00A774D3">
              <w:rPr>
                <w:rFonts w:asciiTheme="majorHAnsi" w:hAnsiTheme="majorHAnsi" w:cs="Arial"/>
                <w:sz w:val="16"/>
                <w:szCs w:val="16"/>
              </w:rPr>
              <w:t>Remuneração Direta</w:t>
            </w:r>
          </w:p>
        </w:tc>
        <w:tc>
          <w:tcPr>
            <w:tcW w:w="962" w:type="pct"/>
            <w:tcBorders>
              <w:top w:val="nil"/>
              <w:left w:val="nil"/>
              <w:bottom w:val="nil"/>
              <w:right w:val="nil"/>
            </w:tcBorders>
            <w:shd w:val="clear" w:color="000000" w:fill="FFFFFF"/>
            <w:noWrap/>
            <w:vAlign w:val="bottom"/>
            <w:hideMark/>
          </w:tcPr>
          <w:p w14:paraId="325886A9"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679" w:type="pct"/>
            <w:tcBorders>
              <w:top w:val="nil"/>
              <w:left w:val="nil"/>
              <w:bottom w:val="nil"/>
              <w:right w:val="nil"/>
            </w:tcBorders>
            <w:shd w:val="clear" w:color="000000" w:fill="FFFFFF"/>
            <w:noWrap/>
            <w:vAlign w:val="bottom"/>
            <w:hideMark/>
          </w:tcPr>
          <w:p w14:paraId="0932C98E" w14:textId="77777777" w:rsidR="00A774D3" w:rsidRPr="00A774D3" w:rsidRDefault="00A774D3">
            <w:pPr>
              <w:jc w:val="right"/>
              <w:rPr>
                <w:rFonts w:asciiTheme="majorHAnsi" w:hAnsiTheme="majorHAnsi" w:cs="Arial"/>
                <w:sz w:val="16"/>
                <w:szCs w:val="16"/>
              </w:rPr>
            </w:pPr>
            <w:r w:rsidRPr="00A774D3">
              <w:rPr>
                <w:rFonts w:asciiTheme="majorHAnsi" w:hAnsiTheme="majorHAnsi" w:cs="Arial"/>
                <w:sz w:val="16"/>
                <w:szCs w:val="16"/>
              </w:rPr>
              <w:t>68.108.102</w:t>
            </w:r>
          </w:p>
        </w:tc>
        <w:tc>
          <w:tcPr>
            <w:tcW w:w="934" w:type="pct"/>
            <w:tcBorders>
              <w:top w:val="nil"/>
              <w:left w:val="nil"/>
              <w:bottom w:val="nil"/>
              <w:right w:val="nil"/>
            </w:tcBorders>
            <w:shd w:val="clear" w:color="000000" w:fill="FFFFFF"/>
            <w:noWrap/>
            <w:vAlign w:val="bottom"/>
            <w:hideMark/>
          </w:tcPr>
          <w:p w14:paraId="7C6AFCFC" w14:textId="77777777" w:rsidR="00A774D3" w:rsidRPr="00A774D3" w:rsidRDefault="00A774D3">
            <w:pPr>
              <w:jc w:val="right"/>
              <w:rPr>
                <w:rFonts w:asciiTheme="majorHAnsi" w:hAnsiTheme="majorHAnsi" w:cs="Arial"/>
                <w:sz w:val="16"/>
                <w:szCs w:val="16"/>
              </w:rPr>
            </w:pPr>
            <w:r w:rsidRPr="00A774D3">
              <w:rPr>
                <w:rFonts w:asciiTheme="majorHAnsi" w:hAnsiTheme="majorHAnsi" w:cs="Arial"/>
                <w:sz w:val="16"/>
                <w:szCs w:val="16"/>
              </w:rPr>
              <w:t>317.860.314</w:t>
            </w:r>
          </w:p>
        </w:tc>
      </w:tr>
      <w:tr w:rsidR="00A774D3" w:rsidRPr="00A774D3" w14:paraId="6E9FAFC6" w14:textId="77777777" w:rsidTr="00A774D3">
        <w:trPr>
          <w:trHeight w:val="300"/>
        </w:trPr>
        <w:tc>
          <w:tcPr>
            <w:tcW w:w="2329" w:type="pct"/>
            <w:tcBorders>
              <w:top w:val="nil"/>
              <w:left w:val="nil"/>
              <w:bottom w:val="nil"/>
              <w:right w:val="nil"/>
            </w:tcBorders>
            <w:shd w:val="clear" w:color="000000" w:fill="FFFFFF"/>
            <w:noWrap/>
            <w:vAlign w:val="bottom"/>
            <w:hideMark/>
          </w:tcPr>
          <w:p w14:paraId="378C73FF" w14:textId="77777777" w:rsidR="00A774D3" w:rsidRPr="00A774D3" w:rsidRDefault="00A774D3">
            <w:pPr>
              <w:rPr>
                <w:rFonts w:asciiTheme="majorHAnsi" w:hAnsiTheme="majorHAnsi" w:cs="Arial"/>
                <w:b/>
                <w:bCs/>
                <w:sz w:val="16"/>
                <w:szCs w:val="16"/>
              </w:rPr>
            </w:pPr>
            <w:r w:rsidRPr="00A774D3">
              <w:rPr>
                <w:rFonts w:asciiTheme="majorHAnsi" w:hAnsiTheme="majorHAnsi" w:cs="Arial"/>
                <w:b/>
                <w:bCs/>
                <w:sz w:val="16"/>
                <w:szCs w:val="16"/>
              </w:rPr>
              <w:t xml:space="preserve">         </w:t>
            </w:r>
            <w:r w:rsidRPr="00A774D3">
              <w:rPr>
                <w:rFonts w:asciiTheme="majorHAnsi" w:hAnsiTheme="majorHAnsi" w:cs="Arial"/>
                <w:sz w:val="16"/>
                <w:szCs w:val="16"/>
              </w:rPr>
              <w:t>Benefícios</w:t>
            </w:r>
          </w:p>
        </w:tc>
        <w:tc>
          <w:tcPr>
            <w:tcW w:w="96" w:type="pct"/>
            <w:tcBorders>
              <w:top w:val="nil"/>
              <w:left w:val="nil"/>
              <w:bottom w:val="nil"/>
              <w:right w:val="nil"/>
            </w:tcBorders>
            <w:shd w:val="clear" w:color="000000" w:fill="FFFFFF"/>
            <w:noWrap/>
            <w:vAlign w:val="bottom"/>
            <w:hideMark/>
          </w:tcPr>
          <w:p w14:paraId="224AC379"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962" w:type="pct"/>
            <w:tcBorders>
              <w:top w:val="nil"/>
              <w:left w:val="nil"/>
              <w:bottom w:val="nil"/>
              <w:right w:val="nil"/>
            </w:tcBorders>
            <w:shd w:val="clear" w:color="000000" w:fill="FFFFFF"/>
            <w:noWrap/>
            <w:vAlign w:val="bottom"/>
            <w:hideMark/>
          </w:tcPr>
          <w:p w14:paraId="2939B786"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679" w:type="pct"/>
            <w:tcBorders>
              <w:top w:val="nil"/>
              <w:left w:val="nil"/>
              <w:bottom w:val="nil"/>
              <w:right w:val="nil"/>
            </w:tcBorders>
            <w:shd w:val="clear" w:color="000000" w:fill="FFFFFF"/>
            <w:noWrap/>
            <w:vAlign w:val="bottom"/>
            <w:hideMark/>
          </w:tcPr>
          <w:p w14:paraId="26425CDC" w14:textId="77777777" w:rsidR="00A774D3" w:rsidRPr="00A774D3" w:rsidRDefault="00A774D3">
            <w:pPr>
              <w:jc w:val="right"/>
              <w:rPr>
                <w:rFonts w:asciiTheme="majorHAnsi" w:hAnsiTheme="majorHAnsi" w:cs="Arial"/>
                <w:sz w:val="16"/>
                <w:szCs w:val="16"/>
              </w:rPr>
            </w:pPr>
            <w:r w:rsidRPr="00A774D3">
              <w:rPr>
                <w:rFonts w:asciiTheme="majorHAnsi" w:hAnsiTheme="majorHAnsi" w:cs="Arial"/>
                <w:sz w:val="16"/>
                <w:szCs w:val="16"/>
              </w:rPr>
              <w:t>8.202.744</w:t>
            </w:r>
          </w:p>
        </w:tc>
        <w:tc>
          <w:tcPr>
            <w:tcW w:w="934" w:type="pct"/>
            <w:tcBorders>
              <w:top w:val="nil"/>
              <w:left w:val="nil"/>
              <w:bottom w:val="nil"/>
              <w:right w:val="nil"/>
            </w:tcBorders>
            <w:shd w:val="clear" w:color="000000" w:fill="FFFFFF"/>
            <w:noWrap/>
            <w:vAlign w:val="bottom"/>
            <w:hideMark/>
          </w:tcPr>
          <w:p w14:paraId="5AF11AD8" w14:textId="77777777" w:rsidR="00A774D3" w:rsidRPr="00A774D3" w:rsidRDefault="00A774D3">
            <w:pPr>
              <w:jc w:val="right"/>
              <w:rPr>
                <w:rFonts w:asciiTheme="majorHAnsi" w:hAnsiTheme="majorHAnsi" w:cs="Arial"/>
                <w:sz w:val="16"/>
                <w:szCs w:val="16"/>
              </w:rPr>
            </w:pPr>
            <w:r w:rsidRPr="00A774D3">
              <w:rPr>
                <w:rFonts w:asciiTheme="majorHAnsi" w:hAnsiTheme="majorHAnsi" w:cs="Arial"/>
                <w:sz w:val="16"/>
                <w:szCs w:val="16"/>
              </w:rPr>
              <w:t>8.151.810</w:t>
            </w:r>
          </w:p>
        </w:tc>
      </w:tr>
      <w:tr w:rsidR="00A774D3" w:rsidRPr="00A774D3" w14:paraId="45ADCCCF" w14:textId="77777777" w:rsidTr="00A774D3">
        <w:trPr>
          <w:trHeight w:val="300"/>
        </w:trPr>
        <w:tc>
          <w:tcPr>
            <w:tcW w:w="2329" w:type="pct"/>
            <w:tcBorders>
              <w:top w:val="nil"/>
              <w:left w:val="nil"/>
              <w:bottom w:val="nil"/>
              <w:right w:val="nil"/>
            </w:tcBorders>
            <w:shd w:val="clear" w:color="000000" w:fill="FFFFFF"/>
            <w:noWrap/>
            <w:vAlign w:val="bottom"/>
            <w:hideMark/>
          </w:tcPr>
          <w:p w14:paraId="7F2740ED"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xml:space="preserve">         FGTS</w:t>
            </w:r>
          </w:p>
        </w:tc>
        <w:tc>
          <w:tcPr>
            <w:tcW w:w="96" w:type="pct"/>
            <w:tcBorders>
              <w:top w:val="nil"/>
              <w:left w:val="nil"/>
              <w:bottom w:val="nil"/>
              <w:right w:val="nil"/>
            </w:tcBorders>
            <w:shd w:val="clear" w:color="000000" w:fill="FFFFFF"/>
            <w:noWrap/>
            <w:vAlign w:val="bottom"/>
            <w:hideMark/>
          </w:tcPr>
          <w:p w14:paraId="1FF2C9FF"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962" w:type="pct"/>
            <w:tcBorders>
              <w:top w:val="nil"/>
              <w:left w:val="nil"/>
              <w:bottom w:val="nil"/>
              <w:right w:val="nil"/>
            </w:tcBorders>
            <w:shd w:val="clear" w:color="000000" w:fill="FFFFFF"/>
            <w:noWrap/>
            <w:vAlign w:val="bottom"/>
            <w:hideMark/>
          </w:tcPr>
          <w:p w14:paraId="403C05E4"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679" w:type="pct"/>
            <w:tcBorders>
              <w:top w:val="nil"/>
              <w:left w:val="nil"/>
              <w:bottom w:val="nil"/>
              <w:right w:val="nil"/>
            </w:tcBorders>
            <w:shd w:val="clear" w:color="000000" w:fill="FFFFFF"/>
            <w:noWrap/>
            <w:vAlign w:val="bottom"/>
            <w:hideMark/>
          </w:tcPr>
          <w:p w14:paraId="59BAD5E4" w14:textId="77777777" w:rsidR="00A774D3" w:rsidRPr="00A774D3" w:rsidRDefault="00A774D3">
            <w:pPr>
              <w:jc w:val="right"/>
              <w:rPr>
                <w:rFonts w:asciiTheme="majorHAnsi" w:hAnsiTheme="majorHAnsi" w:cs="Arial"/>
                <w:sz w:val="16"/>
                <w:szCs w:val="16"/>
              </w:rPr>
            </w:pPr>
            <w:r w:rsidRPr="00A774D3">
              <w:rPr>
                <w:rFonts w:asciiTheme="majorHAnsi" w:hAnsiTheme="majorHAnsi" w:cs="Arial"/>
                <w:sz w:val="16"/>
                <w:szCs w:val="16"/>
              </w:rPr>
              <w:t>4.814.975</w:t>
            </w:r>
          </w:p>
        </w:tc>
        <w:tc>
          <w:tcPr>
            <w:tcW w:w="934" w:type="pct"/>
            <w:tcBorders>
              <w:top w:val="nil"/>
              <w:left w:val="nil"/>
              <w:bottom w:val="nil"/>
              <w:right w:val="nil"/>
            </w:tcBorders>
            <w:shd w:val="clear" w:color="000000" w:fill="FFFFFF"/>
            <w:noWrap/>
            <w:vAlign w:val="bottom"/>
            <w:hideMark/>
          </w:tcPr>
          <w:p w14:paraId="6FAC7267" w14:textId="77777777" w:rsidR="00A774D3" w:rsidRPr="00A774D3" w:rsidRDefault="00A774D3">
            <w:pPr>
              <w:jc w:val="right"/>
              <w:rPr>
                <w:rFonts w:asciiTheme="majorHAnsi" w:hAnsiTheme="majorHAnsi" w:cs="Arial"/>
                <w:sz w:val="16"/>
                <w:szCs w:val="16"/>
              </w:rPr>
            </w:pPr>
            <w:r w:rsidRPr="00A774D3">
              <w:rPr>
                <w:rFonts w:asciiTheme="majorHAnsi" w:hAnsiTheme="majorHAnsi" w:cs="Arial"/>
                <w:sz w:val="16"/>
                <w:szCs w:val="16"/>
              </w:rPr>
              <w:t>5.064.803</w:t>
            </w:r>
          </w:p>
        </w:tc>
      </w:tr>
      <w:tr w:rsidR="00A774D3" w:rsidRPr="00A774D3" w14:paraId="77E28033" w14:textId="77777777" w:rsidTr="00A774D3">
        <w:trPr>
          <w:trHeight w:val="300"/>
        </w:trPr>
        <w:tc>
          <w:tcPr>
            <w:tcW w:w="2425" w:type="pct"/>
            <w:gridSpan w:val="2"/>
            <w:tcBorders>
              <w:top w:val="nil"/>
              <w:left w:val="nil"/>
              <w:bottom w:val="nil"/>
              <w:right w:val="nil"/>
            </w:tcBorders>
            <w:shd w:val="clear" w:color="000000" w:fill="FFFFFF"/>
            <w:noWrap/>
            <w:vAlign w:val="bottom"/>
            <w:hideMark/>
          </w:tcPr>
          <w:p w14:paraId="3796F08D" w14:textId="77777777" w:rsidR="00A774D3" w:rsidRPr="00A774D3" w:rsidRDefault="00A774D3">
            <w:pPr>
              <w:rPr>
                <w:rFonts w:asciiTheme="majorHAnsi" w:hAnsiTheme="majorHAnsi" w:cs="Arial"/>
                <w:b/>
                <w:bCs/>
                <w:sz w:val="16"/>
                <w:szCs w:val="16"/>
              </w:rPr>
            </w:pPr>
            <w:r w:rsidRPr="00A774D3">
              <w:rPr>
                <w:rFonts w:asciiTheme="majorHAnsi" w:hAnsiTheme="majorHAnsi" w:cs="Arial"/>
                <w:b/>
                <w:bCs/>
                <w:sz w:val="16"/>
                <w:szCs w:val="16"/>
              </w:rPr>
              <w:t>VIII. 2 IMPOSTOS, TAXAS E CONTRIBUIÇÕES</w:t>
            </w:r>
          </w:p>
        </w:tc>
        <w:tc>
          <w:tcPr>
            <w:tcW w:w="962" w:type="pct"/>
            <w:tcBorders>
              <w:top w:val="nil"/>
              <w:left w:val="nil"/>
              <w:bottom w:val="nil"/>
              <w:right w:val="nil"/>
            </w:tcBorders>
            <w:shd w:val="clear" w:color="000000" w:fill="FFFFFF"/>
            <w:noWrap/>
            <w:vAlign w:val="bottom"/>
            <w:hideMark/>
          </w:tcPr>
          <w:p w14:paraId="34971269"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679" w:type="pct"/>
            <w:tcBorders>
              <w:top w:val="nil"/>
              <w:left w:val="nil"/>
              <w:bottom w:val="nil"/>
              <w:right w:val="nil"/>
            </w:tcBorders>
            <w:shd w:val="clear" w:color="000000" w:fill="FFFFFF"/>
            <w:noWrap/>
            <w:vAlign w:val="bottom"/>
            <w:hideMark/>
          </w:tcPr>
          <w:p w14:paraId="22AA2109" w14:textId="77777777" w:rsidR="00A774D3" w:rsidRPr="00A774D3" w:rsidRDefault="00A774D3">
            <w:pPr>
              <w:jc w:val="right"/>
              <w:rPr>
                <w:rFonts w:asciiTheme="majorHAnsi" w:hAnsiTheme="majorHAnsi" w:cs="Arial"/>
                <w:b/>
                <w:bCs/>
                <w:sz w:val="16"/>
                <w:szCs w:val="16"/>
              </w:rPr>
            </w:pPr>
            <w:r w:rsidRPr="00A774D3">
              <w:rPr>
                <w:rFonts w:asciiTheme="majorHAnsi" w:hAnsiTheme="majorHAnsi" w:cs="Arial"/>
                <w:b/>
                <w:bCs/>
                <w:sz w:val="16"/>
                <w:szCs w:val="16"/>
              </w:rPr>
              <w:t>16.952.624</w:t>
            </w:r>
          </w:p>
        </w:tc>
        <w:tc>
          <w:tcPr>
            <w:tcW w:w="934" w:type="pct"/>
            <w:tcBorders>
              <w:top w:val="nil"/>
              <w:left w:val="nil"/>
              <w:bottom w:val="nil"/>
              <w:right w:val="nil"/>
            </w:tcBorders>
            <w:shd w:val="clear" w:color="000000" w:fill="FFFFFF"/>
            <w:noWrap/>
            <w:vAlign w:val="bottom"/>
            <w:hideMark/>
          </w:tcPr>
          <w:p w14:paraId="73C21668" w14:textId="77777777" w:rsidR="00A774D3" w:rsidRPr="00A774D3" w:rsidRDefault="00A774D3">
            <w:pPr>
              <w:jc w:val="right"/>
              <w:rPr>
                <w:rFonts w:asciiTheme="majorHAnsi" w:hAnsiTheme="majorHAnsi" w:cs="Arial"/>
                <w:b/>
                <w:bCs/>
                <w:sz w:val="16"/>
                <w:szCs w:val="16"/>
              </w:rPr>
            </w:pPr>
            <w:r w:rsidRPr="00A774D3">
              <w:rPr>
                <w:rFonts w:asciiTheme="majorHAnsi" w:hAnsiTheme="majorHAnsi" w:cs="Arial"/>
                <w:b/>
                <w:bCs/>
                <w:sz w:val="16"/>
                <w:szCs w:val="16"/>
              </w:rPr>
              <w:t>17.749.872</w:t>
            </w:r>
          </w:p>
        </w:tc>
      </w:tr>
      <w:tr w:rsidR="00A774D3" w:rsidRPr="00A774D3" w14:paraId="0CBD38D2" w14:textId="77777777" w:rsidTr="00A774D3">
        <w:trPr>
          <w:trHeight w:val="300"/>
        </w:trPr>
        <w:tc>
          <w:tcPr>
            <w:tcW w:w="2329" w:type="pct"/>
            <w:tcBorders>
              <w:top w:val="nil"/>
              <w:left w:val="nil"/>
              <w:bottom w:val="nil"/>
              <w:right w:val="nil"/>
            </w:tcBorders>
            <w:shd w:val="clear" w:color="000000" w:fill="FFFFFF"/>
            <w:noWrap/>
            <w:vAlign w:val="bottom"/>
            <w:hideMark/>
          </w:tcPr>
          <w:p w14:paraId="475D1E70"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xml:space="preserve">         Federais</w:t>
            </w:r>
          </w:p>
        </w:tc>
        <w:tc>
          <w:tcPr>
            <w:tcW w:w="96" w:type="pct"/>
            <w:tcBorders>
              <w:top w:val="nil"/>
              <w:left w:val="nil"/>
              <w:bottom w:val="nil"/>
              <w:right w:val="nil"/>
            </w:tcBorders>
            <w:shd w:val="clear" w:color="000000" w:fill="FFFFFF"/>
            <w:noWrap/>
            <w:vAlign w:val="bottom"/>
            <w:hideMark/>
          </w:tcPr>
          <w:p w14:paraId="5A65768B"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962" w:type="pct"/>
            <w:tcBorders>
              <w:top w:val="nil"/>
              <w:left w:val="nil"/>
              <w:bottom w:val="nil"/>
              <w:right w:val="nil"/>
            </w:tcBorders>
            <w:shd w:val="clear" w:color="000000" w:fill="FFFFFF"/>
            <w:noWrap/>
            <w:vAlign w:val="bottom"/>
            <w:hideMark/>
          </w:tcPr>
          <w:p w14:paraId="018193C2"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679" w:type="pct"/>
            <w:tcBorders>
              <w:top w:val="nil"/>
              <w:left w:val="nil"/>
              <w:bottom w:val="nil"/>
              <w:right w:val="nil"/>
            </w:tcBorders>
            <w:shd w:val="clear" w:color="000000" w:fill="FFFFFF"/>
            <w:noWrap/>
            <w:vAlign w:val="bottom"/>
            <w:hideMark/>
          </w:tcPr>
          <w:p w14:paraId="630E241C" w14:textId="77777777" w:rsidR="00A774D3" w:rsidRPr="00A774D3" w:rsidRDefault="00A774D3">
            <w:pPr>
              <w:jc w:val="right"/>
              <w:rPr>
                <w:rFonts w:asciiTheme="majorHAnsi" w:hAnsiTheme="majorHAnsi" w:cs="Arial"/>
                <w:sz w:val="16"/>
                <w:szCs w:val="16"/>
              </w:rPr>
            </w:pPr>
            <w:r w:rsidRPr="00A774D3">
              <w:rPr>
                <w:rFonts w:asciiTheme="majorHAnsi" w:hAnsiTheme="majorHAnsi" w:cs="Arial"/>
                <w:sz w:val="16"/>
                <w:szCs w:val="16"/>
              </w:rPr>
              <w:t>16.925.336</w:t>
            </w:r>
          </w:p>
        </w:tc>
        <w:tc>
          <w:tcPr>
            <w:tcW w:w="934" w:type="pct"/>
            <w:tcBorders>
              <w:top w:val="nil"/>
              <w:left w:val="nil"/>
              <w:bottom w:val="nil"/>
              <w:right w:val="nil"/>
            </w:tcBorders>
            <w:shd w:val="clear" w:color="000000" w:fill="FFFFFF"/>
            <w:noWrap/>
            <w:vAlign w:val="bottom"/>
            <w:hideMark/>
          </w:tcPr>
          <w:p w14:paraId="308C2D93" w14:textId="77777777" w:rsidR="00A774D3" w:rsidRPr="00A774D3" w:rsidRDefault="00A774D3">
            <w:pPr>
              <w:jc w:val="right"/>
              <w:rPr>
                <w:rFonts w:asciiTheme="majorHAnsi" w:hAnsiTheme="majorHAnsi" w:cs="Arial"/>
                <w:sz w:val="16"/>
                <w:szCs w:val="16"/>
              </w:rPr>
            </w:pPr>
            <w:r w:rsidRPr="00A774D3">
              <w:rPr>
                <w:rFonts w:asciiTheme="majorHAnsi" w:hAnsiTheme="majorHAnsi" w:cs="Arial"/>
                <w:sz w:val="16"/>
                <w:szCs w:val="16"/>
              </w:rPr>
              <w:t>17.723.812</w:t>
            </w:r>
          </w:p>
        </w:tc>
      </w:tr>
      <w:tr w:rsidR="00A774D3" w:rsidRPr="00A774D3" w14:paraId="314BD55E" w14:textId="77777777" w:rsidTr="00A774D3">
        <w:trPr>
          <w:trHeight w:val="300"/>
        </w:trPr>
        <w:tc>
          <w:tcPr>
            <w:tcW w:w="2329" w:type="pct"/>
            <w:tcBorders>
              <w:top w:val="nil"/>
              <w:left w:val="nil"/>
              <w:bottom w:val="nil"/>
              <w:right w:val="nil"/>
            </w:tcBorders>
            <w:shd w:val="clear" w:color="000000" w:fill="FFFFFF"/>
            <w:noWrap/>
            <w:vAlign w:val="bottom"/>
            <w:hideMark/>
          </w:tcPr>
          <w:p w14:paraId="523990A7"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xml:space="preserve">         Estaduais</w:t>
            </w:r>
          </w:p>
        </w:tc>
        <w:tc>
          <w:tcPr>
            <w:tcW w:w="96" w:type="pct"/>
            <w:tcBorders>
              <w:top w:val="nil"/>
              <w:left w:val="nil"/>
              <w:bottom w:val="nil"/>
              <w:right w:val="nil"/>
            </w:tcBorders>
            <w:shd w:val="clear" w:color="000000" w:fill="FFFFFF"/>
            <w:noWrap/>
            <w:vAlign w:val="bottom"/>
            <w:hideMark/>
          </w:tcPr>
          <w:p w14:paraId="056F31A3"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962" w:type="pct"/>
            <w:tcBorders>
              <w:top w:val="nil"/>
              <w:left w:val="nil"/>
              <w:bottom w:val="nil"/>
              <w:right w:val="nil"/>
            </w:tcBorders>
            <w:shd w:val="clear" w:color="000000" w:fill="FFFFFF"/>
            <w:noWrap/>
            <w:vAlign w:val="bottom"/>
            <w:hideMark/>
          </w:tcPr>
          <w:p w14:paraId="15CFDAF6"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679" w:type="pct"/>
            <w:tcBorders>
              <w:top w:val="nil"/>
              <w:left w:val="nil"/>
              <w:bottom w:val="nil"/>
              <w:right w:val="nil"/>
            </w:tcBorders>
            <w:shd w:val="clear" w:color="000000" w:fill="FFFFFF"/>
            <w:noWrap/>
            <w:vAlign w:val="bottom"/>
            <w:hideMark/>
          </w:tcPr>
          <w:p w14:paraId="620FD14D"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xml:space="preserve">                               -   </w:t>
            </w:r>
          </w:p>
        </w:tc>
        <w:tc>
          <w:tcPr>
            <w:tcW w:w="934" w:type="pct"/>
            <w:tcBorders>
              <w:top w:val="nil"/>
              <w:left w:val="nil"/>
              <w:bottom w:val="nil"/>
              <w:right w:val="nil"/>
            </w:tcBorders>
            <w:shd w:val="clear" w:color="000000" w:fill="FFFFFF"/>
            <w:noWrap/>
            <w:vAlign w:val="bottom"/>
            <w:hideMark/>
          </w:tcPr>
          <w:p w14:paraId="13DD712F" w14:textId="77777777" w:rsidR="00A774D3" w:rsidRPr="00A774D3" w:rsidRDefault="00A774D3">
            <w:pPr>
              <w:jc w:val="right"/>
              <w:rPr>
                <w:rFonts w:asciiTheme="majorHAnsi" w:hAnsiTheme="majorHAnsi" w:cs="Arial"/>
                <w:sz w:val="16"/>
                <w:szCs w:val="16"/>
              </w:rPr>
            </w:pPr>
            <w:r w:rsidRPr="00A774D3">
              <w:rPr>
                <w:rFonts w:asciiTheme="majorHAnsi" w:hAnsiTheme="majorHAnsi" w:cs="Arial"/>
                <w:sz w:val="16"/>
                <w:szCs w:val="16"/>
              </w:rPr>
              <w:t>1.190</w:t>
            </w:r>
          </w:p>
        </w:tc>
      </w:tr>
      <w:tr w:rsidR="00A774D3" w:rsidRPr="00A774D3" w14:paraId="297BCD40" w14:textId="77777777" w:rsidTr="00A774D3">
        <w:trPr>
          <w:trHeight w:val="300"/>
        </w:trPr>
        <w:tc>
          <w:tcPr>
            <w:tcW w:w="2329" w:type="pct"/>
            <w:tcBorders>
              <w:top w:val="nil"/>
              <w:left w:val="nil"/>
              <w:bottom w:val="nil"/>
              <w:right w:val="nil"/>
            </w:tcBorders>
            <w:shd w:val="clear" w:color="000000" w:fill="FFFFFF"/>
            <w:noWrap/>
            <w:vAlign w:val="bottom"/>
            <w:hideMark/>
          </w:tcPr>
          <w:p w14:paraId="454540F4"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xml:space="preserve">         Municipais</w:t>
            </w:r>
          </w:p>
        </w:tc>
        <w:tc>
          <w:tcPr>
            <w:tcW w:w="96" w:type="pct"/>
            <w:tcBorders>
              <w:top w:val="nil"/>
              <w:left w:val="nil"/>
              <w:bottom w:val="nil"/>
              <w:right w:val="nil"/>
            </w:tcBorders>
            <w:shd w:val="clear" w:color="000000" w:fill="FFFFFF"/>
            <w:noWrap/>
            <w:vAlign w:val="bottom"/>
            <w:hideMark/>
          </w:tcPr>
          <w:p w14:paraId="0CD9A743"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962" w:type="pct"/>
            <w:tcBorders>
              <w:top w:val="nil"/>
              <w:left w:val="nil"/>
              <w:bottom w:val="nil"/>
              <w:right w:val="nil"/>
            </w:tcBorders>
            <w:shd w:val="clear" w:color="000000" w:fill="FFFFFF"/>
            <w:noWrap/>
            <w:vAlign w:val="bottom"/>
            <w:hideMark/>
          </w:tcPr>
          <w:p w14:paraId="14F267EB"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679" w:type="pct"/>
            <w:tcBorders>
              <w:top w:val="nil"/>
              <w:left w:val="nil"/>
              <w:bottom w:val="nil"/>
              <w:right w:val="nil"/>
            </w:tcBorders>
            <w:shd w:val="clear" w:color="000000" w:fill="FFFFFF"/>
            <w:noWrap/>
            <w:vAlign w:val="bottom"/>
            <w:hideMark/>
          </w:tcPr>
          <w:p w14:paraId="32896D27" w14:textId="77777777" w:rsidR="00A774D3" w:rsidRPr="00A774D3" w:rsidRDefault="00A774D3">
            <w:pPr>
              <w:jc w:val="right"/>
              <w:rPr>
                <w:rFonts w:asciiTheme="majorHAnsi" w:hAnsiTheme="majorHAnsi" w:cs="Arial"/>
                <w:sz w:val="16"/>
                <w:szCs w:val="16"/>
              </w:rPr>
            </w:pPr>
            <w:r w:rsidRPr="00A774D3">
              <w:rPr>
                <w:rFonts w:asciiTheme="majorHAnsi" w:hAnsiTheme="majorHAnsi" w:cs="Arial"/>
                <w:sz w:val="16"/>
                <w:szCs w:val="16"/>
              </w:rPr>
              <w:t>27.288</w:t>
            </w:r>
          </w:p>
        </w:tc>
        <w:tc>
          <w:tcPr>
            <w:tcW w:w="934" w:type="pct"/>
            <w:tcBorders>
              <w:top w:val="nil"/>
              <w:left w:val="nil"/>
              <w:bottom w:val="nil"/>
              <w:right w:val="nil"/>
            </w:tcBorders>
            <w:shd w:val="clear" w:color="000000" w:fill="FFFFFF"/>
            <w:noWrap/>
            <w:vAlign w:val="bottom"/>
            <w:hideMark/>
          </w:tcPr>
          <w:p w14:paraId="5D2D2F48" w14:textId="77777777" w:rsidR="00A774D3" w:rsidRPr="00A774D3" w:rsidRDefault="00A774D3">
            <w:pPr>
              <w:jc w:val="right"/>
              <w:rPr>
                <w:rFonts w:asciiTheme="majorHAnsi" w:hAnsiTheme="majorHAnsi" w:cs="Arial"/>
                <w:sz w:val="16"/>
                <w:szCs w:val="16"/>
              </w:rPr>
            </w:pPr>
            <w:r w:rsidRPr="00A774D3">
              <w:rPr>
                <w:rFonts w:asciiTheme="majorHAnsi" w:hAnsiTheme="majorHAnsi" w:cs="Arial"/>
                <w:sz w:val="16"/>
                <w:szCs w:val="16"/>
              </w:rPr>
              <w:t>24.870</w:t>
            </w:r>
          </w:p>
        </w:tc>
      </w:tr>
      <w:tr w:rsidR="00A774D3" w:rsidRPr="00A774D3" w14:paraId="3E3D424B" w14:textId="77777777" w:rsidTr="00A774D3">
        <w:trPr>
          <w:trHeight w:val="300"/>
        </w:trPr>
        <w:tc>
          <w:tcPr>
            <w:tcW w:w="2425" w:type="pct"/>
            <w:gridSpan w:val="2"/>
            <w:tcBorders>
              <w:top w:val="nil"/>
              <w:left w:val="nil"/>
              <w:bottom w:val="nil"/>
              <w:right w:val="nil"/>
            </w:tcBorders>
            <w:shd w:val="clear" w:color="000000" w:fill="FFFFFF"/>
            <w:noWrap/>
            <w:vAlign w:val="bottom"/>
            <w:hideMark/>
          </w:tcPr>
          <w:p w14:paraId="0D7DDFE7" w14:textId="77777777" w:rsidR="00A774D3" w:rsidRPr="00A774D3" w:rsidRDefault="00A774D3">
            <w:pPr>
              <w:rPr>
                <w:rFonts w:asciiTheme="majorHAnsi" w:hAnsiTheme="majorHAnsi" w:cs="Arial"/>
                <w:b/>
                <w:bCs/>
                <w:sz w:val="16"/>
                <w:szCs w:val="16"/>
              </w:rPr>
            </w:pPr>
            <w:r w:rsidRPr="00A774D3">
              <w:rPr>
                <w:rFonts w:asciiTheme="majorHAnsi" w:hAnsiTheme="majorHAnsi" w:cs="Arial"/>
                <w:b/>
                <w:bCs/>
                <w:sz w:val="16"/>
                <w:szCs w:val="16"/>
              </w:rPr>
              <w:t>VIII. 3 REMUNERAÇÃO DE CAPITAIS DE TERCEIROS</w:t>
            </w:r>
          </w:p>
        </w:tc>
        <w:tc>
          <w:tcPr>
            <w:tcW w:w="962" w:type="pct"/>
            <w:tcBorders>
              <w:top w:val="nil"/>
              <w:left w:val="nil"/>
              <w:bottom w:val="nil"/>
              <w:right w:val="nil"/>
            </w:tcBorders>
            <w:shd w:val="clear" w:color="000000" w:fill="FFFFFF"/>
            <w:noWrap/>
            <w:vAlign w:val="bottom"/>
            <w:hideMark/>
          </w:tcPr>
          <w:p w14:paraId="3103579E"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679" w:type="pct"/>
            <w:tcBorders>
              <w:top w:val="nil"/>
              <w:left w:val="nil"/>
              <w:bottom w:val="nil"/>
              <w:right w:val="nil"/>
            </w:tcBorders>
            <w:shd w:val="clear" w:color="000000" w:fill="FFFFFF"/>
            <w:noWrap/>
            <w:vAlign w:val="bottom"/>
            <w:hideMark/>
          </w:tcPr>
          <w:p w14:paraId="684512CD" w14:textId="77777777" w:rsidR="00A774D3" w:rsidRPr="00A774D3" w:rsidRDefault="00A774D3">
            <w:pPr>
              <w:jc w:val="right"/>
              <w:rPr>
                <w:rFonts w:asciiTheme="majorHAnsi" w:hAnsiTheme="majorHAnsi" w:cs="Arial"/>
                <w:b/>
                <w:bCs/>
                <w:sz w:val="16"/>
                <w:szCs w:val="16"/>
              </w:rPr>
            </w:pPr>
            <w:r w:rsidRPr="00A774D3">
              <w:rPr>
                <w:rFonts w:asciiTheme="majorHAnsi" w:hAnsiTheme="majorHAnsi" w:cs="Arial"/>
                <w:b/>
                <w:bCs/>
                <w:sz w:val="16"/>
                <w:szCs w:val="16"/>
              </w:rPr>
              <w:t>190.157</w:t>
            </w:r>
          </w:p>
        </w:tc>
        <w:tc>
          <w:tcPr>
            <w:tcW w:w="934" w:type="pct"/>
            <w:tcBorders>
              <w:top w:val="nil"/>
              <w:left w:val="nil"/>
              <w:bottom w:val="nil"/>
              <w:right w:val="nil"/>
            </w:tcBorders>
            <w:shd w:val="clear" w:color="000000" w:fill="FFFFFF"/>
            <w:noWrap/>
            <w:vAlign w:val="bottom"/>
            <w:hideMark/>
          </w:tcPr>
          <w:p w14:paraId="3CEF2A79" w14:textId="77777777" w:rsidR="00A774D3" w:rsidRPr="00A774D3" w:rsidRDefault="00A774D3">
            <w:pPr>
              <w:jc w:val="right"/>
              <w:rPr>
                <w:rFonts w:asciiTheme="majorHAnsi" w:hAnsiTheme="majorHAnsi" w:cs="Arial"/>
                <w:b/>
                <w:bCs/>
                <w:sz w:val="16"/>
                <w:szCs w:val="16"/>
              </w:rPr>
            </w:pPr>
            <w:r w:rsidRPr="00A774D3">
              <w:rPr>
                <w:rFonts w:asciiTheme="majorHAnsi" w:hAnsiTheme="majorHAnsi" w:cs="Arial"/>
                <w:b/>
                <w:bCs/>
                <w:sz w:val="16"/>
                <w:szCs w:val="16"/>
              </w:rPr>
              <w:t>593.854</w:t>
            </w:r>
          </w:p>
        </w:tc>
      </w:tr>
      <w:tr w:rsidR="00A774D3" w:rsidRPr="00A774D3" w14:paraId="3A0FA940" w14:textId="77777777" w:rsidTr="00A774D3">
        <w:trPr>
          <w:trHeight w:val="300"/>
        </w:trPr>
        <w:tc>
          <w:tcPr>
            <w:tcW w:w="2425" w:type="pct"/>
            <w:gridSpan w:val="2"/>
            <w:tcBorders>
              <w:top w:val="nil"/>
              <w:left w:val="nil"/>
              <w:bottom w:val="nil"/>
              <w:right w:val="nil"/>
            </w:tcBorders>
            <w:shd w:val="clear" w:color="000000" w:fill="FFFFFF"/>
            <w:noWrap/>
            <w:vAlign w:val="bottom"/>
            <w:hideMark/>
          </w:tcPr>
          <w:p w14:paraId="4F250505"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xml:space="preserve">         Juros e Atualizações Monetárias</w:t>
            </w:r>
          </w:p>
        </w:tc>
        <w:tc>
          <w:tcPr>
            <w:tcW w:w="962" w:type="pct"/>
            <w:tcBorders>
              <w:top w:val="nil"/>
              <w:left w:val="nil"/>
              <w:bottom w:val="nil"/>
              <w:right w:val="nil"/>
            </w:tcBorders>
            <w:shd w:val="clear" w:color="000000" w:fill="FFFFFF"/>
            <w:noWrap/>
            <w:vAlign w:val="bottom"/>
            <w:hideMark/>
          </w:tcPr>
          <w:p w14:paraId="5A3E7F7C"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679" w:type="pct"/>
            <w:tcBorders>
              <w:top w:val="nil"/>
              <w:left w:val="nil"/>
              <w:bottom w:val="nil"/>
              <w:right w:val="nil"/>
            </w:tcBorders>
            <w:shd w:val="clear" w:color="000000" w:fill="FFFFFF"/>
            <w:noWrap/>
            <w:vAlign w:val="bottom"/>
            <w:hideMark/>
          </w:tcPr>
          <w:p w14:paraId="2AAD9CC1"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xml:space="preserve">                               -   </w:t>
            </w:r>
          </w:p>
        </w:tc>
        <w:tc>
          <w:tcPr>
            <w:tcW w:w="934" w:type="pct"/>
            <w:tcBorders>
              <w:top w:val="nil"/>
              <w:left w:val="nil"/>
              <w:bottom w:val="nil"/>
              <w:right w:val="nil"/>
            </w:tcBorders>
            <w:shd w:val="clear" w:color="000000" w:fill="FFFFFF"/>
            <w:noWrap/>
            <w:vAlign w:val="bottom"/>
            <w:hideMark/>
          </w:tcPr>
          <w:p w14:paraId="61635062" w14:textId="77777777" w:rsidR="00A774D3" w:rsidRPr="00A774D3" w:rsidRDefault="00A774D3">
            <w:pPr>
              <w:jc w:val="right"/>
              <w:rPr>
                <w:rFonts w:asciiTheme="majorHAnsi" w:hAnsiTheme="majorHAnsi" w:cs="Arial"/>
                <w:sz w:val="16"/>
                <w:szCs w:val="16"/>
              </w:rPr>
            </w:pPr>
            <w:r w:rsidRPr="00A774D3">
              <w:rPr>
                <w:rFonts w:asciiTheme="majorHAnsi" w:hAnsiTheme="majorHAnsi" w:cs="Arial"/>
                <w:sz w:val="16"/>
                <w:szCs w:val="16"/>
              </w:rPr>
              <w:t>377</w:t>
            </w:r>
          </w:p>
        </w:tc>
      </w:tr>
      <w:tr w:rsidR="00A774D3" w:rsidRPr="00A774D3" w14:paraId="3A9323E1" w14:textId="77777777" w:rsidTr="00A774D3">
        <w:trPr>
          <w:trHeight w:val="300"/>
        </w:trPr>
        <w:tc>
          <w:tcPr>
            <w:tcW w:w="2425" w:type="pct"/>
            <w:gridSpan w:val="2"/>
            <w:tcBorders>
              <w:top w:val="nil"/>
              <w:left w:val="nil"/>
              <w:bottom w:val="nil"/>
              <w:right w:val="nil"/>
            </w:tcBorders>
            <w:shd w:val="clear" w:color="000000" w:fill="FFFFFF"/>
            <w:noWrap/>
            <w:vAlign w:val="bottom"/>
            <w:hideMark/>
          </w:tcPr>
          <w:p w14:paraId="05DCDA70"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xml:space="preserve">         Locação de Imóveis</w:t>
            </w:r>
          </w:p>
        </w:tc>
        <w:tc>
          <w:tcPr>
            <w:tcW w:w="962" w:type="pct"/>
            <w:tcBorders>
              <w:top w:val="nil"/>
              <w:left w:val="nil"/>
              <w:bottom w:val="nil"/>
              <w:right w:val="nil"/>
            </w:tcBorders>
            <w:shd w:val="clear" w:color="000000" w:fill="FFFFFF"/>
            <w:noWrap/>
            <w:vAlign w:val="bottom"/>
            <w:hideMark/>
          </w:tcPr>
          <w:p w14:paraId="04B4BA88"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679" w:type="pct"/>
            <w:tcBorders>
              <w:top w:val="nil"/>
              <w:left w:val="nil"/>
              <w:bottom w:val="nil"/>
              <w:right w:val="nil"/>
            </w:tcBorders>
            <w:shd w:val="clear" w:color="000000" w:fill="FFFFFF"/>
            <w:noWrap/>
            <w:vAlign w:val="bottom"/>
            <w:hideMark/>
          </w:tcPr>
          <w:p w14:paraId="24649D98"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xml:space="preserve">                               -   </w:t>
            </w:r>
          </w:p>
        </w:tc>
        <w:tc>
          <w:tcPr>
            <w:tcW w:w="934" w:type="pct"/>
            <w:tcBorders>
              <w:top w:val="nil"/>
              <w:left w:val="nil"/>
              <w:bottom w:val="nil"/>
              <w:right w:val="nil"/>
            </w:tcBorders>
            <w:shd w:val="clear" w:color="000000" w:fill="FFFFFF"/>
            <w:noWrap/>
            <w:vAlign w:val="bottom"/>
            <w:hideMark/>
          </w:tcPr>
          <w:p w14:paraId="42FE8DCF" w14:textId="77777777" w:rsidR="00A774D3" w:rsidRPr="00A774D3" w:rsidRDefault="00A774D3">
            <w:pPr>
              <w:jc w:val="right"/>
              <w:rPr>
                <w:rFonts w:asciiTheme="majorHAnsi" w:hAnsiTheme="majorHAnsi" w:cs="Arial"/>
                <w:sz w:val="16"/>
                <w:szCs w:val="16"/>
              </w:rPr>
            </w:pPr>
            <w:r w:rsidRPr="00A774D3">
              <w:rPr>
                <w:rFonts w:asciiTheme="majorHAnsi" w:hAnsiTheme="majorHAnsi" w:cs="Arial"/>
                <w:sz w:val="16"/>
                <w:szCs w:val="16"/>
              </w:rPr>
              <w:t>578.263</w:t>
            </w:r>
          </w:p>
        </w:tc>
      </w:tr>
      <w:tr w:rsidR="00A774D3" w:rsidRPr="00A774D3" w14:paraId="2D19D97B" w14:textId="77777777" w:rsidTr="00A774D3">
        <w:trPr>
          <w:trHeight w:val="300"/>
        </w:trPr>
        <w:tc>
          <w:tcPr>
            <w:tcW w:w="2425" w:type="pct"/>
            <w:gridSpan w:val="2"/>
            <w:tcBorders>
              <w:top w:val="nil"/>
              <w:left w:val="nil"/>
              <w:bottom w:val="nil"/>
              <w:right w:val="nil"/>
            </w:tcBorders>
            <w:shd w:val="clear" w:color="000000" w:fill="FFFFFF"/>
            <w:noWrap/>
            <w:vAlign w:val="bottom"/>
            <w:hideMark/>
          </w:tcPr>
          <w:p w14:paraId="39D434DF"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xml:space="preserve">         Locação de Máquinas e Equipamentos</w:t>
            </w:r>
          </w:p>
        </w:tc>
        <w:tc>
          <w:tcPr>
            <w:tcW w:w="962" w:type="pct"/>
            <w:tcBorders>
              <w:top w:val="nil"/>
              <w:left w:val="nil"/>
              <w:bottom w:val="nil"/>
              <w:right w:val="nil"/>
            </w:tcBorders>
            <w:shd w:val="clear" w:color="000000" w:fill="FFFFFF"/>
            <w:noWrap/>
            <w:vAlign w:val="bottom"/>
            <w:hideMark/>
          </w:tcPr>
          <w:p w14:paraId="1CFD2974"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679" w:type="pct"/>
            <w:tcBorders>
              <w:top w:val="nil"/>
              <w:left w:val="nil"/>
              <w:bottom w:val="nil"/>
              <w:right w:val="nil"/>
            </w:tcBorders>
            <w:shd w:val="clear" w:color="000000" w:fill="FFFFFF"/>
            <w:noWrap/>
            <w:vAlign w:val="bottom"/>
            <w:hideMark/>
          </w:tcPr>
          <w:p w14:paraId="372C03D5" w14:textId="77777777" w:rsidR="00A774D3" w:rsidRPr="00A774D3" w:rsidRDefault="00A774D3">
            <w:pPr>
              <w:jc w:val="right"/>
              <w:rPr>
                <w:rFonts w:asciiTheme="majorHAnsi" w:hAnsiTheme="majorHAnsi" w:cs="Arial"/>
                <w:sz w:val="16"/>
                <w:szCs w:val="16"/>
              </w:rPr>
            </w:pPr>
            <w:r w:rsidRPr="00A774D3">
              <w:rPr>
                <w:rFonts w:asciiTheme="majorHAnsi" w:hAnsiTheme="majorHAnsi" w:cs="Arial"/>
                <w:sz w:val="16"/>
                <w:szCs w:val="16"/>
              </w:rPr>
              <w:t>190.157</w:t>
            </w:r>
          </w:p>
        </w:tc>
        <w:tc>
          <w:tcPr>
            <w:tcW w:w="934" w:type="pct"/>
            <w:tcBorders>
              <w:top w:val="nil"/>
              <w:left w:val="nil"/>
              <w:bottom w:val="nil"/>
              <w:right w:val="nil"/>
            </w:tcBorders>
            <w:shd w:val="clear" w:color="000000" w:fill="FFFFFF"/>
            <w:noWrap/>
            <w:vAlign w:val="bottom"/>
            <w:hideMark/>
          </w:tcPr>
          <w:p w14:paraId="2E9BE12A" w14:textId="77777777" w:rsidR="00A774D3" w:rsidRPr="00A774D3" w:rsidRDefault="00A774D3">
            <w:pPr>
              <w:jc w:val="right"/>
              <w:rPr>
                <w:rFonts w:asciiTheme="majorHAnsi" w:hAnsiTheme="majorHAnsi" w:cs="Arial"/>
                <w:sz w:val="16"/>
                <w:szCs w:val="16"/>
              </w:rPr>
            </w:pPr>
            <w:r w:rsidRPr="00A774D3">
              <w:rPr>
                <w:rFonts w:asciiTheme="majorHAnsi" w:hAnsiTheme="majorHAnsi" w:cs="Arial"/>
                <w:sz w:val="16"/>
                <w:szCs w:val="16"/>
              </w:rPr>
              <w:t xml:space="preserve">                                   15.214 </w:t>
            </w:r>
          </w:p>
        </w:tc>
      </w:tr>
      <w:tr w:rsidR="00A774D3" w:rsidRPr="00A774D3" w14:paraId="206D73DB" w14:textId="77777777" w:rsidTr="00A774D3">
        <w:trPr>
          <w:trHeight w:val="300"/>
        </w:trPr>
        <w:tc>
          <w:tcPr>
            <w:tcW w:w="2425" w:type="pct"/>
            <w:gridSpan w:val="2"/>
            <w:tcBorders>
              <w:top w:val="nil"/>
              <w:left w:val="nil"/>
              <w:bottom w:val="nil"/>
              <w:right w:val="nil"/>
            </w:tcBorders>
            <w:shd w:val="clear" w:color="000000" w:fill="FFFFFF"/>
            <w:noWrap/>
            <w:vAlign w:val="bottom"/>
            <w:hideMark/>
          </w:tcPr>
          <w:p w14:paraId="53B919A0" w14:textId="77777777" w:rsidR="00A774D3" w:rsidRPr="00A774D3" w:rsidRDefault="00A774D3">
            <w:pPr>
              <w:rPr>
                <w:rFonts w:asciiTheme="majorHAnsi" w:hAnsiTheme="majorHAnsi" w:cs="Arial"/>
                <w:b/>
                <w:bCs/>
                <w:sz w:val="16"/>
                <w:szCs w:val="16"/>
              </w:rPr>
            </w:pPr>
            <w:r w:rsidRPr="00A774D3">
              <w:rPr>
                <w:rFonts w:asciiTheme="majorHAnsi" w:hAnsiTheme="majorHAnsi" w:cs="Arial"/>
                <w:b/>
                <w:bCs/>
                <w:sz w:val="16"/>
                <w:szCs w:val="16"/>
              </w:rPr>
              <w:t>VIII.4 REMUNERAÇÃO DE CAPITAIS PRÓPRIOS</w:t>
            </w:r>
          </w:p>
        </w:tc>
        <w:tc>
          <w:tcPr>
            <w:tcW w:w="962" w:type="pct"/>
            <w:tcBorders>
              <w:top w:val="nil"/>
              <w:left w:val="nil"/>
              <w:bottom w:val="nil"/>
              <w:right w:val="nil"/>
            </w:tcBorders>
            <w:shd w:val="clear" w:color="000000" w:fill="FFFFFF"/>
            <w:noWrap/>
            <w:vAlign w:val="bottom"/>
            <w:hideMark/>
          </w:tcPr>
          <w:p w14:paraId="7F18F613"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679" w:type="pct"/>
            <w:tcBorders>
              <w:top w:val="nil"/>
              <w:left w:val="nil"/>
              <w:bottom w:val="nil"/>
              <w:right w:val="nil"/>
            </w:tcBorders>
            <w:shd w:val="clear" w:color="000000" w:fill="FFFFFF"/>
            <w:noWrap/>
            <w:vAlign w:val="bottom"/>
            <w:hideMark/>
          </w:tcPr>
          <w:p w14:paraId="7BA526C4" w14:textId="77777777" w:rsidR="00A774D3" w:rsidRPr="00A774D3" w:rsidRDefault="00A774D3">
            <w:pPr>
              <w:jc w:val="right"/>
              <w:rPr>
                <w:rFonts w:asciiTheme="majorHAnsi" w:hAnsiTheme="majorHAnsi" w:cs="Arial"/>
                <w:b/>
                <w:bCs/>
                <w:sz w:val="16"/>
                <w:szCs w:val="16"/>
              </w:rPr>
            </w:pPr>
            <w:r w:rsidRPr="00A774D3">
              <w:rPr>
                <w:rFonts w:asciiTheme="majorHAnsi" w:hAnsiTheme="majorHAnsi" w:cs="Arial"/>
                <w:b/>
                <w:bCs/>
                <w:sz w:val="16"/>
                <w:szCs w:val="16"/>
              </w:rPr>
              <w:t xml:space="preserve">        (101.934.258)</w:t>
            </w:r>
          </w:p>
        </w:tc>
        <w:tc>
          <w:tcPr>
            <w:tcW w:w="934" w:type="pct"/>
            <w:tcBorders>
              <w:top w:val="nil"/>
              <w:left w:val="nil"/>
              <w:bottom w:val="nil"/>
              <w:right w:val="nil"/>
            </w:tcBorders>
            <w:shd w:val="clear" w:color="000000" w:fill="FFFFFF"/>
            <w:noWrap/>
            <w:vAlign w:val="bottom"/>
            <w:hideMark/>
          </w:tcPr>
          <w:p w14:paraId="09CD34C1" w14:textId="77777777" w:rsidR="00A774D3" w:rsidRPr="00A774D3" w:rsidRDefault="00A774D3">
            <w:pPr>
              <w:jc w:val="right"/>
              <w:rPr>
                <w:rFonts w:asciiTheme="majorHAnsi" w:hAnsiTheme="majorHAnsi" w:cs="Arial"/>
                <w:b/>
                <w:bCs/>
                <w:sz w:val="16"/>
                <w:szCs w:val="16"/>
              </w:rPr>
            </w:pPr>
            <w:r w:rsidRPr="00A774D3">
              <w:rPr>
                <w:rFonts w:asciiTheme="majorHAnsi" w:hAnsiTheme="majorHAnsi" w:cs="Arial"/>
                <w:b/>
                <w:bCs/>
                <w:sz w:val="16"/>
                <w:szCs w:val="16"/>
              </w:rPr>
              <w:t xml:space="preserve">                     (474.158.192)</w:t>
            </w:r>
          </w:p>
        </w:tc>
      </w:tr>
      <w:tr w:rsidR="00A774D3" w:rsidRPr="00A774D3" w14:paraId="3320C972" w14:textId="77777777" w:rsidTr="00A774D3">
        <w:trPr>
          <w:trHeight w:val="300"/>
        </w:trPr>
        <w:tc>
          <w:tcPr>
            <w:tcW w:w="2425" w:type="pct"/>
            <w:gridSpan w:val="2"/>
            <w:tcBorders>
              <w:top w:val="nil"/>
              <w:left w:val="nil"/>
              <w:bottom w:val="nil"/>
              <w:right w:val="nil"/>
            </w:tcBorders>
            <w:shd w:val="clear" w:color="000000" w:fill="FFFFFF"/>
            <w:noWrap/>
            <w:vAlign w:val="bottom"/>
            <w:hideMark/>
          </w:tcPr>
          <w:p w14:paraId="220264B0"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xml:space="preserve">         Prejuízo do </w:t>
            </w:r>
            <w:proofErr w:type="spellStart"/>
            <w:r w:rsidRPr="00A774D3">
              <w:rPr>
                <w:rFonts w:asciiTheme="majorHAnsi" w:hAnsiTheme="majorHAnsi" w:cs="Arial"/>
                <w:sz w:val="16"/>
                <w:szCs w:val="16"/>
              </w:rPr>
              <w:t>Periodo</w:t>
            </w:r>
            <w:proofErr w:type="spellEnd"/>
          </w:p>
        </w:tc>
        <w:tc>
          <w:tcPr>
            <w:tcW w:w="962" w:type="pct"/>
            <w:tcBorders>
              <w:top w:val="nil"/>
              <w:left w:val="nil"/>
              <w:bottom w:val="nil"/>
              <w:right w:val="nil"/>
            </w:tcBorders>
            <w:shd w:val="clear" w:color="000000" w:fill="FFFFFF"/>
            <w:noWrap/>
            <w:vAlign w:val="bottom"/>
            <w:hideMark/>
          </w:tcPr>
          <w:p w14:paraId="50DD7C64"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679" w:type="pct"/>
            <w:tcBorders>
              <w:top w:val="nil"/>
              <w:left w:val="nil"/>
              <w:bottom w:val="nil"/>
              <w:right w:val="nil"/>
            </w:tcBorders>
            <w:shd w:val="clear" w:color="000000" w:fill="FFFFFF"/>
            <w:noWrap/>
            <w:vAlign w:val="bottom"/>
            <w:hideMark/>
          </w:tcPr>
          <w:p w14:paraId="5BF9FAF8" w14:textId="77777777" w:rsidR="00A774D3" w:rsidRPr="00A774D3" w:rsidRDefault="00A774D3">
            <w:pPr>
              <w:jc w:val="right"/>
              <w:rPr>
                <w:rFonts w:asciiTheme="majorHAnsi" w:hAnsiTheme="majorHAnsi" w:cs="Arial"/>
                <w:sz w:val="16"/>
                <w:szCs w:val="16"/>
              </w:rPr>
            </w:pPr>
            <w:r w:rsidRPr="00A774D3">
              <w:rPr>
                <w:rFonts w:asciiTheme="majorHAnsi" w:hAnsiTheme="majorHAnsi" w:cs="Arial"/>
                <w:sz w:val="16"/>
                <w:szCs w:val="16"/>
              </w:rPr>
              <w:t xml:space="preserve">        (101.934.258)</w:t>
            </w:r>
          </w:p>
        </w:tc>
        <w:tc>
          <w:tcPr>
            <w:tcW w:w="934" w:type="pct"/>
            <w:tcBorders>
              <w:top w:val="nil"/>
              <w:left w:val="nil"/>
              <w:bottom w:val="nil"/>
              <w:right w:val="nil"/>
            </w:tcBorders>
            <w:shd w:val="clear" w:color="000000" w:fill="FFFFFF"/>
            <w:noWrap/>
            <w:vAlign w:val="bottom"/>
            <w:hideMark/>
          </w:tcPr>
          <w:p w14:paraId="201DD27D" w14:textId="77777777" w:rsidR="00A774D3" w:rsidRPr="00A774D3" w:rsidRDefault="00A774D3">
            <w:pPr>
              <w:jc w:val="right"/>
              <w:rPr>
                <w:rFonts w:asciiTheme="majorHAnsi" w:hAnsiTheme="majorHAnsi" w:cs="Arial"/>
                <w:sz w:val="16"/>
                <w:szCs w:val="16"/>
              </w:rPr>
            </w:pPr>
            <w:r w:rsidRPr="00A774D3">
              <w:rPr>
                <w:rFonts w:asciiTheme="majorHAnsi" w:hAnsiTheme="majorHAnsi" w:cs="Arial"/>
                <w:sz w:val="16"/>
                <w:szCs w:val="16"/>
              </w:rPr>
              <w:t xml:space="preserve">                       (474.158.192)</w:t>
            </w:r>
          </w:p>
        </w:tc>
      </w:tr>
      <w:tr w:rsidR="00A774D3" w:rsidRPr="00A774D3" w14:paraId="7316688C" w14:textId="77777777" w:rsidTr="00A774D3">
        <w:trPr>
          <w:trHeight w:val="300"/>
        </w:trPr>
        <w:tc>
          <w:tcPr>
            <w:tcW w:w="2329" w:type="pct"/>
            <w:tcBorders>
              <w:top w:val="nil"/>
              <w:left w:val="nil"/>
              <w:bottom w:val="nil"/>
              <w:right w:val="nil"/>
            </w:tcBorders>
            <w:shd w:val="clear" w:color="000000" w:fill="FFFFFF"/>
            <w:noWrap/>
            <w:vAlign w:val="bottom"/>
            <w:hideMark/>
          </w:tcPr>
          <w:p w14:paraId="0BDCF18F"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96" w:type="pct"/>
            <w:tcBorders>
              <w:top w:val="nil"/>
              <w:left w:val="nil"/>
              <w:bottom w:val="nil"/>
              <w:right w:val="nil"/>
            </w:tcBorders>
            <w:shd w:val="clear" w:color="000000" w:fill="FFFFFF"/>
            <w:noWrap/>
            <w:vAlign w:val="bottom"/>
            <w:hideMark/>
          </w:tcPr>
          <w:p w14:paraId="362BB7F1"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962" w:type="pct"/>
            <w:tcBorders>
              <w:top w:val="nil"/>
              <w:left w:val="nil"/>
              <w:bottom w:val="nil"/>
              <w:right w:val="nil"/>
            </w:tcBorders>
            <w:shd w:val="clear" w:color="000000" w:fill="FFFFFF"/>
            <w:noWrap/>
            <w:vAlign w:val="bottom"/>
            <w:hideMark/>
          </w:tcPr>
          <w:p w14:paraId="463C6CD8" w14:textId="77777777" w:rsidR="00A774D3" w:rsidRPr="00A774D3" w:rsidRDefault="00A774D3">
            <w:pPr>
              <w:rPr>
                <w:rFonts w:asciiTheme="majorHAnsi" w:hAnsiTheme="majorHAnsi" w:cs="Arial"/>
                <w:sz w:val="16"/>
                <w:szCs w:val="16"/>
              </w:rPr>
            </w:pPr>
            <w:r w:rsidRPr="00A774D3">
              <w:rPr>
                <w:rFonts w:asciiTheme="majorHAnsi" w:hAnsiTheme="majorHAnsi" w:cs="Arial"/>
                <w:sz w:val="16"/>
                <w:szCs w:val="16"/>
              </w:rPr>
              <w:t> </w:t>
            </w:r>
          </w:p>
        </w:tc>
        <w:tc>
          <w:tcPr>
            <w:tcW w:w="679" w:type="pct"/>
            <w:tcBorders>
              <w:top w:val="nil"/>
              <w:left w:val="nil"/>
              <w:bottom w:val="nil"/>
              <w:right w:val="nil"/>
            </w:tcBorders>
            <w:shd w:val="clear" w:color="000000" w:fill="FFFFFF"/>
            <w:noWrap/>
            <w:vAlign w:val="bottom"/>
            <w:hideMark/>
          </w:tcPr>
          <w:p w14:paraId="17288193" w14:textId="77777777" w:rsidR="00A774D3" w:rsidRPr="00A774D3" w:rsidRDefault="00A774D3">
            <w:pPr>
              <w:jc w:val="right"/>
              <w:rPr>
                <w:rFonts w:asciiTheme="majorHAnsi" w:hAnsiTheme="majorHAnsi" w:cs="Arial"/>
                <w:sz w:val="16"/>
                <w:szCs w:val="16"/>
              </w:rPr>
            </w:pPr>
            <w:r w:rsidRPr="00A774D3">
              <w:rPr>
                <w:rFonts w:asciiTheme="majorHAnsi" w:hAnsiTheme="majorHAnsi" w:cs="Arial"/>
                <w:sz w:val="16"/>
                <w:szCs w:val="16"/>
              </w:rPr>
              <w:t> </w:t>
            </w:r>
          </w:p>
        </w:tc>
        <w:tc>
          <w:tcPr>
            <w:tcW w:w="934" w:type="pct"/>
            <w:tcBorders>
              <w:top w:val="nil"/>
              <w:left w:val="nil"/>
              <w:bottom w:val="nil"/>
              <w:right w:val="nil"/>
            </w:tcBorders>
            <w:shd w:val="clear" w:color="000000" w:fill="FFFFFF"/>
            <w:noWrap/>
            <w:vAlign w:val="bottom"/>
            <w:hideMark/>
          </w:tcPr>
          <w:p w14:paraId="07FF957C" w14:textId="77777777" w:rsidR="00A774D3" w:rsidRPr="00A774D3" w:rsidRDefault="00A774D3">
            <w:pPr>
              <w:jc w:val="right"/>
              <w:rPr>
                <w:rFonts w:asciiTheme="majorHAnsi" w:hAnsiTheme="majorHAnsi" w:cs="Arial"/>
                <w:sz w:val="16"/>
                <w:szCs w:val="16"/>
              </w:rPr>
            </w:pPr>
            <w:r w:rsidRPr="00A774D3">
              <w:rPr>
                <w:rFonts w:asciiTheme="majorHAnsi" w:hAnsiTheme="majorHAnsi" w:cs="Arial"/>
                <w:sz w:val="16"/>
                <w:szCs w:val="16"/>
              </w:rPr>
              <w:t> </w:t>
            </w:r>
          </w:p>
        </w:tc>
      </w:tr>
      <w:tr w:rsidR="00F158C0" w:rsidRPr="00A774D3" w14:paraId="5CEEC4AB" w14:textId="77777777" w:rsidTr="00F158C0">
        <w:trPr>
          <w:trHeight w:val="300"/>
        </w:trPr>
        <w:tc>
          <w:tcPr>
            <w:tcW w:w="5000" w:type="pct"/>
            <w:gridSpan w:val="5"/>
            <w:tcBorders>
              <w:top w:val="nil"/>
              <w:left w:val="nil"/>
              <w:bottom w:val="nil"/>
              <w:right w:val="nil"/>
            </w:tcBorders>
            <w:shd w:val="clear" w:color="000000" w:fill="FFFFFF"/>
            <w:noWrap/>
            <w:vAlign w:val="center"/>
            <w:hideMark/>
          </w:tcPr>
          <w:p w14:paraId="32D7671E" w14:textId="77777777" w:rsidR="00F158C0" w:rsidRPr="00A774D3" w:rsidRDefault="00F158C0">
            <w:pPr>
              <w:rPr>
                <w:rFonts w:asciiTheme="majorHAnsi" w:hAnsiTheme="majorHAnsi" w:cs="Arial"/>
                <w:sz w:val="16"/>
                <w:szCs w:val="16"/>
              </w:rPr>
            </w:pPr>
            <w:r w:rsidRPr="00A774D3">
              <w:rPr>
                <w:rFonts w:asciiTheme="majorHAnsi" w:hAnsiTheme="majorHAnsi" w:cs="Arial"/>
                <w:sz w:val="16"/>
                <w:szCs w:val="16"/>
              </w:rPr>
              <w:t> </w:t>
            </w:r>
          </w:p>
          <w:p w14:paraId="43B99F2D" w14:textId="431C618E" w:rsidR="00F158C0" w:rsidRPr="00A774D3" w:rsidRDefault="00F158C0">
            <w:pPr>
              <w:rPr>
                <w:rFonts w:asciiTheme="majorHAnsi" w:hAnsiTheme="majorHAnsi" w:cs="Arial"/>
                <w:sz w:val="16"/>
                <w:szCs w:val="16"/>
              </w:rPr>
            </w:pPr>
            <w:r w:rsidRPr="00A774D3">
              <w:rPr>
                <w:rFonts w:asciiTheme="majorHAnsi" w:hAnsiTheme="majorHAnsi" w:cs="Arial"/>
                <w:sz w:val="16"/>
                <w:szCs w:val="16"/>
              </w:rPr>
              <w:t> </w:t>
            </w:r>
          </w:p>
          <w:p w14:paraId="324B413E" w14:textId="0C12AE69" w:rsidR="00F158C0" w:rsidRPr="00A774D3" w:rsidRDefault="00F158C0">
            <w:pPr>
              <w:jc w:val="center"/>
              <w:rPr>
                <w:rFonts w:asciiTheme="majorHAnsi" w:hAnsiTheme="majorHAnsi" w:cs="Arial"/>
                <w:sz w:val="16"/>
                <w:szCs w:val="16"/>
              </w:rPr>
            </w:pPr>
            <w:r w:rsidRPr="00A774D3">
              <w:rPr>
                <w:rFonts w:asciiTheme="majorHAnsi" w:hAnsiTheme="majorHAnsi" w:cs="Arial"/>
                <w:sz w:val="16"/>
                <w:szCs w:val="16"/>
              </w:rPr>
              <w:t>(As Notas Explicativas são parte integrante das demonstrações contábeis intermediárias)</w:t>
            </w:r>
          </w:p>
          <w:p w14:paraId="2FD1C12B" w14:textId="1CEC5A27" w:rsidR="00F158C0" w:rsidRPr="00A774D3" w:rsidRDefault="00F158C0">
            <w:pPr>
              <w:jc w:val="right"/>
              <w:rPr>
                <w:rFonts w:asciiTheme="majorHAnsi" w:hAnsiTheme="majorHAnsi" w:cs="Arial"/>
                <w:sz w:val="16"/>
                <w:szCs w:val="16"/>
              </w:rPr>
            </w:pPr>
            <w:r w:rsidRPr="00A774D3">
              <w:rPr>
                <w:rFonts w:asciiTheme="majorHAnsi" w:hAnsiTheme="majorHAnsi" w:cs="Arial"/>
                <w:sz w:val="16"/>
                <w:szCs w:val="16"/>
              </w:rPr>
              <w:t> </w:t>
            </w:r>
          </w:p>
          <w:p w14:paraId="1EA938A5" w14:textId="2589BAD8" w:rsidR="00F158C0" w:rsidRPr="00A774D3" w:rsidRDefault="00F158C0">
            <w:pPr>
              <w:jc w:val="right"/>
              <w:rPr>
                <w:rFonts w:asciiTheme="majorHAnsi" w:hAnsiTheme="majorHAnsi" w:cs="Arial"/>
                <w:sz w:val="16"/>
                <w:szCs w:val="16"/>
              </w:rPr>
            </w:pPr>
            <w:r w:rsidRPr="00A774D3">
              <w:rPr>
                <w:rFonts w:asciiTheme="majorHAnsi" w:hAnsiTheme="majorHAnsi" w:cs="Arial"/>
                <w:sz w:val="16"/>
                <w:szCs w:val="16"/>
              </w:rPr>
              <w:t> </w:t>
            </w:r>
          </w:p>
        </w:tc>
      </w:tr>
    </w:tbl>
    <w:p w14:paraId="43C5D639" w14:textId="72EE99C9" w:rsidR="00A419B2" w:rsidRPr="002E2B5B" w:rsidRDefault="00BE5E3D" w:rsidP="002E2B5B">
      <w:pPr>
        <w:pStyle w:val="Ttulo1"/>
        <w:tabs>
          <w:tab w:val="left" w:pos="1701"/>
        </w:tabs>
        <w:ind w:right="-142"/>
        <w:rPr>
          <w:rFonts w:ascii="Calibri" w:hAnsi="Calibri" w:cs="Calibri"/>
          <w:szCs w:val="22"/>
        </w:rPr>
      </w:pPr>
      <w:r w:rsidRPr="002E2B5B">
        <w:rPr>
          <w:rFonts w:ascii="Calibri" w:hAnsi="Calibri" w:cs="Calibri"/>
          <w:szCs w:val="22"/>
        </w:rPr>
        <w:lastRenderedPageBreak/>
        <w:t xml:space="preserve">NOTAS EXPLICATIVAS </w:t>
      </w:r>
      <w:r w:rsidR="003172EB" w:rsidRPr="002E2B5B">
        <w:rPr>
          <w:rFonts w:ascii="Calibri" w:hAnsi="Calibri" w:cs="Calibri"/>
          <w:szCs w:val="22"/>
        </w:rPr>
        <w:t xml:space="preserve">ÀS </w:t>
      </w:r>
      <w:r w:rsidR="00C80DB7" w:rsidRPr="002E2B5B">
        <w:rPr>
          <w:rFonts w:ascii="Calibri" w:hAnsi="Calibri" w:cs="Calibri"/>
          <w:szCs w:val="22"/>
        </w:rPr>
        <w:t xml:space="preserve">DEMONSTRAÇÕES </w:t>
      </w:r>
      <w:r w:rsidR="007C284D" w:rsidRPr="002E2B5B">
        <w:rPr>
          <w:rFonts w:ascii="Calibri" w:hAnsi="Calibri" w:cs="Calibri"/>
          <w:szCs w:val="22"/>
        </w:rPr>
        <w:t>CONTÁBEIS</w:t>
      </w:r>
      <w:r w:rsidR="000069AD" w:rsidRPr="002E2B5B">
        <w:rPr>
          <w:rFonts w:ascii="Calibri" w:hAnsi="Calibri" w:cs="Calibri"/>
          <w:szCs w:val="22"/>
        </w:rPr>
        <w:t xml:space="preserve"> </w:t>
      </w:r>
      <w:r w:rsidR="00AC2662">
        <w:rPr>
          <w:rFonts w:ascii="Calibri" w:hAnsi="Calibri" w:cs="Calibri"/>
          <w:szCs w:val="22"/>
        </w:rPr>
        <w:t xml:space="preserve">INTERMEDIÁRIAS </w:t>
      </w:r>
      <w:r w:rsidR="00A419B2" w:rsidRPr="002E2B5B">
        <w:rPr>
          <w:rFonts w:ascii="Calibri" w:hAnsi="Calibri" w:cs="Calibri"/>
          <w:szCs w:val="22"/>
        </w:rPr>
        <w:t xml:space="preserve">PARA O </w:t>
      </w:r>
      <w:r w:rsidR="00B80638">
        <w:rPr>
          <w:rFonts w:ascii="Calibri" w:hAnsi="Calibri" w:cs="Calibri"/>
          <w:szCs w:val="22"/>
        </w:rPr>
        <w:t>PERÍODO</w:t>
      </w:r>
      <w:r w:rsidR="00A419B2" w:rsidRPr="002E2B5B">
        <w:rPr>
          <w:rFonts w:ascii="Calibri" w:hAnsi="Calibri" w:cs="Calibri"/>
          <w:szCs w:val="22"/>
        </w:rPr>
        <w:t xml:space="preserve"> FINDO</w:t>
      </w:r>
    </w:p>
    <w:p w14:paraId="17B80F84" w14:textId="7DB7E6B3" w:rsidR="00A419B2" w:rsidRPr="002E2B5B" w:rsidRDefault="00A419B2" w:rsidP="002E2B5B">
      <w:pPr>
        <w:pStyle w:val="Ttulo1"/>
        <w:ind w:right="-142"/>
        <w:rPr>
          <w:rFonts w:ascii="Calibri" w:hAnsi="Calibri" w:cs="Calibri"/>
          <w:szCs w:val="22"/>
        </w:rPr>
      </w:pPr>
      <w:r w:rsidRPr="002E2B5B">
        <w:rPr>
          <w:rFonts w:ascii="Calibri" w:hAnsi="Calibri" w:cs="Calibri"/>
          <w:szCs w:val="22"/>
        </w:rPr>
        <w:t xml:space="preserve">EM </w:t>
      </w:r>
      <w:r w:rsidR="005E3402" w:rsidRPr="002E2B5B">
        <w:rPr>
          <w:rFonts w:ascii="Calibri" w:hAnsi="Calibri" w:cs="Calibri"/>
          <w:szCs w:val="22"/>
        </w:rPr>
        <w:t>3</w:t>
      </w:r>
      <w:r w:rsidR="00AC2662">
        <w:rPr>
          <w:rFonts w:ascii="Calibri" w:hAnsi="Calibri" w:cs="Calibri"/>
          <w:szCs w:val="22"/>
        </w:rPr>
        <w:t>0</w:t>
      </w:r>
      <w:r w:rsidRPr="002E2B5B">
        <w:rPr>
          <w:rFonts w:ascii="Calibri" w:hAnsi="Calibri" w:cs="Calibri"/>
          <w:szCs w:val="22"/>
        </w:rPr>
        <w:t xml:space="preserve"> DE </w:t>
      </w:r>
      <w:r w:rsidR="000E6508">
        <w:rPr>
          <w:rFonts w:ascii="Calibri" w:hAnsi="Calibri" w:cs="Calibri"/>
          <w:szCs w:val="22"/>
        </w:rPr>
        <w:t>SETEMBRO</w:t>
      </w:r>
      <w:r w:rsidR="00695F78">
        <w:rPr>
          <w:rFonts w:ascii="Calibri" w:hAnsi="Calibri" w:cs="Calibri"/>
          <w:szCs w:val="22"/>
        </w:rPr>
        <w:t xml:space="preserve"> DE 2021</w:t>
      </w:r>
    </w:p>
    <w:p w14:paraId="0B380762" w14:textId="77777777" w:rsidR="00BE5E3D" w:rsidRPr="002E2B5B" w:rsidRDefault="00BE5E3D" w:rsidP="002E2B5B">
      <w:pPr>
        <w:pStyle w:val="Ttulo1"/>
        <w:tabs>
          <w:tab w:val="left" w:pos="1701"/>
        </w:tabs>
        <w:ind w:right="-142"/>
        <w:rPr>
          <w:rFonts w:ascii="Calibri" w:hAnsi="Calibri" w:cs="Calibri"/>
          <w:b w:val="0"/>
          <w:szCs w:val="22"/>
        </w:rPr>
      </w:pPr>
      <w:r w:rsidRPr="002E2B5B">
        <w:rPr>
          <w:rFonts w:ascii="Calibri" w:hAnsi="Calibri" w:cs="Calibri"/>
          <w:b w:val="0"/>
          <w:szCs w:val="22"/>
        </w:rPr>
        <w:t xml:space="preserve">- Em R$ 1 </w:t>
      </w:r>
      <w:r w:rsidR="00F404DC" w:rsidRPr="002E2B5B">
        <w:rPr>
          <w:rFonts w:ascii="Calibri" w:hAnsi="Calibri" w:cs="Calibri"/>
          <w:b w:val="0"/>
          <w:szCs w:val="22"/>
        </w:rPr>
        <w:t>–</w:t>
      </w:r>
    </w:p>
    <w:p w14:paraId="7F7FF890" w14:textId="77777777" w:rsidR="00B66FFB" w:rsidRPr="002E2B5B" w:rsidRDefault="00B66FFB" w:rsidP="002E2B5B">
      <w:pPr>
        <w:pStyle w:val="NormalWeb"/>
        <w:spacing w:before="0" w:beforeAutospacing="0" w:after="0" w:afterAutospacing="0"/>
        <w:jc w:val="both"/>
        <w:rPr>
          <w:rFonts w:ascii="Calibri" w:hAnsi="Calibri" w:cs="Calibri"/>
          <w:b/>
          <w:sz w:val="22"/>
          <w:szCs w:val="22"/>
        </w:rPr>
      </w:pPr>
    </w:p>
    <w:p w14:paraId="6B6FB4D4" w14:textId="444FA63A" w:rsidR="00F658CA" w:rsidRPr="002E2B5B" w:rsidRDefault="00F658CA" w:rsidP="002E2B5B">
      <w:pPr>
        <w:pStyle w:val="NormalWeb"/>
        <w:spacing w:before="0" w:beforeAutospacing="0" w:after="0" w:afterAutospacing="0"/>
        <w:jc w:val="both"/>
        <w:rPr>
          <w:rFonts w:ascii="Calibri" w:hAnsi="Calibri" w:cs="Calibri"/>
          <w:b/>
          <w:sz w:val="22"/>
          <w:szCs w:val="22"/>
        </w:rPr>
      </w:pPr>
      <w:r w:rsidRPr="002E2B5B">
        <w:rPr>
          <w:rFonts w:ascii="Calibri" w:hAnsi="Calibri" w:cs="Calibri"/>
          <w:b/>
          <w:sz w:val="22"/>
          <w:szCs w:val="22"/>
        </w:rPr>
        <w:t>NOTA 1 – CONTEXTO OPERACIONAL</w:t>
      </w:r>
    </w:p>
    <w:p w14:paraId="3EA8E486" w14:textId="77777777" w:rsidR="009165D8" w:rsidRPr="002E2B5B" w:rsidRDefault="009165D8" w:rsidP="002E2B5B">
      <w:pPr>
        <w:pStyle w:val="NormalWeb"/>
        <w:spacing w:before="0" w:beforeAutospacing="0" w:after="0" w:afterAutospacing="0"/>
        <w:jc w:val="both"/>
        <w:rPr>
          <w:rFonts w:ascii="Calibri" w:hAnsi="Calibri" w:cs="Calibri"/>
          <w:b/>
          <w:sz w:val="22"/>
          <w:szCs w:val="22"/>
        </w:rPr>
      </w:pPr>
    </w:p>
    <w:p w14:paraId="3779276C" w14:textId="77777777" w:rsidR="004966BC" w:rsidRPr="002E2B5B" w:rsidRDefault="00DA0C1E" w:rsidP="002E2B5B">
      <w:pPr>
        <w:pStyle w:val="NormalWeb"/>
        <w:spacing w:before="0" w:beforeAutospacing="0" w:after="0" w:afterAutospacing="0"/>
        <w:jc w:val="both"/>
        <w:rPr>
          <w:rFonts w:ascii="Calibri" w:hAnsi="Calibri" w:cs="Calibri"/>
          <w:b/>
          <w:sz w:val="22"/>
          <w:szCs w:val="22"/>
          <w:u w:val="single"/>
        </w:rPr>
      </w:pPr>
      <w:r w:rsidRPr="002E2B5B">
        <w:rPr>
          <w:rFonts w:ascii="Calibri" w:hAnsi="Calibri" w:cs="Calibri"/>
          <w:b/>
          <w:sz w:val="22"/>
          <w:szCs w:val="22"/>
          <w:u w:val="single"/>
        </w:rPr>
        <w:t>A</w:t>
      </w:r>
      <w:r w:rsidR="004966BC" w:rsidRPr="002E2B5B">
        <w:rPr>
          <w:rFonts w:ascii="Calibri" w:hAnsi="Calibri" w:cs="Calibri"/>
          <w:b/>
          <w:sz w:val="22"/>
          <w:szCs w:val="22"/>
          <w:u w:val="single"/>
        </w:rPr>
        <w:t xml:space="preserve"> Empresa</w:t>
      </w:r>
    </w:p>
    <w:p w14:paraId="64E064A0" w14:textId="12703A3A" w:rsidR="009165D8" w:rsidRPr="002E2B5B" w:rsidRDefault="00F658CA"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A VALEC Engenharia, Construções e Ferrovias S.A. é uma empresa pública federal dependente vinculada ao Ministério da Infraestrutura, com sede em Brasília-DF, organizada sob a forma de sociedade anônima de capital fechado, com 8.090.009 ações ordinárias nominativas, sem valor nominal, sendo a União detentora de 100% das ações.</w:t>
      </w:r>
    </w:p>
    <w:p w14:paraId="6D39AE9C" w14:textId="76767CB0" w:rsidR="009165D8" w:rsidRPr="002E2B5B" w:rsidRDefault="00F658CA"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A função social da VALEC é a construção e exploração de infraestrutura ferroviária e suas competências estão previstas no Art. 8º da Lei nº 11.772, de 17 de setembro de 2008. </w:t>
      </w:r>
    </w:p>
    <w:p w14:paraId="054599A5" w14:textId="323C2EA0" w:rsidR="009165D8" w:rsidRPr="002E2B5B" w:rsidRDefault="00F658CA"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Como empresa pública federal dependente, a VALEC recebe recursos financeiros da União para pagamentos de despesas com pessoal e custeio por meio de subvenções do Tesouro Nacional e, para fomentar os gastos com investimentos nas construções das ferrovias, recebe recursos por meio de Adiantamentos para Futuro Aumento de Capital – AFAC que</w:t>
      </w:r>
      <w:r w:rsidR="00AE4C46">
        <w:rPr>
          <w:rFonts w:ascii="Calibri" w:hAnsi="Calibri" w:cs="Calibri"/>
          <w:sz w:val="22"/>
          <w:szCs w:val="22"/>
        </w:rPr>
        <w:t>,</w:t>
      </w:r>
      <w:r w:rsidRPr="002E2B5B">
        <w:rPr>
          <w:rFonts w:ascii="Calibri" w:hAnsi="Calibri" w:cs="Calibri"/>
          <w:sz w:val="22"/>
          <w:szCs w:val="22"/>
        </w:rPr>
        <w:t xml:space="preserve"> posteriormente</w:t>
      </w:r>
      <w:r w:rsidR="00AE4C46">
        <w:rPr>
          <w:rFonts w:ascii="Calibri" w:hAnsi="Calibri" w:cs="Calibri"/>
          <w:sz w:val="22"/>
          <w:szCs w:val="22"/>
        </w:rPr>
        <w:t>,</w:t>
      </w:r>
      <w:r w:rsidRPr="002E2B5B">
        <w:rPr>
          <w:rFonts w:ascii="Calibri" w:hAnsi="Calibri" w:cs="Calibri"/>
          <w:sz w:val="22"/>
          <w:szCs w:val="22"/>
        </w:rPr>
        <w:t xml:space="preserve"> são integralizados ao Capital Social.   </w:t>
      </w:r>
    </w:p>
    <w:p w14:paraId="3080CB6F" w14:textId="17C6D540" w:rsidR="009165D8" w:rsidRPr="002E2B5B" w:rsidRDefault="00F658CA" w:rsidP="002E2B5B">
      <w:pPr>
        <w:pStyle w:val="NormalWeb"/>
        <w:spacing w:before="0" w:beforeAutospacing="0" w:after="120" w:afterAutospacing="0"/>
        <w:jc w:val="both"/>
        <w:rPr>
          <w:rFonts w:ascii="Calibri" w:hAnsi="Calibri" w:cs="Calibri"/>
          <w:sz w:val="22"/>
          <w:szCs w:val="22"/>
          <w:shd w:val="clear" w:color="auto" w:fill="FFFFFF"/>
        </w:rPr>
      </w:pPr>
      <w:r w:rsidRPr="002E2B5B">
        <w:rPr>
          <w:rFonts w:ascii="Calibri" w:hAnsi="Calibri" w:cs="Calibri"/>
          <w:sz w:val="22"/>
          <w:szCs w:val="22"/>
        </w:rPr>
        <w:t>Os atos de gestão da VALEC são supervisionados pelos órgãos de governança do poder executivo – Secretaria de Coordenação e Governança das Empresas Estatais - SEST e Secretaria do Tesouro Nacional - STN e fiscalizados</w:t>
      </w:r>
      <w:r w:rsidRPr="002E2B5B">
        <w:rPr>
          <w:rFonts w:ascii="Calibri" w:hAnsi="Calibri" w:cs="Calibri"/>
          <w:sz w:val="22"/>
          <w:szCs w:val="22"/>
          <w:shd w:val="clear" w:color="auto" w:fill="FFFFFF"/>
        </w:rPr>
        <w:t xml:space="preserve"> pelos Órgãos de controle interno </w:t>
      </w:r>
      <w:r w:rsidRPr="002E2B5B">
        <w:rPr>
          <w:rFonts w:ascii="Calibri" w:hAnsi="Calibri" w:cs="Calibri"/>
          <w:sz w:val="22"/>
          <w:szCs w:val="22"/>
        </w:rPr>
        <w:t xml:space="preserve">– </w:t>
      </w:r>
      <w:r w:rsidRPr="002E2B5B">
        <w:rPr>
          <w:rFonts w:ascii="Calibri" w:hAnsi="Calibri" w:cs="Calibri"/>
          <w:sz w:val="22"/>
          <w:szCs w:val="22"/>
          <w:shd w:val="clear" w:color="auto" w:fill="FFFFFF"/>
        </w:rPr>
        <w:t xml:space="preserve">Controladoria-Geral da União - CGU e externo </w:t>
      </w:r>
      <w:r w:rsidRPr="002E2B5B">
        <w:rPr>
          <w:rFonts w:ascii="Calibri" w:hAnsi="Calibri" w:cs="Calibri"/>
          <w:sz w:val="22"/>
          <w:szCs w:val="22"/>
        </w:rPr>
        <w:t xml:space="preserve">– </w:t>
      </w:r>
      <w:r w:rsidRPr="002E2B5B">
        <w:rPr>
          <w:rFonts w:ascii="Calibri" w:hAnsi="Calibri" w:cs="Calibri"/>
          <w:sz w:val="22"/>
          <w:szCs w:val="22"/>
          <w:shd w:val="clear" w:color="auto" w:fill="FFFFFF"/>
        </w:rPr>
        <w:t>Tribunal de Contas da União - TCU.</w:t>
      </w:r>
    </w:p>
    <w:p w14:paraId="2BE6CF77" w14:textId="77777777" w:rsidR="004966BC" w:rsidRPr="002E2B5B" w:rsidRDefault="004966BC" w:rsidP="002E2B5B">
      <w:pPr>
        <w:pStyle w:val="NormalWeb"/>
        <w:spacing w:before="0" w:beforeAutospacing="0" w:after="0" w:afterAutospacing="0"/>
        <w:jc w:val="both"/>
        <w:rPr>
          <w:rFonts w:ascii="Calibri" w:hAnsi="Calibri" w:cs="Calibri"/>
          <w:b/>
          <w:bCs/>
          <w:sz w:val="22"/>
          <w:szCs w:val="22"/>
          <w:u w:val="single"/>
          <w:shd w:val="clear" w:color="auto" w:fill="FFFFFF"/>
        </w:rPr>
      </w:pPr>
      <w:r w:rsidRPr="002E2B5B">
        <w:rPr>
          <w:rFonts w:ascii="Calibri" w:hAnsi="Calibri" w:cs="Calibri"/>
          <w:b/>
          <w:bCs/>
          <w:sz w:val="22"/>
          <w:szCs w:val="22"/>
          <w:u w:val="single"/>
          <w:shd w:val="clear" w:color="auto" w:fill="FFFFFF"/>
        </w:rPr>
        <w:t>Continuidade Operacional</w:t>
      </w:r>
    </w:p>
    <w:p w14:paraId="75326BCC" w14:textId="201AEC0F" w:rsidR="009165D8" w:rsidRPr="002E2B5B" w:rsidRDefault="000951E8"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A VALEC é uma empresa pública controlada pela União (única acionista), reestruturada pela Lei nº 11.772, de 17 de setembro de 2008, considerada dependente nos termos da Lei Complementar nº 101, de 04 de maio de 2000, a qual define como estatal dependente a “</w:t>
      </w:r>
      <w:r w:rsidRPr="002E2B5B">
        <w:rPr>
          <w:rFonts w:ascii="Calibri" w:hAnsi="Calibri" w:cs="Calibri"/>
          <w:i/>
          <w:iCs/>
          <w:sz w:val="22"/>
          <w:szCs w:val="22"/>
          <w:shd w:val="clear" w:color="auto" w:fill="FFFFFF"/>
        </w:rPr>
        <w:t>empresa controlada que recebe do ente controlador recursos financeiros para pagamento de despesas com pessoal ou de custeio em geral ou de capital, excluídos, no último caso, aqueles provenientes de aumento de participação acionária</w:t>
      </w:r>
      <w:r w:rsidRPr="002E2B5B">
        <w:rPr>
          <w:rFonts w:ascii="Calibri" w:hAnsi="Calibri" w:cs="Calibri"/>
          <w:sz w:val="22"/>
          <w:szCs w:val="22"/>
          <w:shd w:val="clear" w:color="auto" w:fill="FFFFFF"/>
        </w:rPr>
        <w:t>”.</w:t>
      </w:r>
    </w:p>
    <w:p w14:paraId="037E83C7" w14:textId="43DEB00D" w:rsidR="009165D8" w:rsidRPr="002E2B5B" w:rsidRDefault="000951E8"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Nesse contexto, a VALEC segue as políticas públicas traçadas pelo Ministérios da Infraestrutura e seu planejamento financeiro de longo prazo é vinculado ao planejamento orçamentário, por meio do Plano Plurianual de 2020 – 2023, aprovados nos termos da Lei 13.971, de 13 de dezembro de 2019.</w:t>
      </w:r>
    </w:p>
    <w:p w14:paraId="03C89E6C" w14:textId="111BCB50" w:rsidR="00B80638" w:rsidRPr="002E2B5B" w:rsidRDefault="00B80638" w:rsidP="00B80638">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Em </w:t>
      </w:r>
      <w:r w:rsidR="00AC2662">
        <w:rPr>
          <w:rFonts w:ascii="Calibri" w:hAnsi="Calibri" w:cs="Calibri"/>
          <w:sz w:val="22"/>
          <w:szCs w:val="22"/>
          <w:shd w:val="clear" w:color="auto" w:fill="FFFFFF"/>
        </w:rPr>
        <w:t>30/0</w:t>
      </w:r>
      <w:r w:rsidR="000E6508">
        <w:rPr>
          <w:rFonts w:ascii="Calibri" w:hAnsi="Calibri" w:cs="Calibri"/>
          <w:sz w:val="22"/>
          <w:szCs w:val="22"/>
          <w:shd w:val="clear" w:color="auto" w:fill="FFFFFF"/>
        </w:rPr>
        <w:t>9</w:t>
      </w:r>
      <w:r w:rsidR="00AC2662">
        <w:rPr>
          <w:rFonts w:ascii="Calibri" w:hAnsi="Calibri" w:cs="Calibri"/>
          <w:sz w:val="22"/>
          <w:szCs w:val="22"/>
          <w:shd w:val="clear" w:color="auto" w:fill="FFFFFF"/>
        </w:rPr>
        <w:t>/2021</w:t>
      </w:r>
      <w:r w:rsidRPr="002E2B5B">
        <w:rPr>
          <w:rFonts w:ascii="Calibri" w:hAnsi="Calibri" w:cs="Calibri"/>
          <w:sz w:val="22"/>
          <w:szCs w:val="22"/>
          <w:shd w:val="clear" w:color="auto" w:fill="FFFFFF"/>
        </w:rPr>
        <w:t xml:space="preserve"> o Passivo Circulante excedeu o seu Ativo Circulante em R$ </w:t>
      </w:r>
      <w:r w:rsidR="00AC2662" w:rsidRPr="001D64BE">
        <w:rPr>
          <w:rFonts w:ascii="Calibri" w:hAnsi="Calibri" w:cs="Calibri"/>
          <w:sz w:val="22"/>
          <w:szCs w:val="22"/>
          <w:shd w:val="clear" w:color="auto" w:fill="FFFFFF"/>
        </w:rPr>
        <w:t>2</w:t>
      </w:r>
      <w:r w:rsidR="001D64BE" w:rsidRPr="001D64BE">
        <w:rPr>
          <w:rFonts w:ascii="Calibri" w:hAnsi="Calibri" w:cs="Calibri"/>
          <w:sz w:val="22"/>
          <w:szCs w:val="22"/>
          <w:shd w:val="clear" w:color="auto" w:fill="FFFFFF"/>
        </w:rPr>
        <w:t>60</w:t>
      </w:r>
      <w:r w:rsidRPr="001D64BE">
        <w:rPr>
          <w:rFonts w:ascii="Calibri" w:hAnsi="Calibri" w:cs="Calibri"/>
          <w:sz w:val="22"/>
          <w:szCs w:val="22"/>
          <w:shd w:val="clear" w:color="auto" w:fill="FFFFFF"/>
        </w:rPr>
        <w:t xml:space="preserve"> m</w:t>
      </w:r>
      <w:r w:rsidRPr="002E2B5B">
        <w:rPr>
          <w:rFonts w:ascii="Calibri" w:hAnsi="Calibri" w:cs="Calibri"/>
          <w:sz w:val="22"/>
          <w:szCs w:val="22"/>
          <w:shd w:val="clear" w:color="auto" w:fill="FFFFFF"/>
        </w:rPr>
        <w:t>ilhões:</w:t>
      </w:r>
    </w:p>
    <w:tbl>
      <w:tblPr>
        <w:tblW w:w="5000" w:type="pct"/>
        <w:tblCellMar>
          <w:left w:w="70" w:type="dxa"/>
          <w:right w:w="70" w:type="dxa"/>
        </w:tblCellMar>
        <w:tblLook w:val="04A0" w:firstRow="1" w:lastRow="0" w:firstColumn="1" w:lastColumn="0" w:noHBand="0" w:noVBand="1"/>
      </w:tblPr>
      <w:tblGrid>
        <w:gridCol w:w="7779"/>
        <w:gridCol w:w="2688"/>
      </w:tblGrid>
      <w:tr w:rsidR="00B80638" w:rsidRPr="002E2B5B" w14:paraId="33EC5058" w14:textId="77777777" w:rsidTr="00B23D01">
        <w:trPr>
          <w:trHeight w:hRule="exact" w:val="227"/>
        </w:trPr>
        <w:tc>
          <w:tcPr>
            <w:tcW w:w="5000" w:type="pct"/>
            <w:gridSpan w:val="2"/>
            <w:tcBorders>
              <w:bottom w:val="single" w:sz="4" w:space="0" w:color="auto"/>
            </w:tcBorders>
            <w:shd w:val="clear" w:color="auto" w:fill="auto"/>
            <w:noWrap/>
            <w:vAlign w:val="center"/>
            <w:hideMark/>
          </w:tcPr>
          <w:p w14:paraId="42723F1F" w14:textId="77777777" w:rsidR="00B80638" w:rsidRPr="002E2B5B" w:rsidRDefault="00B80638" w:rsidP="000E6508">
            <w:pPr>
              <w:rPr>
                <w:rFonts w:ascii="Calibri" w:hAnsi="Calibri" w:cs="Calibri"/>
                <w:b/>
                <w:bCs/>
                <w:sz w:val="16"/>
                <w:szCs w:val="16"/>
              </w:rPr>
            </w:pPr>
            <w:r w:rsidRPr="002E2B5B">
              <w:rPr>
                <w:rFonts w:ascii="Calibri" w:hAnsi="Calibri" w:cs="Calibri"/>
                <w:b/>
                <w:bCs/>
                <w:sz w:val="16"/>
                <w:szCs w:val="16"/>
              </w:rPr>
              <w:t>Descrição</w:t>
            </w:r>
          </w:p>
        </w:tc>
      </w:tr>
      <w:tr w:rsidR="00B80638" w:rsidRPr="002E2B5B" w14:paraId="0C37360E" w14:textId="77777777" w:rsidTr="00B23D01">
        <w:trPr>
          <w:trHeight w:hRule="exact" w:val="227"/>
        </w:trPr>
        <w:tc>
          <w:tcPr>
            <w:tcW w:w="3716" w:type="pct"/>
            <w:tcBorders>
              <w:top w:val="single" w:sz="4" w:space="0" w:color="auto"/>
            </w:tcBorders>
            <w:shd w:val="clear" w:color="auto" w:fill="auto"/>
            <w:noWrap/>
            <w:vAlign w:val="center"/>
            <w:hideMark/>
          </w:tcPr>
          <w:p w14:paraId="0BD30FC5" w14:textId="77777777" w:rsidR="00B80638" w:rsidRPr="002E2B5B" w:rsidRDefault="00B80638" w:rsidP="000E6508">
            <w:pPr>
              <w:rPr>
                <w:rFonts w:ascii="Calibri" w:hAnsi="Calibri" w:cs="Calibri"/>
                <w:sz w:val="16"/>
                <w:szCs w:val="16"/>
              </w:rPr>
            </w:pPr>
            <w:r w:rsidRPr="002E2B5B">
              <w:rPr>
                <w:rFonts w:ascii="Calibri" w:hAnsi="Calibri" w:cs="Calibri"/>
                <w:sz w:val="16"/>
                <w:szCs w:val="16"/>
              </w:rPr>
              <w:t>Ativo Circulante</w:t>
            </w:r>
          </w:p>
        </w:tc>
        <w:tc>
          <w:tcPr>
            <w:tcW w:w="1284" w:type="pct"/>
            <w:tcBorders>
              <w:top w:val="single" w:sz="4" w:space="0" w:color="auto"/>
            </w:tcBorders>
            <w:shd w:val="clear" w:color="auto" w:fill="auto"/>
            <w:noWrap/>
            <w:vAlign w:val="center"/>
            <w:hideMark/>
          </w:tcPr>
          <w:p w14:paraId="3B10BD34" w14:textId="4307DB98" w:rsidR="00B80638" w:rsidRPr="001D64BE" w:rsidRDefault="001D64BE" w:rsidP="000E6508">
            <w:pPr>
              <w:jc w:val="right"/>
              <w:rPr>
                <w:rFonts w:ascii="Calibri" w:hAnsi="Calibri" w:cs="Calibri"/>
                <w:sz w:val="16"/>
                <w:szCs w:val="16"/>
              </w:rPr>
            </w:pPr>
            <w:r>
              <w:rPr>
                <w:rFonts w:ascii="Calibri" w:hAnsi="Calibri" w:cs="Calibri"/>
                <w:sz w:val="16"/>
                <w:szCs w:val="16"/>
              </w:rPr>
              <w:t>89.418.325</w:t>
            </w:r>
          </w:p>
        </w:tc>
      </w:tr>
      <w:tr w:rsidR="00B80638" w:rsidRPr="002E2B5B" w14:paraId="481728C3" w14:textId="77777777" w:rsidTr="00B23D01">
        <w:trPr>
          <w:trHeight w:hRule="exact" w:val="227"/>
        </w:trPr>
        <w:tc>
          <w:tcPr>
            <w:tcW w:w="3716" w:type="pct"/>
            <w:shd w:val="clear" w:color="auto" w:fill="auto"/>
            <w:noWrap/>
            <w:vAlign w:val="center"/>
          </w:tcPr>
          <w:p w14:paraId="3D217979" w14:textId="77777777" w:rsidR="00B80638" w:rsidRPr="002E2B5B" w:rsidRDefault="00B80638" w:rsidP="000E6508">
            <w:pPr>
              <w:rPr>
                <w:rFonts w:ascii="Calibri" w:hAnsi="Calibri" w:cs="Calibri"/>
                <w:sz w:val="16"/>
                <w:szCs w:val="16"/>
              </w:rPr>
            </w:pPr>
            <w:r w:rsidRPr="002E2B5B">
              <w:rPr>
                <w:rFonts w:ascii="Calibri" w:hAnsi="Calibri" w:cs="Calibri"/>
                <w:sz w:val="16"/>
                <w:szCs w:val="16"/>
              </w:rPr>
              <w:t>Passivo Circulante</w:t>
            </w:r>
          </w:p>
        </w:tc>
        <w:tc>
          <w:tcPr>
            <w:tcW w:w="1284" w:type="pct"/>
            <w:shd w:val="clear" w:color="auto" w:fill="auto"/>
            <w:noWrap/>
            <w:vAlign w:val="center"/>
          </w:tcPr>
          <w:p w14:paraId="483DEE40" w14:textId="20B3A1E9" w:rsidR="00B80638" w:rsidRPr="001D64BE" w:rsidRDefault="00AC2662" w:rsidP="000E6508">
            <w:pPr>
              <w:jc w:val="right"/>
              <w:rPr>
                <w:rFonts w:ascii="Calibri" w:hAnsi="Calibri" w:cs="Calibri"/>
                <w:sz w:val="16"/>
                <w:szCs w:val="16"/>
              </w:rPr>
            </w:pPr>
            <w:r w:rsidRPr="001D64BE">
              <w:rPr>
                <w:rFonts w:ascii="Calibri" w:hAnsi="Calibri" w:cs="Calibri"/>
                <w:sz w:val="16"/>
                <w:szCs w:val="16"/>
              </w:rPr>
              <w:t>34</w:t>
            </w:r>
            <w:r w:rsidR="001D64BE">
              <w:rPr>
                <w:rFonts w:ascii="Calibri" w:hAnsi="Calibri" w:cs="Calibri"/>
                <w:sz w:val="16"/>
                <w:szCs w:val="16"/>
              </w:rPr>
              <w:t>9</w:t>
            </w:r>
            <w:r w:rsidRPr="001D64BE">
              <w:rPr>
                <w:rFonts w:ascii="Calibri" w:hAnsi="Calibri" w:cs="Calibri"/>
                <w:sz w:val="16"/>
                <w:szCs w:val="16"/>
              </w:rPr>
              <w:t>.</w:t>
            </w:r>
            <w:r w:rsidR="001D64BE">
              <w:rPr>
                <w:rFonts w:ascii="Calibri" w:hAnsi="Calibri" w:cs="Calibri"/>
                <w:sz w:val="16"/>
                <w:szCs w:val="16"/>
              </w:rPr>
              <w:t>804</w:t>
            </w:r>
            <w:r w:rsidRPr="001D64BE">
              <w:rPr>
                <w:rFonts w:ascii="Calibri" w:hAnsi="Calibri" w:cs="Calibri"/>
                <w:sz w:val="16"/>
                <w:szCs w:val="16"/>
              </w:rPr>
              <w:t>.</w:t>
            </w:r>
            <w:r w:rsidR="001D64BE">
              <w:rPr>
                <w:rFonts w:ascii="Calibri" w:hAnsi="Calibri" w:cs="Calibri"/>
                <w:sz w:val="16"/>
                <w:szCs w:val="16"/>
              </w:rPr>
              <w:t>985</w:t>
            </w:r>
          </w:p>
          <w:p w14:paraId="0AE9D82F" w14:textId="77777777" w:rsidR="00B80638" w:rsidRPr="001D64BE" w:rsidRDefault="00B80638" w:rsidP="000E6508">
            <w:pPr>
              <w:jc w:val="right"/>
              <w:rPr>
                <w:rFonts w:ascii="Calibri" w:hAnsi="Calibri" w:cs="Calibri"/>
                <w:sz w:val="16"/>
                <w:szCs w:val="16"/>
              </w:rPr>
            </w:pPr>
          </w:p>
        </w:tc>
      </w:tr>
      <w:tr w:rsidR="00B80638" w:rsidRPr="002E2B5B" w14:paraId="149CCF0C" w14:textId="77777777" w:rsidTr="00B23D01">
        <w:trPr>
          <w:trHeight w:hRule="exact" w:val="227"/>
        </w:trPr>
        <w:tc>
          <w:tcPr>
            <w:tcW w:w="3716" w:type="pct"/>
            <w:tcBorders>
              <w:top w:val="single" w:sz="4" w:space="0" w:color="auto"/>
              <w:bottom w:val="single" w:sz="4" w:space="0" w:color="auto"/>
            </w:tcBorders>
            <w:shd w:val="clear" w:color="auto" w:fill="auto"/>
            <w:noWrap/>
            <w:vAlign w:val="center"/>
            <w:hideMark/>
          </w:tcPr>
          <w:p w14:paraId="3B83A8B1" w14:textId="77777777" w:rsidR="00B80638" w:rsidRPr="002E2B5B" w:rsidRDefault="00B80638" w:rsidP="000E6508">
            <w:pPr>
              <w:rPr>
                <w:rFonts w:ascii="Calibri" w:hAnsi="Calibri" w:cs="Calibri"/>
                <w:b/>
                <w:sz w:val="16"/>
                <w:szCs w:val="16"/>
              </w:rPr>
            </w:pPr>
            <w:r w:rsidRPr="002E2B5B">
              <w:rPr>
                <w:rFonts w:ascii="Calibri" w:hAnsi="Calibri" w:cs="Calibri"/>
                <w:b/>
                <w:bCs/>
                <w:sz w:val="16"/>
                <w:szCs w:val="16"/>
              </w:rPr>
              <w:t>Excedente (AC – PC)</w:t>
            </w:r>
          </w:p>
        </w:tc>
        <w:tc>
          <w:tcPr>
            <w:tcW w:w="1284" w:type="pct"/>
            <w:tcBorders>
              <w:top w:val="single" w:sz="4" w:space="0" w:color="auto"/>
              <w:bottom w:val="single" w:sz="4" w:space="0" w:color="auto"/>
            </w:tcBorders>
            <w:shd w:val="clear" w:color="auto" w:fill="auto"/>
            <w:noWrap/>
            <w:vAlign w:val="center"/>
            <w:hideMark/>
          </w:tcPr>
          <w:p w14:paraId="44EB5EB3" w14:textId="41B8E26E" w:rsidR="00B80638" w:rsidRPr="001D64BE" w:rsidRDefault="00B80638" w:rsidP="000E6508">
            <w:pPr>
              <w:jc w:val="right"/>
              <w:rPr>
                <w:rFonts w:ascii="Calibri" w:hAnsi="Calibri" w:cs="Calibri"/>
                <w:b/>
                <w:bCs/>
                <w:sz w:val="16"/>
                <w:szCs w:val="16"/>
              </w:rPr>
            </w:pPr>
            <w:r w:rsidRPr="001D64BE">
              <w:rPr>
                <w:rFonts w:ascii="Calibri" w:hAnsi="Calibri" w:cs="Calibri"/>
                <w:b/>
                <w:bCs/>
                <w:sz w:val="16"/>
                <w:szCs w:val="16"/>
              </w:rPr>
              <w:t>(</w:t>
            </w:r>
            <w:r w:rsidR="00AC2662" w:rsidRPr="001D64BE">
              <w:rPr>
                <w:rFonts w:ascii="Calibri" w:hAnsi="Calibri" w:cs="Calibri"/>
                <w:b/>
                <w:bCs/>
                <w:sz w:val="16"/>
                <w:szCs w:val="16"/>
              </w:rPr>
              <w:t>2</w:t>
            </w:r>
            <w:r w:rsidR="001D64BE">
              <w:rPr>
                <w:rFonts w:ascii="Calibri" w:hAnsi="Calibri" w:cs="Calibri"/>
                <w:b/>
                <w:bCs/>
                <w:sz w:val="16"/>
                <w:szCs w:val="16"/>
              </w:rPr>
              <w:t>60</w:t>
            </w:r>
            <w:r w:rsidR="00AC2662" w:rsidRPr="001D64BE">
              <w:rPr>
                <w:rFonts w:ascii="Calibri" w:hAnsi="Calibri" w:cs="Calibri"/>
                <w:b/>
                <w:bCs/>
                <w:sz w:val="16"/>
                <w:szCs w:val="16"/>
              </w:rPr>
              <w:t>.</w:t>
            </w:r>
            <w:r w:rsidR="001D64BE">
              <w:rPr>
                <w:rFonts w:ascii="Calibri" w:hAnsi="Calibri" w:cs="Calibri"/>
                <w:b/>
                <w:bCs/>
                <w:sz w:val="16"/>
                <w:szCs w:val="16"/>
              </w:rPr>
              <w:t>38</w:t>
            </w:r>
            <w:r w:rsidR="00AC2662" w:rsidRPr="001D64BE">
              <w:rPr>
                <w:rFonts w:ascii="Calibri" w:hAnsi="Calibri" w:cs="Calibri"/>
                <w:b/>
                <w:bCs/>
                <w:sz w:val="16"/>
                <w:szCs w:val="16"/>
              </w:rPr>
              <w:t>6.</w:t>
            </w:r>
            <w:r w:rsidR="001D64BE">
              <w:rPr>
                <w:rFonts w:ascii="Calibri" w:hAnsi="Calibri" w:cs="Calibri"/>
                <w:b/>
                <w:bCs/>
                <w:sz w:val="16"/>
                <w:szCs w:val="16"/>
              </w:rPr>
              <w:t>660</w:t>
            </w:r>
            <w:r w:rsidRPr="001D64BE">
              <w:rPr>
                <w:rFonts w:ascii="Calibri" w:hAnsi="Calibri" w:cs="Calibri"/>
                <w:b/>
                <w:bCs/>
                <w:sz w:val="16"/>
                <w:szCs w:val="16"/>
              </w:rPr>
              <w:t>)</w:t>
            </w:r>
          </w:p>
        </w:tc>
      </w:tr>
    </w:tbl>
    <w:p w14:paraId="5EBFC6EA" w14:textId="77777777" w:rsidR="00B80638" w:rsidRPr="002E2B5B" w:rsidRDefault="00B80638" w:rsidP="00B80638">
      <w:pPr>
        <w:autoSpaceDE w:val="0"/>
        <w:autoSpaceDN w:val="0"/>
        <w:adjustRightInd w:val="0"/>
        <w:jc w:val="both"/>
        <w:rPr>
          <w:rFonts w:ascii="Calibri" w:hAnsi="Calibri" w:cs="Calibri"/>
          <w:sz w:val="22"/>
          <w:szCs w:val="22"/>
          <w:shd w:val="clear" w:color="auto" w:fill="FFFFFF"/>
        </w:rPr>
      </w:pPr>
    </w:p>
    <w:p w14:paraId="7E3EEAC0" w14:textId="3A2FDEF6" w:rsidR="00B80638" w:rsidRPr="002E2B5B" w:rsidRDefault="00B80638" w:rsidP="00B80638">
      <w:pPr>
        <w:autoSpaceDE w:val="0"/>
        <w:autoSpaceDN w:val="0"/>
        <w:adjustRightInd w:val="0"/>
        <w:spacing w:after="120"/>
        <w:jc w:val="both"/>
        <w:rPr>
          <w:rFonts w:ascii="Calibri" w:hAnsi="Calibri" w:cs="Calibri"/>
          <w:sz w:val="22"/>
          <w:szCs w:val="22"/>
          <w:shd w:val="clear" w:color="auto" w:fill="FFFFFF"/>
        </w:rPr>
      </w:pPr>
      <w:r w:rsidRPr="0001095F">
        <w:rPr>
          <w:rFonts w:ascii="Calibri" w:hAnsi="Calibri" w:cs="Calibri"/>
          <w:sz w:val="22"/>
          <w:szCs w:val="22"/>
          <w:shd w:val="clear" w:color="auto" w:fill="FFFFFF"/>
        </w:rPr>
        <w:t xml:space="preserve">Essa situação foi demonstrada a partir de último trimestre do exercício de 2020, em decorrência da reclassificação de parte das provisões para riscos trabalhistas/cíveis do Passivo Não Circulante para o Passivo Circulante, </w:t>
      </w:r>
      <w:r w:rsidR="00956793">
        <w:rPr>
          <w:rFonts w:ascii="Calibri" w:hAnsi="Calibri" w:cs="Calibri"/>
          <w:sz w:val="22"/>
          <w:szCs w:val="22"/>
          <w:shd w:val="clear" w:color="auto" w:fill="FFFFFF"/>
        </w:rPr>
        <w:t>após a</w:t>
      </w:r>
      <w:r w:rsidRPr="0001095F">
        <w:rPr>
          <w:rFonts w:ascii="Calibri" w:hAnsi="Calibri" w:cs="Calibri"/>
          <w:sz w:val="22"/>
          <w:szCs w:val="22"/>
          <w:shd w:val="clear" w:color="auto" w:fill="FFFFFF"/>
        </w:rPr>
        <w:t xml:space="preserve"> revisão da previsão de realização dos pagamentos dos processos que se encontram em andamento contra a VALEC.</w:t>
      </w:r>
    </w:p>
    <w:p w14:paraId="4EC0CF98" w14:textId="68D718FC" w:rsidR="00B80638" w:rsidRDefault="00B80638" w:rsidP="00B80638">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No entanto, </w:t>
      </w:r>
      <w:r>
        <w:rPr>
          <w:rFonts w:ascii="Calibri" w:hAnsi="Calibri" w:cs="Calibri"/>
          <w:sz w:val="22"/>
          <w:szCs w:val="22"/>
          <w:shd w:val="clear" w:color="auto" w:fill="FFFFFF"/>
        </w:rPr>
        <w:t>a</w:t>
      </w:r>
      <w:r w:rsidRPr="00FF4575">
        <w:rPr>
          <w:rFonts w:ascii="Calibri" w:hAnsi="Calibri" w:cs="Calibri"/>
          <w:sz w:val="22"/>
          <w:szCs w:val="22"/>
          <w:shd w:val="clear" w:color="auto" w:fill="FFFFFF"/>
        </w:rPr>
        <w:t xml:space="preserve"> legislação prevê a possibilidade de suplementação orçamentária, caso os recursos previstos na Lei Orçamentária Anual não sejam suficientes. O embasamento para essa suplementação está ancorado nos </w:t>
      </w:r>
      <w:proofErr w:type="spellStart"/>
      <w:r w:rsidRPr="00FF4575">
        <w:rPr>
          <w:rFonts w:ascii="Calibri" w:hAnsi="Calibri" w:cs="Calibri"/>
          <w:sz w:val="22"/>
          <w:szCs w:val="22"/>
          <w:shd w:val="clear" w:color="auto" w:fill="FFFFFF"/>
        </w:rPr>
        <w:t>arts</w:t>
      </w:r>
      <w:proofErr w:type="spellEnd"/>
      <w:r w:rsidRPr="00FF4575">
        <w:rPr>
          <w:rFonts w:ascii="Calibri" w:hAnsi="Calibri" w:cs="Calibri"/>
          <w:sz w:val="22"/>
          <w:szCs w:val="22"/>
          <w:shd w:val="clear" w:color="auto" w:fill="FFFFFF"/>
        </w:rPr>
        <w:t xml:space="preserve">. 40 a 46 da Lei nº 4.320, de 17 de março de 1964 (créditos orçamentários); no art. 4º da Lei nº 14.144, de 22 de abril de 2021; e no art. 9º da Portaria SOF/ME nº 4.967, de 29 de abril de 2021 e Portaria SOF/ME </w:t>
      </w:r>
      <w:r w:rsidR="00956793">
        <w:rPr>
          <w:rFonts w:ascii="Calibri" w:hAnsi="Calibri" w:cs="Calibri"/>
          <w:sz w:val="22"/>
          <w:szCs w:val="22"/>
          <w:shd w:val="clear" w:color="auto" w:fill="FFFFFF"/>
        </w:rPr>
        <w:t>n</w:t>
      </w:r>
      <w:r w:rsidRPr="00FF4575">
        <w:rPr>
          <w:rFonts w:ascii="Calibri" w:hAnsi="Calibri" w:cs="Calibri"/>
          <w:sz w:val="22"/>
          <w:szCs w:val="22"/>
          <w:shd w:val="clear" w:color="auto" w:fill="FFFFFF"/>
        </w:rPr>
        <w:t>º</w:t>
      </w:r>
      <w:r w:rsidR="00956793">
        <w:rPr>
          <w:rFonts w:ascii="Calibri" w:hAnsi="Calibri" w:cs="Calibri"/>
          <w:sz w:val="22"/>
          <w:szCs w:val="22"/>
          <w:shd w:val="clear" w:color="auto" w:fill="FFFFFF"/>
        </w:rPr>
        <w:t xml:space="preserve"> </w:t>
      </w:r>
      <w:r w:rsidRPr="00FF4575">
        <w:rPr>
          <w:rFonts w:ascii="Calibri" w:hAnsi="Calibri" w:cs="Calibri"/>
          <w:sz w:val="22"/>
          <w:szCs w:val="22"/>
          <w:shd w:val="clear" w:color="auto" w:fill="FFFFFF"/>
        </w:rPr>
        <w:t xml:space="preserve">352, de 11 de </w:t>
      </w:r>
      <w:r>
        <w:rPr>
          <w:rFonts w:ascii="Calibri" w:hAnsi="Calibri" w:cs="Calibri"/>
          <w:sz w:val="22"/>
          <w:szCs w:val="22"/>
          <w:shd w:val="clear" w:color="auto" w:fill="FFFFFF"/>
        </w:rPr>
        <w:t>j</w:t>
      </w:r>
      <w:r w:rsidRPr="00FF4575">
        <w:rPr>
          <w:rFonts w:ascii="Calibri" w:hAnsi="Calibri" w:cs="Calibri"/>
          <w:sz w:val="22"/>
          <w:szCs w:val="22"/>
          <w:shd w:val="clear" w:color="auto" w:fill="FFFFFF"/>
        </w:rPr>
        <w:t>aneiro de 2021.</w:t>
      </w:r>
    </w:p>
    <w:p w14:paraId="0E1E89CF" w14:textId="7F72B227" w:rsidR="009165D8" w:rsidRPr="002E2B5B" w:rsidRDefault="000951E8"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A V</w:t>
      </w:r>
      <w:r w:rsidR="00F15B75" w:rsidRPr="002E2B5B">
        <w:rPr>
          <w:rFonts w:ascii="Calibri" w:hAnsi="Calibri" w:cs="Calibri"/>
          <w:sz w:val="22"/>
          <w:szCs w:val="22"/>
          <w:shd w:val="clear" w:color="auto" w:fill="FFFFFF"/>
        </w:rPr>
        <w:t>ALEC</w:t>
      </w:r>
      <w:r w:rsidRPr="002E2B5B">
        <w:rPr>
          <w:rFonts w:ascii="Calibri" w:hAnsi="Calibri" w:cs="Calibri"/>
          <w:sz w:val="22"/>
          <w:szCs w:val="22"/>
          <w:shd w:val="clear" w:color="auto" w:fill="FFFFFF"/>
        </w:rPr>
        <w:t xml:space="preserve"> busca ser referência não só na construção e exploração das ferrovias que lhes foram outorgadas, mas também na prestação dos mais diversos serviços e soluções tecnológicas para o sistema ferroviário nacional, estruturando parcerias e ativos, além da pesquisa e inovação. Objetiva a captação de fontes alternativas de receitas, incentivando ações para identificação de oportunidades de negócios nacionais e internacionais, além do estreitamento institucional com o mercado privado e público de infraestrutura ferroviária.</w:t>
      </w:r>
    </w:p>
    <w:p w14:paraId="518AEF98" w14:textId="6E297B8D" w:rsidR="009165D8" w:rsidRPr="002E2B5B" w:rsidRDefault="000951E8"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lastRenderedPageBreak/>
        <w:t>Na exploração de Terminais e Áreas Remanescentes, está prevista a realização de parcerias em 05 áreas nos quais prevê-se uma receita aproximada de R$ 100 milhões, sendo que estas concentrar-se-ão nos Pátios de Porto Nacional/TO; Gurupi/TO; Sudoeste do Goiás/GO; São Simão/GO; e Porto Franco/MA.</w:t>
      </w:r>
    </w:p>
    <w:p w14:paraId="2B18CD7E" w14:textId="4875B3F4" w:rsidR="009165D8" w:rsidRPr="002E2B5B" w:rsidRDefault="000951E8"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Na área de desapropriações o planejamento traz como metas: lançar em definitivo o sistema “VALEC Territorial”, onde estarão consolidados os mapas e painéis referentes à Desapropriação e Gestão da Faixa de Domínio; apresentar proposta para leilão público dos imóveis (terrenos) remanescentes; concluir os procedimentos administrativos necessários para a escrituração, registro ou ajuizamento dos processos expropriatórios; e continuação das atividades de levantamento com o uso de Sistemas de Aeronaves Remotamente Pilotadas (RPAS) para geração de </w:t>
      </w:r>
      <w:proofErr w:type="spellStart"/>
      <w:r w:rsidRPr="002E2B5B">
        <w:rPr>
          <w:rFonts w:ascii="Calibri" w:hAnsi="Calibri" w:cs="Calibri"/>
          <w:sz w:val="22"/>
          <w:szCs w:val="22"/>
          <w:shd w:val="clear" w:color="auto" w:fill="FFFFFF"/>
        </w:rPr>
        <w:t>Ortofoto</w:t>
      </w:r>
      <w:proofErr w:type="spellEnd"/>
      <w:r w:rsidRPr="002E2B5B">
        <w:rPr>
          <w:rFonts w:ascii="Calibri" w:hAnsi="Calibri" w:cs="Calibri"/>
          <w:sz w:val="22"/>
          <w:szCs w:val="22"/>
          <w:shd w:val="clear" w:color="auto" w:fill="FFFFFF"/>
        </w:rPr>
        <w:t xml:space="preserve"> de Modelo Digital de Elevação (MDE).</w:t>
      </w:r>
    </w:p>
    <w:p w14:paraId="2800437C" w14:textId="41EFB731" w:rsidR="009165D8" w:rsidRPr="002E2B5B" w:rsidRDefault="000951E8" w:rsidP="002E2B5B">
      <w:pPr>
        <w:pStyle w:val="Pa0"/>
        <w:spacing w:after="120"/>
        <w:rPr>
          <w:rFonts w:ascii="Calibri" w:hAnsi="Calibri" w:cs="Calibri"/>
          <w:sz w:val="22"/>
          <w:szCs w:val="22"/>
        </w:rPr>
      </w:pPr>
      <w:r w:rsidRPr="002E2B5B">
        <w:rPr>
          <w:rFonts w:ascii="Calibri" w:hAnsi="Calibri" w:cs="Calibri"/>
          <w:sz w:val="22"/>
          <w:szCs w:val="22"/>
        </w:rPr>
        <w:t xml:space="preserve">Como unidade executora de políticas públicas de desenvolvimento da infraestrutura ferroviária nacional, muitos projetos deverão ser direcionados para atuação da </w:t>
      </w:r>
      <w:r w:rsidR="00F15B75" w:rsidRPr="002E2B5B">
        <w:rPr>
          <w:rFonts w:ascii="Calibri" w:hAnsi="Calibri" w:cs="Calibri"/>
          <w:sz w:val="22"/>
          <w:szCs w:val="22"/>
        </w:rPr>
        <w:t>VALEC</w:t>
      </w:r>
      <w:r w:rsidRPr="002E2B5B">
        <w:rPr>
          <w:rFonts w:ascii="Calibri" w:hAnsi="Calibri" w:cs="Calibri"/>
          <w:sz w:val="22"/>
          <w:szCs w:val="22"/>
        </w:rPr>
        <w:t xml:space="preserve">, tendo em vista as oportunidades geradas pela possibilidade de renovação antecipada das concessões ferroviárias, a devolução e </w:t>
      </w:r>
      <w:proofErr w:type="spellStart"/>
      <w:r w:rsidRPr="002E2B5B">
        <w:rPr>
          <w:rFonts w:ascii="Calibri" w:hAnsi="Calibri" w:cs="Calibri"/>
          <w:sz w:val="22"/>
          <w:szCs w:val="22"/>
        </w:rPr>
        <w:t>relicitação</w:t>
      </w:r>
      <w:proofErr w:type="spellEnd"/>
      <w:r w:rsidRPr="002E2B5B">
        <w:rPr>
          <w:rFonts w:ascii="Calibri" w:hAnsi="Calibri" w:cs="Calibri"/>
          <w:sz w:val="22"/>
          <w:szCs w:val="22"/>
        </w:rPr>
        <w:t xml:space="preserve"> de trechos ferroviários previstos pela Lei nº 13.448/2017 </w:t>
      </w:r>
      <w:r w:rsidRPr="00997E85">
        <w:rPr>
          <w:rFonts w:ascii="Calibri" w:hAnsi="Calibri" w:cs="Calibri"/>
          <w:sz w:val="22"/>
          <w:szCs w:val="22"/>
        </w:rPr>
        <w:t>e a possibilidade de aprovação do PLS 261/2018, que trata das autorizações ferroviárias privadas.</w:t>
      </w:r>
    </w:p>
    <w:p w14:paraId="68D29291" w14:textId="77777777" w:rsidR="000951E8" w:rsidRPr="002E2B5B" w:rsidRDefault="000951E8" w:rsidP="002E2B5B">
      <w:pPr>
        <w:pStyle w:val="NormalWeb"/>
        <w:spacing w:before="0" w:beforeAutospacing="0" w:after="0" w:afterAutospacing="0"/>
        <w:jc w:val="both"/>
        <w:rPr>
          <w:rFonts w:ascii="Calibri" w:hAnsi="Calibri" w:cs="Calibri"/>
          <w:b/>
          <w:bCs/>
          <w:sz w:val="22"/>
          <w:szCs w:val="22"/>
          <w:u w:val="single"/>
        </w:rPr>
      </w:pPr>
      <w:r w:rsidRPr="002E2B5B">
        <w:rPr>
          <w:rFonts w:ascii="Calibri" w:hAnsi="Calibri" w:cs="Calibri"/>
          <w:b/>
          <w:bCs/>
          <w:sz w:val="22"/>
          <w:szCs w:val="22"/>
          <w:u w:val="single"/>
        </w:rPr>
        <w:t>Projetos e Atividades Operacionais</w:t>
      </w:r>
    </w:p>
    <w:p w14:paraId="714DAA20" w14:textId="2AF9E031" w:rsidR="00B124A6" w:rsidRPr="002E2B5B" w:rsidRDefault="00F658CA" w:rsidP="002E2B5B">
      <w:pPr>
        <w:autoSpaceDE w:val="0"/>
        <w:autoSpaceDN w:val="0"/>
        <w:adjustRightInd w:val="0"/>
        <w:jc w:val="both"/>
        <w:rPr>
          <w:rFonts w:ascii="Calibri" w:hAnsi="Calibri" w:cs="Calibri"/>
          <w:sz w:val="22"/>
          <w:szCs w:val="22"/>
          <w:shd w:val="clear" w:color="auto" w:fill="FFFFFF"/>
        </w:rPr>
      </w:pPr>
      <w:r w:rsidRPr="002E2B5B">
        <w:rPr>
          <w:rFonts w:ascii="Calibri" w:hAnsi="Calibri" w:cs="Calibri"/>
          <w:sz w:val="22"/>
          <w:szCs w:val="22"/>
        </w:rPr>
        <w:t xml:space="preserve">A VALEC atua como principal catalisador do modo ferroviário nacional, responsável por projetos em grande parte do País, como a construção da Ferrovia Norte-Sul e da Ferrovia de Integração Leste-Oeste, além de projetos como: Corredor Ferroviário de Santa Catarina – EF 280, </w:t>
      </w:r>
      <w:r w:rsidRPr="002E2B5B">
        <w:rPr>
          <w:rFonts w:ascii="Calibri" w:hAnsi="Calibri" w:cs="Calibri"/>
          <w:sz w:val="22"/>
          <w:szCs w:val="22"/>
          <w:shd w:val="clear" w:color="auto" w:fill="FFFFFF"/>
        </w:rPr>
        <w:t>Ferrovia do Pantanal – EF 267 e Ferrovia Integração Centro-Oeste – EF 354.</w:t>
      </w:r>
      <w:r w:rsidR="00B124A6" w:rsidRPr="002E2B5B">
        <w:rPr>
          <w:rFonts w:ascii="Calibri" w:hAnsi="Calibri" w:cs="Calibri"/>
          <w:sz w:val="22"/>
          <w:szCs w:val="22"/>
          <w:shd w:val="clear" w:color="auto" w:fill="FFFFFF"/>
        </w:rPr>
        <w:t xml:space="preserve"> </w:t>
      </w:r>
    </w:p>
    <w:p w14:paraId="1CE7932C" w14:textId="77777777" w:rsidR="009165D8" w:rsidRPr="002E2B5B" w:rsidRDefault="009165D8" w:rsidP="002E2B5B">
      <w:pPr>
        <w:autoSpaceDE w:val="0"/>
        <w:autoSpaceDN w:val="0"/>
        <w:adjustRightInd w:val="0"/>
        <w:jc w:val="both"/>
        <w:rPr>
          <w:rFonts w:ascii="Calibri" w:hAnsi="Calibri" w:cs="Calibri"/>
          <w:sz w:val="22"/>
          <w:szCs w:val="22"/>
          <w:shd w:val="clear" w:color="auto" w:fill="FFFFFF"/>
        </w:rPr>
      </w:pPr>
    </w:p>
    <w:p w14:paraId="4B848B94" w14:textId="77777777" w:rsidR="00F658CA" w:rsidRPr="002E2B5B" w:rsidRDefault="00F658CA" w:rsidP="002E2B5B">
      <w:pPr>
        <w:autoSpaceDE w:val="0"/>
        <w:autoSpaceDN w:val="0"/>
        <w:adjustRightInd w:val="0"/>
        <w:jc w:val="both"/>
        <w:rPr>
          <w:rFonts w:ascii="Calibri" w:hAnsi="Calibri" w:cs="Calibri"/>
          <w:b/>
          <w:sz w:val="22"/>
          <w:szCs w:val="22"/>
        </w:rPr>
      </w:pPr>
      <w:r w:rsidRPr="002E2B5B">
        <w:rPr>
          <w:rFonts w:ascii="Calibri" w:hAnsi="Calibri" w:cs="Calibri"/>
          <w:b/>
          <w:sz w:val="22"/>
          <w:szCs w:val="22"/>
        </w:rPr>
        <w:t>I - FERROVIA NORTE-SUL - FNS – EF 151</w:t>
      </w:r>
    </w:p>
    <w:p w14:paraId="1C20A585" w14:textId="214AD834" w:rsidR="009165D8" w:rsidRPr="002E2B5B" w:rsidRDefault="00F658CA"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Constitui como eixo estruturador do Sistema Ferroviário Nacional: estabelecendo alternativas mais econômicas para os fluxos de carga para o mercado consumidor; induzindo a ocupação econômica do cerrado brasileiro; favorecendo a multimodalidade de transportes; conectando a malha ferroviária brasileira; promovendo uma logística exportadora competitiva, de modo a possibilitar o acesso a portos de grande capacidade; incentivando investimentos, que irão incrementar a produção, induzir processos produtivos modernos e promover a industrialização.</w:t>
      </w:r>
    </w:p>
    <w:p w14:paraId="33FE8524" w14:textId="4F551503" w:rsidR="009165D8" w:rsidRPr="002E2B5B" w:rsidRDefault="00F658CA"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A outorga estabelecendo o direito de construção, uso e gozo da FNS EF – 151 se deu inicialmente por meio do Decreto nº 94.813, de 01º de setembro de 1987, posteriormente alterado pelas Leis nº 11.297, de 09 de maio de 2006, e nº 11.772, de 17 de setembro de 2008. </w:t>
      </w:r>
    </w:p>
    <w:p w14:paraId="1B87C1FF" w14:textId="0E13F0EE" w:rsidR="009165D8" w:rsidRPr="002E2B5B" w:rsidRDefault="00F658CA"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Em virtude de sua extensão e da disponibilidade orçamentária, a construção da FNS foi realizada em etapas que constituem os seguintes trechos/</w:t>
      </w:r>
      <w:proofErr w:type="spellStart"/>
      <w:r w:rsidRPr="002E2B5B">
        <w:rPr>
          <w:rFonts w:ascii="Calibri" w:hAnsi="Calibri" w:cs="Calibri"/>
          <w:sz w:val="22"/>
          <w:szCs w:val="22"/>
        </w:rPr>
        <w:t>tramos</w:t>
      </w:r>
      <w:proofErr w:type="spellEnd"/>
      <w:r w:rsidRPr="002E2B5B">
        <w:rPr>
          <w:rFonts w:ascii="Calibri" w:hAnsi="Calibri" w:cs="Calibri"/>
          <w:sz w:val="22"/>
          <w:szCs w:val="22"/>
        </w:rPr>
        <w:t xml:space="preserve">: Tramo Norte </w:t>
      </w:r>
      <w:r w:rsidR="00040BCF" w:rsidRPr="002E2B5B">
        <w:rPr>
          <w:rFonts w:ascii="Calibri" w:hAnsi="Calibri" w:cs="Calibri"/>
          <w:sz w:val="22"/>
          <w:szCs w:val="22"/>
        </w:rPr>
        <w:t>(</w:t>
      </w:r>
      <w:r w:rsidRPr="002E2B5B">
        <w:rPr>
          <w:rFonts w:ascii="Calibri" w:hAnsi="Calibri" w:cs="Calibri"/>
          <w:sz w:val="22"/>
          <w:szCs w:val="22"/>
        </w:rPr>
        <w:t>Açailândia/MA – Porto Nacional/TO</w:t>
      </w:r>
      <w:r w:rsidR="00040BCF" w:rsidRPr="002E2B5B">
        <w:rPr>
          <w:rFonts w:ascii="Calibri" w:hAnsi="Calibri" w:cs="Calibri"/>
          <w:sz w:val="22"/>
          <w:szCs w:val="22"/>
        </w:rPr>
        <w:t>)</w:t>
      </w:r>
      <w:r w:rsidRPr="002E2B5B">
        <w:rPr>
          <w:rFonts w:ascii="Calibri" w:hAnsi="Calibri" w:cs="Calibri"/>
          <w:sz w:val="22"/>
          <w:szCs w:val="22"/>
        </w:rPr>
        <w:t xml:space="preserve">; Tramo Central: </w:t>
      </w:r>
      <w:r w:rsidR="00040BCF" w:rsidRPr="002E2B5B">
        <w:rPr>
          <w:rFonts w:ascii="Calibri" w:hAnsi="Calibri" w:cs="Calibri"/>
          <w:sz w:val="22"/>
          <w:szCs w:val="22"/>
        </w:rPr>
        <w:t>(</w:t>
      </w:r>
      <w:r w:rsidRPr="002E2B5B">
        <w:rPr>
          <w:rFonts w:ascii="Calibri" w:hAnsi="Calibri" w:cs="Calibri"/>
          <w:sz w:val="22"/>
          <w:szCs w:val="22"/>
        </w:rPr>
        <w:t xml:space="preserve">Porto Nacional/TO – </w:t>
      </w:r>
      <w:r w:rsidR="00040BCF" w:rsidRPr="002E2B5B">
        <w:rPr>
          <w:rFonts w:ascii="Calibri" w:hAnsi="Calibri" w:cs="Calibri"/>
          <w:sz w:val="22"/>
          <w:szCs w:val="22"/>
        </w:rPr>
        <w:t>Uruaçu/GO)</w:t>
      </w:r>
      <w:r w:rsidRPr="002E2B5B">
        <w:rPr>
          <w:rFonts w:ascii="Calibri" w:hAnsi="Calibri" w:cs="Calibri"/>
          <w:sz w:val="22"/>
          <w:szCs w:val="22"/>
        </w:rPr>
        <w:t>; Tramo Sul</w:t>
      </w:r>
      <w:r w:rsidR="00040BCF" w:rsidRPr="002E2B5B">
        <w:rPr>
          <w:rFonts w:ascii="Calibri" w:hAnsi="Calibri" w:cs="Calibri"/>
          <w:sz w:val="22"/>
          <w:szCs w:val="22"/>
        </w:rPr>
        <w:t xml:space="preserve"> (Uruaçu/GO - Anápolis/GO); e </w:t>
      </w:r>
      <w:r w:rsidRPr="002E2B5B">
        <w:rPr>
          <w:rFonts w:ascii="Calibri" w:hAnsi="Calibri" w:cs="Calibri"/>
          <w:sz w:val="22"/>
          <w:szCs w:val="22"/>
        </w:rPr>
        <w:t xml:space="preserve">Extensão Sul </w:t>
      </w:r>
      <w:r w:rsidR="00040BCF" w:rsidRPr="002E2B5B">
        <w:rPr>
          <w:rFonts w:ascii="Calibri" w:hAnsi="Calibri" w:cs="Calibri"/>
          <w:sz w:val="22"/>
          <w:szCs w:val="22"/>
        </w:rPr>
        <w:t>(</w:t>
      </w:r>
      <w:r w:rsidRPr="002E2B5B">
        <w:rPr>
          <w:rFonts w:ascii="Calibri" w:hAnsi="Calibri" w:cs="Calibri"/>
          <w:sz w:val="22"/>
          <w:szCs w:val="22"/>
        </w:rPr>
        <w:t>Ouro Verde/GO – Estrela d’Oeste/SP</w:t>
      </w:r>
      <w:r w:rsidR="00040BCF" w:rsidRPr="002E2B5B">
        <w:rPr>
          <w:rFonts w:ascii="Calibri" w:hAnsi="Calibri" w:cs="Calibri"/>
          <w:sz w:val="22"/>
          <w:szCs w:val="22"/>
        </w:rPr>
        <w:t>)</w:t>
      </w:r>
      <w:r w:rsidRPr="002E2B5B">
        <w:rPr>
          <w:rFonts w:ascii="Calibri" w:hAnsi="Calibri" w:cs="Calibri"/>
          <w:sz w:val="22"/>
          <w:szCs w:val="22"/>
        </w:rPr>
        <w:t>.</w:t>
      </w:r>
    </w:p>
    <w:p w14:paraId="60F839DC" w14:textId="2E0E8FF6" w:rsidR="009165D8" w:rsidRPr="002E2B5B" w:rsidRDefault="00F658CA"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O </w:t>
      </w:r>
      <w:r w:rsidR="00040BCF" w:rsidRPr="002E2B5B">
        <w:rPr>
          <w:rFonts w:ascii="Calibri" w:hAnsi="Calibri" w:cs="Calibri"/>
          <w:sz w:val="22"/>
          <w:szCs w:val="22"/>
        </w:rPr>
        <w:t>T</w:t>
      </w:r>
      <w:r w:rsidRPr="002E2B5B">
        <w:rPr>
          <w:rFonts w:ascii="Calibri" w:hAnsi="Calibri" w:cs="Calibri"/>
          <w:sz w:val="22"/>
          <w:szCs w:val="22"/>
        </w:rPr>
        <w:t xml:space="preserve">recho </w:t>
      </w:r>
      <w:r w:rsidR="00040BCF" w:rsidRPr="002E2B5B">
        <w:rPr>
          <w:rFonts w:ascii="Calibri" w:hAnsi="Calibri" w:cs="Calibri"/>
          <w:sz w:val="22"/>
          <w:szCs w:val="22"/>
        </w:rPr>
        <w:t>Norte</w:t>
      </w:r>
      <w:r w:rsidRPr="002E2B5B">
        <w:rPr>
          <w:rFonts w:ascii="Calibri" w:hAnsi="Calibri" w:cs="Calibri"/>
          <w:sz w:val="22"/>
          <w:szCs w:val="22"/>
        </w:rPr>
        <w:t xml:space="preserve"> possui 720 km de extensão e encontra-se subconcedido à Ferrovia Norte Sul S.A desde dezembro de 2007</w:t>
      </w:r>
      <w:r w:rsidR="001B4261" w:rsidRPr="002E2B5B">
        <w:rPr>
          <w:rFonts w:ascii="Calibri" w:hAnsi="Calibri" w:cs="Calibri"/>
          <w:sz w:val="22"/>
          <w:szCs w:val="22"/>
        </w:rPr>
        <w:t>, pelo prazo contratual de 30 anos</w:t>
      </w:r>
      <w:r w:rsidRPr="002E2B5B">
        <w:rPr>
          <w:rFonts w:ascii="Calibri" w:hAnsi="Calibri" w:cs="Calibri"/>
          <w:sz w:val="22"/>
          <w:szCs w:val="22"/>
        </w:rPr>
        <w:t xml:space="preserve">. Esse trecho teve sua autorização para tráfego em 19 de janeiro de 2011, por meio da Resolução nº 3624/2011 da Agência Nacional de Transportes Terrestres </w:t>
      </w:r>
      <w:r w:rsidR="00040BCF" w:rsidRPr="002E2B5B">
        <w:rPr>
          <w:rFonts w:ascii="Calibri" w:hAnsi="Calibri" w:cs="Calibri"/>
          <w:sz w:val="22"/>
          <w:szCs w:val="22"/>
        </w:rPr>
        <w:t>(</w:t>
      </w:r>
      <w:r w:rsidRPr="002E2B5B">
        <w:rPr>
          <w:rFonts w:ascii="Calibri" w:hAnsi="Calibri" w:cs="Calibri"/>
          <w:sz w:val="22"/>
          <w:szCs w:val="22"/>
        </w:rPr>
        <w:t>ANTT</w:t>
      </w:r>
      <w:r w:rsidR="00040BCF" w:rsidRPr="002E2B5B">
        <w:rPr>
          <w:rFonts w:ascii="Calibri" w:hAnsi="Calibri" w:cs="Calibri"/>
          <w:sz w:val="22"/>
          <w:szCs w:val="22"/>
        </w:rPr>
        <w:t>)</w:t>
      </w:r>
      <w:r w:rsidRPr="002E2B5B">
        <w:rPr>
          <w:rFonts w:ascii="Calibri" w:hAnsi="Calibri" w:cs="Calibri"/>
          <w:sz w:val="22"/>
          <w:szCs w:val="22"/>
        </w:rPr>
        <w:t>.</w:t>
      </w:r>
    </w:p>
    <w:p w14:paraId="2AC1751B" w14:textId="7FB59E5D" w:rsidR="00D4582D" w:rsidRPr="00997E85" w:rsidRDefault="00F658CA"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Com um total de 1.537 km, o trecho que compreende Porto Nacional/TO a Estrela d’Oeste/SP </w:t>
      </w:r>
      <w:r w:rsidR="00E35FF8" w:rsidRPr="002E2B5B">
        <w:rPr>
          <w:rFonts w:ascii="Calibri" w:hAnsi="Calibri" w:cs="Calibri"/>
          <w:sz w:val="22"/>
          <w:szCs w:val="22"/>
        </w:rPr>
        <w:t>(</w:t>
      </w:r>
      <w:proofErr w:type="spellStart"/>
      <w:r w:rsidR="00E35FF8" w:rsidRPr="002E2B5B">
        <w:rPr>
          <w:rFonts w:ascii="Calibri" w:hAnsi="Calibri" w:cs="Calibri"/>
          <w:sz w:val="22"/>
          <w:szCs w:val="22"/>
        </w:rPr>
        <w:t>Tramos</w:t>
      </w:r>
      <w:proofErr w:type="spellEnd"/>
      <w:r w:rsidR="00E35FF8" w:rsidRPr="002E2B5B">
        <w:rPr>
          <w:rFonts w:ascii="Calibri" w:hAnsi="Calibri" w:cs="Calibri"/>
          <w:sz w:val="22"/>
          <w:szCs w:val="22"/>
        </w:rPr>
        <w:t xml:space="preserve"> Central, Sul e Extensão Sul) </w:t>
      </w:r>
      <w:r w:rsidRPr="002E2B5B">
        <w:rPr>
          <w:rFonts w:ascii="Calibri" w:hAnsi="Calibri" w:cs="Calibri"/>
          <w:sz w:val="22"/>
          <w:szCs w:val="22"/>
        </w:rPr>
        <w:t xml:space="preserve">foi leiloado para Subconcessão em 28 de março de 2019. Em 30 de abril de 2019, a Agência Nacional de Transportes Terrestres – ANTT homologou o resultado do leilão, no qual consagrou-se vencedora a empresa Rumo Malha Central S.A e o contrato foi assinado em 31 de julho de 2019, por intermédio da ANTT, tendo como Concessionária e Interveniente Subconcedente a VALEC. O contrato de subconcessão tem por objeto a prestação do serviço público de transporte ferroviário de cargas associado à exploração da infraestrutura da malha ferroviária </w:t>
      </w:r>
      <w:r w:rsidRPr="00997E85">
        <w:rPr>
          <w:rFonts w:ascii="Calibri" w:hAnsi="Calibri" w:cs="Calibri"/>
          <w:sz w:val="22"/>
          <w:szCs w:val="22"/>
        </w:rPr>
        <w:t>situada entre Porto Nacional/TO e Estrela d´Oeste/SP, com vigência de 30 (trinta) anos.</w:t>
      </w:r>
    </w:p>
    <w:p w14:paraId="74B42D40" w14:textId="1E608882" w:rsidR="00D52821" w:rsidRPr="002E2B5B" w:rsidRDefault="00F658CA" w:rsidP="002E2B5B">
      <w:pPr>
        <w:pStyle w:val="NormalWeb"/>
        <w:spacing w:before="0" w:beforeAutospacing="0" w:after="0" w:afterAutospacing="0"/>
        <w:jc w:val="both"/>
        <w:rPr>
          <w:rFonts w:ascii="Calibri" w:hAnsi="Calibri" w:cs="Calibri"/>
          <w:sz w:val="22"/>
          <w:szCs w:val="22"/>
        </w:rPr>
      </w:pPr>
      <w:r w:rsidRPr="00997E85">
        <w:rPr>
          <w:rFonts w:ascii="Calibri" w:hAnsi="Calibri" w:cs="Calibri"/>
          <w:sz w:val="22"/>
          <w:szCs w:val="22"/>
        </w:rPr>
        <w:t xml:space="preserve">Os contratos de subconcessão da Ferrovia Norte-Sul e seus reflexos contábeis estão divulgados </w:t>
      </w:r>
      <w:r w:rsidRPr="00B23D01">
        <w:rPr>
          <w:rFonts w:ascii="Calibri" w:hAnsi="Calibri" w:cs="Calibri"/>
          <w:sz w:val="22"/>
          <w:szCs w:val="22"/>
        </w:rPr>
        <w:t>na</w:t>
      </w:r>
      <w:r w:rsidR="001B4261" w:rsidRPr="00B23D01">
        <w:rPr>
          <w:rFonts w:ascii="Calibri" w:hAnsi="Calibri" w:cs="Calibri"/>
          <w:sz w:val="22"/>
          <w:szCs w:val="22"/>
        </w:rPr>
        <w:t>s</w:t>
      </w:r>
      <w:r w:rsidRPr="00B23D01">
        <w:rPr>
          <w:rFonts w:ascii="Calibri" w:hAnsi="Calibri" w:cs="Calibri"/>
          <w:sz w:val="22"/>
          <w:szCs w:val="22"/>
        </w:rPr>
        <w:t xml:space="preserve"> Nota</w:t>
      </w:r>
      <w:r w:rsidR="001B4261" w:rsidRPr="00B23D01">
        <w:rPr>
          <w:rFonts w:ascii="Calibri" w:hAnsi="Calibri" w:cs="Calibri"/>
          <w:sz w:val="22"/>
          <w:szCs w:val="22"/>
        </w:rPr>
        <w:t>s</w:t>
      </w:r>
      <w:r w:rsidR="00E71DE6" w:rsidRPr="00B23D01">
        <w:rPr>
          <w:rFonts w:ascii="Calibri" w:hAnsi="Calibri" w:cs="Calibri"/>
          <w:sz w:val="22"/>
          <w:szCs w:val="22"/>
        </w:rPr>
        <w:t xml:space="preserve"> </w:t>
      </w:r>
      <w:r w:rsidR="00997E85" w:rsidRPr="00B23D01">
        <w:rPr>
          <w:rFonts w:ascii="Calibri" w:hAnsi="Calibri" w:cs="Calibri"/>
          <w:sz w:val="22"/>
          <w:szCs w:val="22"/>
        </w:rPr>
        <w:t>8</w:t>
      </w:r>
      <w:r w:rsidR="001B4261" w:rsidRPr="00B23D01">
        <w:rPr>
          <w:rFonts w:ascii="Calibri" w:hAnsi="Calibri" w:cs="Calibri"/>
          <w:sz w:val="22"/>
          <w:szCs w:val="22"/>
        </w:rPr>
        <w:t>.</w:t>
      </w:r>
    </w:p>
    <w:p w14:paraId="075BF93B" w14:textId="77777777" w:rsidR="00D52821" w:rsidRPr="002E2B5B" w:rsidRDefault="00D52821" w:rsidP="002E2B5B">
      <w:pPr>
        <w:autoSpaceDE w:val="0"/>
        <w:autoSpaceDN w:val="0"/>
        <w:adjustRightInd w:val="0"/>
        <w:jc w:val="both"/>
        <w:rPr>
          <w:rFonts w:ascii="Calibri" w:hAnsi="Calibri" w:cs="Calibri"/>
          <w:b/>
          <w:sz w:val="22"/>
          <w:szCs w:val="22"/>
        </w:rPr>
      </w:pPr>
    </w:p>
    <w:p w14:paraId="2EF395BE" w14:textId="3F38F6AC" w:rsidR="00F658CA" w:rsidRPr="002E2B5B" w:rsidRDefault="00F658CA" w:rsidP="002E2B5B">
      <w:pPr>
        <w:autoSpaceDE w:val="0"/>
        <w:autoSpaceDN w:val="0"/>
        <w:adjustRightInd w:val="0"/>
        <w:jc w:val="both"/>
        <w:rPr>
          <w:rFonts w:ascii="Calibri" w:hAnsi="Calibri" w:cs="Calibri"/>
          <w:b/>
          <w:sz w:val="22"/>
          <w:szCs w:val="22"/>
        </w:rPr>
      </w:pPr>
      <w:r w:rsidRPr="002E2B5B">
        <w:rPr>
          <w:rFonts w:ascii="Calibri" w:hAnsi="Calibri" w:cs="Calibri"/>
          <w:b/>
          <w:sz w:val="22"/>
          <w:szCs w:val="22"/>
        </w:rPr>
        <w:t>II - FERROVIA DE INTEGRAÇÃO OESTE LESTE - FIOL – EF 334</w:t>
      </w:r>
    </w:p>
    <w:p w14:paraId="52B20FE7" w14:textId="6DCA8B32" w:rsidR="009165D8" w:rsidRPr="002E2B5B" w:rsidRDefault="00F658CA"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Com aproximadamente 1.527 km de extensão, ligará o futuro </w:t>
      </w:r>
      <w:r w:rsidR="001B4261" w:rsidRPr="002E2B5B">
        <w:rPr>
          <w:rFonts w:ascii="Calibri" w:hAnsi="Calibri" w:cs="Calibri"/>
          <w:sz w:val="22"/>
          <w:szCs w:val="22"/>
        </w:rPr>
        <w:t>P</w:t>
      </w:r>
      <w:r w:rsidRPr="002E2B5B">
        <w:rPr>
          <w:rFonts w:ascii="Calibri" w:hAnsi="Calibri" w:cs="Calibri"/>
          <w:sz w:val="22"/>
          <w:szCs w:val="22"/>
        </w:rPr>
        <w:t xml:space="preserve">orto de Ilhéus/BA a </w:t>
      </w:r>
      <w:proofErr w:type="spellStart"/>
      <w:r w:rsidRPr="002E2B5B">
        <w:rPr>
          <w:rFonts w:ascii="Calibri" w:hAnsi="Calibri" w:cs="Calibri"/>
          <w:sz w:val="22"/>
          <w:szCs w:val="22"/>
        </w:rPr>
        <w:t>Figueirópolis</w:t>
      </w:r>
      <w:proofErr w:type="spellEnd"/>
      <w:r w:rsidRPr="002E2B5B">
        <w:rPr>
          <w:rFonts w:ascii="Calibri" w:hAnsi="Calibri" w:cs="Calibri"/>
          <w:sz w:val="22"/>
          <w:szCs w:val="22"/>
        </w:rPr>
        <w:t>/TO, ponto em que se conectará com a Ferrovia Norte Sul.</w:t>
      </w:r>
    </w:p>
    <w:p w14:paraId="1EC6EB6F" w14:textId="0E4AE8FD" w:rsidR="00D4582D" w:rsidRPr="002E2B5B" w:rsidRDefault="00F658CA"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lastRenderedPageBreak/>
        <w:t>A construção da FIOL tem como objetivos: estabelecer alternativas mais econômicas para os fluxos de carga de longa distância; favorecer a multimodalidade de transportes; interligar a malha ferroviária brasileira; propor nova alternativa logística para o escoamento da produção agrícola e de mineração por meio do terminal portuário de Ilhéus/BA; e incentivar investimentos a fim de incrementar a produção e induzir processos produtivos modernos.</w:t>
      </w:r>
    </w:p>
    <w:p w14:paraId="17374F13" w14:textId="6AD8F412" w:rsidR="009165D8" w:rsidRPr="002E2B5B" w:rsidRDefault="00F658CA"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Devido à sua extensão e disponibilidade orçamentária, a FIOL está sendo construída em etapas e constituem os seguintes trechos: FIOL I</w:t>
      </w:r>
      <w:r w:rsidR="00EC2487" w:rsidRPr="002E2B5B">
        <w:rPr>
          <w:rFonts w:ascii="Calibri" w:hAnsi="Calibri" w:cs="Calibri"/>
          <w:sz w:val="22"/>
          <w:szCs w:val="22"/>
        </w:rPr>
        <w:t xml:space="preserve"> (</w:t>
      </w:r>
      <w:r w:rsidRPr="002E2B5B">
        <w:rPr>
          <w:rFonts w:ascii="Calibri" w:hAnsi="Calibri" w:cs="Calibri"/>
          <w:sz w:val="22"/>
          <w:szCs w:val="22"/>
        </w:rPr>
        <w:t>Ilhéus/BA – Caetité/BA</w:t>
      </w:r>
      <w:r w:rsidR="00EC2487" w:rsidRPr="002E2B5B">
        <w:rPr>
          <w:rFonts w:ascii="Calibri" w:hAnsi="Calibri" w:cs="Calibri"/>
          <w:sz w:val="22"/>
          <w:szCs w:val="22"/>
        </w:rPr>
        <w:t>)</w:t>
      </w:r>
      <w:r w:rsidRPr="002E2B5B">
        <w:rPr>
          <w:rFonts w:ascii="Calibri" w:hAnsi="Calibri" w:cs="Calibri"/>
          <w:sz w:val="22"/>
          <w:szCs w:val="22"/>
        </w:rPr>
        <w:t xml:space="preserve">; FIOL II </w:t>
      </w:r>
      <w:r w:rsidR="00EC2487" w:rsidRPr="002E2B5B">
        <w:rPr>
          <w:rFonts w:ascii="Calibri" w:hAnsi="Calibri" w:cs="Calibri"/>
          <w:sz w:val="22"/>
          <w:szCs w:val="22"/>
        </w:rPr>
        <w:t>(</w:t>
      </w:r>
      <w:r w:rsidRPr="002E2B5B">
        <w:rPr>
          <w:rFonts w:ascii="Calibri" w:hAnsi="Calibri" w:cs="Calibri"/>
          <w:sz w:val="22"/>
          <w:szCs w:val="22"/>
        </w:rPr>
        <w:t>Caetité/BA – Barreiras/BA</w:t>
      </w:r>
      <w:r w:rsidR="00EC2487" w:rsidRPr="002E2B5B">
        <w:rPr>
          <w:rFonts w:ascii="Calibri" w:hAnsi="Calibri" w:cs="Calibri"/>
          <w:sz w:val="22"/>
          <w:szCs w:val="22"/>
        </w:rPr>
        <w:t>)</w:t>
      </w:r>
      <w:r w:rsidRPr="002E2B5B">
        <w:rPr>
          <w:rFonts w:ascii="Calibri" w:hAnsi="Calibri" w:cs="Calibri"/>
          <w:sz w:val="22"/>
          <w:szCs w:val="22"/>
        </w:rPr>
        <w:t xml:space="preserve"> e FIOL III</w:t>
      </w:r>
      <w:r w:rsidR="00EC2487" w:rsidRPr="002E2B5B">
        <w:rPr>
          <w:rFonts w:ascii="Calibri" w:hAnsi="Calibri" w:cs="Calibri"/>
          <w:sz w:val="22"/>
          <w:szCs w:val="22"/>
        </w:rPr>
        <w:t xml:space="preserve"> (</w:t>
      </w:r>
      <w:r w:rsidRPr="002E2B5B">
        <w:rPr>
          <w:rFonts w:ascii="Calibri" w:hAnsi="Calibri" w:cs="Calibri"/>
          <w:sz w:val="22"/>
          <w:szCs w:val="22"/>
        </w:rPr>
        <w:t xml:space="preserve">Barreiras/BA – </w:t>
      </w:r>
      <w:proofErr w:type="spellStart"/>
      <w:r w:rsidRPr="002E2B5B">
        <w:rPr>
          <w:rFonts w:ascii="Calibri" w:hAnsi="Calibri" w:cs="Calibri"/>
          <w:sz w:val="22"/>
          <w:szCs w:val="22"/>
        </w:rPr>
        <w:t>Figueirópolis</w:t>
      </w:r>
      <w:proofErr w:type="spellEnd"/>
      <w:r w:rsidRPr="002E2B5B">
        <w:rPr>
          <w:rFonts w:ascii="Calibri" w:hAnsi="Calibri" w:cs="Calibri"/>
          <w:sz w:val="22"/>
          <w:szCs w:val="22"/>
        </w:rPr>
        <w:t>/TO</w:t>
      </w:r>
      <w:r w:rsidR="00EC2487" w:rsidRPr="002E2B5B">
        <w:rPr>
          <w:rFonts w:ascii="Calibri" w:hAnsi="Calibri" w:cs="Calibri"/>
          <w:sz w:val="22"/>
          <w:szCs w:val="22"/>
        </w:rPr>
        <w:t>)</w:t>
      </w:r>
      <w:r w:rsidRPr="002E2B5B">
        <w:rPr>
          <w:rFonts w:ascii="Calibri" w:hAnsi="Calibri" w:cs="Calibri"/>
          <w:sz w:val="22"/>
          <w:szCs w:val="22"/>
        </w:rPr>
        <w:t>.</w:t>
      </w:r>
    </w:p>
    <w:p w14:paraId="4023B415" w14:textId="20183F4B" w:rsidR="009165D8" w:rsidRPr="002E2B5B" w:rsidRDefault="00DA0C1E" w:rsidP="002E2B5B">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Em 08 de abril de 2021, ocorreu o Leilão para subconcessão do trecho ferroviário entre os municípios de Ilhéus/BA a Caetité/BA</w:t>
      </w:r>
      <w:r w:rsidR="00F8127A" w:rsidRPr="002E2B5B">
        <w:rPr>
          <w:rFonts w:ascii="Calibri" w:hAnsi="Calibri" w:cs="Calibri"/>
          <w:sz w:val="22"/>
          <w:szCs w:val="22"/>
          <w:shd w:val="clear" w:color="auto" w:fill="FFFFFF"/>
        </w:rPr>
        <w:t xml:space="preserve"> (FIOL I)</w:t>
      </w:r>
      <w:r w:rsidRPr="002E2B5B">
        <w:rPr>
          <w:rFonts w:ascii="Calibri" w:hAnsi="Calibri" w:cs="Calibri"/>
          <w:sz w:val="22"/>
          <w:szCs w:val="22"/>
          <w:shd w:val="clear" w:color="auto" w:fill="FFFFFF"/>
        </w:rPr>
        <w:t xml:space="preserve">, com 537 km de extensão. A subconcessão terá duração de 35 anos, conforme o Edital de Concorrência Internacional nº 01/2020. </w:t>
      </w:r>
    </w:p>
    <w:p w14:paraId="262E8853" w14:textId="5981EE5E" w:rsidR="003A356C" w:rsidRPr="002E2B5B" w:rsidRDefault="00DA0C1E" w:rsidP="002E2B5B">
      <w:pPr>
        <w:pStyle w:val="NormalWeb"/>
        <w:spacing w:before="0" w:beforeAutospacing="0" w:after="120" w:afterAutospacing="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De acordo com o Cronograma determinado no Edital, o Ato de Homologação do leilão pela Diretoria Colegiada da Agência Nacional de Transportes Terrestres (ANTT) e adjudicação do objeto da Subconcessão à proponente vencedora ocorreu em 27 de maio de 2021, levando a V</w:t>
      </w:r>
      <w:r w:rsidR="001B4261" w:rsidRPr="002E2B5B">
        <w:rPr>
          <w:rFonts w:ascii="Calibri" w:hAnsi="Calibri" w:cs="Calibri"/>
          <w:sz w:val="22"/>
          <w:szCs w:val="22"/>
          <w:shd w:val="clear" w:color="auto" w:fill="FFFFFF"/>
        </w:rPr>
        <w:t>ALEC</w:t>
      </w:r>
      <w:r w:rsidRPr="002E2B5B">
        <w:rPr>
          <w:rFonts w:ascii="Calibri" w:hAnsi="Calibri" w:cs="Calibri"/>
          <w:sz w:val="22"/>
          <w:szCs w:val="22"/>
          <w:shd w:val="clear" w:color="auto" w:fill="FFFFFF"/>
        </w:rPr>
        <w:t xml:space="preserve"> a efetuar o teste de recuperabilidade de ativos, </w:t>
      </w:r>
      <w:r w:rsidR="00E242C7" w:rsidRPr="002E2B5B">
        <w:rPr>
          <w:rFonts w:ascii="Calibri" w:hAnsi="Calibri" w:cs="Calibri"/>
          <w:sz w:val="22"/>
          <w:szCs w:val="22"/>
          <w:shd w:val="clear" w:color="auto" w:fill="FFFFFF"/>
        </w:rPr>
        <w:t>considerando</w:t>
      </w:r>
      <w:r w:rsidRPr="002E2B5B">
        <w:rPr>
          <w:rFonts w:ascii="Calibri" w:hAnsi="Calibri" w:cs="Calibri"/>
          <w:sz w:val="22"/>
          <w:szCs w:val="22"/>
          <w:shd w:val="clear" w:color="auto" w:fill="FFFFFF"/>
        </w:rPr>
        <w:t xml:space="preserve"> a receita de outorga previstas como parâmetros para medir o benefício econômico </w:t>
      </w:r>
      <w:r w:rsidR="00E242C7" w:rsidRPr="002E2B5B">
        <w:rPr>
          <w:rFonts w:ascii="Calibri" w:hAnsi="Calibri" w:cs="Calibri"/>
          <w:sz w:val="22"/>
          <w:szCs w:val="22"/>
          <w:shd w:val="clear" w:color="auto" w:fill="FFFFFF"/>
        </w:rPr>
        <w:t>e reconhecer a perda</w:t>
      </w:r>
      <w:r w:rsidRPr="002E2B5B">
        <w:rPr>
          <w:rFonts w:ascii="Calibri" w:hAnsi="Calibri" w:cs="Calibri"/>
          <w:sz w:val="22"/>
          <w:szCs w:val="22"/>
          <w:shd w:val="clear" w:color="auto" w:fill="FFFFFF"/>
        </w:rPr>
        <w:t xml:space="preserve"> ao valor recuperável de ativos</w:t>
      </w:r>
      <w:r w:rsidR="001B4261" w:rsidRPr="002E2B5B">
        <w:rPr>
          <w:rFonts w:ascii="Calibri" w:hAnsi="Calibri" w:cs="Calibri"/>
          <w:sz w:val="22"/>
          <w:szCs w:val="22"/>
          <w:shd w:val="clear" w:color="auto" w:fill="FFFFFF"/>
        </w:rPr>
        <w:t xml:space="preserve">, conforme descrito na </w:t>
      </w:r>
      <w:r w:rsidR="00997E85" w:rsidRPr="00B23D01">
        <w:rPr>
          <w:rFonts w:ascii="Calibri" w:hAnsi="Calibri" w:cs="Calibri"/>
          <w:sz w:val="22"/>
          <w:szCs w:val="22"/>
          <w:shd w:val="clear" w:color="auto" w:fill="FFFFFF"/>
        </w:rPr>
        <w:t>Nota 8</w:t>
      </w:r>
      <w:r w:rsidR="001B4261" w:rsidRPr="00B23D01">
        <w:rPr>
          <w:rFonts w:ascii="Calibri" w:hAnsi="Calibri" w:cs="Calibri"/>
          <w:sz w:val="22"/>
          <w:szCs w:val="22"/>
          <w:shd w:val="clear" w:color="auto" w:fill="FFFFFF"/>
        </w:rPr>
        <w:t>.</w:t>
      </w:r>
    </w:p>
    <w:p w14:paraId="62309C7C" w14:textId="77777777" w:rsidR="003057AB" w:rsidRPr="002E2B5B" w:rsidRDefault="00F658CA" w:rsidP="002E2B5B">
      <w:pPr>
        <w:autoSpaceDE w:val="0"/>
        <w:autoSpaceDN w:val="0"/>
        <w:adjustRightInd w:val="0"/>
        <w:jc w:val="both"/>
        <w:rPr>
          <w:rFonts w:ascii="Calibri" w:hAnsi="Calibri" w:cs="Calibri"/>
          <w:b/>
          <w:sz w:val="22"/>
          <w:szCs w:val="22"/>
          <w:shd w:val="clear" w:color="auto" w:fill="FFFFFF"/>
        </w:rPr>
      </w:pPr>
      <w:r w:rsidRPr="002E2B5B">
        <w:rPr>
          <w:rFonts w:ascii="Calibri" w:hAnsi="Calibri" w:cs="Calibri"/>
          <w:b/>
          <w:sz w:val="22"/>
          <w:szCs w:val="22"/>
          <w:shd w:val="clear" w:color="auto" w:fill="FFFFFF"/>
        </w:rPr>
        <w:t>III - ESTUDOS E PROJETOS  </w:t>
      </w:r>
    </w:p>
    <w:p w14:paraId="7DF0340F" w14:textId="3B036092" w:rsidR="00F658CA" w:rsidRPr="002E2B5B" w:rsidRDefault="00F658CA" w:rsidP="002E2B5B">
      <w:pPr>
        <w:autoSpaceDE w:val="0"/>
        <w:autoSpaceDN w:val="0"/>
        <w:adjustRightInd w:val="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Conforme inciso III do art. 9º da Lei nº 11.772, de 17 de setembro de 2008, compete à empresa, em conformidade com as diretrizes do Ministério da Infraestrutura, desenvolver estudos e projetos de obras de infraestrutura ferroviária. Os Estudos e Projetos compreendem os Estudos de Viabilidade Técnica, Econômica e Ambiental – EVTEA, o Projeto Básico – PB e o Projeto Executivo - PE.</w:t>
      </w:r>
    </w:p>
    <w:p w14:paraId="0B9C8753" w14:textId="77777777" w:rsidR="009165D8" w:rsidRPr="002E2B5B" w:rsidRDefault="009165D8" w:rsidP="002E2B5B">
      <w:pPr>
        <w:autoSpaceDE w:val="0"/>
        <w:autoSpaceDN w:val="0"/>
        <w:adjustRightInd w:val="0"/>
        <w:jc w:val="both"/>
        <w:rPr>
          <w:rFonts w:ascii="Calibri" w:hAnsi="Calibri" w:cs="Calibri"/>
          <w:sz w:val="22"/>
          <w:szCs w:val="22"/>
          <w:shd w:val="clear" w:color="auto" w:fill="FFFFFF"/>
        </w:rPr>
      </w:pPr>
    </w:p>
    <w:p w14:paraId="030A1CB0" w14:textId="77777777" w:rsidR="00F658CA" w:rsidRPr="002E2B5B" w:rsidRDefault="00F658CA" w:rsidP="002E2B5B">
      <w:pPr>
        <w:pStyle w:val="PargrafodaLista"/>
        <w:numPr>
          <w:ilvl w:val="0"/>
          <w:numId w:val="17"/>
        </w:numPr>
        <w:autoSpaceDE w:val="0"/>
        <w:autoSpaceDN w:val="0"/>
        <w:adjustRightInd w:val="0"/>
        <w:spacing w:line="259" w:lineRule="auto"/>
        <w:ind w:left="284"/>
        <w:contextualSpacing/>
        <w:jc w:val="both"/>
        <w:rPr>
          <w:rFonts w:ascii="Calibri" w:hAnsi="Calibri" w:cs="Calibri"/>
          <w:b/>
          <w:sz w:val="22"/>
        </w:rPr>
      </w:pPr>
      <w:r w:rsidRPr="002E2B5B">
        <w:rPr>
          <w:rFonts w:ascii="Calibri" w:hAnsi="Calibri" w:cs="Calibri"/>
          <w:b/>
          <w:sz w:val="22"/>
        </w:rPr>
        <w:t xml:space="preserve">Ferrovia de Integração Oeste Leste – FIOL - EF-334 </w:t>
      </w:r>
    </w:p>
    <w:p w14:paraId="35FB3B85" w14:textId="77777777" w:rsidR="000B1DB5" w:rsidRPr="002E2B5B" w:rsidRDefault="000B1DB5"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Os estudos de Viabilidade foram concluídos em 2008, Projeto Básico em 2011 e o Executivo em 2013, do trecho que compreende Ilhéus/BA a </w:t>
      </w:r>
      <w:proofErr w:type="spellStart"/>
      <w:r w:rsidRPr="002E2B5B">
        <w:rPr>
          <w:rFonts w:ascii="Calibri" w:hAnsi="Calibri" w:cs="Calibri"/>
          <w:sz w:val="22"/>
          <w:szCs w:val="22"/>
          <w:shd w:val="clear" w:color="auto" w:fill="FFFFFF"/>
        </w:rPr>
        <w:t>Figueirópolis</w:t>
      </w:r>
      <w:proofErr w:type="spellEnd"/>
      <w:r w:rsidRPr="002E2B5B">
        <w:rPr>
          <w:rFonts w:ascii="Calibri" w:hAnsi="Calibri" w:cs="Calibri"/>
          <w:sz w:val="22"/>
          <w:szCs w:val="22"/>
          <w:shd w:val="clear" w:color="auto" w:fill="FFFFFF"/>
        </w:rPr>
        <w:t xml:space="preserve">/TO, subdivididos em trecho denominados FIOL I, II e III. O planejamento dessa ligação visa estabelecer uma alternativa mais econômica para os fluxos de cargas de longa distância potencialmente transportáveis pelo modal ferroviário, a exemplo das cargas de baixo valor agregado, como minérios e granéis sólidos produzidos ao longo da região de influência da ferrovia. Além de contribuir para indução do desenvolvimento regional, quando concluída, a FIOL propiciará melhor equilíbrio da matriz de transportes, reduzindo a dependência do modal rodoviário ao criar um corredor logístico mais competitivo.   </w:t>
      </w:r>
    </w:p>
    <w:p w14:paraId="2A97A8B7" w14:textId="5D40D153" w:rsidR="00D4582D" w:rsidRPr="002E2B5B" w:rsidRDefault="000B1DB5"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A FIOL está em construção </w:t>
      </w:r>
      <w:r w:rsidR="00181180" w:rsidRPr="002E2B5B">
        <w:rPr>
          <w:rFonts w:ascii="Calibri" w:hAnsi="Calibri" w:cs="Calibri"/>
          <w:sz w:val="22"/>
          <w:szCs w:val="22"/>
          <w:shd w:val="clear" w:color="auto" w:fill="FFFFFF"/>
        </w:rPr>
        <w:t>no trecho denominado</w:t>
      </w:r>
      <w:r w:rsidRPr="002E2B5B">
        <w:rPr>
          <w:rFonts w:ascii="Calibri" w:hAnsi="Calibri" w:cs="Calibri"/>
          <w:sz w:val="22"/>
          <w:szCs w:val="22"/>
          <w:shd w:val="clear" w:color="auto" w:fill="FFFFFF"/>
        </w:rPr>
        <w:t xml:space="preserve"> FIOL II, com 485km, totalizando 1.022km de extensão. Os projetos executivos desse trecho são acompanhados e revisados </w:t>
      </w:r>
      <w:r w:rsidRPr="00BF5050">
        <w:rPr>
          <w:rFonts w:ascii="Calibri" w:hAnsi="Calibri" w:cs="Calibri"/>
          <w:i/>
          <w:iCs/>
          <w:sz w:val="22"/>
          <w:szCs w:val="22"/>
          <w:shd w:val="clear" w:color="auto" w:fill="FFFFFF"/>
        </w:rPr>
        <w:t>pari passu</w:t>
      </w:r>
      <w:r w:rsidRPr="002E2B5B">
        <w:rPr>
          <w:rFonts w:ascii="Calibri" w:hAnsi="Calibri" w:cs="Calibri"/>
          <w:sz w:val="22"/>
          <w:szCs w:val="22"/>
          <w:shd w:val="clear" w:color="auto" w:fill="FFFFFF"/>
        </w:rPr>
        <w:t xml:space="preserve"> pelas equipes e responsáveis do projeto e orçamento da empresa.</w:t>
      </w:r>
    </w:p>
    <w:p w14:paraId="5803FDDE" w14:textId="41AE1686" w:rsidR="009165D8" w:rsidRPr="002E2B5B" w:rsidRDefault="000B1DB5"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Com 531 km de extensão, o trecho denominado de FIOL III, encontra-se com o EVTEA, Projeto Básico e Projeto Executivo concluídos</w:t>
      </w:r>
      <w:r w:rsidR="00D4582D" w:rsidRPr="002E2B5B">
        <w:rPr>
          <w:rFonts w:ascii="Calibri" w:hAnsi="Calibri" w:cs="Calibri"/>
          <w:sz w:val="22"/>
          <w:szCs w:val="22"/>
          <w:shd w:val="clear" w:color="auto" w:fill="FFFFFF"/>
        </w:rPr>
        <w:t>, passíveis de revisões</w:t>
      </w:r>
      <w:r w:rsidRPr="002E2B5B">
        <w:rPr>
          <w:rFonts w:ascii="Calibri" w:hAnsi="Calibri" w:cs="Calibri"/>
          <w:sz w:val="22"/>
          <w:szCs w:val="22"/>
          <w:shd w:val="clear" w:color="auto" w:fill="FFFFFF"/>
        </w:rPr>
        <w:t xml:space="preserve">. Ao conectar-se com a FNS em </w:t>
      </w:r>
      <w:proofErr w:type="spellStart"/>
      <w:r w:rsidRPr="002E2B5B">
        <w:rPr>
          <w:rFonts w:ascii="Calibri" w:hAnsi="Calibri" w:cs="Calibri"/>
          <w:sz w:val="22"/>
          <w:szCs w:val="22"/>
          <w:shd w:val="clear" w:color="auto" w:fill="FFFFFF"/>
        </w:rPr>
        <w:t>Figueirópolis</w:t>
      </w:r>
      <w:proofErr w:type="spellEnd"/>
      <w:r w:rsidRPr="002E2B5B">
        <w:rPr>
          <w:rFonts w:ascii="Calibri" w:hAnsi="Calibri" w:cs="Calibri"/>
          <w:sz w:val="22"/>
          <w:szCs w:val="22"/>
          <w:shd w:val="clear" w:color="auto" w:fill="FFFFFF"/>
        </w:rPr>
        <w:t>/TO, a FIOL formará importante corredor logístico de transporte, ampliando as possibilidades de escoamento da produção econômica do país.</w:t>
      </w:r>
    </w:p>
    <w:p w14:paraId="40FC0E7C" w14:textId="77777777" w:rsidR="00F658CA" w:rsidRPr="002E2B5B" w:rsidRDefault="00F658CA" w:rsidP="002E2B5B">
      <w:pPr>
        <w:pStyle w:val="PargrafodaLista"/>
        <w:numPr>
          <w:ilvl w:val="0"/>
          <w:numId w:val="17"/>
        </w:numPr>
        <w:autoSpaceDE w:val="0"/>
        <w:autoSpaceDN w:val="0"/>
        <w:adjustRightInd w:val="0"/>
        <w:spacing w:line="259" w:lineRule="auto"/>
        <w:ind w:left="284"/>
        <w:contextualSpacing/>
        <w:jc w:val="both"/>
        <w:rPr>
          <w:rFonts w:ascii="Calibri" w:hAnsi="Calibri" w:cs="Calibri"/>
          <w:b/>
          <w:sz w:val="22"/>
        </w:rPr>
      </w:pPr>
      <w:r w:rsidRPr="002E2B5B">
        <w:rPr>
          <w:rFonts w:ascii="Calibri" w:hAnsi="Calibri" w:cs="Calibri"/>
          <w:b/>
          <w:sz w:val="22"/>
        </w:rPr>
        <w:t>Ferrovia Transcontinental e Ferrovia de Integração Centro-Oeste (FICO) – EF 354</w:t>
      </w:r>
    </w:p>
    <w:p w14:paraId="4A4F4896" w14:textId="7773C677" w:rsidR="009165D8" w:rsidRPr="002E2B5B" w:rsidRDefault="000B1DB5"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A outorga à VALEC, estabelecendo o direito de construção, uso e gozo da EF – 354, se deu por meio da Lei nº 11.772, de 17 de setembro de 2008, sendo incluída no Plano Nacional de Viação com 4.800 km de extensão em solo brasileiro, entre o Porto do Açu, no litoral do estado do Rio de Janeiro e a localidade de Boqueirão da Esperança/AC, na fronteira Brasil-Peru, como parte da ligação entre os oceanos Atlântico, no Brasil, e Pacífico, no Peru, o qual é denominado Ferrovia Transcontinental.</w:t>
      </w:r>
    </w:p>
    <w:p w14:paraId="4DDA1A08" w14:textId="6772EB8A" w:rsidR="009165D8" w:rsidRPr="002E2B5B" w:rsidRDefault="000B1DB5"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O trecho da Ferrovia Transcontinental compreendido entre Mara Rosa/GO e Vilhena/RO, com extensão aproximada de 1.720 km, é denominada Ferrovia de Integração do Centro-Oeste (FICO), objeto de estudo nos últimos anos por esta companhia e com recursos oriundos do Programa de Aceleração do Crescimento – PAC, da ordem de R$ 130 milhões.</w:t>
      </w:r>
    </w:p>
    <w:p w14:paraId="2EF940B6" w14:textId="2F91CD53" w:rsidR="00D4582D" w:rsidRPr="002E2B5B" w:rsidRDefault="000B1DB5"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lastRenderedPageBreak/>
        <w:t>Dentre as principais funções da FICO, está a de estabelecer alternativas mais econômicas para os fluxos de cargas de longa distância potencialmente transportáveis pelo modal ferroviário, a exemplo das cargas de baixo valor agregado como minérios e granéis sólidos produzidos ao longo da região de influência da ferrovia. Visa ainda reduzir a dependência do modal rodoviário, incentivando a multimodalidade e melhorando a logística de transporte, tanto para o escoamento da produção ao mercado consumidor quanto para importação de insumos, interligando a malha ferroviária brasileira aos principais portos de grande capacidade.</w:t>
      </w:r>
    </w:p>
    <w:p w14:paraId="13213C43" w14:textId="077EBA01" w:rsidR="00D4582D" w:rsidRPr="002E2B5B" w:rsidRDefault="000B1DB5"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Isso proporcionará a redução dos valores de frete e, consequentemente, a dos custos de comercialização no mercado interno, com acentuado reflexo também na exportação, aumentando a competitividade dos produtos brasileiros, gerando melhoria no desempenho econômico de toda a malha ferroviária. </w:t>
      </w:r>
    </w:p>
    <w:p w14:paraId="423CB3DB" w14:textId="18BB4232" w:rsidR="009165D8" w:rsidRPr="002E2B5B" w:rsidRDefault="000B1DB5" w:rsidP="00B23D01">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A FICO foi subdividida nos seguintes trechos: Mara Rosa/GO – Água Boa/MT; Água Boa/MT – Lucas do Rio Verde/MT; Lucas do Rio Verde/MT – Vilhena/RO; Vilhena/RO – Porto Velho/RO e Porto Velho/RO – Boqueirão/AC.</w:t>
      </w:r>
    </w:p>
    <w:p w14:paraId="45ADDA58" w14:textId="77777777" w:rsidR="004028E9" w:rsidRPr="002E2B5B" w:rsidRDefault="004028E9" w:rsidP="002E2B5B">
      <w:pPr>
        <w:autoSpaceDE w:val="0"/>
        <w:autoSpaceDN w:val="0"/>
        <w:adjustRightInd w:val="0"/>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b.1)</w:t>
      </w:r>
      <w:r w:rsidRPr="002E2B5B">
        <w:rPr>
          <w:rFonts w:ascii="Calibri" w:hAnsi="Calibri" w:cs="Calibri"/>
          <w:sz w:val="22"/>
          <w:szCs w:val="22"/>
          <w:shd w:val="clear" w:color="auto" w:fill="FFFFFF"/>
        </w:rPr>
        <w:t xml:space="preserve"> </w:t>
      </w:r>
      <w:r w:rsidRPr="002E2B5B">
        <w:rPr>
          <w:rFonts w:ascii="Calibri" w:hAnsi="Calibri" w:cs="Calibri"/>
          <w:b/>
          <w:bCs/>
          <w:sz w:val="22"/>
          <w:szCs w:val="22"/>
          <w:shd w:val="clear" w:color="auto" w:fill="FFFFFF"/>
        </w:rPr>
        <w:t>Mara Rosa/GO - Água Boa/MT - Lucas do Rio Verde/MT</w:t>
      </w:r>
    </w:p>
    <w:p w14:paraId="399E4C84" w14:textId="2DCCBACB" w:rsidR="004028E9" w:rsidRPr="002E2B5B" w:rsidRDefault="004028E9" w:rsidP="002E2B5B">
      <w:pPr>
        <w:autoSpaceDE w:val="0"/>
        <w:autoSpaceDN w:val="0"/>
        <w:adjustRightInd w:val="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Com 888km de extensão, sendo o primeiro trecho de 383km entre Mara Rosa/GO a Água Boa/MT e o segundo trecho, de 507 km, de Água Boa/MT a Lucas do Rio Verde/MT. Esse trecho possui EVTEA e Projeto Básico concluídos.</w:t>
      </w:r>
    </w:p>
    <w:p w14:paraId="2226B63F" w14:textId="77777777" w:rsidR="009165D8" w:rsidRPr="002E2B5B" w:rsidRDefault="009165D8" w:rsidP="002E2B5B">
      <w:pPr>
        <w:autoSpaceDE w:val="0"/>
        <w:autoSpaceDN w:val="0"/>
        <w:adjustRightInd w:val="0"/>
        <w:jc w:val="both"/>
        <w:rPr>
          <w:rFonts w:ascii="Calibri" w:hAnsi="Calibri" w:cs="Calibri"/>
          <w:sz w:val="22"/>
          <w:szCs w:val="22"/>
          <w:shd w:val="clear" w:color="auto" w:fill="FFFFFF"/>
        </w:rPr>
      </w:pPr>
    </w:p>
    <w:p w14:paraId="08EA4909" w14:textId="77777777" w:rsidR="004028E9" w:rsidRPr="002E2B5B" w:rsidRDefault="004028E9" w:rsidP="002E2B5B">
      <w:pPr>
        <w:autoSpaceDE w:val="0"/>
        <w:autoSpaceDN w:val="0"/>
        <w:adjustRightInd w:val="0"/>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 xml:space="preserve">b.2) Lucas do Rio Verde/MT – Vilhena/RO </w:t>
      </w:r>
    </w:p>
    <w:p w14:paraId="1F009305" w14:textId="422A40B7" w:rsidR="004028E9" w:rsidRPr="002E2B5B" w:rsidRDefault="004028E9" w:rsidP="002E2B5B">
      <w:pPr>
        <w:autoSpaceDE w:val="0"/>
        <w:autoSpaceDN w:val="0"/>
        <w:adjustRightInd w:val="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Com 646 km de extensão, o empreendimento encontra-se com EVTEA concluído desde 2014 e com anteprojeto em andamento.</w:t>
      </w:r>
    </w:p>
    <w:p w14:paraId="6A017E4D" w14:textId="77777777" w:rsidR="009165D8" w:rsidRPr="002E2B5B" w:rsidRDefault="009165D8" w:rsidP="002E2B5B">
      <w:pPr>
        <w:autoSpaceDE w:val="0"/>
        <w:autoSpaceDN w:val="0"/>
        <w:adjustRightInd w:val="0"/>
        <w:jc w:val="both"/>
        <w:rPr>
          <w:rFonts w:ascii="Calibri" w:hAnsi="Calibri" w:cs="Calibri"/>
          <w:b/>
          <w:bCs/>
          <w:sz w:val="22"/>
          <w:szCs w:val="22"/>
          <w:shd w:val="clear" w:color="auto" w:fill="FFFFFF"/>
        </w:rPr>
      </w:pPr>
    </w:p>
    <w:p w14:paraId="7414FBDB" w14:textId="77777777" w:rsidR="004028E9" w:rsidRPr="002E2B5B" w:rsidRDefault="004028E9" w:rsidP="002E2B5B">
      <w:pPr>
        <w:autoSpaceDE w:val="0"/>
        <w:autoSpaceDN w:val="0"/>
        <w:adjustRightInd w:val="0"/>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 xml:space="preserve">b.3) Vilhena/RO a Porto Velho/RO </w:t>
      </w:r>
    </w:p>
    <w:p w14:paraId="640F06FA" w14:textId="7D11A443" w:rsidR="004028E9" w:rsidRPr="002E2B5B" w:rsidRDefault="004028E9" w:rsidP="002E2B5B">
      <w:pPr>
        <w:autoSpaceDE w:val="0"/>
        <w:autoSpaceDN w:val="0"/>
        <w:adjustRightInd w:val="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Com 770 km de extensão, o empreendimento ligará a ferrovia a partir da cidade Vilhena/RO até a Hidrovia do Rio Madeira, em Porto Velho/RO, além de estabelecer um importante corredor logístico intermodal aos portos de Itacoatiara/AM e Santarém/PA. Atualmente o trecho encontra-se na elaboração do EVTEA.</w:t>
      </w:r>
    </w:p>
    <w:p w14:paraId="6AF14AF4" w14:textId="77777777" w:rsidR="009165D8" w:rsidRPr="002E2B5B" w:rsidRDefault="009165D8" w:rsidP="002E2B5B">
      <w:pPr>
        <w:autoSpaceDE w:val="0"/>
        <w:autoSpaceDN w:val="0"/>
        <w:adjustRightInd w:val="0"/>
        <w:jc w:val="both"/>
        <w:rPr>
          <w:rFonts w:ascii="Calibri" w:hAnsi="Calibri" w:cs="Calibri"/>
          <w:sz w:val="22"/>
          <w:szCs w:val="22"/>
          <w:shd w:val="clear" w:color="auto" w:fill="FFFFFF"/>
        </w:rPr>
      </w:pPr>
    </w:p>
    <w:p w14:paraId="2F8B9FEE" w14:textId="77777777" w:rsidR="004028E9" w:rsidRPr="002E2B5B" w:rsidRDefault="004028E9" w:rsidP="002E2B5B">
      <w:pPr>
        <w:autoSpaceDE w:val="0"/>
        <w:autoSpaceDN w:val="0"/>
        <w:adjustRightInd w:val="0"/>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b.4) Porto Velho/RO a Boqueirão/AC</w:t>
      </w:r>
    </w:p>
    <w:p w14:paraId="1A8331A6" w14:textId="45D56581" w:rsidR="004028E9" w:rsidRPr="002E2B5B" w:rsidRDefault="004028E9" w:rsidP="002E2B5B">
      <w:pPr>
        <w:autoSpaceDE w:val="0"/>
        <w:autoSpaceDN w:val="0"/>
        <w:adjustRightInd w:val="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O Trecho da FICO entre Porto Velho/RO e Boqueirão/AC ainda não possui estudos de viabilidade em desenvolvimento.</w:t>
      </w:r>
    </w:p>
    <w:p w14:paraId="26A3F13D" w14:textId="77777777" w:rsidR="009165D8" w:rsidRPr="002E2B5B" w:rsidRDefault="009165D8" w:rsidP="002E2B5B">
      <w:pPr>
        <w:autoSpaceDE w:val="0"/>
        <w:autoSpaceDN w:val="0"/>
        <w:adjustRightInd w:val="0"/>
        <w:jc w:val="both"/>
        <w:rPr>
          <w:rFonts w:ascii="Calibri" w:hAnsi="Calibri" w:cs="Calibri"/>
          <w:sz w:val="22"/>
          <w:szCs w:val="22"/>
          <w:shd w:val="clear" w:color="auto" w:fill="FFFFFF"/>
        </w:rPr>
      </w:pPr>
    </w:p>
    <w:p w14:paraId="36146C05" w14:textId="77777777" w:rsidR="00F658CA" w:rsidRPr="002E2B5B" w:rsidRDefault="00F658CA" w:rsidP="002E2B5B">
      <w:pPr>
        <w:numPr>
          <w:ilvl w:val="0"/>
          <w:numId w:val="17"/>
        </w:numPr>
        <w:autoSpaceDE w:val="0"/>
        <w:autoSpaceDN w:val="0"/>
        <w:adjustRightInd w:val="0"/>
        <w:ind w:left="284" w:hanging="284"/>
        <w:jc w:val="both"/>
        <w:rPr>
          <w:rFonts w:ascii="Calibri" w:hAnsi="Calibri" w:cs="Calibri"/>
          <w:b/>
          <w:sz w:val="22"/>
        </w:rPr>
      </w:pPr>
      <w:r w:rsidRPr="002E2B5B">
        <w:rPr>
          <w:rFonts w:ascii="Calibri" w:hAnsi="Calibri" w:cs="Calibri"/>
          <w:b/>
          <w:sz w:val="22"/>
        </w:rPr>
        <w:t>Corredor Ferroviário de Santa Catarina – EF 280</w:t>
      </w:r>
    </w:p>
    <w:p w14:paraId="1D30596A" w14:textId="3EC2F67B" w:rsidR="00D4582D" w:rsidRPr="002E2B5B" w:rsidRDefault="00E5187C" w:rsidP="002E2B5B">
      <w:pPr>
        <w:autoSpaceDE w:val="0"/>
        <w:autoSpaceDN w:val="0"/>
        <w:adjustRightInd w:val="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Contratado em 2014, a elaboração do EVTEA e do Projeto Básico da EF -280 está em curso e visa ligar a EF-451 - Ferrovia Litorânea, no município de Itajaí/SC, ao extremo oeste do estado, no município de Dionísio Cerqueira/SC. A ligação ferroviária insere-se no contexto do planejamento logístico do estado de Santa Catarina, com relevância também para distribuição de cargas a nível nacional ao integrar a malha ferroviária do país. </w:t>
      </w:r>
    </w:p>
    <w:p w14:paraId="37044FB8" w14:textId="5876B55B" w:rsidR="00D4582D" w:rsidRPr="002E2B5B" w:rsidRDefault="00E5187C" w:rsidP="002E2B5B">
      <w:pPr>
        <w:autoSpaceDE w:val="0"/>
        <w:autoSpaceDN w:val="0"/>
        <w:adjustRightInd w:val="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Por interconectar-se com projetos previstos, como a Ferrovia Litorânea e a extensão prevista da Ferrovia Norte-Sul - FNS em direção ao sul do país, o Corredor Ferroviário favorece o fluxo de cargas de oeste a leste no estado de Santa Catarina, com possibilidade de remeter ou buscar cargas ao norte ou ao sul do Brasil, através do compartilhamento de malhas com a FNS e a interconexão com a Ferrovia Tronco Principal Sul (EF-116). O projeto, ainda, interliga-se logisticamente aos cincos portos existentes em Santa Catarina, através da conexão prevista com a Ferrovia Litorânea.</w:t>
      </w:r>
    </w:p>
    <w:p w14:paraId="63BE5DEB" w14:textId="4EA2F06A" w:rsidR="00E5187C" w:rsidRPr="002E2B5B" w:rsidRDefault="00E5187C" w:rsidP="002E2B5B">
      <w:pPr>
        <w:autoSpaceDE w:val="0"/>
        <w:autoSpaceDN w:val="0"/>
        <w:adjustRightInd w:val="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O início deste estudo teve embasamento no Ofício n° 621/2012/SE/MT de 29 de outubro de 2012, o qual define que o EVTEA seria realizado pela VALEC. Ressalta-se que esse estudo foi finalizado em 2020.</w:t>
      </w:r>
    </w:p>
    <w:p w14:paraId="5BEDF543" w14:textId="77777777" w:rsidR="001159E0" w:rsidRPr="002E2B5B" w:rsidRDefault="001159E0" w:rsidP="002E2B5B">
      <w:pPr>
        <w:autoSpaceDE w:val="0"/>
        <w:autoSpaceDN w:val="0"/>
        <w:adjustRightInd w:val="0"/>
        <w:jc w:val="both"/>
        <w:rPr>
          <w:rFonts w:ascii="Calibri" w:hAnsi="Calibri" w:cs="Calibri"/>
          <w:sz w:val="22"/>
          <w:szCs w:val="22"/>
          <w:shd w:val="clear" w:color="auto" w:fill="FFFFFF"/>
        </w:rPr>
      </w:pPr>
    </w:p>
    <w:p w14:paraId="1925FB55" w14:textId="77777777" w:rsidR="00F658CA" w:rsidRPr="002E2B5B" w:rsidRDefault="00F658CA" w:rsidP="002E2B5B">
      <w:pPr>
        <w:numPr>
          <w:ilvl w:val="0"/>
          <w:numId w:val="17"/>
        </w:numPr>
        <w:autoSpaceDE w:val="0"/>
        <w:autoSpaceDN w:val="0"/>
        <w:adjustRightInd w:val="0"/>
        <w:ind w:left="284" w:hanging="284"/>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Ferrovia do Pantanal – EF 267</w:t>
      </w:r>
    </w:p>
    <w:p w14:paraId="6127A220" w14:textId="734289A3" w:rsidR="009203C8" w:rsidRPr="002E2B5B" w:rsidRDefault="00F658CA" w:rsidP="002E2B5B">
      <w:pPr>
        <w:autoSpaceDE w:val="0"/>
        <w:autoSpaceDN w:val="0"/>
        <w:adjustRightInd w:val="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Com aproximadamente 734km, a EF- 267 foi outorgada à VALEC estabelecendo o direito de construção, uso e gozo por meio da Lei nº 11.772, de 17 de setembro de 2008. Esta ferrovia fará a conexão da FNS no município de Panorama/SP até Porto Murtinho/MS às margens do Rio Paraguai, no sul do Pantanal mato-grossense, atendendo uma área de alta densidade de produção agrícola e possibilitando o acesso logístico a vários portos do país ao se conectar com malha paulista e com a Ferrovia Norte e Sul. Dentre as demandas para essa ferrovia destacam-se também as cargas no sentido importação (mar – continente), como fertilizantes e cargas gerais, além das cargas para consumo interno. O EVTEA desse trecho, contratado pela VALEC, foi finalizado em maio 2012, consumindo recursos da ordem de R$ 5,5 milhões. </w:t>
      </w:r>
    </w:p>
    <w:p w14:paraId="5AA718DE" w14:textId="77777777" w:rsidR="009165D8" w:rsidRPr="002E2B5B" w:rsidRDefault="009165D8" w:rsidP="002E2B5B">
      <w:pPr>
        <w:autoSpaceDE w:val="0"/>
        <w:autoSpaceDN w:val="0"/>
        <w:adjustRightInd w:val="0"/>
        <w:jc w:val="both"/>
        <w:rPr>
          <w:rFonts w:ascii="Calibri" w:hAnsi="Calibri" w:cs="Calibri"/>
          <w:sz w:val="22"/>
          <w:szCs w:val="22"/>
          <w:shd w:val="clear" w:color="auto" w:fill="FFFFFF"/>
        </w:rPr>
      </w:pPr>
    </w:p>
    <w:p w14:paraId="488392F2" w14:textId="77777777" w:rsidR="00E5187C" w:rsidRPr="002E2B5B" w:rsidRDefault="00F658CA" w:rsidP="002E2B5B">
      <w:pPr>
        <w:numPr>
          <w:ilvl w:val="0"/>
          <w:numId w:val="17"/>
        </w:numPr>
        <w:autoSpaceDE w:val="0"/>
        <w:autoSpaceDN w:val="0"/>
        <w:adjustRightInd w:val="0"/>
        <w:ind w:left="284" w:hanging="284"/>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Ramais da Ferrovia Norte Sul - FNS</w:t>
      </w:r>
    </w:p>
    <w:p w14:paraId="492EDE48" w14:textId="5D185ABE" w:rsidR="00D4582D" w:rsidRPr="002E2B5B" w:rsidRDefault="00F658CA"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Os ramais da Ferrovia Norte Sul compreendem: Açailândia/MA – Barcarena/PA; Porto Franco/MA-Balsas/MA; Goiânia/GO – Brasília/DF; Quirinópolis/GO – Itumbiara/GO; Estrela d’Oeste/SP – Panorama/SP; Panorama/SP – Chapecó/SC; Chapecó/SC - Rio Grande/RS.</w:t>
      </w:r>
    </w:p>
    <w:p w14:paraId="2873B8E0" w14:textId="0A5E2071" w:rsidR="00D4582D" w:rsidRPr="002E2B5B" w:rsidRDefault="00F658CA"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Em 2012 foram finalizados os EVTEA dos trechos de Açailândia/MA a Barcarena/PA (Termo de Referência 19/2010), com 477Km, de Goiânia/GO a Brasília/DF (Termo de Referência 017/2010), com 212km e de Quirinópolis/GO a Itumbiara/GO (Termo de referência 17/2010), com 203km.</w:t>
      </w:r>
    </w:p>
    <w:p w14:paraId="589E659E" w14:textId="580F345D" w:rsidR="00D4582D" w:rsidRPr="002E2B5B" w:rsidRDefault="00F658CA"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Em 2014, para atender à crescente demanda por transporte de cargas, a VALEC concluiu os EVTEA para mais três trechos da ferrovia: entre Estrela d’Oeste/SP a Panorama/SP (Termo de referência 18/2010), com 264km; entre Panorama/SP e Chapecó/SC (Termo de Referência 006/2011 e 003/2012), com 950km; e entre Chapecó/SC e Rio Grande/RS (Termo de Referência 006/2011), com 833km.</w:t>
      </w:r>
    </w:p>
    <w:p w14:paraId="4463D4E9" w14:textId="0C0E2F46" w:rsidR="009165D8" w:rsidRPr="002E2B5B" w:rsidRDefault="00F658CA"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Em 2019, foi concluído o Anteprojeto do Trecho Porto Franco/MA-Balsas/MA</w:t>
      </w:r>
      <w:r w:rsidR="005B2BAA" w:rsidRPr="002E2B5B">
        <w:rPr>
          <w:rFonts w:ascii="Calibri" w:hAnsi="Calibri" w:cs="Calibri"/>
          <w:sz w:val="22"/>
          <w:szCs w:val="22"/>
          <w:shd w:val="clear" w:color="auto" w:fill="FFFFFF"/>
        </w:rPr>
        <w:t>.</w:t>
      </w:r>
    </w:p>
    <w:p w14:paraId="60B8B7BC" w14:textId="77777777" w:rsidR="00232874" w:rsidRPr="002E2B5B" w:rsidRDefault="00232874" w:rsidP="002E2B5B">
      <w:pPr>
        <w:autoSpaceDE w:val="0"/>
        <w:autoSpaceDN w:val="0"/>
        <w:adjustRightInd w:val="0"/>
        <w:jc w:val="both"/>
        <w:rPr>
          <w:rFonts w:ascii="Calibri" w:hAnsi="Calibri" w:cs="Calibri"/>
          <w:b/>
          <w:bCs/>
          <w:sz w:val="22"/>
          <w:szCs w:val="22"/>
          <w:shd w:val="clear" w:color="auto" w:fill="FFFFFF"/>
        </w:rPr>
      </w:pPr>
      <w:r w:rsidRPr="002E2B5B">
        <w:rPr>
          <w:rFonts w:ascii="Calibri" w:hAnsi="Calibri" w:cs="Calibri"/>
          <w:b/>
          <w:bCs/>
          <w:sz w:val="22"/>
          <w:szCs w:val="22"/>
          <w:shd w:val="clear" w:color="auto" w:fill="FFFFFF"/>
        </w:rPr>
        <w:t>IV – INVESTIMENTO CRUZADO</w:t>
      </w:r>
    </w:p>
    <w:p w14:paraId="72DD75D6" w14:textId="46939E09" w:rsidR="009165D8" w:rsidRPr="002E2B5B" w:rsidRDefault="00232874"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A Lei nº 13.448</w:t>
      </w:r>
      <w:r w:rsidR="00750CA7">
        <w:rPr>
          <w:rFonts w:ascii="Calibri" w:hAnsi="Calibri" w:cs="Calibri"/>
          <w:sz w:val="22"/>
          <w:szCs w:val="22"/>
          <w:shd w:val="clear" w:color="auto" w:fill="FFFFFF"/>
        </w:rPr>
        <w:t>, de 05 de junho de 2017</w:t>
      </w:r>
      <w:r w:rsidRPr="002E2B5B">
        <w:rPr>
          <w:rFonts w:ascii="Calibri" w:hAnsi="Calibri" w:cs="Calibri"/>
          <w:sz w:val="22"/>
          <w:szCs w:val="22"/>
          <w:shd w:val="clear" w:color="auto" w:fill="FFFFFF"/>
        </w:rPr>
        <w:t xml:space="preserve"> trouxe, como inovação no ordenamento jurídico, a possibilidade de realização de investimentos em malhas ferroviárias distintas como contrapartida às prorrogações de contratos de concessão.</w:t>
      </w:r>
      <w:r w:rsidR="00B84648" w:rsidRPr="002E2B5B">
        <w:rPr>
          <w:rFonts w:ascii="Calibri" w:hAnsi="Calibri" w:cs="Calibri"/>
          <w:sz w:val="22"/>
          <w:szCs w:val="22"/>
          <w:shd w:val="clear" w:color="auto" w:fill="FFFFFF"/>
        </w:rPr>
        <w:t xml:space="preserve"> </w:t>
      </w:r>
      <w:r w:rsidRPr="002E2B5B">
        <w:rPr>
          <w:rFonts w:ascii="Calibri" w:hAnsi="Calibri" w:cs="Calibri"/>
          <w:sz w:val="22"/>
          <w:szCs w:val="22"/>
          <w:shd w:val="clear" w:color="auto" w:fill="FFFFFF"/>
        </w:rPr>
        <w:t xml:space="preserve">A lei estabelece que o órgão ou a entidade competente é autorizada a promover alterações nos contratos de parceria no setor ferroviário a fim de solucionar questões operacionais e logísticas, inclusive por meio de prorrogações ou </w:t>
      </w:r>
      <w:proofErr w:type="spellStart"/>
      <w:r w:rsidRPr="002E2B5B">
        <w:rPr>
          <w:rFonts w:ascii="Calibri" w:hAnsi="Calibri" w:cs="Calibri"/>
          <w:sz w:val="22"/>
          <w:szCs w:val="22"/>
          <w:shd w:val="clear" w:color="auto" w:fill="FFFFFF"/>
        </w:rPr>
        <w:t>relicitações</w:t>
      </w:r>
      <w:proofErr w:type="spellEnd"/>
      <w:r w:rsidRPr="002E2B5B">
        <w:rPr>
          <w:rFonts w:ascii="Calibri" w:hAnsi="Calibri" w:cs="Calibri"/>
          <w:sz w:val="22"/>
          <w:szCs w:val="22"/>
          <w:shd w:val="clear" w:color="auto" w:fill="FFFFFF"/>
        </w:rPr>
        <w:t xml:space="preserve"> da totalidade ou de parte dos empreendimentos contratados.</w:t>
      </w:r>
    </w:p>
    <w:p w14:paraId="255744A2" w14:textId="19AA468A" w:rsidR="009165D8" w:rsidRPr="002E2B5B" w:rsidRDefault="00232874"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Permite, ainda, ao órgão ou a entidade competente, de comum acordo com os contratados, buscar soluções para todo o sistema e adotar medidas diferenciadas por contrato ou por trecho ferroviário que considerem a reconfiguração de malhas, admitida a previsão de investimentos pelos contratados em malha própria ou naquelas de interesse da administração pública.</w:t>
      </w:r>
    </w:p>
    <w:p w14:paraId="3C68FC9B" w14:textId="77777777" w:rsidR="00232874" w:rsidRPr="002E2B5B" w:rsidRDefault="00232874"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Esse dispositivo passou a ser chamado de ‘</w:t>
      </w:r>
      <w:r w:rsidR="00B84648" w:rsidRPr="002E2B5B">
        <w:rPr>
          <w:rFonts w:ascii="Calibri" w:hAnsi="Calibri" w:cs="Calibri"/>
          <w:sz w:val="22"/>
          <w:szCs w:val="22"/>
          <w:shd w:val="clear" w:color="auto" w:fill="FFFFFF"/>
        </w:rPr>
        <w:t>I</w:t>
      </w:r>
      <w:r w:rsidRPr="002E2B5B">
        <w:rPr>
          <w:rFonts w:ascii="Calibri" w:hAnsi="Calibri" w:cs="Calibri"/>
          <w:sz w:val="22"/>
          <w:szCs w:val="22"/>
          <w:shd w:val="clear" w:color="auto" w:fill="FFFFFF"/>
        </w:rPr>
        <w:t xml:space="preserve">nvestimento </w:t>
      </w:r>
      <w:r w:rsidR="00B84648" w:rsidRPr="002E2B5B">
        <w:rPr>
          <w:rFonts w:ascii="Calibri" w:hAnsi="Calibri" w:cs="Calibri"/>
          <w:sz w:val="22"/>
          <w:szCs w:val="22"/>
          <w:shd w:val="clear" w:color="auto" w:fill="FFFFFF"/>
        </w:rPr>
        <w:t>C</w:t>
      </w:r>
      <w:r w:rsidRPr="002E2B5B">
        <w:rPr>
          <w:rFonts w:ascii="Calibri" w:hAnsi="Calibri" w:cs="Calibri"/>
          <w:sz w:val="22"/>
          <w:szCs w:val="22"/>
          <w:shd w:val="clear" w:color="auto" w:fill="FFFFFF"/>
        </w:rPr>
        <w:t>ruzado’, pelo qual é possibilitada a ampliação da malha e da capacidade do subsistema ferroviário, sem que haja uma obrigação direta da União em aportar recursos.</w:t>
      </w:r>
    </w:p>
    <w:p w14:paraId="03564658" w14:textId="582B5945" w:rsidR="00A309A1" w:rsidRPr="002E2B5B" w:rsidRDefault="00232874"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Fundamentado na Lei nº 13.448/2017, o Terceiro Termo Aditivo ao contrato de concessão da Estrada de Ferro Vitória a Minas, concedida à VALE S/A, prevê a renovação antecipada de outorga e descreve, no Anexo 9, termos que disciplinam as condições de realização das Obrigações de Investimento assumidas pela Concessionária em projetos de titularidade da VALEC conforme a Lei nº 11.772/2008, envolvendo:</w:t>
      </w:r>
    </w:p>
    <w:p w14:paraId="476E9A2A" w14:textId="77777777" w:rsidR="00232874" w:rsidRPr="002E2B5B" w:rsidRDefault="00232874" w:rsidP="002E2B5B">
      <w:pPr>
        <w:pStyle w:val="PargrafodaLista"/>
        <w:widowControl w:val="0"/>
        <w:numPr>
          <w:ilvl w:val="0"/>
          <w:numId w:val="34"/>
        </w:numPr>
        <w:ind w:hanging="578"/>
        <w:jc w:val="both"/>
        <w:rPr>
          <w:rFonts w:ascii="Calibri" w:hAnsi="Calibri" w:cs="Calibri"/>
          <w:sz w:val="22"/>
          <w:szCs w:val="22"/>
        </w:rPr>
      </w:pPr>
      <w:r w:rsidRPr="002E2B5B">
        <w:rPr>
          <w:rFonts w:ascii="Calibri" w:hAnsi="Calibri" w:cs="Calibri"/>
          <w:sz w:val="22"/>
          <w:szCs w:val="22"/>
        </w:rPr>
        <w:t xml:space="preserve">A implantação da infraestrutura e superestrutura ferroviária de Trecho da Ferrovia de Integração Centro-Oeste (FICO), EF-354, compreendido entre os municípios de Água Boa/MT e Mara Rosa/GO; </w:t>
      </w:r>
    </w:p>
    <w:p w14:paraId="791D20D6" w14:textId="77777777" w:rsidR="00232874" w:rsidRPr="002E2B5B" w:rsidRDefault="00232874" w:rsidP="002E2B5B">
      <w:pPr>
        <w:pStyle w:val="PargrafodaLista"/>
        <w:widowControl w:val="0"/>
        <w:numPr>
          <w:ilvl w:val="0"/>
          <w:numId w:val="34"/>
        </w:numPr>
        <w:ind w:hanging="578"/>
        <w:jc w:val="both"/>
        <w:rPr>
          <w:rFonts w:ascii="Calibri" w:hAnsi="Calibri" w:cs="Calibri"/>
          <w:sz w:val="22"/>
          <w:szCs w:val="22"/>
        </w:rPr>
      </w:pPr>
      <w:r w:rsidRPr="002E2B5B">
        <w:rPr>
          <w:rFonts w:ascii="Calibri" w:hAnsi="Calibri" w:cs="Calibri"/>
          <w:sz w:val="22"/>
          <w:szCs w:val="22"/>
        </w:rPr>
        <w:t>A aquisição de Trilhos e Dormentes a serem incorporados no Projeto de Infraestrutura da Ferrovia Integração Oeste Leste (FIOL), EF – 334; e</w:t>
      </w:r>
    </w:p>
    <w:p w14:paraId="4416C50A" w14:textId="62F087DE" w:rsidR="00D4582D" w:rsidRPr="002E2B5B" w:rsidRDefault="00232874" w:rsidP="002E2B5B">
      <w:pPr>
        <w:pStyle w:val="PargrafodaLista"/>
        <w:widowControl w:val="0"/>
        <w:numPr>
          <w:ilvl w:val="0"/>
          <w:numId w:val="34"/>
        </w:numPr>
        <w:ind w:hanging="578"/>
        <w:jc w:val="both"/>
        <w:rPr>
          <w:rFonts w:ascii="Calibri" w:hAnsi="Calibri" w:cs="Calibri"/>
          <w:sz w:val="22"/>
          <w:szCs w:val="22"/>
        </w:rPr>
      </w:pPr>
      <w:r w:rsidRPr="002E2B5B">
        <w:rPr>
          <w:rFonts w:ascii="Calibri" w:hAnsi="Calibri" w:cs="Calibri"/>
          <w:sz w:val="22"/>
          <w:szCs w:val="22"/>
        </w:rPr>
        <w:t>Enquadramento do projeto FICO e FIOL no Regime Especial de Incentivo para o Desenvolvimento da Infraestrutura (REIDI).</w:t>
      </w:r>
    </w:p>
    <w:p w14:paraId="7FABD814" w14:textId="0993F8C8" w:rsidR="00D4582D" w:rsidRPr="002E2B5B" w:rsidRDefault="00232874"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No âmbito do Anexo 9 do Terceiro Termo Aditivo, assinado em 18 de dezembro de 2020, a </w:t>
      </w:r>
      <w:r w:rsidR="00B84648" w:rsidRPr="002E2B5B">
        <w:rPr>
          <w:rFonts w:ascii="Calibri" w:hAnsi="Calibri" w:cs="Calibri"/>
          <w:sz w:val="22"/>
          <w:szCs w:val="22"/>
          <w:shd w:val="clear" w:color="auto" w:fill="FFFFFF"/>
        </w:rPr>
        <w:t>VALEC,</w:t>
      </w:r>
      <w:r w:rsidRPr="002E2B5B">
        <w:rPr>
          <w:rFonts w:ascii="Calibri" w:hAnsi="Calibri" w:cs="Calibri"/>
          <w:sz w:val="22"/>
          <w:szCs w:val="22"/>
          <w:shd w:val="clear" w:color="auto" w:fill="FFFFFF"/>
        </w:rPr>
        <w:t xml:space="preserve"> na figura de Interveniente Anuente e titular dos Projetos de Infraestrutura da FICO e da FIOL, compromete</w:t>
      </w:r>
      <w:r w:rsidR="00B84648" w:rsidRPr="002E2B5B">
        <w:rPr>
          <w:rFonts w:ascii="Calibri" w:hAnsi="Calibri" w:cs="Calibri"/>
          <w:sz w:val="22"/>
          <w:szCs w:val="22"/>
          <w:shd w:val="clear" w:color="auto" w:fill="FFFFFF"/>
        </w:rPr>
        <w:t>u</w:t>
      </w:r>
      <w:r w:rsidRPr="002E2B5B">
        <w:rPr>
          <w:rFonts w:ascii="Calibri" w:hAnsi="Calibri" w:cs="Calibri"/>
          <w:sz w:val="22"/>
          <w:szCs w:val="22"/>
          <w:shd w:val="clear" w:color="auto" w:fill="FFFFFF"/>
        </w:rPr>
        <w:t>-se a requerer os enquadramentos dos Projetos junto ao Ministério da Infraestrutura, bem como as suas habilitações no regime do REIDI, regulado pela Lei nº 11.488</w:t>
      </w:r>
      <w:r w:rsidR="00750CA7">
        <w:rPr>
          <w:rFonts w:ascii="Calibri" w:hAnsi="Calibri" w:cs="Calibri"/>
          <w:sz w:val="22"/>
          <w:szCs w:val="22"/>
          <w:shd w:val="clear" w:color="auto" w:fill="FFFFFF"/>
        </w:rPr>
        <w:t>, de 15 de junho de 20</w:t>
      </w:r>
      <w:r w:rsidRPr="002E2B5B">
        <w:rPr>
          <w:rFonts w:ascii="Calibri" w:hAnsi="Calibri" w:cs="Calibri"/>
          <w:sz w:val="22"/>
          <w:szCs w:val="22"/>
          <w:shd w:val="clear" w:color="auto" w:fill="FFFFFF"/>
        </w:rPr>
        <w:t>07, perante a Secretaria da Receita Federal do Brasil.</w:t>
      </w:r>
    </w:p>
    <w:p w14:paraId="677ADFEB" w14:textId="002EEF2D" w:rsidR="00D4582D" w:rsidRPr="002E2B5B" w:rsidRDefault="00B84648"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A habilitação da VALEC no regime do REIDI para os Projetos FICO e FIOL foi realizada em 21 de junho de 2021, por meio dos Atos Declaratórios nº 107 e 108 da Secretaria Especial da Receita Federal do Brasil, conforme publicado no Diário Oficial da União em 24 de junho de 2021.</w:t>
      </w:r>
    </w:p>
    <w:p w14:paraId="39086CB3" w14:textId="52E6F49D" w:rsidR="007F779B" w:rsidRPr="002E2B5B" w:rsidRDefault="00232874" w:rsidP="002E2B5B">
      <w:pPr>
        <w:autoSpaceDE w:val="0"/>
        <w:autoSpaceDN w:val="0"/>
        <w:adjustRightInd w:val="0"/>
        <w:spacing w:after="120"/>
        <w:jc w:val="both"/>
        <w:rPr>
          <w:rFonts w:ascii="Calibri" w:hAnsi="Calibri" w:cs="Calibri"/>
          <w:sz w:val="22"/>
          <w:szCs w:val="22"/>
          <w:shd w:val="clear" w:color="auto" w:fill="FFFFFF"/>
        </w:rPr>
      </w:pPr>
      <w:r w:rsidRPr="002E2B5B">
        <w:rPr>
          <w:rFonts w:ascii="Calibri" w:hAnsi="Calibri" w:cs="Calibri"/>
          <w:sz w:val="22"/>
          <w:szCs w:val="22"/>
          <w:shd w:val="clear" w:color="auto" w:fill="FFFFFF"/>
        </w:rPr>
        <w:t>A V</w:t>
      </w:r>
      <w:r w:rsidR="00B84648" w:rsidRPr="002E2B5B">
        <w:rPr>
          <w:rFonts w:ascii="Calibri" w:hAnsi="Calibri" w:cs="Calibri"/>
          <w:sz w:val="22"/>
          <w:szCs w:val="22"/>
          <w:shd w:val="clear" w:color="auto" w:fill="FFFFFF"/>
        </w:rPr>
        <w:t>ALEC</w:t>
      </w:r>
      <w:r w:rsidRPr="002E2B5B">
        <w:rPr>
          <w:rFonts w:ascii="Calibri" w:hAnsi="Calibri" w:cs="Calibri"/>
          <w:sz w:val="22"/>
          <w:szCs w:val="22"/>
          <w:shd w:val="clear" w:color="auto" w:fill="FFFFFF"/>
        </w:rPr>
        <w:t xml:space="preserve"> compromete</w:t>
      </w:r>
      <w:r w:rsidR="00B84648" w:rsidRPr="002E2B5B">
        <w:rPr>
          <w:rFonts w:ascii="Calibri" w:hAnsi="Calibri" w:cs="Calibri"/>
          <w:sz w:val="22"/>
          <w:szCs w:val="22"/>
          <w:shd w:val="clear" w:color="auto" w:fill="FFFFFF"/>
        </w:rPr>
        <w:t>u</w:t>
      </w:r>
      <w:r w:rsidRPr="002E2B5B">
        <w:rPr>
          <w:rFonts w:ascii="Calibri" w:hAnsi="Calibri" w:cs="Calibri"/>
          <w:sz w:val="22"/>
          <w:szCs w:val="22"/>
          <w:shd w:val="clear" w:color="auto" w:fill="FFFFFF"/>
        </w:rPr>
        <w:t>-se, ainda, a participar dos contratos, aditivos contratuais e demais documentos competentes previstos na legislação do R</w:t>
      </w:r>
      <w:r w:rsidR="00B84648" w:rsidRPr="002E2B5B">
        <w:rPr>
          <w:rFonts w:ascii="Calibri" w:hAnsi="Calibri" w:cs="Calibri"/>
          <w:sz w:val="22"/>
          <w:szCs w:val="22"/>
          <w:shd w:val="clear" w:color="auto" w:fill="FFFFFF"/>
        </w:rPr>
        <w:t>EIDI</w:t>
      </w:r>
      <w:r w:rsidRPr="002E2B5B">
        <w:rPr>
          <w:rFonts w:ascii="Calibri" w:hAnsi="Calibri" w:cs="Calibri"/>
          <w:sz w:val="22"/>
          <w:szCs w:val="22"/>
          <w:shd w:val="clear" w:color="auto" w:fill="FFFFFF"/>
        </w:rPr>
        <w:t xml:space="preserve">, inclusive na posição de destinatária das obras de infraestrutura, dos trilhos e dormentes, com o fim único e exclusivo de expressar nesses instrumentos a sua concordância com a aquisição das obras de infraestrutura pelo Projeto de Infraestrutura da FICO e dos Trilhos e Dormentes pelo Projeto de Infraestrutura </w:t>
      </w:r>
      <w:r w:rsidRPr="002E2B5B">
        <w:rPr>
          <w:rFonts w:ascii="Calibri" w:hAnsi="Calibri" w:cs="Calibri"/>
          <w:sz w:val="22"/>
          <w:szCs w:val="22"/>
          <w:shd w:val="clear" w:color="auto" w:fill="FFFFFF"/>
        </w:rPr>
        <w:lastRenderedPageBreak/>
        <w:t xml:space="preserve">da FIOL elegíveis ao </w:t>
      </w:r>
      <w:r w:rsidR="00B84648" w:rsidRPr="002E2B5B">
        <w:rPr>
          <w:rFonts w:ascii="Calibri" w:hAnsi="Calibri" w:cs="Calibri"/>
          <w:sz w:val="22"/>
          <w:szCs w:val="22"/>
          <w:shd w:val="clear" w:color="auto" w:fill="FFFFFF"/>
        </w:rPr>
        <w:t>REIDI</w:t>
      </w:r>
      <w:r w:rsidRPr="002E2B5B">
        <w:rPr>
          <w:rFonts w:ascii="Calibri" w:hAnsi="Calibri" w:cs="Calibri"/>
          <w:sz w:val="22"/>
          <w:szCs w:val="22"/>
          <w:shd w:val="clear" w:color="auto" w:fill="FFFFFF"/>
        </w:rPr>
        <w:t xml:space="preserve"> e de restar como beneficiária das garantias contratuais perante os fornecedores dos Trilhos e Dormentes.</w:t>
      </w:r>
    </w:p>
    <w:p w14:paraId="187316E1" w14:textId="77777777" w:rsidR="00ED6D2E" w:rsidRPr="002E2B5B" w:rsidRDefault="00ED6D2E" w:rsidP="002E2B5B">
      <w:pPr>
        <w:autoSpaceDE w:val="0"/>
        <w:autoSpaceDN w:val="0"/>
        <w:adjustRightInd w:val="0"/>
        <w:jc w:val="both"/>
        <w:rPr>
          <w:rFonts w:ascii="Calibri" w:hAnsi="Calibri" w:cs="Calibri"/>
          <w:b/>
          <w:sz w:val="22"/>
          <w:szCs w:val="22"/>
          <w:shd w:val="clear" w:color="auto" w:fill="FFFFFF"/>
        </w:rPr>
      </w:pPr>
      <w:r w:rsidRPr="002E2B5B">
        <w:rPr>
          <w:rFonts w:ascii="Calibri" w:hAnsi="Calibri" w:cs="Calibri"/>
          <w:b/>
          <w:sz w:val="22"/>
          <w:szCs w:val="22"/>
          <w:shd w:val="clear" w:color="auto" w:fill="FFFFFF"/>
        </w:rPr>
        <w:t>V –</w:t>
      </w:r>
      <w:r w:rsidRPr="002E2B5B">
        <w:rPr>
          <w:rFonts w:ascii="Calibri" w:hAnsi="Calibri" w:cs="Calibri"/>
          <w:sz w:val="22"/>
          <w:szCs w:val="22"/>
          <w:shd w:val="clear" w:color="auto" w:fill="FFFFFF"/>
        </w:rPr>
        <w:t xml:space="preserve"> </w:t>
      </w:r>
      <w:r w:rsidRPr="002E2B5B">
        <w:rPr>
          <w:rFonts w:ascii="Calibri" w:hAnsi="Calibri" w:cs="Calibri"/>
          <w:b/>
          <w:sz w:val="22"/>
          <w:szCs w:val="22"/>
          <w:shd w:val="clear" w:color="auto" w:fill="FFFFFF"/>
        </w:rPr>
        <w:t>PERMISSÃO DE USO DE PÁTIOS</w:t>
      </w:r>
    </w:p>
    <w:p w14:paraId="36B124CA" w14:textId="77777777" w:rsidR="00E055C4" w:rsidRPr="002E2B5B" w:rsidRDefault="00E055C4" w:rsidP="00E055C4">
      <w:pPr>
        <w:autoSpaceDE w:val="0"/>
        <w:autoSpaceDN w:val="0"/>
        <w:adjustRightInd w:val="0"/>
        <w:jc w:val="both"/>
        <w:rPr>
          <w:rFonts w:ascii="Calibri" w:hAnsi="Calibri" w:cs="Calibri"/>
          <w:sz w:val="22"/>
          <w:szCs w:val="22"/>
          <w:shd w:val="clear" w:color="auto" w:fill="FFFFFF"/>
        </w:rPr>
      </w:pPr>
      <w:r w:rsidRPr="00E30017">
        <w:rPr>
          <w:rFonts w:ascii="Calibri" w:hAnsi="Calibri" w:cs="Calibri"/>
          <w:sz w:val="22"/>
          <w:szCs w:val="22"/>
          <w:shd w:val="clear" w:color="auto" w:fill="FFFFFF"/>
        </w:rPr>
        <w:t>A V</w:t>
      </w:r>
      <w:r>
        <w:rPr>
          <w:rFonts w:ascii="Calibri" w:hAnsi="Calibri" w:cs="Calibri"/>
          <w:sz w:val="22"/>
          <w:szCs w:val="22"/>
          <w:shd w:val="clear" w:color="auto" w:fill="FFFFFF"/>
        </w:rPr>
        <w:t>ALEC</w:t>
      </w:r>
      <w:r w:rsidRPr="00E30017">
        <w:rPr>
          <w:rFonts w:ascii="Calibri" w:hAnsi="Calibri" w:cs="Calibri"/>
          <w:sz w:val="22"/>
          <w:szCs w:val="22"/>
          <w:shd w:val="clear" w:color="auto" w:fill="FFFFFF"/>
        </w:rPr>
        <w:t xml:space="preserve"> também explora e fomenta o transporte ferroviário por meio de terminais de armazenamento e transbordo de cargas. Atualmente estão vigentes 17 (dezessete) instrumentos de outorga envolvendo terminais. A</w:t>
      </w:r>
      <w:r>
        <w:rPr>
          <w:rFonts w:ascii="Calibri" w:hAnsi="Calibri" w:cs="Calibri"/>
          <w:sz w:val="22"/>
          <w:szCs w:val="22"/>
          <w:shd w:val="clear" w:color="auto" w:fill="FFFFFF"/>
        </w:rPr>
        <w:t>s</w:t>
      </w:r>
      <w:r w:rsidRPr="00E30017">
        <w:rPr>
          <w:rFonts w:ascii="Calibri" w:hAnsi="Calibri" w:cs="Calibri"/>
          <w:sz w:val="22"/>
          <w:szCs w:val="22"/>
          <w:shd w:val="clear" w:color="auto" w:fill="FFFFFF"/>
        </w:rPr>
        <w:t xml:space="preserve"> localizaç</w:t>
      </w:r>
      <w:r>
        <w:rPr>
          <w:rFonts w:ascii="Calibri" w:hAnsi="Calibri" w:cs="Calibri"/>
          <w:sz w:val="22"/>
          <w:szCs w:val="22"/>
          <w:shd w:val="clear" w:color="auto" w:fill="FFFFFF"/>
        </w:rPr>
        <w:t xml:space="preserve">ões </w:t>
      </w:r>
      <w:r w:rsidRPr="00E30017">
        <w:rPr>
          <w:rFonts w:ascii="Calibri" w:hAnsi="Calibri" w:cs="Calibri"/>
          <w:sz w:val="22"/>
          <w:szCs w:val="22"/>
          <w:shd w:val="clear" w:color="auto" w:fill="FFFFFF"/>
        </w:rPr>
        <w:t xml:space="preserve">das áreas outorgadas estão assim dispostas: 5 (cinco) em Porto Franco/MA, 1 (um) em Palmeirante/TO, 2 (dois) em Guaraí/TO, 7 (sete) em Porto Nacional/TO, 1 (um) em Gurupi/TO e 1 (um) em Uruaçu/GO. </w:t>
      </w:r>
      <w:r>
        <w:rPr>
          <w:rFonts w:ascii="Calibri" w:hAnsi="Calibri" w:cs="Calibri"/>
          <w:sz w:val="22"/>
          <w:szCs w:val="22"/>
          <w:shd w:val="clear" w:color="auto" w:fill="FFFFFF"/>
        </w:rPr>
        <w:t>D</w:t>
      </w:r>
      <w:r w:rsidRPr="00E30017">
        <w:rPr>
          <w:rFonts w:ascii="Calibri" w:hAnsi="Calibri" w:cs="Calibri"/>
          <w:sz w:val="22"/>
          <w:szCs w:val="22"/>
          <w:shd w:val="clear" w:color="auto" w:fill="FFFFFF"/>
        </w:rPr>
        <w:t>entre as outorgas</w:t>
      </w:r>
      <w:r>
        <w:rPr>
          <w:rFonts w:ascii="Calibri" w:hAnsi="Calibri" w:cs="Calibri"/>
          <w:sz w:val="22"/>
          <w:szCs w:val="22"/>
          <w:shd w:val="clear" w:color="auto" w:fill="FFFFFF"/>
        </w:rPr>
        <w:t xml:space="preserve"> estão:</w:t>
      </w:r>
      <w:r w:rsidRPr="00E30017">
        <w:rPr>
          <w:rFonts w:ascii="Calibri" w:hAnsi="Calibri" w:cs="Calibri"/>
          <w:sz w:val="22"/>
          <w:szCs w:val="22"/>
          <w:shd w:val="clear" w:color="auto" w:fill="FFFFFF"/>
        </w:rPr>
        <w:t xml:space="preserve"> Termo</w:t>
      </w:r>
      <w:r>
        <w:rPr>
          <w:rFonts w:ascii="Calibri" w:hAnsi="Calibri" w:cs="Calibri"/>
          <w:sz w:val="22"/>
          <w:szCs w:val="22"/>
          <w:shd w:val="clear" w:color="auto" w:fill="FFFFFF"/>
        </w:rPr>
        <w:t>s</w:t>
      </w:r>
      <w:r w:rsidRPr="00E30017">
        <w:rPr>
          <w:rFonts w:ascii="Calibri" w:hAnsi="Calibri" w:cs="Calibri"/>
          <w:sz w:val="22"/>
          <w:szCs w:val="22"/>
          <w:shd w:val="clear" w:color="auto" w:fill="FFFFFF"/>
        </w:rPr>
        <w:t xml:space="preserve"> de Autorização Precária de Uso, Termo</w:t>
      </w:r>
      <w:r>
        <w:rPr>
          <w:rFonts w:ascii="Calibri" w:hAnsi="Calibri" w:cs="Calibri"/>
          <w:sz w:val="22"/>
          <w:szCs w:val="22"/>
          <w:shd w:val="clear" w:color="auto" w:fill="FFFFFF"/>
        </w:rPr>
        <w:t>s</w:t>
      </w:r>
      <w:r w:rsidRPr="00E30017">
        <w:rPr>
          <w:rFonts w:ascii="Calibri" w:hAnsi="Calibri" w:cs="Calibri"/>
          <w:sz w:val="22"/>
          <w:szCs w:val="22"/>
          <w:shd w:val="clear" w:color="auto" w:fill="FFFFFF"/>
        </w:rPr>
        <w:t xml:space="preserve"> de Permissão de Uso, Contratos de Arrendamentos, Contratos de Permissões de Uso e Contratos de Concessões de Uso.</w:t>
      </w:r>
    </w:p>
    <w:p w14:paraId="241CF7E7" w14:textId="77777777" w:rsidR="001159E0" w:rsidRPr="002E2B5B" w:rsidRDefault="001159E0" w:rsidP="002E2B5B">
      <w:pPr>
        <w:autoSpaceDE w:val="0"/>
        <w:autoSpaceDN w:val="0"/>
        <w:adjustRightInd w:val="0"/>
        <w:jc w:val="both"/>
        <w:rPr>
          <w:rFonts w:ascii="Calibri" w:hAnsi="Calibri" w:cs="Calibri"/>
          <w:sz w:val="22"/>
          <w:szCs w:val="22"/>
          <w:shd w:val="clear" w:color="auto" w:fill="FFFFFF"/>
        </w:rPr>
      </w:pPr>
    </w:p>
    <w:p w14:paraId="49B922A3" w14:textId="120EABC2" w:rsidR="003772E3" w:rsidRPr="002E2B5B" w:rsidRDefault="003772E3" w:rsidP="002E2B5B">
      <w:pPr>
        <w:pStyle w:val="Ttulo4"/>
        <w:spacing w:line="240" w:lineRule="auto"/>
        <w:rPr>
          <w:rFonts w:ascii="Calibri" w:hAnsi="Calibri" w:cs="Calibri"/>
          <w:bCs w:val="0"/>
          <w:sz w:val="22"/>
          <w:szCs w:val="22"/>
        </w:rPr>
      </w:pPr>
      <w:r w:rsidRPr="002E2B5B">
        <w:rPr>
          <w:rFonts w:ascii="Calibri" w:hAnsi="Calibri" w:cs="Calibri"/>
          <w:bCs w:val="0"/>
          <w:sz w:val="22"/>
          <w:szCs w:val="22"/>
        </w:rPr>
        <w:t xml:space="preserve">NOTA 2 – </w:t>
      </w:r>
      <w:r w:rsidR="007E5CEC" w:rsidRPr="002E2B5B">
        <w:rPr>
          <w:rFonts w:ascii="Calibri" w:hAnsi="Calibri" w:cs="Calibri"/>
          <w:bCs w:val="0"/>
          <w:sz w:val="22"/>
          <w:szCs w:val="22"/>
        </w:rPr>
        <w:t>BASE DE PREPARAÇÃO</w:t>
      </w:r>
      <w:r w:rsidR="00CF73D2" w:rsidRPr="002E2B5B">
        <w:rPr>
          <w:rFonts w:ascii="Calibri" w:hAnsi="Calibri" w:cs="Calibri"/>
          <w:bCs w:val="0"/>
          <w:sz w:val="22"/>
          <w:szCs w:val="22"/>
        </w:rPr>
        <w:t xml:space="preserve"> DAS DEMONSTRAÇÕES E PRINCIPAIS PRÁTICAS CONTÁBEIS </w:t>
      </w:r>
    </w:p>
    <w:p w14:paraId="57DFF177" w14:textId="77777777" w:rsidR="009165D8" w:rsidRPr="002E2B5B" w:rsidRDefault="009165D8" w:rsidP="002E2B5B"/>
    <w:p w14:paraId="5E72AE3D" w14:textId="77777777" w:rsidR="00356063" w:rsidRPr="002E2B5B" w:rsidRDefault="00356063" w:rsidP="002E2B5B">
      <w:pPr>
        <w:numPr>
          <w:ilvl w:val="0"/>
          <w:numId w:val="32"/>
        </w:numPr>
        <w:spacing w:after="120"/>
        <w:ind w:left="714" w:hanging="357"/>
        <w:jc w:val="both"/>
        <w:rPr>
          <w:rFonts w:ascii="Calibri" w:hAnsi="Calibri" w:cs="Calibri"/>
          <w:sz w:val="22"/>
          <w:szCs w:val="22"/>
        </w:rPr>
      </w:pPr>
      <w:r w:rsidRPr="002E2B5B">
        <w:rPr>
          <w:rFonts w:ascii="Calibri" w:hAnsi="Calibri" w:cs="Calibri"/>
          <w:sz w:val="22"/>
          <w:szCs w:val="22"/>
        </w:rPr>
        <w:t xml:space="preserve">As demonstrações contábeis fundamentam-se de acordo </w:t>
      </w:r>
      <w:r w:rsidR="00A100E5" w:rsidRPr="002E2B5B">
        <w:rPr>
          <w:rFonts w:ascii="Calibri" w:hAnsi="Calibri" w:cs="Calibri"/>
          <w:sz w:val="22"/>
          <w:szCs w:val="22"/>
        </w:rPr>
        <w:t xml:space="preserve">com as </w:t>
      </w:r>
      <w:r w:rsidRPr="002E2B5B">
        <w:rPr>
          <w:rFonts w:ascii="Calibri" w:hAnsi="Calibri" w:cs="Calibri"/>
          <w:sz w:val="22"/>
          <w:szCs w:val="22"/>
        </w:rPr>
        <w:t>práticas</w:t>
      </w:r>
      <w:r w:rsidR="00A100E5" w:rsidRPr="002E2B5B">
        <w:rPr>
          <w:rFonts w:ascii="Calibri" w:hAnsi="Calibri" w:cs="Calibri"/>
          <w:sz w:val="22"/>
          <w:szCs w:val="22"/>
        </w:rPr>
        <w:t xml:space="preserve"> contábeis</w:t>
      </w:r>
      <w:r w:rsidRPr="002E2B5B">
        <w:rPr>
          <w:rFonts w:ascii="Calibri" w:hAnsi="Calibri" w:cs="Calibri"/>
          <w:sz w:val="22"/>
          <w:szCs w:val="22"/>
        </w:rPr>
        <w:t xml:space="preserve"> adotadas no Brasil</w:t>
      </w:r>
      <w:r w:rsidR="00B60EFF" w:rsidRPr="002E2B5B">
        <w:rPr>
          <w:rFonts w:ascii="Calibri" w:hAnsi="Calibri" w:cs="Calibri"/>
          <w:sz w:val="22"/>
          <w:szCs w:val="22"/>
        </w:rPr>
        <w:t xml:space="preserve">, </w:t>
      </w:r>
      <w:r w:rsidR="00A100E5" w:rsidRPr="002E2B5B">
        <w:rPr>
          <w:rFonts w:ascii="Calibri" w:hAnsi="Calibri" w:cs="Calibri"/>
          <w:sz w:val="22"/>
          <w:szCs w:val="22"/>
        </w:rPr>
        <w:t>por meio das</w:t>
      </w:r>
      <w:r w:rsidRPr="002E2B5B">
        <w:rPr>
          <w:rFonts w:ascii="Calibri" w:hAnsi="Calibri" w:cs="Calibri"/>
          <w:sz w:val="22"/>
          <w:szCs w:val="22"/>
        </w:rPr>
        <w:t xml:space="preserve"> Normas Brasileiras de Contabilidade expedidas pelo Conselho Federal de Contabilidade </w:t>
      </w:r>
      <w:r w:rsidR="00E73235" w:rsidRPr="002E2B5B">
        <w:rPr>
          <w:rFonts w:ascii="Calibri" w:hAnsi="Calibri" w:cs="Calibri"/>
          <w:sz w:val="22"/>
          <w:szCs w:val="22"/>
        </w:rPr>
        <w:t xml:space="preserve">- </w:t>
      </w:r>
      <w:r w:rsidRPr="002E2B5B">
        <w:rPr>
          <w:rFonts w:ascii="Calibri" w:hAnsi="Calibri" w:cs="Calibri"/>
          <w:sz w:val="22"/>
          <w:szCs w:val="22"/>
        </w:rPr>
        <w:t xml:space="preserve">CFC e os Pronunciamentos do Comitê de Pronunciamentos Contábeis </w:t>
      </w:r>
      <w:r w:rsidR="004B5BEE" w:rsidRPr="002E2B5B">
        <w:rPr>
          <w:rFonts w:ascii="Calibri" w:hAnsi="Calibri" w:cs="Calibri"/>
          <w:sz w:val="22"/>
          <w:szCs w:val="22"/>
        </w:rPr>
        <w:t>–</w:t>
      </w:r>
      <w:r w:rsidR="00E73235" w:rsidRPr="002E2B5B">
        <w:rPr>
          <w:rFonts w:ascii="Calibri" w:hAnsi="Calibri" w:cs="Calibri"/>
          <w:sz w:val="22"/>
          <w:szCs w:val="22"/>
        </w:rPr>
        <w:t xml:space="preserve"> </w:t>
      </w:r>
      <w:r w:rsidRPr="002E2B5B">
        <w:rPr>
          <w:rFonts w:ascii="Calibri" w:hAnsi="Calibri" w:cs="Calibri"/>
          <w:sz w:val="22"/>
          <w:szCs w:val="22"/>
        </w:rPr>
        <w:t>CPC</w:t>
      </w:r>
      <w:r w:rsidR="004B5BEE" w:rsidRPr="002E2B5B">
        <w:rPr>
          <w:rFonts w:ascii="Calibri" w:hAnsi="Calibri" w:cs="Calibri"/>
          <w:sz w:val="22"/>
          <w:szCs w:val="22"/>
        </w:rPr>
        <w:t>;</w:t>
      </w:r>
    </w:p>
    <w:p w14:paraId="709350FE" w14:textId="77777777" w:rsidR="00356063" w:rsidRPr="002E2B5B" w:rsidRDefault="00356063" w:rsidP="002E2B5B">
      <w:pPr>
        <w:numPr>
          <w:ilvl w:val="0"/>
          <w:numId w:val="32"/>
        </w:numPr>
        <w:spacing w:after="120"/>
        <w:ind w:left="714" w:hanging="357"/>
        <w:jc w:val="both"/>
        <w:rPr>
          <w:rFonts w:ascii="Calibri" w:hAnsi="Calibri" w:cs="Calibri"/>
          <w:sz w:val="22"/>
          <w:szCs w:val="22"/>
        </w:rPr>
      </w:pPr>
      <w:r w:rsidRPr="002E2B5B">
        <w:rPr>
          <w:rFonts w:ascii="Calibri" w:hAnsi="Calibri" w:cs="Calibri"/>
          <w:sz w:val="22"/>
          <w:szCs w:val="22"/>
        </w:rPr>
        <w:t xml:space="preserve">As demonstrações contábeis originam-se de fatos contábeis vinculados ao Registro pelo Valor Original e os saldos estão disponibilizados </w:t>
      </w:r>
      <w:r w:rsidR="00173EAD" w:rsidRPr="002E2B5B">
        <w:rPr>
          <w:rFonts w:ascii="Calibri" w:hAnsi="Calibri" w:cs="Calibri"/>
          <w:sz w:val="22"/>
          <w:szCs w:val="22"/>
        </w:rPr>
        <w:t>em unidade de Real (R$ 1)</w:t>
      </w:r>
      <w:r w:rsidRPr="002E2B5B">
        <w:rPr>
          <w:rFonts w:ascii="Calibri" w:hAnsi="Calibri" w:cs="Calibri"/>
          <w:sz w:val="22"/>
          <w:szCs w:val="22"/>
        </w:rPr>
        <w:t xml:space="preserve">, </w:t>
      </w:r>
      <w:r w:rsidR="00A100E5" w:rsidRPr="002E2B5B">
        <w:rPr>
          <w:rFonts w:ascii="Calibri" w:hAnsi="Calibri" w:cs="Calibri"/>
          <w:sz w:val="22"/>
          <w:szCs w:val="22"/>
        </w:rPr>
        <w:t xml:space="preserve">exceto quando indicado de outra forma, </w:t>
      </w:r>
      <w:r w:rsidRPr="002E2B5B">
        <w:rPr>
          <w:rFonts w:ascii="Calibri" w:hAnsi="Calibri" w:cs="Calibri"/>
          <w:sz w:val="22"/>
          <w:szCs w:val="22"/>
        </w:rPr>
        <w:t xml:space="preserve">sendo </w:t>
      </w:r>
      <w:r w:rsidR="008F7883" w:rsidRPr="002E2B5B">
        <w:rPr>
          <w:rFonts w:ascii="Calibri" w:hAnsi="Calibri" w:cs="Calibri"/>
          <w:sz w:val="22"/>
          <w:szCs w:val="22"/>
        </w:rPr>
        <w:t>o Real</w:t>
      </w:r>
      <w:r w:rsidRPr="002E2B5B">
        <w:rPr>
          <w:rFonts w:ascii="Calibri" w:hAnsi="Calibri" w:cs="Calibri"/>
          <w:sz w:val="22"/>
          <w:szCs w:val="22"/>
        </w:rPr>
        <w:t xml:space="preserve"> a moeda funcional e de apresentação da VALEC</w:t>
      </w:r>
      <w:r w:rsidR="004B5BEE" w:rsidRPr="002E2B5B">
        <w:rPr>
          <w:rFonts w:ascii="Calibri" w:hAnsi="Calibri" w:cs="Calibri"/>
          <w:sz w:val="22"/>
          <w:szCs w:val="22"/>
        </w:rPr>
        <w:t>;</w:t>
      </w:r>
    </w:p>
    <w:p w14:paraId="5E97239F" w14:textId="77777777" w:rsidR="00356063" w:rsidRPr="002E2B5B" w:rsidRDefault="00356063" w:rsidP="002E2B5B">
      <w:pPr>
        <w:numPr>
          <w:ilvl w:val="0"/>
          <w:numId w:val="32"/>
        </w:numPr>
        <w:spacing w:after="120"/>
        <w:ind w:left="714" w:hanging="357"/>
        <w:jc w:val="both"/>
        <w:rPr>
          <w:rFonts w:ascii="Calibri" w:hAnsi="Calibri" w:cs="Calibri"/>
          <w:sz w:val="22"/>
          <w:szCs w:val="22"/>
        </w:rPr>
      </w:pPr>
      <w:r w:rsidRPr="002E2B5B">
        <w:rPr>
          <w:rFonts w:ascii="Calibri" w:hAnsi="Calibri" w:cs="Calibri"/>
          <w:sz w:val="22"/>
          <w:szCs w:val="22"/>
        </w:rPr>
        <w:t xml:space="preserve">A VALEC integra o Sistema Integrado de Administração Financeira do Governo Federal - SIAFI, na modalidade total em relação ao orçamento, conforme disposto na Lei nº 4.320, de </w:t>
      </w:r>
      <w:r w:rsidR="0066652D" w:rsidRPr="002E2B5B">
        <w:rPr>
          <w:rFonts w:ascii="Calibri" w:hAnsi="Calibri" w:cs="Calibri"/>
          <w:sz w:val="22"/>
          <w:szCs w:val="22"/>
        </w:rPr>
        <w:t>17 de março de 1964</w:t>
      </w:r>
      <w:r w:rsidRPr="002E2B5B">
        <w:rPr>
          <w:rFonts w:ascii="Calibri" w:hAnsi="Calibri" w:cs="Calibri"/>
          <w:sz w:val="22"/>
          <w:szCs w:val="22"/>
        </w:rPr>
        <w:t xml:space="preserve"> e aspectos societários da Lei n° 6.404</w:t>
      </w:r>
      <w:r w:rsidR="00B9667A" w:rsidRPr="002E2B5B">
        <w:rPr>
          <w:rFonts w:ascii="Calibri" w:hAnsi="Calibri" w:cs="Calibri"/>
          <w:sz w:val="22"/>
          <w:szCs w:val="22"/>
        </w:rPr>
        <w:t>, de 15 de dezembro de 1976,</w:t>
      </w:r>
      <w:r w:rsidRPr="002E2B5B">
        <w:rPr>
          <w:rFonts w:ascii="Calibri" w:hAnsi="Calibri" w:cs="Calibri"/>
          <w:sz w:val="22"/>
          <w:szCs w:val="22"/>
        </w:rPr>
        <w:t xml:space="preserve"> em relação à apresentação das Demonstrações Contábeis, com as alterações promovidas pelas Leis </w:t>
      </w:r>
      <w:proofErr w:type="spellStart"/>
      <w:r w:rsidRPr="002E2B5B">
        <w:rPr>
          <w:rFonts w:ascii="Calibri" w:hAnsi="Calibri" w:cs="Calibri"/>
          <w:sz w:val="22"/>
          <w:szCs w:val="22"/>
        </w:rPr>
        <w:t>nºs</w:t>
      </w:r>
      <w:proofErr w:type="spellEnd"/>
      <w:r w:rsidRPr="002E2B5B">
        <w:rPr>
          <w:rFonts w:ascii="Calibri" w:hAnsi="Calibri" w:cs="Calibri"/>
          <w:sz w:val="22"/>
          <w:szCs w:val="22"/>
        </w:rPr>
        <w:t xml:space="preserve"> 11.638</w:t>
      </w:r>
      <w:r w:rsidR="00B9667A" w:rsidRPr="002E2B5B">
        <w:rPr>
          <w:rFonts w:ascii="Calibri" w:hAnsi="Calibri" w:cs="Calibri"/>
          <w:sz w:val="22"/>
          <w:szCs w:val="22"/>
        </w:rPr>
        <w:t>, de 28 de dezembro de 2007,</w:t>
      </w:r>
      <w:r w:rsidRPr="002E2B5B">
        <w:rPr>
          <w:rFonts w:ascii="Calibri" w:hAnsi="Calibri" w:cs="Calibri"/>
          <w:sz w:val="22"/>
          <w:szCs w:val="22"/>
        </w:rPr>
        <w:t xml:space="preserve"> e 11.941</w:t>
      </w:r>
      <w:r w:rsidR="00B9667A" w:rsidRPr="002E2B5B">
        <w:rPr>
          <w:rFonts w:ascii="Calibri" w:hAnsi="Calibri" w:cs="Calibri"/>
          <w:sz w:val="22"/>
          <w:szCs w:val="22"/>
        </w:rPr>
        <w:t>, de 27 de maio de 20</w:t>
      </w:r>
      <w:r w:rsidRPr="002E2B5B">
        <w:rPr>
          <w:rFonts w:ascii="Calibri" w:hAnsi="Calibri" w:cs="Calibri"/>
          <w:sz w:val="22"/>
          <w:szCs w:val="22"/>
        </w:rPr>
        <w:t>09;</w:t>
      </w:r>
    </w:p>
    <w:p w14:paraId="03B0B870" w14:textId="49C79FD6" w:rsidR="00B80638" w:rsidRPr="002C7B71" w:rsidRDefault="00356063" w:rsidP="000E6508">
      <w:pPr>
        <w:numPr>
          <w:ilvl w:val="0"/>
          <w:numId w:val="32"/>
        </w:numPr>
        <w:spacing w:after="120"/>
        <w:ind w:left="714" w:hanging="357"/>
        <w:jc w:val="both"/>
        <w:rPr>
          <w:rFonts w:ascii="Calibri" w:hAnsi="Calibri" w:cs="Calibri"/>
          <w:sz w:val="22"/>
          <w:szCs w:val="22"/>
        </w:rPr>
      </w:pPr>
      <w:r w:rsidRPr="00B80638">
        <w:rPr>
          <w:rFonts w:ascii="Calibri" w:hAnsi="Calibri" w:cs="Calibri"/>
          <w:sz w:val="22"/>
          <w:szCs w:val="22"/>
        </w:rPr>
        <w:t xml:space="preserve">A autorização para a conclusão destas demonstrações contábeis foi dada pela </w:t>
      </w:r>
      <w:r w:rsidR="000B2E29" w:rsidRPr="00B80638">
        <w:rPr>
          <w:rFonts w:ascii="Calibri" w:hAnsi="Calibri" w:cs="Calibri"/>
          <w:sz w:val="22"/>
          <w:szCs w:val="22"/>
        </w:rPr>
        <w:t xml:space="preserve">Conselho de </w:t>
      </w:r>
      <w:r w:rsidR="000B2E29" w:rsidRPr="002C7B71">
        <w:rPr>
          <w:rFonts w:ascii="Calibri" w:hAnsi="Calibri" w:cs="Calibri"/>
          <w:sz w:val="22"/>
          <w:szCs w:val="22"/>
        </w:rPr>
        <w:t xml:space="preserve">Administração </w:t>
      </w:r>
      <w:r w:rsidR="00DA1502" w:rsidRPr="002C7B71">
        <w:rPr>
          <w:rFonts w:ascii="Calibri" w:hAnsi="Calibri" w:cs="Calibri"/>
          <w:sz w:val="22"/>
          <w:szCs w:val="22"/>
        </w:rPr>
        <w:t xml:space="preserve">em </w:t>
      </w:r>
      <w:r w:rsidR="002C7B71" w:rsidRPr="002C7B71">
        <w:rPr>
          <w:rFonts w:ascii="Calibri" w:hAnsi="Calibri" w:cs="Calibri"/>
          <w:sz w:val="22"/>
          <w:szCs w:val="22"/>
        </w:rPr>
        <w:t xml:space="preserve">15 </w:t>
      </w:r>
      <w:r w:rsidR="00B80638" w:rsidRPr="002C7B71">
        <w:rPr>
          <w:rFonts w:ascii="Calibri" w:hAnsi="Calibri" w:cs="Calibri"/>
          <w:sz w:val="22"/>
          <w:szCs w:val="22"/>
        </w:rPr>
        <w:t>de dezembro de 2021.</w:t>
      </w:r>
    </w:p>
    <w:p w14:paraId="620D5DF1" w14:textId="159802D1" w:rsidR="00356063" w:rsidRPr="00B80638" w:rsidRDefault="00356063" w:rsidP="000E6508">
      <w:pPr>
        <w:numPr>
          <w:ilvl w:val="0"/>
          <w:numId w:val="32"/>
        </w:numPr>
        <w:spacing w:after="120"/>
        <w:ind w:left="714" w:hanging="357"/>
        <w:jc w:val="both"/>
        <w:rPr>
          <w:rFonts w:ascii="Calibri" w:hAnsi="Calibri" w:cs="Calibri"/>
          <w:sz w:val="22"/>
          <w:szCs w:val="22"/>
        </w:rPr>
      </w:pPr>
      <w:r w:rsidRPr="00B80638">
        <w:rPr>
          <w:rFonts w:ascii="Calibri" w:hAnsi="Calibri" w:cs="Calibri"/>
          <w:sz w:val="22"/>
          <w:szCs w:val="22"/>
        </w:rPr>
        <w:t>As receitas e despesas são apropriadas pelo regime de competência, observando-se o critério de liquidez e natureza financeira, incluindo os efeitos das variações monetárias computados sobre ativos e passivos indexados;</w:t>
      </w:r>
    </w:p>
    <w:p w14:paraId="35D9C064" w14:textId="77777777" w:rsidR="0026417F" w:rsidRPr="002E2B5B" w:rsidRDefault="00356063" w:rsidP="002E2B5B">
      <w:pPr>
        <w:numPr>
          <w:ilvl w:val="0"/>
          <w:numId w:val="32"/>
        </w:numPr>
        <w:spacing w:after="120"/>
        <w:ind w:left="714" w:hanging="357"/>
        <w:jc w:val="both"/>
        <w:rPr>
          <w:rFonts w:ascii="Calibri" w:hAnsi="Calibri" w:cs="Calibri"/>
          <w:sz w:val="22"/>
          <w:szCs w:val="22"/>
        </w:rPr>
      </w:pPr>
      <w:r w:rsidRPr="002E2B5B">
        <w:rPr>
          <w:rFonts w:ascii="Calibri" w:hAnsi="Calibri" w:cs="Calibri"/>
          <w:sz w:val="22"/>
          <w:szCs w:val="22"/>
        </w:rPr>
        <w:t xml:space="preserve">Os ativos </w:t>
      </w:r>
      <w:r w:rsidR="00341FD7" w:rsidRPr="002E2B5B">
        <w:rPr>
          <w:rFonts w:ascii="Calibri" w:hAnsi="Calibri" w:cs="Calibri"/>
          <w:sz w:val="22"/>
          <w:szCs w:val="22"/>
        </w:rPr>
        <w:t>circulantes</w:t>
      </w:r>
      <w:r w:rsidR="0026417F" w:rsidRPr="002E2B5B">
        <w:rPr>
          <w:rFonts w:ascii="Calibri" w:hAnsi="Calibri" w:cs="Calibri"/>
          <w:sz w:val="22"/>
          <w:szCs w:val="22"/>
        </w:rPr>
        <w:t xml:space="preserve"> e realiz</w:t>
      </w:r>
      <w:r w:rsidR="00092D86" w:rsidRPr="002E2B5B">
        <w:rPr>
          <w:rFonts w:ascii="Calibri" w:hAnsi="Calibri" w:cs="Calibri"/>
          <w:sz w:val="22"/>
          <w:szCs w:val="22"/>
        </w:rPr>
        <w:t>áve</w:t>
      </w:r>
      <w:r w:rsidR="00464FF8" w:rsidRPr="002E2B5B">
        <w:rPr>
          <w:rFonts w:ascii="Calibri" w:hAnsi="Calibri" w:cs="Calibri"/>
          <w:sz w:val="22"/>
          <w:szCs w:val="22"/>
        </w:rPr>
        <w:t>is</w:t>
      </w:r>
      <w:r w:rsidR="00092D86" w:rsidRPr="002E2B5B">
        <w:rPr>
          <w:rFonts w:ascii="Calibri" w:hAnsi="Calibri" w:cs="Calibri"/>
          <w:sz w:val="22"/>
          <w:szCs w:val="22"/>
        </w:rPr>
        <w:t xml:space="preserve"> a longo prazo</w:t>
      </w:r>
      <w:r w:rsidR="00341FD7" w:rsidRPr="002E2B5B">
        <w:rPr>
          <w:rFonts w:ascii="Calibri" w:hAnsi="Calibri" w:cs="Calibri"/>
          <w:sz w:val="22"/>
          <w:szCs w:val="22"/>
        </w:rPr>
        <w:t xml:space="preserve"> </w:t>
      </w:r>
      <w:r w:rsidRPr="002E2B5B">
        <w:rPr>
          <w:rFonts w:ascii="Calibri" w:hAnsi="Calibri" w:cs="Calibri"/>
          <w:sz w:val="22"/>
          <w:szCs w:val="22"/>
        </w:rPr>
        <w:t>são demonstrados pelos valores de realização</w:t>
      </w:r>
      <w:r w:rsidR="00341FD7" w:rsidRPr="002E2B5B">
        <w:rPr>
          <w:rFonts w:ascii="Calibri" w:hAnsi="Calibri" w:cs="Calibri"/>
          <w:sz w:val="22"/>
          <w:szCs w:val="22"/>
        </w:rPr>
        <w:t xml:space="preserve"> e</w:t>
      </w:r>
      <w:r w:rsidRPr="002E2B5B">
        <w:rPr>
          <w:rFonts w:ascii="Calibri" w:hAnsi="Calibri" w:cs="Calibri"/>
          <w:sz w:val="22"/>
          <w:szCs w:val="22"/>
        </w:rPr>
        <w:t xml:space="preserve"> os passivos </w:t>
      </w:r>
      <w:r w:rsidR="00341FD7" w:rsidRPr="002E2B5B">
        <w:rPr>
          <w:rFonts w:ascii="Calibri" w:hAnsi="Calibri" w:cs="Calibri"/>
          <w:sz w:val="22"/>
          <w:szCs w:val="22"/>
        </w:rPr>
        <w:t>circulantes</w:t>
      </w:r>
      <w:r w:rsidR="00092D86" w:rsidRPr="002E2B5B">
        <w:rPr>
          <w:rFonts w:ascii="Calibri" w:hAnsi="Calibri" w:cs="Calibri"/>
          <w:sz w:val="22"/>
          <w:szCs w:val="22"/>
        </w:rPr>
        <w:t xml:space="preserve"> e não circulantes</w:t>
      </w:r>
      <w:r w:rsidR="00341FD7" w:rsidRPr="002E2B5B">
        <w:rPr>
          <w:rFonts w:ascii="Calibri" w:hAnsi="Calibri" w:cs="Calibri"/>
          <w:sz w:val="22"/>
          <w:szCs w:val="22"/>
        </w:rPr>
        <w:t xml:space="preserve">, </w:t>
      </w:r>
      <w:r w:rsidRPr="002E2B5B">
        <w:rPr>
          <w:rFonts w:ascii="Calibri" w:hAnsi="Calibri" w:cs="Calibri"/>
          <w:sz w:val="22"/>
          <w:szCs w:val="22"/>
        </w:rPr>
        <w:t>pelos valores conhecidos ou calculáveis, incluindo quando aplicáveis os rendimentos e/ou encargos correspondentes, calculados a índices ou taxas oficiais, bem como, os efeitos de ajustes de ativo para valor de mercado ou de realização</w:t>
      </w:r>
      <w:r w:rsidR="0026417F" w:rsidRPr="002E2B5B">
        <w:rPr>
          <w:rFonts w:ascii="Calibri" w:hAnsi="Calibri" w:cs="Calibri"/>
          <w:sz w:val="22"/>
          <w:szCs w:val="22"/>
        </w:rPr>
        <w:t>;</w:t>
      </w:r>
      <w:r w:rsidRPr="002E2B5B">
        <w:rPr>
          <w:rFonts w:ascii="Calibri" w:hAnsi="Calibri" w:cs="Calibri"/>
          <w:sz w:val="22"/>
          <w:szCs w:val="22"/>
        </w:rPr>
        <w:t xml:space="preserve"> </w:t>
      </w:r>
    </w:p>
    <w:p w14:paraId="7DB68DFF" w14:textId="3B8B8945" w:rsidR="00356063" w:rsidRPr="00B23D01" w:rsidRDefault="00356063" w:rsidP="002E2B5B">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t xml:space="preserve">O ativo imobilizado </w:t>
      </w:r>
      <w:r w:rsidR="009F6D22" w:rsidRPr="002E2B5B">
        <w:rPr>
          <w:rFonts w:ascii="Calibri" w:hAnsi="Calibri" w:cs="Calibri"/>
          <w:sz w:val="22"/>
          <w:szCs w:val="22"/>
        </w:rPr>
        <w:t>é</w:t>
      </w:r>
      <w:r w:rsidRPr="002E2B5B">
        <w:rPr>
          <w:rFonts w:ascii="Calibri" w:hAnsi="Calibri" w:cs="Calibri"/>
          <w:sz w:val="22"/>
          <w:szCs w:val="22"/>
        </w:rPr>
        <w:t xml:space="preserve"> reconhecid</w:t>
      </w:r>
      <w:r w:rsidR="009F6D22" w:rsidRPr="002E2B5B">
        <w:rPr>
          <w:rFonts w:ascii="Calibri" w:hAnsi="Calibri" w:cs="Calibri"/>
          <w:sz w:val="22"/>
          <w:szCs w:val="22"/>
        </w:rPr>
        <w:t>o</w:t>
      </w:r>
      <w:r w:rsidRPr="002E2B5B">
        <w:rPr>
          <w:rFonts w:ascii="Calibri" w:hAnsi="Calibri" w:cs="Calibri"/>
          <w:sz w:val="22"/>
          <w:szCs w:val="22"/>
        </w:rPr>
        <w:t xml:space="preserve"> pelo custo de aquisição deduzido das respectivas depreciações acumuladas, calculadas pelo método linear de acordo com a vida útil estimada dos bens, </w:t>
      </w:r>
      <w:r w:rsidRPr="00750CA7">
        <w:rPr>
          <w:rFonts w:ascii="Calibri" w:hAnsi="Calibri" w:cs="Calibri"/>
          <w:sz w:val="22"/>
          <w:szCs w:val="22"/>
        </w:rPr>
        <w:t xml:space="preserve">conforme </w:t>
      </w:r>
      <w:r w:rsidR="002E3C51" w:rsidRPr="00B23D01">
        <w:rPr>
          <w:rFonts w:ascii="Calibri" w:hAnsi="Calibri" w:cs="Calibri"/>
          <w:sz w:val="22"/>
          <w:szCs w:val="22"/>
        </w:rPr>
        <w:t xml:space="preserve">Nota </w:t>
      </w:r>
      <w:r w:rsidR="00750CA7" w:rsidRPr="00B23D01">
        <w:rPr>
          <w:rFonts w:ascii="Calibri" w:hAnsi="Calibri" w:cs="Calibri"/>
          <w:sz w:val="22"/>
          <w:szCs w:val="22"/>
        </w:rPr>
        <w:t>8</w:t>
      </w:r>
      <w:r w:rsidR="00F51287" w:rsidRPr="00B23D01">
        <w:rPr>
          <w:rFonts w:ascii="Calibri" w:hAnsi="Calibri" w:cs="Calibri"/>
          <w:sz w:val="22"/>
          <w:szCs w:val="22"/>
        </w:rPr>
        <w:t>-I</w:t>
      </w:r>
      <w:r w:rsidR="00882107" w:rsidRPr="00B23D01">
        <w:rPr>
          <w:rFonts w:ascii="Calibri" w:hAnsi="Calibri" w:cs="Calibri"/>
          <w:sz w:val="22"/>
          <w:szCs w:val="22"/>
        </w:rPr>
        <w:t>;</w:t>
      </w:r>
    </w:p>
    <w:p w14:paraId="5F726F63" w14:textId="344C803E" w:rsidR="00163A22" w:rsidRPr="00750CA7" w:rsidRDefault="00D45E93" w:rsidP="002E2B5B">
      <w:pPr>
        <w:numPr>
          <w:ilvl w:val="0"/>
          <w:numId w:val="32"/>
        </w:numPr>
        <w:autoSpaceDE w:val="0"/>
        <w:autoSpaceDN w:val="0"/>
        <w:spacing w:after="120"/>
        <w:ind w:left="714" w:hanging="357"/>
        <w:jc w:val="both"/>
        <w:rPr>
          <w:rFonts w:ascii="Calibri" w:hAnsi="Calibri" w:cs="Calibri"/>
          <w:sz w:val="22"/>
          <w:szCs w:val="22"/>
        </w:rPr>
      </w:pPr>
      <w:r w:rsidRPr="00750CA7">
        <w:rPr>
          <w:rFonts w:ascii="Calibri" w:hAnsi="Calibri" w:cs="Calibri"/>
          <w:sz w:val="22"/>
          <w:szCs w:val="22"/>
        </w:rPr>
        <w:t xml:space="preserve">Após análise do valor recuperável pela VALEC referente à Ferrovia Norte Sul já </w:t>
      </w:r>
      <w:proofErr w:type="spellStart"/>
      <w:r w:rsidRPr="00750CA7">
        <w:rPr>
          <w:rFonts w:ascii="Calibri" w:hAnsi="Calibri" w:cs="Calibri"/>
          <w:sz w:val="22"/>
          <w:szCs w:val="22"/>
        </w:rPr>
        <w:t>subconcedida</w:t>
      </w:r>
      <w:proofErr w:type="spellEnd"/>
      <w:r w:rsidRPr="00750CA7">
        <w:rPr>
          <w:rFonts w:ascii="Calibri" w:hAnsi="Calibri" w:cs="Calibri"/>
          <w:sz w:val="22"/>
          <w:szCs w:val="22"/>
        </w:rPr>
        <w:t xml:space="preserve"> pelo período de 30 anos, foi realizad</w:t>
      </w:r>
      <w:r w:rsidR="009F6D22" w:rsidRPr="00750CA7">
        <w:rPr>
          <w:rFonts w:ascii="Calibri" w:hAnsi="Calibri" w:cs="Calibri"/>
          <w:sz w:val="22"/>
          <w:szCs w:val="22"/>
        </w:rPr>
        <w:t>o</w:t>
      </w:r>
      <w:r w:rsidRPr="00750CA7">
        <w:rPr>
          <w:rFonts w:ascii="Calibri" w:hAnsi="Calibri" w:cs="Calibri"/>
          <w:sz w:val="22"/>
          <w:szCs w:val="22"/>
        </w:rPr>
        <w:t xml:space="preserve"> o reconhecimento d</w:t>
      </w:r>
      <w:r w:rsidR="00C47374" w:rsidRPr="00750CA7">
        <w:rPr>
          <w:rFonts w:ascii="Calibri" w:hAnsi="Calibri" w:cs="Calibri"/>
          <w:sz w:val="22"/>
          <w:szCs w:val="22"/>
        </w:rPr>
        <w:t xml:space="preserve">a provisão de perda ao valor recuperável </w:t>
      </w:r>
      <w:r w:rsidRPr="00750CA7">
        <w:rPr>
          <w:rFonts w:ascii="Calibri" w:hAnsi="Calibri" w:cs="Calibri"/>
          <w:sz w:val="22"/>
          <w:szCs w:val="22"/>
        </w:rPr>
        <w:t>no ativo imobilizado da empresa, em consonância com o CPC – 01 (R1) – Redução ao Valor Recuperável de Ativos</w:t>
      </w:r>
      <w:r w:rsidR="00750CA7" w:rsidRPr="00750CA7">
        <w:rPr>
          <w:rFonts w:ascii="Calibri" w:hAnsi="Calibri" w:cs="Calibri"/>
          <w:sz w:val="22"/>
          <w:szCs w:val="22"/>
        </w:rPr>
        <w:t>;</w:t>
      </w:r>
    </w:p>
    <w:p w14:paraId="44281DA1" w14:textId="5B6F8423" w:rsidR="009F6D22" w:rsidRDefault="009F6D22" w:rsidP="002E2B5B">
      <w:pPr>
        <w:numPr>
          <w:ilvl w:val="0"/>
          <w:numId w:val="32"/>
        </w:numPr>
        <w:autoSpaceDE w:val="0"/>
        <w:autoSpaceDN w:val="0"/>
        <w:spacing w:after="120"/>
        <w:ind w:left="714" w:hanging="357"/>
        <w:jc w:val="both"/>
        <w:rPr>
          <w:rFonts w:ascii="Calibri" w:hAnsi="Calibri" w:cs="Calibri"/>
          <w:sz w:val="22"/>
          <w:szCs w:val="22"/>
        </w:rPr>
      </w:pPr>
      <w:r w:rsidRPr="00750CA7">
        <w:rPr>
          <w:rFonts w:ascii="Calibri" w:hAnsi="Calibri" w:cs="Calibri"/>
          <w:sz w:val="22"/>
          <w:szCs w:val="22"/>
        </w:rPr>
        <w:t xml:space="preserve">Após o Leilão para Subconcessão do Trecho da Ferrovia de Integração Oeste Leste, denominado FIOL I, foi realizada a análise do valor recuperável de ativos e reconhecida </w:t>
      </w:r>
      <w:r w:rsidR="00C47374" w:rsidRPr="00750CA7">
        <w:rPr>
          <w:rFonts w:ascii="Calibri" w:hAnsi="Calibri" w:cs="Calibri"/>
          <w:sz w:val="22"/>
          <w:szCs w:val="22"/>
        </w:rPr>
        <w:t xml:space="preserve">provisão de perda ao valor recuperável </w:t>
      </w:r>
      <w:r w:rsidRPr="00750CA7">
        <w:rPr>
          <w:rFonts w:ascii="Calibri" w:hAnsi="Calibri" w:cs="Calibri"/>
          <w:sz w:val="22"/>
          <w:szCs w:val="22"/>
        </w:rPr>
        <w:t>no ativo imobilizado da empresa, em consonância com o CPC – 01 (R1) – Redução ao Valor Recuperável de Ativos</w:t>
      </w:r>
      <w:r w:rsidR="00C47374" w:rsidRPr="00750CA7">
        <w:rPr>
          <w:rFonts w:ascii="Calibri" w:hAnsi="Calibri" w:cs="Calibri"/>
          <w:sz w:val="22"/>
          <w:szCs w:val="22"/>
        </w:rPr>
        <w:t>;</w:t>
      </w:r>
    </w:p>
    <w:p w14:paraId="602D068F" w14:textId="6F8E7239" w:rsidR="007074D2" w:rsidRPr="00750CA7" w:rsidRDefault="007074D2" w:rsidP="002E2B5B">
      <w:pPr>
        <w:numPr>
          <w:ilvl w:val="0"/>
          <w:numId w:val="32"/>
        </w:numPr>
        <w:autoSpaceDE w:val="0"/>
        <w:autoSpaceDN w:val="0"/>
        <w:spacing w:after="120"/>
        <w:ind w:left="714" w:hanging="357"/>
        <w:jc w:val="both"/>
        <w:rPr>
          <w:rFonts w:ascii="Calibri" w:hAnsi="Calibri" w:cs="Calibri"/>
          <w:sz w:val="22"/>
          <w:szCs w:val="22"/>
        </w:rPr>
      </w:pPr>
      <w:r>
        <w:rPr>
          <w:rFonts w:ascii="Calibri" w:hAnsi="Calibri" w:cs="Calibri"/>
          <w:sz w:val="22"/>
          <w:szCs w:val="22"/>
        </w:rPr>
        <w:t xml:space="preserve">As demonstrações contábeis de 2019 e 2020 foram aprovadas em Assembleia Geral Ordinária em agosto e outubro de 2021, respectivamente. Assim, os </w:t>
      </w:r>
      <w:r w:rsidR="000F4B0D">
        <w:rPr>
          <w:rFonts w:ascii="Calibri" w:hAnsi="Calibri" w:cs="Calibri"/>
          <w:sz w:val="22"/>
          <w:szCs w:val="22"/>
        </w:rPr>
        <w:t>efeitos dos testes de recuperabilidade da Ferrovia Norte e Sul e da Ferrovia de Integração Oeste Leste foram reconhecidos ainda nas demonstrações de 2019 e 2020. Por ocasião do encerramento do exercício de 2021, serão efetuados novos testes de recuperabilidade e os respectivos efeitos serão reconhecidos nas demonstrações contábeis do exercício de 2021;</w:t>
      </w:r>
    </w:p>
    <w:p w14:paraId="52057C35" w14:textId="77777777" w:rsidR="007508BF" w:rsidRPr="002E2B5B" w:rsidRDefault="007A1072" w:rsidP="002E2B5B">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lastRenderedPageBreak/>
        <w:t>O Pronunciamento Contábil CPC  06 (R2) introduziu um modelo único de contabilização de arrendamentos no balanço patrimonial para arrendatários. Um arrendatário reconhece um ativo de direito de uso que representa o seu direito de utilizar o ativo arrendado</w:t>
      </w:r>
      <w:r w:rsidR="00225A1A" w:rsidRPr="002E2B5B">
        <w:rPr>
          <w:rFonts w:ascii="Calibri" w:hAnsi="Calibri" w:cs="Calibri"/>
          <w:sz w:val="22"/>
          <w:szCs w:val="22"/>
        </w:rPr>
        <w:t>, o qual</w:t>
      </w:r>
      <w:r w:rsidR="007508BF" w:rsidRPr="002E2B5B">
        <w:rPr>
          <w:rFonts w:ascii="Calibri" w:hAnsi="Calibri" w:cs="Calibri"/>
          <w:sz w:val="22"/>
          <w:szCs w:val="22"/>
        </w:rPr>
        <w:t xml:space="preserve"> é reconhecido inicialmente pelo custo e</w:t>
      </w:r>
      <w:r w:rsidR="00225A1A" w:rsidRPr="002E2B5B">
        <w:rPr>
          <w:rFonts w:ascii="Calibri" w:hAnsi="Calibri" w:cs="Calibri"/>
          <w:sz w:val="22"/>
          <w:szCs w:val="22"/>
        </w:rPr>
        <w:t>,</w:t>
      </w:r>
      <w:r w:rsidR="007508BF" w:rsidRPr="002E2B5B">
        <w:rPr>
          <w:rFonts w:ascii="Calibri" w:hAnsi="Calibri" w:cs="Calibri"/>
          <w:sz w:val="22"/>
          <w:szCs w:val="22"/>
        </w:rPr>
        <w:t xml:space="preserve"> subsequentemente</w:t>
      </w:r>
      <w:r w:rsidR="00225A1A" w:rsidRPr="002E2B5B">
        <w:rPr>
          <w:rFonts w:ascii="Calibri" w:hAnsi="Calibri" w:cs="Calibri"/>
          <w:sz w:val="22"/>
          <w:szCs w:val="22"/>
        </w:rPr>
        <w:t>,</w:t>
      </w:r>
      <w:r w:rsidR="007508BF" w:rsidRPr="002E2B5B">
        <w:rPr>
          <w:rFonts w:ascii="Calibri" w:hAnsi="Calibri" w:cs="Calibri"/>
          <w:sz w:val="22"/>
          <w:szCs w:val="22"/>
        </w:rPr>
        <w:t xml:space="preserve"> pelo custo menos qualquer depreciação acumulada e ajustado pela taxa dos respectivos </w:t>
      </w:r>
      <w:r w:rsidR="00FF420C" w:rsidRPr="002E2B5B">
        <w:rPr>
          <w:rFonts w:ascii="Calibri" w:hAnsi="Calibri" w:cs="Calibri"/>
          <w:sz w:val="22"/>
          <w:szCs w:val="22"/>
        </w:rPr>
        <w:t>contratos; e</w:t>
      </w:r>
      <w:r w:rsidRPr="002E2B5B">
        <w:rPr>
          <w:rFonts w:ascii="Calibri" w:hAnsi="Calibri" w:cs="Calibri"/>
          <w:sz w:val="22"/>
          <w:szCs w:val="22"/>
        </w:rPr>
        <w:t xml:space="preserve"> um passivo de arrendamento que representa sua obrigação de efetuar pagamentos do arrendamento</w:t>
      </w:r>
      <w:r w:rsidR="007508BF" w:rsidRPr="002E2B5B">
        <w:rPr>
          <w:rFonts w:ascii="Calibri" w:hAnsi="Calibri" w:cs="Calibri"/>
          <w:sz w:val="22"/>
          <w:szCs w:val="22"/>
        </w:rPr>
        <w:t xml:space="preserve">, mensurado inicialmente </w:t>
      </w:r>
      <w:r w:rsidR="00225A1A" w:rsidRPr="002E2B5B">
        <w:rPr>
          <w:rFonts w:ascii="Calibri" w:hAnsi="Calibri" w:cs="Calibri"/>
          <w:sz w:val="22"/>
          <w:szCs w:val="22"/>
        </w:rPr>
        <w:t>pelo valor presente dos pagamentos.</w:t>
      </w:r>
      <w:r w:rsidRPr="002E2B5B">
        <w:rPr>
          <w:rFonts w:ascii="Calibri" w:hAnsi="Calibri" w:cs="Calibri"/>
          <w:sz w:val="22"/>
          <w:szCs w:val="22"/>
        </w:rPr>
        <w:t xml:space="preserve"> </w:t>
      </w:r>
      <w:r w:rsidR="007508BF" w:rsidRPr="002E2B5B">
        <w:rPr>
          <w:rFonts w:ascii="Calibri" w:hAnsi="Calibri" w:cs="Calibri"/>
          <w:sz w:val="22"/>
          <w:szCs w:val="22"/>
        </w:rPr>
        <w:t xml:space="preserve">O referido pronunciamento estabelece os princípios para o reconhecimento, mensuração, apresentação e divulgação de arrendamento e entrou em vigor em 01 de janeiro de 2019. </w:t>
      </w:r>
    </w:p>
    <w:p w14:paraId="377AEB79" w14:textId="53F12F12" w:rsidR="00356063" w:rsidRPr="00B23D01" w:rsidRDefault="00356063" w:rsidP="002E2B5B">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t>O ativo intangível composto por direito de uso e programas de software</w:t>
      </w:r>
      <w:r w:rsidR="00F34D29" w:rsidRPr="002E2B5B">
        <w:rPr>
          <w:rFonts w:ascii="Calibri" w:hAnsi="Calibri" w:cs="Calibri"/>
          <w:sz w:val="22"/>
          <w:szCs w:val="22"/>
        </w:rPr>
        <w:t xml:space="preserve">, conforme </w:t>
      </w:r>
      <w:r w:rsidR="002E3C51" w:rsidRPr="00B23D01">
        <w:rPr>
          <w:rFonts w:ascii="Calibri" w:hAnsi="Calibri" w:cs="Calibri"/>
          <w:sz w:val="22"/>
          <w:szCs w:val="22"/>
        </w:rPr>
        <w:t xml:space="preserve">Nota </w:t>
      </w:r>
      <w:r w:rsidR="00750CA7" w:rsidRPr="00B23D01">
        <w:rPr>
          <w:rFonts w:ascii="Calibri" w:hAnsi="Calibri" w:cs="Calibri"/>
          <w:sz w:val="22"/>
          <w:szCs w:val="22"/>
        </w:rPr>
        <w:t>9</w:t>
      </w:r>
      <w:r w:rsidRPr="00B23D01">
        <w:rPr>
          <w:rFonts w:ascii="Calibri" w:hAnsi="Calibri" w:cs="Calibri"/>
          <w:sz w:val="22"/>
          <w:szCs w:val="22"/>
        </w:rPr>
        <w:t>, é demonstrado pelo custo de aquisição deduzido das respectivas amortizações acumuladas, calculadas pelo método linear de acordo com a legislação e devem ser</w:t>
      </w:r>
      <w:r w:rsidR="000D74D4" w:rsidRPr="00B23D01">
        <w:rPr>
          <w:rFonts w:ascii="Calibri" w:hAnsi="Calibri" w:cs="Calibri"/>
          <w:sz w:val="22"/>
          <w:szCs w:val="22"/>
        </w:rPr>
        <w:t xml:space="preserve"> mantidas neste grupo até a </w:t>
      </w:r>
      <w:r w:rsidRPr="00B23D01">
        <w:rPr>
          <w:rFonts w:ascii="Calibri" w:hAnsi="Calibri" w:cs="Calibri"/>
          <w:sz w:val="22"/>
          <w:szCs w:val="22"/>
        </w:rPr>
        <w:t>efetiva baixa;</w:t>
      </w:r>
    </w:p>
    <w:p w14:paraId="01A86238" w14:textId="4B9C4FBE" w:rsidR="00356063" w:rsidRPr="002E2B5B" w:rsidRDefault="00356063" w:rsidP="002E2B5B">
      <w:pPr>
        <w:numPr>
          <w:ilvl w:val="0"/>
          <w:numId w:val="32"/>
        </w:numPr>
        <w:autoSpaceDE w:val="0"/>
        <w:autoSpaceDN w:val="0"/>
        <w:spacing w:after="120"/>
        <w:ind w:left="714" w:hanging="357"/>
        <w:jc w:val="both"/>
        <w:rPr>
          <w:rFonts w:ascii="Calibri" w:hAnsi="Calibri" w:cs="Calibri"/>
          <w:sz w:val="22"/>
          <w:szCs w:val="22"/>
        </w:rPr>
      </w:pPr>
      <w:r w:rsidRPr="00B23D01">
        <w:rPr>
          <w:rFonts w:ascii="Calibri" w:hAnsi="Calibri" w:cs="Calibri"/>
          <w:sz w:val="22"/>
          <w:szCs w:val="22"/>
        </w:rPr>
        <w:t xml:space="preserve">As provisões para contingências </w:t>
      </w:r>
      <w:r w:rsidR="000D74D4" w:rsidRPr="00B23D01">
        <w:rPr>
          <w:rFonts w:ascii="Calibri" w:hAnsi="Calibri" w:cs="Calibri"/>
          <w:sz w:val="22"/>
          <w:szCs w:val="22"/>
        </w:rPr>
        <w:t>são contabilizadas,</w:t>
      </w:r>
      <w:r w:rsidRPr="00B23D01">
        <w:rPr>
          <w:rFonts w:ascii="Calibri" w:hAnsi="Calibri" w:cs="Calibri"/>
          <w:sz w:val="22"/>
          <w:szCs w:val="22"/>
        </w:rPr>
        <w:t xml:space="preserve"> com base na </w:t>
      </w:r>
      <w:r w:rsidR="00341FD7" w:rsidRPr="00B23D01">
        <w:rPr>
          <w:rFonts w:ascii="Calibri" w:hAnsi="Calibri" w:cs="Calibri"/>
          <w:sz w:val="22"/>
          <w:szCs w:val="22"/>
        </w:rPr>
        <w:t xml:space="preserve">posição </w:t>
      </w:r>
      <w:r w:rsidRPr="00B23D01">
        <w:rPr>
          <w:rFonts w:ascii="Calibri" w:hAnsi="Calibri" w:cs="Calibri"/>
          <w:sz w:val="22"/>
          <w:szCs w:val="22"/>
        </w:rPr>
        <w:t xml:space="preserve">da </w:t>
      </w:r>
      <w:r w:rsidR="00FA0D6A" w:rsidRPr="00B23D01">
        <w:rPr>
          <w:rFonts w:ascii="Calibri" w:hAnsi="Calibri" w:cs="Calibri"/>
          <w:sz w:val="22"/>
          <w:szCs w:val="22"/>
        </w:rPr>
        <w:t>Procuradoria</w:t>
      </w:r>
      <w:r w:rsidRPr="00B23D01">
        <w:rPr>
          <w:rFonts w:ascii="Calibri" w:hAnsi="Calibri" w:cs="Calibri"/>
          <w:sz w:val="22"/>
          <w:szCs w:val="22"/>
        </w:rPr>
        <w:t xml:space="preserve"> Jurídica</w:t>
      </w:r>
      <w:r w:rsidR="00341FD7" w:rsidRPr="00B23D01">
        <w:rPr>
          <w:rFonts w:ascii="Calibri" w:hAnsi="Calibri" w:cs="Calibri"/>
          <w:sz w:val="22"/>
          <w:szCs w:val="22"/>
        </w:rPr>
        <w:t xml:space="preserve">, a qual é formulada </w:t>
      </w:r>
      <w:r w:rsidR="00412855" w:rsidRPr="00B23D01">
        <w:rPr>
          <w:rFonts w:ascii="Calibri" w:hAnsi="Calibri" w:cs="Calibri"/>
          <w:sz w:val="22"/>
          <w:szCs w:val="22"/>
        </w:rPr>
        <w:t>na análise técnica individual dos advogados</w:t>
      </w:r>
      <w:r w:rsidRPr="00B23D01">
        <w:rPr>
          <w:rFonts w:ascii="Calibri" w:hAnsi="Calibri" w:cs="Calibri"/>
          <w:sz w:val="22"/>
          <w:szCs w:val="22"/>
        </w:rPr>
        <w:t>, quando for considerado provável o risco de perda de uma ação judicial ou administrativa</w:t>
      </w:r>
      <w:r w:rsidR="00A548B5" w:rsidRPr="00B23D01">
        <w:rPr>
          <w:rFonts w:ascii="Calibri" w:hAnsi="Calibri" w:cs="Calibri"/>
          <w:sz w:val="22"/>
          <w:szCs w:val="22"/>
        </w:rPr>
        <w:t>,</w:t>
      </w:r>
      <w:r w:rsidRPr="00B23D01">
        <w:rPr>
          <w:rFonts w:ascii="Calibri" w:hAnsi="Calibri" w:cs="Calibri"/>
          <w:sz w:val="22"/>
          <w:szCs w:val="22"/>
        </w:rPr>
        <w:t xml:space="preserve"> e sempre que os montantes envolvidos forem mensuráveis com suficiente segurança</w:t>
      </w:r>
      <w:r w:rsidR="00860A37" w:rsidRPr="00B23D01">
        <w:rPr>
          <w:rFonts w:ascii="Calibri" w:hAnsi="Calibri" w:cs="Calibri"/>
          <w:sz w:val="22"/>
          <w:szCs w:val="22"/>
        </w:rPr>
        <w:t>, conforme Nota 1</w:t>
      </w:r>
      <w:r w:rsidR="00750CA7" w:rsidRPr="00B23D01">
        <w:rPr>
          <w:rFonts w:ascii="Calibri" w:hAnsi="Calibri" w:cs="Calibri"/>
          <w:sz w:val="22"/>
          <w:szCs w:val="22"/>
        </w:rPr>
        <w:t>1</w:t>
      </w:r>
      <w:r w:rsidR="00860A37" w:rsidRPr="00B23D01">
        <w:rPr>
          <w:rFonts w:ascii="Calibri" w:hAnsi="Calibri" w:cs="Calibri"/>
          <w:sz w:val="22"/>
          <w:szCs w:val="22"/>
        </w:rPr>
        <w:t>b</w:t>
      </w:r>
      <w:r w:rsidRPr="00B23D01">
        <w:rPr>
          <w:rFonts w:ascii="Calibri" w:hAnsi="Calibri" w:cs="Calibri"/>
          <w:sz w:val="22"/>
          <w:szCs w:val="22"/>
        </w:rPr>
        <w:t>. As provisões classificadas como perdas possíveis pela</w:t>
      </w:r>
      <w:r w:rsidRPr="002E2B5B">
        <w:rPr>
          <w:rFonts w:ascii="Calibri" w:hAnsi="Calibri" w:cs="Calibri"/>
          <w:sz w:val="22"/>
          <w:szCs w:val="22"/>
        </w:rPr>
        <w:t xml:space="preserve"> </w:t>
      </w:r>
      <w:r w:rsidR="00FA0D6A" w:rsidRPr="002E2B5B">
        <w:rPr>
          <w:rFonts w:ascii="Calibri" w:hAnsi="Calibri" w:cs="Calibri"/>
          <w:sz w:val="22"/>
          <w:szCs w:val="22"/>
        </w:rPr>
        <w:t>Procuradoria</w:t>
      </w:r>
      <w:r w:rsidRPr="002E2B5B">
        <w:rPr>
          <w:rFonts w:ascii="Calibri" w:hAnsi="Calibri" w:cs="Calibri"/>
          <w:sz w:val="22"/>
          <w:szCs w:val="22"/>
        </w:rPr>
        <w:t xml:space="preserve"> Jurídica </w:t>
      </w:r>
      <w:r w:rsidR="002F5633" w:rsidRPr="002E2B5B">
        <w:rPr>
          <w:rFonts w:ascii="Calibri" w:hAnsi="Calibri" w:cs="Calibri"/>
          <w:sz w:val="22"/>
          <w:szCs w:val="22"/>
        </w:rPr>
        <w:t xml:space="preserve">são </w:t>
      </w:r>
      <w:r w:rsidRPr="002E2B5B">
        <w:rPr>
          <w:rFonts w:ascii="Calibri" w:hAnsi="Calibri" w:cs="Calibri"/>
          <w:sz w:val="22"/>
          <w:szCs w:val="22"/>
        </w:rPr>
        <w:t xml:space="preserve">divulgadas com base na perda histórica, enquanto aquelas classificadas como perda remota não são passíveis de provisão </w:t>
      </w:r>
      <w:r w:rsidR="00DA710C" w:rsidRPr="002E2B5B">
        <w:rPr>
          <w:rFonts w:ascii="Calibri" w:hAnsi="Calibri" w:cs="Calibri"/>
          <w:sz w:val="22"/>
          <w:szCs w:val="22"/>
        </w:rPr>
        <w:t>e</w:t>
      </w:r>
      <w:r w:rsidR="00F510A3" w:rsidRPr="002E2B5B">
        <w:rPr>
          <w:rFonts w:ascii="Calibri" w:hAnsi="Calibri" w:cs="Calibri"/>
          <w:sz w:val="22"/>
          <w:szCs w:val="22"/>
        </w:rPr>
        <w:t xml:space="preserve"> divulgação;</w:t>
      </w:r>
    </w:p>
    <w:p w14:paraId="33CCA8FB" w14:textId="5E6A73D3" w:rsidR="004B5BEE" w:rsidRPr="002E2B5B" w:rsidRDefault="004B5BEE" w:rsidP="002E2B5B">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t xml:space="preserve">Ainda, a propósito das provisões para contingenciamento, cabe esclarecer que a dinâmica comentada na alínea </w:t>
      </w:r>
      <w:r w:rsidR="000703BF" w:rsidRPr="002E2B5B">
        <w:rPr>
          <w:rFonts w:ascii="Calibri" w:hAnsi="Calibri" w:cs="Calibri"/>
          <w:sz w:val="22"/>
          <w:szCs w:val="22"/>
        </w:rPr>
        <w:t>“</w:t>
      </w:r>
      <w:r w:rsidR="00FA0D6A" w:rsidRPr="002E2B5B">
        <w:rPr>
          <w:rFonts w:ascii="Calibri" w:hAnsi="Calibri" w:cs="Calibri"/>
          <w:sz w:val="22"/>
          <w:szCs w:val="22"/>
        </w:rPr>
        <w:t>l</w:t>
      </w:r>
      <w:r w:rsidR="000703BF" w:rsidRPr="002E2B5B">
        <w:rPr>
          <w:rFonts w:ascii="Calibri" w:hAnsi="Calibri" w:cs="Calibri"/>
          <w:sz w:val="22"/>
          <w:szCs w:val="22"/>
        </w:rPr>
        <w:t>”</w:t>
      </w:r>
      <w:r w:rsidRPr="002E2B5B">
        <w:rPr>
          <w:rFonts w:ascii="Calibri" w:hAnsi="Calibri" w:cs="Calibri"/>
          <w:sz w:val="22"/>
          <w:szCs w:val="22"/>
        </w:rPr>
        <w:t>, do ponto de vista da contabilidade, atende o disposto no CPC nº 25</w:t>
      </w:r>
      <w:r w:rsidR="000703BF" w:rsidRPr="002E2B5B">
        <w:rPr>
          <w:rFonts w:ascii="Calibri" w:hAnsi="Calibri" w:cs="Calibri"/>
          <w:sz w:val="22"/>
          <w:szCs w:val="22"/>
        </w:rPr>
        <w:t xml:space="preserve"> – Provisões, </w:t>
      </w:r>
      <w:r w:rsidR="00FA0D6A" w:rsidRPr="002E2B5B">
        <w:rPr>
          <w:rFonts w:ascii="Calibri" w:hAnsi="Calibri" w:cs="Calibri"/>
          <w:sz w:val="22"/>
          <w:szCs w:val="22"/>
        </w:rPr>
        <w:t>P</w:t>
      </w:r>
      <w:r w:rsidR="000703BF" w:rsidRPr="002E2B5B">
        <w:rPr>
          <w:rFonts w:ascii="Calibri" w:hAnsi="Calibri" w:cs="Calibri"/>
          <w:sz w:val="22"/>
          <w:szCs w:val="22"/>
        </w:rPr>
        <w:t>assivos Contingentes e Ativos Contingentes</w:t>
      </w:r>
      <w:r w:rsidR="00D4582D" w:rsidRPr="002E2B5B">
        <w:rPr>
          <w:rFonts w:ascii="Calibri" w:hAnsi="Calibri" w:cs="Calibri"/>
          <w:sz w:val="22"/>
          <w:szCs w:val="22"/>
        </w:rPr>
        <w:t>;</w:t>
      </w:r>
      <w:r w:rsidRPr="002E2B5B">
        <w:rPr>
          <w:rFonts w:ascii="Calibri" w:hAnsi="Calibri" w:cs="Calibri"/>
          <w:sz w:val="22"/>
          <w:szCs w:val="22"/>
        </w:rPr>
        <w:t xml:space="preserve"> </w:t>
      </w:r>
    </w:p>
    <w:p w14:paraId="4D7B6639" w14:textId="77777777" w:rsidR="006F2787" w:rsidRPr="002E2B5B" w:rsidRDefault="006F2787" w:rsidP="002E2B5B">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t>Ativos financeiros são avaliados pelo valor justo decorrentes do resultado</w:t>
      </w:r>
      <w:r w:rsidR="001B4C75" w:rsidRPr="002E2B5B">
        <w:rPr>
          <w:rFonts w:ascii="Calibri" w:hAnsi="Calibri" w:cs="Calibri"/>
          <w:sz w:val="22"/>
          <w:szCs w:val="22"/>
        </w:rPr>
        <w:t xml:space="preserve">. </w:t>
      </w:r>
      <w:r w:rsidR="0046500A" w:rsidRPr="002E2B5B">
        <w:rPr>
          <w:rFonts w:ascii="Calibri" w:hAnsi="Calibri" w:cs="Calibri"/>
          <w:sz w:val="22"/>
          <w:szCs w:val="22"/>
        </w:rPr>
        <w:t>Ao</w:t>
      </w:r>
      <w:r w:rsidR="00215A18" w:rsidRPr="002E2B5B">
        <w:rPr>
          <w:rFonts w:ascii="Calibri" w:hAnsi="Calibri" w:cs="Calibri"/>
          <w:sz w:val="22"/>
          <w:szCs w:val="22"/>
        </w:rPr>
        <w:t>s</w:t>
      </w:r>
      <w:r w:rsidRPr="002E2B5B">
        <w:rPr>
          <w:rFonts w:ascii="Calibri" w:hAnsi="Calibri" w:cs="Calibri"/>
          <w:sz w:val="22"/>
          <w:szCs w:val="22"/>
        </w:rPr>
        <w:t xml:space="preserve"> ativos financeiros presentes </w:t>
      </w:r>
      <w:r w:rsidR="00215A18" w:rsidRPr="002E2B5B">
        <w:rPr>
          <w:rFonts w:ascii="Calibri" w:hAnsi="Calibri" w:cs="Calibri"/>
          <w:sz w:val="22"/>
          <w:szCs w:val="22"/>
        </w:rPr>
        <w:t>nesta Companhia</w:t>
      </w:r>
      <w:r w:rsidRPr="002E2B5B">
        <w:rPr>
          <w:rFonts w:ascii="Calibri" w:hAnsi="Calibri" w:cs="Calibri"/>
          <w:sz w:val="22"/>
          <w:szCs w:val="22"/>
        </w:rPr>
        <w:t xml:space="preserve"> incluem-se os equivalentes de caixa, e os direitos creditórios contratuais a receber</w:t>
      </w:r>
      <w:r w:rsidR="00F07F27" w:rsidRPr="002E2B5B">
        <w:rPr>
          <w:rFonts w:ascii="Calibri" w:hAnsi="Calibri" w:cs="Calibri"/>
          <w:sz w:val="22"/>
          <w:szCs w:val="22"/>
        </w:rPr>
        <w:t>;</w:t>
      </w:r>
      <w:r w:rsidRPr="002E2B5B">
        <w:rPr>
          <w:rFonts w:ascii="Calibri" w:hAnsi="Calibri" w:cs="Calibri"/>
          <w:sz w:val="22"/>
          <w:szCs w:val="22"/>
        </w:rPr>
        <w:t xml:space="preserve"> </w:t>
      </w:r>
    </w:p>
    <w:p w14:paraId="120D712A" w14:textId="2DA0501E" w:rsidR="006F2787" w:rsidRPr="002E2B5B" w:rsidRDefault="006F2787" w:rsidP="002E2B5B">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t>A VALEC avalia durante o encerramento das demonstrações financeiras se transcorreu, em determinado intervalo, a desvalorização econômica (recuperação) do ativo financeiro ou do grupo de ativos financeiros. Terminantemente, considera-se não recuperável quando houver indicação de ausência de retomada do resultado de um ou mais eventos que tenham acontecido depois do reconhecimento inicial do ativo (um evento de perda incorrida) e essa perda tenha influência no fluxo de caixa estimado do ativo financeiro, ou do grupo de ativos financeiros, que possa ser razoavelmente presumida</w:t>
      </w:r>
      <w:r w:rsidR="00F07F27" w:rsidRPr="002E2B5B">
        <w:rPr>
          <w:rFonts w:ascii="Calibri" w:hAnsi="Calibri" w:cs="Calibri"/>
          <w:sz w:val="22"/>
          <w:szCs w:val="22"/>
        </w:rPr>
        <w:t>;</w:t>
      </w:r>
      <w:r w:rsidR="00FA0D6A" w:rsidRPr="002E2B5B">
        <w:rPr>
          <w:rFonts w:ascii="Calibri" w:hAnsi="Calibri" w:cs="Calibri"/>
          <w:sz w:val="22"/>
          <w:szCs w:val="22"/>
        </w:rPr>
        <w:t xml:space="preserve"> </w:t>
      </w:r>
      <w:r w:rsidR="00B80638">
        <w:rPr>
          <w:rFonts w:ascii="Calibri" w:hAnsi="Calibri" w:cs="Calibri"/>
          <w:sz w:val="22"/>
          <w:szCs w:val="22"/>
        </w:rPr>
        <w:t>e</w:t>
      </w:r>
    </w:p>
    <w:p w14:paraId="28BB08F7" w14:textId="39C3EC3B" w:rsidR="001B6529" w:rsidRDefault="006F2787" w:rsidP="002E2B5B">
      <w:pPr>
        <w:numPr>
          <w:ilvl w:val="0"/>
          <w:numId w:val="32"/>
        </w:numPr>
        <w:autoSpaceDE w:val="0"/>
        <w:autoSpaceDN w:val="0"/>
        <w:spacing w:after="120"/>
        <w:ind w:left="714" w:hanging="357"/>
        <w:jc w:val="both"/>
        <w:rPr>
          <w:rFonts w:ascii="Calibri" w:hAnsi="Calibri" w:cs="Calibri"/>
          <w:sz w:val="22"/>
          <w:szCs w:val="22"/>
        </w:rPr>
      </w:pPr>
      <w:r w:rsidRPr="002E2B5B">
        <w:rPr>
          <w:rFonts w:ascii="Calibri" w:hAnsi="Calibri" w:cs="Calibri"/>
          <w:sz w:val="22"/>
          <w:szCs w:val="22"/>
        </w:rPr>
        <w:t>As obrigações financeiras são avaliadas pelo valor justo, de maneira similar ao ativo financeiro. Por conseguinte, envolve as obrigações desta Companhia com terceiros interessados, das quais destacam-se os fornecedores de mercadorias e serviços, as obrigações trabalhistas e tributárias, entre outras</w:t>
      </w:r>
      <w:r w:rsidR="00B80638">
        <w:rPr>
          <w:rFonts w:ascii="Calibri" w:hAnsi="Calibri" w:cs="Calibri"/>
          <w:sz w:val="22"/>
          <w:szCs w:val="22"/>
        </w:rPr>
        <w:t>.</w:t>
      </w:r>
    </w:p>
    <w:p w14:paraId="2C4A5BF7" w14:textId="77777777" w:rsidR="00B80638" w:rsidRPr="002E2B5B" w:rsidRDefault="00B80638" w:rsidP="00B80638">
      <w:pPr>
        <w:autoSpaceDE w:val="0"/>
        <w:autoSpaceDN w:val="0"/>
        <w:spacing w:after="120"/>
        <w:ind w:left="714"/>
        <w:jc w:val="both"/>
        <w:rPr>
          <w:rFonts w:ascii="Calibri" w:hAnsi="Calibri" w:cs="Calibri"/>
          <w:sz w:val="22"/>
          <w:szCs w:val="22"/>
        </w:rPr>
      </w:pPr>
    </w:p>
    <w:p w14:paraId="65714187" w14:textId="4842C3BE" w:rsidR="00A66979" w:rsidRPr="002E2B5B" w:rsidRDefault="00D22F5E" w:rsidP="002E2B5B">
      <w:pPr>
        <w:jc w:val="both"/>
        <w:rPr>
          <w:rFonts w:ascii="Calibri" w:hAnsi="Calibri" w:cs="Calibri"/>
          <w:b/>
          <w:sz w:val="22"/>
          <w:szCs w:val="22"/>
        </w:rPr>
      </w:pPr>
      <w:r w:rsidRPr="002E2B5B">
        <w:rPr>
          <w:rFonts w:ascii="Calibri" w:hAnsi="Calibri" w:cs="Calibri"/>
          <w:b/>
          <w:sz w:val="22"/>
          <w:szCs w:val="22"/>
        </w:rPr>
        <w:t xml:space="preserve">NOTA </w:t>
      </w:r>
      <w:r w:rsidR="00E32899">
        <w:rPr>
          <w:rFonts w:ascii="Calibri" w:hAnsi="Calibri" w:cs="Calibri"/>
          <w:b/>
          <w:sz w:val="22"/>
          <w:szCs w:val="22"/>
        </w:rPr>
        <w:t>3</w:t>
      </w:r>
      <w:r w:rsidR="007F70B5" w:rsidRPr="002E2B5B">
        <w:rPr>
          <w:rFonts w:ascii="Calibri" w:hAnsi="Calibri" w:cs="Calibri"/>
          <w:b/>
          <w:sz w:val="22"/>
          <w:szCs w:val="22"/>
        </w:rPr>
        <w:t xml:space="preserve"> </w:t>
      </w:r>
      <w:r w:rsidR="006927EB" w:rsidRPr="002E2B5B">
        <w:rPr>
          <w:rFonts w:ascii="Calibri" w:hAnsi="Calibri" w:cs="Calibri"/>
          <w:b/>
          <w:sz w:val="22"/>
          <w:szCs w:val="22"/>
        </w:rPr>
        <w:t>–</w:t>
      </w:r>
      <w:r w:rsidR="007F70B5" w:rsidRPr="002E2B5B">
        <w:rPr>
          <w:rFonts w:ascii="Calibri" w:hAnsi="Calibri" w:cs="Calibri"/>
          <w:b/>
          <w:sz w:val="22"/>
          <w:szCs w:val="22"/>
        </w:rPr>
        <w:t xml:space="preserve"> </w:t>
      </w:r>
      <w:r w:rsidR="006927EB" w:rsidRPr="002E2B5B">
        <w:rPr>
          <w:rFonts w:ascii="Calibri" w:hAnsi="Calibri" w:cs="Calibri"/>
          <w:b/>
          <w:sz w:val="22"/>
          <w:szCs w:val="22"/>
        </w:rPr>
        <w:t xml:space="preserve">CAIXA E EQUIVALENTE DE CAIXA - </w:t>
      </w:r>
      <w:r w:rsidR="000643B0" w:rsidRPr="002E2B5B">
        <w:rPr>
          <w:rFonts w:ascii="Calibri" w:hAnsi="Calibri" w:cs="Calibri"/>
          <w:b/>
          <w:sz w:val="22"/>
          <w:szCs w:val="22"/>
        </w:rPr>
        <w:t xml:space="preserve">CONTA VINCULADA - </w:t>
      </w:r>
      <w:r w:rsidR="002069FD" w:rsidRPr="002E2B5B">
        <w:rPr>
          <w:rFonts w:ascii="Calibri" w:hAnsi="Calibri" w:cs="Calibri"/>
          <w:b/>
          <w:sz w:val="22"/>
          <w:szCs w:val="22"/>
        </w:rPr>
        <w:t>LIMITE DE SAQUE COM VINCULAÇÃO DE PAGAMENTO</w:t>
      </w:r>
      <w:r w:rsidR="00E50CF7" w:rsidRPr="002E2B5B">
        <w:rPr>
          <w:rFonts w:ascii="Calibri" w:hAnsi="Calibri" w:cs="Calibri"/>
          <w:b/>
          <w:sz w:val="22"/>
          <w:szCs w:val="22"/>
        </w:rPr>
        <w:t xml:space="preserve"> </w:t>
      </w:r>
    </w:p>
    <w:p w14:paraId="2D7FE9A0" w14:textId="77777777" w:rsidR="009165D8" w:rsidRPr="002E2B5B" w:rsidRDefault="009165D8" w:rsidP="002E2B5B">
      <w:pPr>
        <w:jc w:val="both"/>
        <w:rPr>
          <w:rFonts w:ascii="Calibri" w:hAnsi="Calibri" w:cs="Calibri"/>
          <w:b/>
          <w:sz w:val="22"/>
          <w:szCs w:val="22"/>
        </w:rPr>
      </w:pPr>
    </w:p>
    <w:p w14:paraId="1989F6D6" w14:textId="0F3E2E03" w:rsidR="00D4582D" w:rsidRPr="002E2B5B" w:rsidRDefault="000643B0" w:rsidP="002E2B5B">
      <w:pPr>
        <w:spacing w:after="120"/>
        <w:jc w:val="both"/>
        <w:rPr>
          <w:rFonts w:ascii="Calibri" w:hAnsi="Calibri" w:cs="Calibri"/>
          <w:sz w:val="22"/>
          <w:szCs w:val="22"/>
        </w:rPr>
      </w:pPr>
      <w:r w:rsidRPr="002E2B5B">
        <w:rPr>
          <w:rFonts w:ascii="Calibri" w:hAnsi="Calibri" w:cs="Calibri"/>
          <w:sz w:val="22"/>
          <w:szCs w:val="22"/>
        </w:rPr>
        <w:t>Ne</w:t>
      </w:r>
      <w:r w:rsidR="0041556E" w:rsidRPr="002E2B5B">
        <w:rPr>
          <w:rFonts w:ascii="Calibri" w:hAnsi="Calibri" w:cs="Calibri"/>
          <w:sz w:val="22"/>
          <w:szCs w:val="22"/>
        </w:rPr>
        <w:t>s</w:t>
      </w:r>
      <w:r w:rsidR="004F6D01" w:rsidRPr="002E2B5B">
        <w:rPr>
          <w:rFonts w:ascii="Calibri" w:hAnsi="Calibri" w:cs="Calibri"/>
          <w:sz w:val="22"/>
          <w:szCs w:val="22"/>
        </w:rPr>
        <w:t>t</w:t>
      </w:r>
      <w:r w:rsidR="0041556E" w:rsidRPr="002E2B5B">
        <w:rPr>
          <w:rFonts w:ascii="Calibri" w:hAnsi="Calibri" w:cs="Calibri"/>
          <w:sz w:val="22"/>
          <w:szCs w:val="22"/>
        </w:rPr>
        <w:t>a</w:t>
      </w:r>
      <w:r w:rsidR="006B4425" w:rsidRPr="002E2B5B">
        <w:rPr>
          <w:rFonts w:ascii="Calibri" w:hAnsi="Calibri" w:cs="Calibri"/>
          <w:sz w:val="22"/>
          <w:szCs w:val="22"/>
        </w:rPr>
        <w:t xml:space="preserve"> conta </w:t>
      </w:r>
      <w:r w:rsidRPr="002E2B5B">
        <w:rPr>
          <w:rFonts w:ascii="Calibri" w:hAnsi="Calibri" w:cs="Calibri"/>
          <w:sz w:val="22"/>
          <w:szCs w:val="22"/>
        </w:rPr>
        <w:t xml:space="preserve">é </w:t>
      </w:r>
      <w:r w:rsidR="006B4425" w:rsidRPr="002E2B5B">
        <w:rPr>
          <w:rFonts w:ascii="Calibri" w:hAnsi="Calibri" w:cs="Calibri"/>
          <w:sz w:val="22"/>
          <w:szCs w:val="22"/>
        </w:rPr>
        <w:t>registra</w:t>
      </w:r>
      <w:r w:rsidRPr="002E2B5B">
        <w:rPr>
          <w:rFonts w:ascii="Calibri" w:hAnsi="Calibri" w:cs="Calibri"/>
          <w:sz w:val="22"/>
          <w:szCs w:val="22"/>
        </w:rPr>
        <w:t>do</w:t>
      </w:r>
      <w:r w:rsidR="006B4425" w:rsidRPr="002E2B5B">
        <w:rPr>
          <w:rFonts w:ascii="Calibri" w:hAnsi="Calibri" w:cs="Calibri"/>
          <w:sz w:val="22"/>
          <w:szCs w:val="22"/>
        </w:rPr>
        <w:t xml:space="preserve"> o valor do</w:t>
      </w:r>
      <w:r w:rsidR="001F6377" w:rsidRPr="002E2B5B">
        <w:rPr>
          <w:rFonts w:ascii="Calibri" w:hAnsi="Calibri" w:cs="Calibri"/>
          <w:sz w:val="22"/>
          <w:szCs w:val="22"/>
        </w:rPr>
        <w:t xml:space="preserve"> limite de saque da Conta Única do Tesouro Nacional, estabelecido pelo órgão central de programação financeira, para at</w:t>
      </w:r>
      <w:r w:rsidR="00F63ADC" w:rsidRPr="002E2B5B">
        <w:rPr>
          <w:rFonts w:ascii="Calibri" w:hAnsi="Calibri" w:cs="Calibri"/>
          <w:sz w:val="22"/>
          <w:szCs w:val="22"/>
        </w:rPr>
        <w:t>ender as despesas com vinculações</w:t>
      </w:r>
      <w:r w:rsidR="001F6377" w:rsidRPr="002E2B5B">
        <w:rPr>
          <w:rFonts w:ascii="Calibri" w:hAnsi="Calibri" w:cs="Calibri"/>
          <w:sz w:val="22"/>
          <w:szCs w:val="22"/>
        </w:rPr>
        <w:t xml:space="preserve"> de pagamento</w:t>
      </w:r>
      <w:r w:rsidR="00F63ADC" w:rsidRPr="002E2B5B">
        <w:rPr>
          <w:rFonts w:ascii="Calibri" w:hAnsi="Calibri" w:cs="Calibri"/>
          <w:sz w:val="22"/>
          <w:szCs w:val="22"/>
        </w:rPr>
        <w:t>s</w:t>
      </w:r>
      <w:r w:rsidR="001F6377" w:rsidRPr="002E2B5B">
        <w:rPr>
          <w:rFonts w:ascii="Calibri" w:hAnsi="Calibri" w:cs="Calibri"/>
          <w:sz w:val="22"/>
          <w:szCs w:val="22"/>
        </w:rPr>
        <w:t xml:space="preserve"> divididas nas seguintes categorias:</w:t>
      </w:r>
    </w:p>
    <w:p w14:paraId="23026688" w14:textId="77777777" w:rsidR="00EE345F" w:rsidRPr="002E2B5B" w:rsidRDefault="00146DAB" w:rsidP="002E2B5B">
      <w:pPr>
        <w:rPr>
          <w:rFonts w:ascii="Calibri" w:hAnsi="Calibri" w:cs="Calibri"/>
          <w:sz w:val="22"/>
          <w:szCs w:val="22"/>
        </w:rPr>
      </w:pPr>
      <w:r w:rsidRPr="002E2B5B">
        <w:rPr>
          <w:rFonts w:ascii="Calibri" w:hAnsi="Calibri" w:cs="Calibri"/>
          <w:sz w:val="22"/>
          <w:szCs w:val="22"/>
        </w:rPr>
        <w:t>Categoria de</w:t>
      </w:r>
      <w:r w:rsidR="00141E08" w:rsidRPr="002E2B5B">
        <w:rPr>
          <w:rFonts w:ascii="Calibri" w:hAnsi="Calibri" w:cs="Calibri"/>
          <w:sz w:val="22"/>
          <w:szCs w:val="22"/>
        </w:rPr>
        <w:t xml:space="preserve"> Gasto</w:t>
      </w:r>
      <w:r w:rsidR="00D80B1F" w:rsidRPr="002E2B5B">
        <w:rPr>
          <w:rFonts w:ascii="Calibri" w:hAnsi="Calibri" w:cs="Calibri"/>
          <w:sz w:val="22"/>
          <w:szCs w:val="22"/>
        </w:rPr>
        <w:t xml:space="preserve"> com Pessoal e Encargos Sociais</w:t>
      </w:r>
      <w:r w:rsidR="00141E08" w:rsidRPr="002E2B5B">
        <w:rPr>
          <w:rFonts w:ascii="Calibri" w:hAnsi="Calibri" w:cs="Calibri"/>
          <w:sz w:val="22"/>
          <w:szCs w:val="22"/>
        </w:rPr>
        <w:t xml:space="preserve"> </w:t>
      </w:r>
      <w:r w:rsidR="00EE345F" w:rsidRPr="002E2B5B">
        <w:rPr>
          <w:rFonts w:ascii="Calibri" w:hAnsi="Calibri" w:cs="Calibri"/>
          <w:sz w:val="22"/>
          <w:szCs w:val="22"/>
        </w:rPr>
        <w:t>–</w:t>
      </w:r>
      <w:r w:rsidR="00141E08" w:rsidRPr="002E2B5B">
        <w:rPr>
          <w:rFonts w:ascii="Calibri" w:hAnsi="Calibri" w:cs="Calibri"/>
          <w:sz w:val="22"/>
          <w:szCs w:val="22"/>
        </w:rPr>
        <w:t xml:space="preserve"> </w:t>
      </w:r>
      <w:r w:rsidR="00D80B1F" w:rsidRPr="002E2B5B">
        <w:rPr>
          <w:rFonts w:ascii="Calibri" w:hAnsi="Calibri" w:cs="Calibri"/>
          <w:sz w:val="22"/>
          <w:szCs w:val="22"/>
        </w:rPr>
        <w:t>(</w:t>
      </w:r>
      <w:r w:rsidR="00141E08" w:rsidRPr="002E2B5B">
        <w:rPr>
          <w:rFonts w:ascii="Calibri" w:hAnsi="Calibri" w:cs="Calibri"/>
          <w:sz w:val="22"/>
          <w:szCs w:val="22"/>
        </w:rPr>
        <w:t>A</w:t>
      </w:r>
      <w:r w:rsidR="00D80B1F" w:rsidRPr="002E2B5B">
        <w:rPr>
          <w:rFonts w:ascii="Calibri" w:hAnsi="Calibri" w:cs="Calibri"/>
          <w:sz w:val="22"/>
          <w:szCs w:val="22"/>
        </w:rPr>
        <w:t>)</w:t>
      </w:r>
      <w:r w:rsidR="00EE345F" w:rsidRPr="002E2B5B">
        <w:rPr>
          <w:rFonts w:ascii="Calibri" w:hAnsi="Calibri" w:cs="Calibri"/>
          <w:sz w:val="22"/>
          <w:szCs w:val="22"/>
        </w:rPr>
        <w:t xml:space="preserve"> V</w:t>
      </w:r>
      <w:r w:rsidR="00D80B1F" w:rsidRPr="002E2B5B">
        <w:rPr>
          <w:rFonts w:ascii="Calibri" w:hAnsi="Calibri" w:cs="Calibri"/>
          <w:sz w:val="22"/>
          <w:szCs w:val="22"/>
        </w:rPr>
        <w:t>inculações:</w:t>
      </w:r>
      <w:r w:rsidR="00EE345F" w:rsidRPr="002E2B5B">
        <w:rPr>
          <w:rFonts w:ascii="Calibri" w:hAnsi="Calibri" w:cs="Calibri"/>
          <w:sz w:val="22"/>
          <w:szCs w:val="22"/>
        </w:rPr>
        <w:t xml:space="preserve"> 130,</w:t>
      </w:r>
      <w:r w:rsidR="009609C9" w:rsidRPr="002E2B5B">
        <w:rPr>
          <w:rFonts w:ascii="Calibri" w:hAnsi="Calibri" w:cs="Calibri"/>
          <w:sz w:val="22"/>
          <w:szCs w:val="22"/>
        </w:rPr>
        <w:t xml:space="preserve"> </w:t>
      </w:r>
      <w:r w:rsidR="00EE345F" w:rsidRPr="002E2B5B">
        <w:rPr>
          <w:rFonts w:ascii="Calibri" w:hAnsi="Calibri" w:cs="Calibri"/>
          <w:sz w:val="22"/>
          <w:szCs w:val="22"/>
        </w:rPr>
        <w:t>307,</w:t>
      </w:r>
      <w:r w:rsidR="009609C9" w:rsidRPr="002E2B5B">
        <w:rPr>
          <w:rFonts w:ascii="Calibri" w:hAnsi="Calibri" w:cs="Calibri"/>
          <w:sz w:val="22"/>
          <w:szCs w:val="22"/>
        </w:rPr>
        <w:t xml:space="preserve"> </w:t>
      </w:r>
      <w:r w:rsidR="00EE345F" w:rsidRPr="002E2B5B">
        <w:rPr>
          <w:rFonts w:ascii="Calibri" w:hAnsi="Calibri" w:cs="Calibri"/>
          <w:sz w:val="22"/>
          <w:szCs w:val="22"/>
        </w:rPr>
        <w:t>308,</w:t>
      </w:r>
      <w:r w:rsidR="009609C9" w:rsidRPr="002E2B5B">
        <w:rPr>
          <w:rFonts w:ascii="Calibri" w:hAnsi="Calibri" w:cs="Calibri"/>
          <w:sz w:val="22"/>
          <w:szCs w:val="22"/>
        </w:rPr>
        <w:t xml:space="preserve"> </w:t>
      </w:r>
      <w:r w:rsidR="00EE345F" w:rsidRPr="002E2B5B">
        <w:rPr>
          <w:rFonts w:ascii="Calibri" w:hAnsi="Calibri" w:cs="Calibri"/>
          <w:sz w:val="22"/>
          <w:szCs w:val="22"/>
        </w:rPr>
        <w:t>310</w:t>
      </w:r>
      <w:r w:rsidR="000643B0" w:rsidRPr="002E2B5B">
        <w:rPr>
          <w:rFonts w:ascii="Calibri" w:hAnsi="Calibri" w:cs="Calibri"/>
          <w:sz w:val="22"/>
          <w:szCs w:val="22"/>
        </w:rPr>
        <w:t>.</w:t>
      </w:r>
      <w:r w:rsidR="00EE345F" w:rsidRPr="002E2B5B">
        <w:rPr>
          <w:rFonts w:ascii="Calibri" w:hAnsi="Calibri" w:cs="Calibri"/>
          <w:sz w:val="22"/>
          <w:szCs w:val="22"/>
        </w:rPr>
        <w:t xml:space="preserve"> </w:t>
      </w:r>
    </w:p>
    <w:p w14:paraId="2E243684" w14:textId="77777777" w:rsidR="00141E08" w:rsidRPr="002E2B5B" w:rsidRDefault="00146DAB" w:rsidP="002E2B5B">
      <w:pPr>
        <w:ind w:left="708" w:right="-226" w:hanging="708"/>
        <w:rPr>
          <w:rFonts w:ascii="Calibri" w:hAnsi="Calibri" w:cs="Calibri"/>
          <w:sz w:val="22"/>
          <w:szCs w:val="22"/>
        </w:rPr>
      </w:pPr>
      <w:r w:rsidRPr="002E2B5B">
        <w:rPr>
          <w:rFonts w:ascii="Calibri" w:hAnsi="Calibri" w:cs="Calibri"/>
          <w:sz w:val="22"/>
          <w:szCs w:val="22"/>
        </w:rPr>
        <w:t>Categoria de</w:t>
      </w:r>
      <w:r w:rsidR="00141E08" w:rsidRPr="002E2B5B">
        <w:rPr>
          <w:rFonts w:ascii="Calibri" w:hAnsi="Calibri" w:cs="Calibri"/>
          <w:sz w:val="22"/>
          <w:szCs w:val="22"/>
        </w:rPr>
        <w:t xml:space="preserve"> Gasto</w:t>
      </w:r>
      <w:r w:rsidR="00D80B1F" w:rsidRPr="002E2B5B">
        <w:rPr>
          <w:rFonts w:ascii="Calibri" w:hAnsi="Calibri" w:cs="Calibri"/>
          <w:sz w:val="22"/>
          <w:szCs w:val="22"/>
        </w:rPr>
        <w:t xml:space="preserve"> com Custeio/Investimento</w:t>
      </w:r>
      <w:r w:rsidR="00141E08" w:rsidRPr="002E2B5B">
        <w:rPr>
          <w:rFonts w:ascii="Calibri" w:hAnsi="Calibri" w:cs="Calibri"/>
          <w:sz w:val="22"/>
          <w:szCs w:val="22"/>
        </w:rPr>
        <w:t xml:space="preserve"> </w:t>
      </w:r>
      <w:r w:rsidR="00EE345F" w:rsidRPr="002E2B5B">
        <w:rPr>
          <w:rFonts w:ascii="Calibri" w:hAnsi="Calibri" w:cs="Calibri"/>
          <w:sz w:val="22"/>
          <w:szCs w:val="22"/>
        </w:rPr>
        <w:t>–</w:t>
      </w:r>
      <w:r w:rsidR="009609C9" w:rsidRPr="002E2B5B">
        <w:rPr>
          <w:rFonts w:ascii="Calibri" w:hAnsi="Calibri" w:cs="Calibri"/>
          <w:sz w:val="22"/>
          <w:szCs w:val="22"/>
        </w:rPr>
        <w:t xml:space="preserve"> </w:t>
      </w:r>
      <w:r w:rsidR="000643B0" w:rsidRPr="002E2B5B">
        <w:rPr>
          <w:rFonts w:ascii="Calibri" w:hAnsi="Calibri" w:cs="Calibri"/>
          <w:sz w:val="22"/>
          <w:szCs w:val="22"/>
        </w:rPr>
        <w:t>(</w:t>
      </w:r>
      <w:r w:rsidR="00141E08" w:rsidRPr="002E2B5B">
        <w:rPr>
          <w:rFonts w:ascii="Calibri" w:hAnsi="Calibri" w:cs="Calibri"/>
          <w:sz w:val="22"/>
          <w:szCs w:val="22"/>
        </w:rPr>
        <w:t>C</w:t>
      </w:r>
      <w:r w:rsidR="00D80B1F" w:rsidRPr="002E2B5B">
        <w:rPr>
          <w:rFonts w:ascii="Calibri" w:hAnsi="Calibri" w:cs="Calibri"/>
          <w:sz w:val="22"/>
          <w:szCs w:val="22"/>
        </w:rPr>
        <w:t>)</w:t>
      </w:r>
      <w:r w:rsidR="00EE345F" w:rsidRPr="002E2B5B">
        <w:rPr>
          <w:rFonts w:ascii="Calibri" w:hAnsi="Calibri" w:cs="Calibri"/>
          <w:sz w:val="22"/>
          <w:szCs w:val="22"/>
        </w:rPr>
        <w:t xml:space="preserve"> V</w:t>
      </w:r>
      <w:r w:rsidR="00D80B1F" w:rsidRPr="002E2B5B">
        <w:rPr>
          <w:rFonts w:ascii="Calibri" w:hAnsi="Calibri" w:cs="Calibri"/>
          <w:sz w:val="22"/>
          <w:szCs w:val="22"/>
        </w:rPr>
        <w:t>inculações:</w:t>
      </w:r>
      <w:r w:rsidR="00EE345F" w:rsidRPr="002E2B5B">
        <w:rPr>
          <w:rFonts w:ascii="Calibri" w:hAnsi="Calibri" w:cs="Calibri"/>
          <w:sz w:val="22"/>
          <w:szCs w:val="22"/>
        </w:rPr>
        <w:t xml:space="preserve"> </w:t>
      </w:r>
      <w:r w:rsidR="009B4B66" w:rsidRPr="002E2B5B">
        <w:rPr>
          <w:rFonts w:ascii="Calibri" w:hAnsi="Calibri" w:cs="Calibri"/>
          <w:sz w:val="22"/>
          <w:szCs w:val="22"/>
        </w:rPr>
        <w:t xml:space="preserve">340, </w:t>
      </w:r>
      <w:r w:rsidR="009609C9" w:rsidRPr="002E2B5B">
        <w:rPr>
          <w:rFonts w:ascii="Calibri" w:hAnsi="Calibri" w:cs="Calibri"/>
          <w:sz w:val="22"/>
          <w:szCs w:val="22"/>
        </w:rPr>
        <w:t>400,</w:t>
      </w:r>
      <w:r w:rsidR="004644A3" w:rsidRPr="002E2B5B">
        <w:rPr>
          <w:rFonts w:ascii="Calibri" w:hAnsi="Calibri" w:cs="Calibri"/>
          <w:sz w:val="22"/>
          <w:szCs w:val="22"/>
        </w:rPr>
        <w:t xml:space="preserve"> 404,</w:t>
      </w:r>
      <w:r w:rsidR="009B4B66" w:rsidRPr="002E2B5B">
        <w:rPr>
          <w:rFonts w:ascii="Calibri" w:hAnsi="Calibri" w:cs="Calibri"/>
          <w:sz w:val="22"/>
          <w:szCs w:val="22"/>
        </w:rPr>
        <w:t xml:space="preserve"> </w:t>
      </w:r>
      <w:r w:rsidR="00FA0D6A" w:rsidRPr="002E2B5B">
        <w:rPr>
          <w:rFonts w:ascii="Calibri" w:hAnsi="Calibri" w:cs="Calibri"/>
          <w:sz w:val="22"/>
          <w:szCs w:val="22"/>
        </w:rPr>
        <w:t xml:space="preserve">409, </w:t>
      </w:r>
      <w:r w:rsidR="009B4B66" w:rsidRPr="002E2B5B">
        <w:rPr>
          <w:rFonts w:ascii="Calibri" w:hAnsi="Calibri" w:cs="Calibri"/>
          <w:sz w:val="22"/>
          <w:szCs w:val="22"/>
        </w:rPr>
        <w:t>412,</w:t>
      </w:r>
      <w:r w:rsidR="009609C9" w:rsidRPr="002E2B5B">
        <w:rPr>
          <w:rFonts w:ascii="Calibri" w:hAnsi="Calibri" w:cs="Calibri"/>
          <w:sz w:val="22"/>
          <w:szCs w:val="22"/>
        </w:rPr>
        <w:t xml:space="preserve"> </w:t>
      </w:r>
      <w:r w:rsidR="00EE345F" w:rsidRPr="002E2B5B">
        <w:rPr>
          <w:rFonts w:ascii="Calibri" w:hAnsi="Calibri" w:cs="Calibri"/>
          <w:sz w:val="22"/>
          <w:szCs w:val="22"/>
        </w:rPr>
        <w:t>415,</w:t>
      </w:r>
      <w:r w:rsidR="009609C9" w:rsidRPr="002E2B5B">
        <w:rPr>
          <w:rFonts w:ascii="Calibri" w:hAnsi="Calibri" w:cs="Calibri"/>
          <w:sz w:val="22"/>
          <w:szCs w:val="22"/>
        </w:rPr>
        <w:t xml:space="preserve"> </w:t>
      </w:r>
      <w:r w:rsidR="002726DB" w:rsidRPr="002E2B5B">
        <w:rPr>
          <w:rFonts w:ascii="Calibri" w:hAnsi="Calibri" w:cs="Calibri"/>
          <w:sz w:val="22"/>
          <w:szCs w:val="22"/>
        </w:rPr>
        <w:t>50</w:t>
      </w:r>
      <w:r w:rsidR="00EE345F" w:rsidRPr="002E2B5B">
        <w:rPr>
          <w:rFonts w:ascii="Calibri" w:hAnsi="Calibri" w:cs="Calibri"/>
          <w:sz w:val="22"/>
          <w:szCs w:val="22"/>
        </w:rPr>
        <w:t>0</w:t>
      </w:r>
      <w:r w:rsidR="002726DB" w:rsidRPr="002E2B5B">
        <w:rPr>
          <w:rFonts w:ascii="Calibri" w:hAnsi="Calibri" w:cs="Calibri"/>
          <w:sz w:val="22"/>
          <w:szCs w:val="22"/>
        </w:rPr>
        <w:t>, 51</w:t>
      </w:r>
      <w:r w:rsidR="0064431B" w:rsidRPr="002E2B5B">
        <w:rPr>
          <w:rFonts w:ascii="Calibri" w:hAnsi="Calibri" w:cs="Calibri"/>
          <w:sz w:val="22"/>
          <w:szCs w:val="22"/>
        </w:rPr>
        <w:t xml:space="preserve">0, </w:t>
      </w:r>
      <w:r w:rsidR="00403538" w:rsidRPr="002E2B5B">
        <w:rPr>
          <w:rFonts w:ascii="Calibri" w:hAnsi="Calibri" w:cs="Calibri"/>
          <w:sz w:val="22"/>
          <w:szCs w:val="22"/>
        </w:rPr>
        <w:t xml:space="preserve">514, </w:t>
      </w:r>
      <w:r w:rsidR="0064431B" w:rsidRPr="002E2B5B">
        <w:rPr>
          <w:rFonts w:ascii="Calibri" w:hAnsi="Calibri" w:cs="Calibri"/>
          <w:sz w:val="22"/>
          <w:szCs w:val="22"/>
        </w:rPr>
        <w:t>551</w:t>
      </w:r>
      <w:r w:rsidR="000643B0" w:rsidRPr="002E2B5B">
        <w:rPr>
          <w:rFonts w:ascii="Calibri" w:hAnsi="Calibri" w:cs="Calibri"/>
          <w:sz w:val="22"/>
          <w:szCs w:val="22"/>
        </w:rPr>
        <w:t>.</w:t>
      </w:r>
    </w:p>
    <w:p w14:paraId="134FF875" w14:textId="5F77F271" w:rsidR="00D4582D" w:rsidRPr="002E2B5B" w:rsidRDefault="00146DAB" w:rsidP="002E2B5B">
      <w:pPr>
        <w:rPr>
          <w:rFonts w:ascii="Calibri" w:hAnsi="Calibri" w:cs="Calibri"/>
          <w:sz w:val="22"/>
          <w:szCs w:val="22"/>
        </w:rPr>
      </w:pPr>
      <w:r w:rsidRPr="002E2B5B">
        <w:rPr>
          <w:rFonts w:ascii="Calibri" w:hAnsi="Calibri" w:cs="Calibri"/>
          <w:sz w:val="22"/>
          <w:szCs w:val="22"/>
        </w:rPr>
        <w:t>Categoria de</w:t>
      </w:r>
      <w:r w:rsidR="00141E08" w:rsidRPr="002E2B5B">
        <w:rPr>
          <w:rFonts w:ascii="Calibri" w:hAnsi="Calibri" w:cs="Calibri"/>
          <w:sz w:val="22"/>
          <w:szCs w:val="22"/>
        </w:rPr>
        <w:t xml:space="preserve"> Gasto</w:t>
      </w:r>
      <w:r w:rsidR="00D80B1F" w:rsidRPr="002E2B5B">
        <w:rPr>
          <w:rFonts w:ascii="Calibri" w:hAnsi="Calibri" w:cs="Calibri"/>
          <w:sz w:val="22"/>
          <w:szCs w:val="22"/>
        </w:rPr>
        <w:t xml:space="preserve"> com Investimentos (Obras)</w:t>
      </w:r>
      <w:r w:rsidR="00141E08" w:rsidRPr="002E2B5B">
        <w:rPr>
          <w:rFonts w:ascii="Calibri" w:hAnsi="Calibri" w:cs="Calibri"/>
          <w:sz w:val="22"/>
          <w:szCs w:val="22"/>
        </w:rPr>
        <w:t xml:space="preserve"> </w:t>
      </w:r>
      <w:r w:rsidR="00EE345F" w:rsidRPr="002E2B5B">
        <w:rPr>
          <w:rFonts w:ascii="Calibri" w:hAnsi="Calibri" w:cs="Calibri"/>
          <w:sz w:val="22"/>
          <w:szCs w:val="22"/>
        </w:rPr>
        <w:t>–</w:t>
      </w:r>
      <w:r w:rsidR="00141E08" w:rsidRPr="002E2B5B">
        <w:rPr>
          <w:rFonts w:ascii="Calibri" w:hAnsi="Calibri" w:cs="Calibri"/>
          <w:sz w:val="22"/>
          <w:szCs w:val="22"/>
        </w:rPr>
        <w:t xml:space="preserve"> </w:t>
      </w:r>
      <w:r w:rsidR="000643B0" w:rsidRPr="002E2B5B">
        <w:rPr>
          <w:rFonts w:ascii="Calibri" w:hAnsi="Calibri" w:cs="Calibri"/>
          <w:sz w:val="22"/>
          <w:szCs w:val="22"/>
        </w:rPr>
        <w:t>(</w:t>
      </w:r>
      <w:r w:rsidR="00141E08" w:rsidRPr="002E2B5B">
        <w:rPr>
          <w:rFonts w:ascii="Calibri" w:hAnsi="Calibri" w:cs="Calibri"/>
          <w:sz w:val="22"/>
          <w:szCs w:val="22"/>
        </w:rPr>
        <w:t>D</w:t>
      </w:r>
      <w:r w:rsidR="00D80B1F" w:rsidRPr="002E2B5B">
        <w:rPr>
          <w:rFonts w:ascii="Calibri" w:hAnsi="Calibri" w:cs="Calibri"/>
          <w:sz w:val="22"/>
          <w:szCs w:val="22"/>
        </w:rPr>
        <w:t>) Vinculações:</w:t>
      </w:r>
      <w:r w:rsidR="00EE345F" w:rsidRPr="002E2B5B">
        <w:rPr>
          <w:rFonts w:ascii="Calibri" w:hAnsi="Calibri" w:cs="Calibri"/>
          <w:sz w:val="22"/>
          <w:szCs w:val="22"/>
        </w:rPr>
        <w:t xml:space="preserve"> – 400,</w:t>
      </w:r>
      <w:r w:rsidR="00F85376" w:rsidRPr="002E2B5B">
        <w:rPr>
          <w:rFonts w:ascii="Calibri" w:hAnsi="Calibri" w:cs="Calibri"/>
          <w:sz w:val="22"/>
          <w:szCs w:val="22"/>
        </w:rPr>
        <w:t xml:space="preserve"> </w:t>
      </w:r>
      <w:r w:rsidR="00EE345F" w:rsidRPr="002E2B5B">
        <w:rPr>
          <w:rFonts w:ascii="Calibri" w:hAnsi="Calibri" w:cs="Calibri"/>
          <w:sz w:val="22"/>
          <w:szCs w:val="22"/>
        </w:rPr>
        <w:t>415</w:t>
      </w:r>
      <w:r w:rsidR="0064431B" w:rsidRPr="002E2B5B">
        <w:rPr>
          <w:rFonts w:ascii="Calibri" w:hAnsi="Calibri" w:cs="Calibri"/>
          <w:sz w:val="22"/>
          <w:szCs w:val="22"/>
        </w:rPr>
        <w:t>, 500</w:t>
      </w:r>
      <w:r w:rsidR="000643B0" w:rsidRPr="002E2B5B">
        <w:rPr>
          <w:rFonts w:ascii="Calibri" w:hAnsi="Calibri" w:cs="Calibri"/>
          <w:sz w:val="22"/>
          <w:szCs w:val="22"/>
        </w:rPr>
        <w:t>.</w:t>
      </w:r>
    </w:p>
    <w:p w14:paraId="1E64F84E" w14:textId="30949AEC" w:rsidR="00F376DC" w:rsidRDefault="00A63F68" w:rsidP="00F376DC">
      <w:pPr>
        <w:spacing w:after="120"/>
        <w:jc w:val="both"/>
        <w:rPr>
          <w:rFonts w:ascii="Calibri" w:hAnsi="Calibri" w:cs="Calibri"/>
          <w:sz w:val="22"/>
          <w:szCs w:val="22"/>
        </w:rPr>
      </w:pPr>
      <w:r w:rsidRPr="002E2B5B">
        <w:rPr>
          <w:rFonts w:ascii="Calibri" w:hAnsi="Calibri" w:cs="Calibri"/>
          <w:sz w:val="22"/>
          <w:szCs w:val="22"/>
        </w:rPr>
        <w:t xml:space="preserve">A conta </w:t>
      </w:r>
      <w:r w:rsidR="00D45F66" w:rsidRPr="002E2B5B">
        <w:rPr>
          <w:rFonts w:ascii="Calibri" w:hAnsi="Calibri" w:cs="Calibri"/>
          <w:sz w:val="22"/>
          <w:szCs w:val="22"/>
        </w:rPr>
        <w:t xml:space="preserve">Limite de Saque </w:t>
      </w:r>
      <w:r w:rsidR="00904E3E" w:rsidRPr="002E2B5B">
        <w:rPr>
          <w:rFonts w:ascii="Calibri" w:hAnsi="Calibri" w:cs="Calibri"/>
          <w:sz w:val="22"/>
          <w:szCs w:val="22"/>
        </w:rPr>
        <w:t xml:space="preserve">com Vinculação de Pagamento </w:t>
      </w:r>
      <w:r w:rsidR="00C50895" w:rsidRPr="002E2B5B">
        <w:rPr>
          <w:rFonts w:ascii="Calibri" w:hAnsi="Calibri" w:cs="Calibri"/>
          <w:sz w:val="22"/>
          <w:szCs w:val="22"/>
        </w:rPr>
        <w:t xml:space="preserve">registra o valor do limite de saque da Conta Única da União, estabelecido pelo órgão Central de Programação Financeira </w:t>
      </w:r>
      <w:r w:rsidR="00F67C01" w:rsidRPr="002E2B5B">
        <w:rPr>
          <w:rFonts w:ascii="Calibri" w:hAnsi="Calibri" w:cs="Calibri"/>
          <w:sz w:val="22"/>
          <w:szCs w:val="22"/>
        </w:rPr>
        <w:t xml:space="preserve">para atender às despesas com vinculação de pagamentos. Portanto, representa a </w:t>
      </w:r>
      <w:r w:rsidR="00904E3E" w:rsidRPr="002E2B5B">
        <w:rPr>
          <w:rFonts w:ascii="Calibri" w:hAnsi="Calibri" w:cs="Calibri"/>
          <w:sz w:val="22"/>
          <w:szCs w:val="22"/>
        </w:rPr>
        <w:t>conta</w:t>
      </w:r>
      <w:r w:rsidR="00F67C01" w:rsidRPr="002E2B5B">
        <w:rPr>
          <w:rFonts w:ascii="Calibri" w:hAnsi="Calibri" w:cs="Calibri"/>
          <w:sz w:val="22"/>
          <w:szCs w:val="22"/>
        </w:rPr>
        <w:t xml:space="preserve"> </w:t>
      </w:r>
      <w:r w:rsidR="00904E3E" w:rsidRPr="002E2B5B">
        <w:rPr>
          <w:rFonts w:ascii="Calibri" w:hAnsi="Calibri" w:cs="Calibri"/>
          <w:sz w:val="22"/>
          <w:szCs w:val="22"/>
        </w:rPr>
        <w:t xml:space="preserve">utilizada para movimentação financeira, na qual a Setorial Financeira do Ministério da Infraestrutura disponibiliza os recursos financeiros para pagamentos efetuados diariamente pela VALEC. Esta conta </w:t>
      </w:r>
      <w:r w:rsidR="00266AF3" w:rsidRPr="002E2B5B">
        <w:rPr>
          <w:rFonts w:ascii="Calibri" w:hAnsi="Calibri" w:cs="Calibri"/>
          <w:sz w:val="22"/>
          <w:szCs w:val="22"/>
        </w:rPr>
        <w:t xml:space="preserve">apresenta o seguinte saldo em </w:t>
      </w:r>
      <w:r w:rsidR="00CE6832">
        <w:rPr>
          <w:rFonts w:ascii="Calibri" w:hAnsi="Calibri" w:cs="Calibri"/>
          <w:sz w:val="22"/>
          <w:szCs w:val="22"/>
        </w:rPr>
        <w:t xml:space="preserve">30 de </w:t>
      </w:r>
      <w:r w:rsidR="006A660D">
        <w:rPr>
          <w:rFonts w:ascii="Calibri" w:hAnsi="Calibri" w:cs="Calibri"/>
          <w:sz w:val="22"/>
          <w:szCs w:val="22"/>
        </w:rPr>
        <w:t>setembro</w:t>
      </w:r>
      <w:r w:rsidR="00E14AA9">
        <w:rPr>
          <w:rFonts w:ascii="Calibri" w:hAnsi="Calibri" w:cs="Calibri"/>
          <w:sz w:val="22"/>
          <w:szCs w:val="22"/>
        </w:rPr>
        <w:t xml:space="preserve"> de 2021</w:t>
      </w:r>
      <w:r w:rsidRPr="002E2B5B">
        <w:rPr>
          <w:rFonts w:ascii="Calibri" w:hAnsi="Calibri" w:cs="Calibri"/>
          <w:sz w:val="22"/>
          <w:szCs w:val="22"/>
        </w:rPr>
        <w:t>:</w:t>
      </w:r>
    </w:p>
    <w:tbl>
      <w:tblPr>
        <w:tblW w:w="5000" w:type="pct"/>
        <w:tblCellMar>
          <w:left w:w="70" w:type="dxa"/>
          <w:right w:w="70" w:type="dxa"/>
        </w:tblCellMar>
        <w:tblLook w:val="04A0" w:firstRow="1" w:lastRow="0" w:firstColumn="1" w:lastColumn="0" w:noHBand="0" w:noVBand="1"/>
      </w:tblPr>
      <w:tblGrid>
        <w:gridCol w:w="1445"/>
        <w:gridCol w:w="5422"/>
        <w:gridCol w:w="249"/>
        <w:gridCol w:w="249"/>
        <w:gridCol w:w="249"/>
        <w:gridCol w:w="249"/>
        <w:gridCol w:w="1302"/>
        <w:gridCol w:w="1302"/>
      </w:tblGrid>
      <w:tr w:rsidR="00F376DC" w:rsidRPr="00F376DC" w14:paraId="495DCC45" w14:textId="77777777" w:rsidTr="00F376DC">
        <w:trPr>
          <w:trHeight w:hRule="exact" w:val="227"/>
        </w:trPr>
        <w:tc>
          <w:tcPr>
            <w:tcW w:w="690" w:type="pct"/>
            <w:tcBorders>
              <w:top w:val="nil"/>
              <w:left w:val="nil"/>
              <w:bottom w:val="single" w:sz="8" w:space="0" w:color="auto"/>
              <w:right w:val="nil"/>
            </w:tcBorders>
            <w:shd w:val="clear" w:color="000000" w:fill="FFFFFF"/>
            <w:noWrap/>
            <w:vAlign w:val="center"/>
            <w:hideMark/>
          </w:tcPr>
          <w:p w14:paraId="201FBCAD" w14:textId="77777777" w:rsidR="00F376DC" w:rsidRPr="00F376DC" w:rsidRDefault="00F376DC">
            <w:pPr>
              <w:jc w:val="center"/>
              <w:rPr>
                <w:rFonts w:asciiTheme="minorHAnsi" w:hAnsiTheme="minorHAnsi" w:cstheme="minorHAnsi"/>
                <w:b/>
                <w:bCs/>
                <w:color w:val="000000"/>
                <w:sz w:val="16"/>
                <w:szCs w:val="16"/>
              </w:rPr>
            </w:pPr>
            <w:r w:rsidRPr="00F376DC">
              <w:rPr>
                <w:rFonts w:asciiTheme="minorHAnsi" w:hAnsiTheme="minorHAnsi" w:cstheme="minorHAnsi"/>
                <w:b/>
                <w:bCs/>
                <w:color w:val="000000"/>
                <w:sz w:val="16"/>
                <w:szCs w:val="16"/>
              </w:rPr>
              <w:lastRenderedPageBreak/>
              <w:t>VINCULAÇÃO</w:t>
            </w:r>
          </w:p>
        </w:tc>
        <w:tc>
          <w:tcPr>
            <w:tcW w:w="2590" w:type="pct"/>
            <w:tcBorders>
              <w:top w:val="nil"/>
              <w:left w:val="nil"/>
              <w:bottom w:val="single" w:sz="8" w:space="0" w:color="auto"/>
              <w:right w:val="nil"/>
            </w:tcBorders>
            <w:shd w:val="clear" w:color="000000" w:fill="FFFFFF"/>
            <w:noWrap/>
            <w:vAlign w:val="center"/>
            <w:hideMark/>
          </w:tcPr>
          <w:p w14:paraId="7C9602E0" w14:textId="77777777" w:rsidR="00F376DC" w:rsidRPr="00F376DC" w:rsidRDefault="00F376DC">
            <w:pPr>
              <w:jc w:val="both"/>
              <w:rPr>
                <w:rFonts w:asciiTheme="minorHAnsi" w:hAnsiTheme="minorHAnsi" w:cstheme="minorHAnsi"/>
                <w:b/>
                <w:bCs/>
                <w:color w:val="000000"/>
                <w:sz w:val="16"/>
                <w:szCs w:val="16"/>
              </w:rPr>
            </w:pPr>
            <w:r w:rsidRPr="00F376DC">
              <w:rPr>
                <w:rFonts w:asciiTheme="minorHAnsi" w:hAnsiTheme="minorHAnsi" w:cstheme="minorHAnsi"/>
                <w:b/>
                <w:bCs/>
                <w:sz w:val="16"/>
                <w:szCs w:val="16"/>
              </w:rPr>
              <w:t xml:space="preserve"> DESCRIÇÃO DA VINCULAÇÃO</w:t>
            </w:r>
          </w:p>
        </w:tc>
        <w:tc>
          <w:tcPr>
            <w:tcW w:w="119" w:type="pct"/>
            <w:tcBorders>
              <w:top w:val="nil"/>
              <w:left w:val="nil"/>
              <w:bottom w:val="single" w:sz="8" w:space="0" w:color="auto"/>
              <w:right w:val="nil"/>
            </w:tcBorders>
            <w:shd w:val="clear" w:color="000000" w:fill="FFFFFF"/>
            <w:vAlign w:val="center"/>
            <w:hideMark/>
          </w:tcPr>
          <w:p w14:paraId="21F936E6" w14:textId="77777777" w:rsidR="00F376DC" w:rsidRPr="00F376DC" w:rsidRDefault="00F376DC">
            <w:pPr>
              <w:jc w:val="right"/>
              <w:rPr>
                <w:rFonts w:asciiTheme="minorHAnsi" w:hAnsiTheme="minorHAnsi" w:cstheme="minorHAnsi"/>
                <w:b/>
                <w:bCs/>
                <w:color w:val="000000"/>
                <w:sz w:val="16"/>
                <w:szCs w:val="16"/>
              </w:rPr>
            </w:pPr>
            <w:r w:rsidRPr="00F376DC">
              <w:rPr>
                <w:rFonts w:asciiTheme="minorHAnsi" w:hAnsiTheme="minorHAnsi" w:cstheme="minorHAnsi"/>
                <w:b/>
                <w:bCs/>
                <w:color w:val="000000"/>
                <w:sz w:val="16"/>
                <w:szCs w:val="16"/>
              </w:rPr>
              <w:t> </w:t>
            </w:r>
          </w:p>
        </w:tc>
        <w:tc>
          <w:tcPr>
            <w:tcW w:w="119" w:type="pct"/>
            <w:tcBorders>
              <w:top w:val="nil"/>
              <w:left w:val="nil"/>
              <w:bottom w:val="single" w:sz="8" w:space="0" w:color="auto"/>
              <w:right w:val="nil"/>
            </w:tcBorders>
            <w:shd w:val="clear" w:color="000000" w:fill="FFFFFF"/>
            <w:vAlign w:val="center"/>
            <w:hideMark/>
          </w:tcPr>
          <w:p w14:paraId="70BBE234" w14:textId="77777777" w:rsidR="00F376DC" w:rsidRPr="00F376DC" w:rsidRDefault="00F376DC">
            <w:pPr>
              <w:jc w:val="right"/>
              <w:rPr>
                <w:rFonts w:asciiTheme="minorHAnsi" w:hAnsiTheme="minorHAnsi" w:cstheme="minorHAnsi"/>
                <w:b/>
                <w:bCs/>
                <w:color w:val="000000"/>
                <w:sz w:val="16"/>
                <w:szCs w:val="16"/>
              </w:rPr>
            </w:pPr>
            <w:r w:rsidRPr="00F376DC">
              <w:rPr>
                <w:rFonts w:asciiTheme="minorHAnsi" w:hAnsiTheme="minorHAnsi" w:cstheme="minorHAnsi"/>
                <w:b/>
                <w:bCs/>
                <w:color w:val="000000"/>
                <w:sz w:val="16"/>
                <w:szCs w:val="16"/>
              </w:rPr>
              <w:t> </w:t>
            </w:r>
          </w:p>
        </w:tc>
        <w:tc>
          <w:tcPr>
            <w:tcW w:w="119" w:type="pct"/>
            <w:tcBorders>
              <w:top w:val="nil"/>
              <w:left w:val="nil"/>
              <w:bottom w:val="single" w:sz="8" w:space="0" w:color="auto"/>
              <w:right w:val="nil"/>
            </w:tcBorders>
            <w:shd w:val="clear" w:color="000000" w:fill="FFFFFF"/>
            <w:noWrap/>
            <w:vAlign w:val="center"/>
            <w:hideMark/>
          </w:tcPr>
          <w:p w14:paraId="72E1DE1F" w14:textId="77777777" w:rsidR="00F376DC" w:rsidRPr="00F376DC" w:rsidRDefault="00F376DC">
            <w:pPr>
              <w:jc w:val="right"/>
              <w:rPr>
                <w:rFonts w:asciiTheme="minorHAnsi" w:hAnsiTheme="minorHAnsi" w:cstheme="minorHAnsi"/>
                <w:b/>
                <w:bCs/>
                <w:color w:val="000000"/>
                <w:sz w:val="16"/>
                <w:szCs w:val="16"/>
              </w:rPr>
            </w:pPr>
            <w:r w:rsidRPr="00F376DC">
              <w:rPr>
                <w:rFonts w:asciiTheme="minorHAnsi" w:hAnsiTheme="minorHAnsi" w:cstheme="minorHAnsi"/>
                <w:b/>
                <w:bCs/>
                <w:color w:val="000000"/>
                <w:sz w:val="16"/>
                <w:szCs w:val="16"/>
              </w:rPr>
              <w:t> </w:t>
            </w:r>
          </w:p>
        </w:tc>
        <w:tc>
          <w:tcPr>
            <w:tcW w:w="119" w:type="pct"/>
            <w:tcBorders>
              <w:top w:val="nil"/>
              <w:left w:val="nil"/>
              <w:bottom w:val="single" w:sz="8" w:space="0" w:color="auto"/>
              <w:right w:val="nil"/>
            </w:tcBorders>
            <w:shd w:val="clear" w:color="000000" w:fill="FFFFFF"/>
            <w:vAlign w:val="center"/>
            <w:hideMark/>
          </w:tcPr>
          <w:p w14:paraId="5E134791" w14:textId="77777777" w:rsidR="00F376DC" w:rsidRPr="00F376DC" w:rsidRDefault="00F376DC">
            <w:pPr>
              <w:jc w:val="right"/>
              <w:rPr>
                <w:rFonts w:asciiTheme="minorHAnsi" w:hAnsiTheme="minorHAnsi" w:cstheme="minorHAnsi"/>
                <w:b/>
                <w:bCs/>
                <w:color w:val="000000"/>
                <w:sz w:val="16"/>
                <w:szCs w:val="16"/>
              </w:rPr>
            </w:pPr>
            <w:r w:rsidRPr="00F376DC">
              <w:rPr>
                <w:rFonts w:asciiTheme="minorHAnsi" w:hAnsiTheme="minorHAnsi" w:cstheme="minorHAnsi"/>
                <w:b/>
                <w:bCs/>
                <w:color w:val="000000"/>
                <w:sz w:val="16"/>
                <w:szCs w:val="16"/>
              </w:rPr>
              <w:t> </w:t>
            </w:r>
          </w:p>
        </w:tc>
        <w:tc>
          <w:tcPr>
            <w:tcW w:w="622" w:type="pct"/>
            <w:tcBorders>
              <w:top w:val="nil"/>
              <w:left w:val="nil"/>
              <w:bottom w:val="single" w:sz="8" w:space="0" w:color="auto"/>
              <w:right w:val="nil"/>
            </w:tcBorders>
            <w:shd w:val="clear" w:color="000000" w:fill="FFFFFF"/>
            <w:vAlign w:val="center"/>
            <w:hideMark/>
          </w:tcPr>
          <w:p w14:paraId="24AD6CB4" w14:textId="62B18647" w:rsidR="00F376DC" w:rsidRPr="00F376DC" w:rsidRDefault="00F376DC">
            <w:pPr>
              <w:jc w:val="right"/>
              <w:rPr>
                <w:rFonts w:asciiTheme="minorHAnsi" w:hAnsiTheme="minorHAnsi" w:cstheme="minorHAnsi"/>
                <w:b/>
                <w:bCs/>
                <w:color w:val="000000"/>
                <w:sz w:val="16"/>
                <w:szCs w:val="16"/>
              </w:rPr>
            </w:pPr>
            <w:r w:rsidRPr="00F376DC">
              <w:rPr>
                <w:rFonts w:asciiTheme="minorHAnsi" w:hAnsiTheme="minorHAnsi" w:cstheme="minorHAnsi"/>
                <w:b/>
                <w:bCs/>
                <w:sz w:val="16"/>
                <w:szCs w:val="16"/>
              </w:rPr>
              <w:t>30/0</w:t>
            </w:r>
            <w:r w:rsidR="006A660D">
              <w:rPr>
                <w:rFonts w:asciiTheme="minorHAnsi" w:hAnsiTheme="minorHAnsi" w:cstheme="minorHAnsi"/>
                <w:b/>
                <w:bCs/>
                <w:sz w:val="16"/>
                <w:szCs w:val="16"/>
              </w:rPr>
              <w:t>9</w:t>
            </w:r>
            <w:r w:rsidRPr="00F376DC">
              <w:rPr>
                <w:rFonts w:asciiTheme="minorHAnsi" w:hAnsiTheme="minorHAnsi" w:cstheme="minorHAnsi"/>
                <w:b/>
                <w:bCs/>
                <w:sz w:val="16"/>
                <w:szCs w:val="16"/>
              </w:rPr>
              <w:t>/2021</w:t>
            </w:r>
          </w:p>
        </w:tc>
        <w:tc>
          <w:tcPr>
            <w:tcW w:w="622" w:type="pct"/>
            <w:tcBorders>
              <w:top w:val="nil"/>
              <w:left w:val="nil"/>
              <w:bottom w:val="single" w:sz="8" w:space="0" w:color="auto"/>
              <w:right w:val="nil"/>
            </w:tcBorders>
            <w:shd w:val="clear" w:color="000000" w:fill="FFFFFF"/>
            <w:vAlign w:val="center"/>
            <w:hideMark/>
          </w:tcPr>
          <w:p w14:paraId="2C3005DD" w14:textId="77777777" w:rsidR="00F376DC" w:rsidRPr="00F376DC" w:rsidRDefault="00F376DC">
            <w:pPr>
              <w:jc w:val="right"/>
              <w:rPr>
                <w:rFonts w:asciiTheme="minorHAnsi" w:hAnsiTheme="minorHAnsi" w:cstheme="minorHAnsi"/>
                <w:b/>
                <w:bCs/>
                <w:color w:val="000000"/>
                <w:sz w:val="16"/>
                <w:szCs w:val="16"/>
              </w:rPr>
            </w:pPr>
            <w:r w:rsidRPr="00F376DC">
              <w:rPr>
                <w:rFonts w:asciiTheme="minorHAnsi" w:hAnsiTheme="minorHAnsi" w:cstheme="minorHAnsi"/>
                <w:b/>
                <w:bCs/>
                <w:sz w:val="16"/>
                <w:szCs w:val="16"/>
              </w:rPr>
              <w:t>31/12/2020</w:t>
            </w:r>
          </w:p>
        </w:tc>
      </w:tr>
      <w:tr w:rsidR="00F376DC" w:rsidRPr="00F376DC" w14:paraId="3F909B15" w14:textId="77777777" w:rsidTr="00F376DC">
        <w:trPr>
          <w:trHeight w:hRule="exact" w:val="227"/>
        </w:trPr>
        <w:tc>
          <w:tcPr>
            <w:tcW w:w="690" w:type="pct"/>
            <w:tcBorders>
              <w:top w:val="nil"/>
              <w:left w:val="nil"/>
              <w:bottom w:val="nil"/>
              <w:right w:val="nil"/>
            </w:tcBorders>
            <w:shd w:val="clear" w:color="000000" w:fill="FFFFFF"/>
            <w:noWrap/>
            <w:vAlign w:val="center"/>
            <w:hideMark/>
          </w:tcPr>
          <w:p w14:paraId="2E725CDE" w14:textId="77777777" w:rsidR="00F376DC" w:rsidRPr="00F376DC" w:rsidRDefault="00F376DC">
            <w:pPr>
              <w:jc w:val="center"/>
              <w:rPr>
                <w:rFonts w:asciiTheme="minorHAnsi" w:hAnsiTheme="minorHAnsi" w:cstheme="minorHAnsi"/>
                <w:color w:val="000000"/>
                <w:sz w:val="16"/>
                <w:szCs w:val="16"/>
              </w:rPr>
            </w:pPr>
            <w:r w:rsidRPr="00F376DC">
              <w:rPr>
                <w:rFonts w:asciiTheme="minorHAnsi" w:hAnsiTheme="minorHAnsi" w:cstheme="minorHAnsi"/>
                <w:sz w:val="16"/>
                <w:szCs w:val="16"/>
              </w:rPr>
              <w:t>130</w:t>
            </w:r>
          </w:p>
        </w:tc>
        <w:tc>
          <w:tcPr>
            <w:tcW w:w="2590" w:type="pct"/>
            <w:tcBorders>
              <w:top w:val="nil"/>
              <w:left w:val="nil"/>
              <w:bottom w:val="nil"/>
              <w:right w:val="nil"/>
            </w:tcBorders>
            <w:shd w:val="clear" w:color="000000" w:fill="FFFFFF"/>
            <w:noWrap/>
            <w:vAlign w:val="center"/>
            <w:hideMark/>
          </w:tcPr>
          <w:p w14:paraId="74617667" w14:textId="77777777" w:rsidR="00F376DC" w:rsidRPr="00F376DC" w:rsidRDefault="00F376DC">
            <w:pPr>
              <w:rPr>
                <w:rFonts w:asciiTheme="minorHAnsi" w:hAnsiTheme="minorHAnsi" w:cstheme="minorHAnsi"/>
                <w:color w:val="000000"/>
                <w:sz w:val="16"/>
                <w:szCs w:val="16"/>
              </w:rPr>
            </w:pPr>
            <w:r w:rsidRPr="00F376DC">
              <w:rPr>
                <w:rFonts w:asciiTheme="minorHAnsi" w:hAnsiTheme="minorHAnsi" w:cstheme="minorHAnsi"/>
                <w:sz w:val="16"/>
                <w:szCs w:val="16"/>
              </w:rPr>
              <w:t xml:space="preserve">Pessoal-sentenças judiciais          </w:t>
            </w:r>
          </w:p>
        </w:tc>
        <w:tc>
          <w:tcPr>
            <w:tcW w:w="119" w:type="pct"/>
            <w:tcBorders>
              <w:top w:val="nil"/>
              <w:left w:val="nil"/>
              <w:bottom w:val="nil"/>
              <w:right w:val="nil"/>
            </w:tcBorders>
            <w:shd w:val="clear" w:color="auto" w:fill="auto"/>
            <w:vAlign w:val="center"/>
            <w:hideMark/>
          </w:tcPr>
          <w:p w14:paraId="5A0851BD" w14:textId="77777777" w:rsidR="00F376DC" w:rsidRPr="00F376DC" w:rsidRDefault="00F376DC">
            <w:pPr>
              <w:rPr>
                <w:rFonts w:asciiTheme="minorHAnsi" w:hAnsiTheme="minorHAnsi" w:cstheme="minorHAnsi"/>
                <w:color w:val="000000"/>
                <w:sz w:val="16"/>
                <w:szCs w:val="16"/>
              </w:rPr>
            </w:pPr>
            <w:r w:rsidRPr="00F376DC">
              <w:rPr>
                <w:rFonts w:asciiTheme="minorHAnsi" w:hAnsiTheme="minorHAnsi" w:cstheme="minorHAnsi"/>
                <w:color w:val="000000"/>
                <w:sz w:val="16"/>
                <w:szCs w:val="16"/>
              </w:rPr>
              <w:t> </w:t>
            </w:r>
          </w:p>
        </w:tc>
        <w:tc>
          <w:tcPr>
            <w:tcW w:w="119" w:type="pct"/>
            <w:tcBorders>
              <w:top w:val="nil"/>
              <w:left w:val="nil"/>
              <w:bottom w:val="nil"/>
              <w:right w:val="nil"/>
            </w:tcBorders>
            <w:shd w:val="clear" w:color="auto" w:fill="auto"/>
            <w:vAlign w:val="center"/>
            <w:hideMark/>
          </w:tcPr>
          <w:p w14:paraId="0C34B779" w14:textId="77777777" w:rsidR="00F376DC" w:rsidRPr="00F376DC" w:rsidRDefault="00F376DC">
            <w:pPr>
              <w:rPr>
                <w:rFonts w:asciiTheme="minorHAnsi" w:hAnsiTheme="minorHAnsi" w:cstheme="minorHAnsi"/>
                <w:color w:val="000000"/>
                <w:sz w:val="16"/>
                <w:szCs w:val="16"/>
              </w:rPr>
            </w:pPr>
            <w:r w:rsidRPr="00F376DC">
              <w:rPr>
                <w:rFonts w:asciiTheme="minorHAnsi" w:hAnsiTheme="minorHAnsi" w:cstheme="minorHAnsi"/>
                <w:color w:val="000000"/>
                <w:sz w:val="16"/>
                <w:szCs w:val="16"/>
              </w:rPr>
              <w:t> </w:t>
            </w:r>
          </w:p>
        </w:tc>
        <w:tc>
          <w:tcPr>
            <w:tcW w:w="119" w:type="pct"/>
            <w:tcBorders>
              <w:top w:val="nil"/>
              <w:left w:val="nil"/>
              <w:bottom w:val="nil"/>
              <w:right w:val="nil"/>
            </w:tcBorders>
            <w:shd w:val="clear" w:color="auto" w:fill="auto"/>
            <w:noWrap/>
            <w:vAlign w:val="center"/>
            <w:hideMark/>
          </w:tcPr>
          <w:p w14:paraId="5D6F6171" w14:textId="77777777" w:rsidR="00F376DC" w:rsidRPr="00F376DC" w:rsidRDefault="00F376DC">
            <w:pPr>
              <w:rPr>
                <w:rFonts w:asciiTheme="minorHAnsi" w:hAnsiTheme="minorHAnsi" w:cstheme="minorHAnsi"/>
                <w:color w:val="000000"/>
                <w:sz w:val="16"/>
                <w:szCs w:val="16"/>
              </w:rPr>
            </w:pPr>
            <w:r w:rsidRPr="00F376DC">
              <w:rPr>
                <w:rFonts w:asciiTheme="minorHAnsi" w:hAnsiTheme="minorHAnsi" w:cstheme="minorHAnsi"/>
                <w:color w:val="000000"/>
                <w:sz w:val="16"/>
                <w:szCs w:val="16"/>
              </w:rPr>
              <w:t> </w:t>
            </w:r>
          </w:p>
        </w:tc>
        <w:tc>
          <w:tcPr>
            <w:tcW w:w="119" w:type="pct"/>
            <w:tcBorders>
              <w:top w:val="nil"/>
              <w:left w:val="nil"/>
              <w:bottom w:val="nil"/>
              <w:right w:val="nil"/>
            </w:tcBorders>
            <w:shd w:val="clear" w:color="auto" w:fill="auto"/>
            <w:vAlign w:val="center"/>
            <w:hideMark/>
          </w:tcPr>
          <w:p w14:paraId="14FA06A4" w14:textId="77777777" w:rsidR="00F376DC" w:rsidRPr="00F376DC" w:rsidRDefault="00F376DC">
            <w:pPr>
              <w:rPr>
                <w:rFonts w:asciiTheme="minorHAnsi" w:hAnsiTheme="minorHAnsi" w:cstheme="minorHAnsi"/>
                <w:color w:val="000000"/>
                <w:sz w:val="16"/>
                <w:szCs w:val="16"/>
              </w:rPr>
            </w:pPr>
            <w:r w:rsidRPr="00F376DC">
              <w:rPr>
                <w:rFonts w:asciiTheme="minorHAnsi" w:hAnsiTheme="minorHAnsi" w:cstheme="minorHAnsi"/>
                <w:color w:val="000000"/>
                <w:sz w:val="16"/>
                <w:szCs w:val="16"/>
              </w:rPr>
              <w:t> </w:t>
            </w:r>
          </w:p>
        </w:tc>
        <w:tc>
          <w:tcPr>
            <w:tcW w:w="622" w:type="pct"/>
            <w:tcBorders>
              <w:top w:val="nil"/>
              <w:left w:val="nil"/>
              <w:bottom w:val="nil"/>
              <w:right w:val="nil"/>
            </w:tcBorders>
            <w:shd w:val="clear" w:color="auto" w:fill="auto"/>
            <w:vAlign w:val="center"/>
            <w:hideMark/>
          </w:tcPr>
          <w:p w14:paraId="56DD8C35" w14:textId="1EC485B4" w:rsidR="00F376DC" w:rsidRPr="00F376DC" w:rsidRDefault="006A660D">
            <w:pPr>
              <w:jc w:val="right"/>
              <w:rPr>
                <w:rFonts w:asciiTheme="minorHAnsi" w:hAnsiTheme="minorHAnsi" w:cstheme="minorHAnsi"/>
                <w:color w:val="000000"/>
                <w:sz w:val="16"/>
                <w:szCs w:val="16"/>
              </w:rPr>
            </w:pPr>
            <w:r>
              <w:rPr>
                <w:rFonts w:asciiTheme="minorHAnsi" w:hAnsiTheme="minorHAnsi" w:cstheme="minorHAnsi"/>
                <w:color w:val="000000"/>
                <w:sz w:val="16"/>
                <w:szCs w:val="16"/>
              </w:rPr>
              <w:t>109</w:t>
            </w:r>
            <w:r w:rsidR="000B6330">
              <w:rPr>
                <w:rFonts w:asciiTheme="minorHAnsi" w:hAnsiTheme="minorHAnsi" w:cstheme="minorHAnsi"/>
                <w:color w:val="000000"/>
                <w:sz w:val="16"/>
                <w:szCs w:val="16"/>
              </w:rPr>
              <w:t>.358</w:t>
            </w:r>
          </w:p>
        </w:tc>
        <w:tc>
          <w:tcPr>
            <w:tcW w:w="622" w:type="pct"/>
            <w:tcBorders>
              <w:top w:val="nil"/>
              <w:left w:val="nil"/>
              <w:bottom w:val="nil"/>
              <w:right w:val="nil"/>
            </w:tcBorders>
            <w:shd w:val="clear" w:color="auto" w:fill="auto"/>
            <w:vAlign w:val="center"/>
            <w:hideMark/>
          </w:tcPr>
          <w:p w14:paraId="0C58A3CD"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0</w:t>
            </w:r>
          </w:p>
        </w:tc>
      </w:tr>
      <w:tr w:rsidR="00F376DC" w:rsidRPr="00F376DC" w14:paraId="4249FE26" w14:textId="77777777" w:rsidTr="00F376DC">
        <w:trPr>
          <w:trHeight w:hRule="exact" w:val="227"/>
        </w:trPr>
        <w:tc>
          <w:tcPr>
            <w:tcW w:w="690" w:type="pct"/>
            <w:tcBorders>
              <w:top w:val="nil"/>
              <w:left w:val="nil"/>
              <w:bottom w:val="nil"/>
              <w:right w:val="nil"/>
            </w:tcBorders>
            <w:shd w:val="clear" w:color="000000" w:fill="FFFFFF"/>
            <w:noWrap/>
            <w:vAlign w:val="center"/>
            <w:hideMark/>
          </w:tcPr>
          <w:p w14:paraId="299A4388" w14:textId="77777777" w:rsidR="00F376DC" w:rsidRPr="00F376DC" w:rsidRDefault="00F376DC">
            <w:pPr>
              <w:jc w:val="center"/>
              <w:rPr>
                <w:rFonts w:asciiTheme="minorHAnsi" w:hAnsiTheme="minorHAnsi" w:cstheme="minorHAnsi"/>
                <w:color w:val="000000"/>
                <w:sz w:val="16"/>
                <w:szCs w:val="16"/>
              </w:rPr>
            </w:pPr>
            <w:r w:rsidRPr="00F376DC">
              <w:rPr>
                <w:rFonts w:asciiTheme="minorHAnsi" w:hAnsiTheme="minorHAnsi" w:cstheme="minorHAnsi"/>
                <w:sz w:val="16"/>
                <w:szCs w:val="16"/>
              </w:rPr>
              <w:t>307</w:t>
            </w:r>
          </w:p>
        </w:tc>
        <w:tc>
          <w:tcPr>
            <w:tcW w:w="2590" w:type="pct"/>
            <w:tcBorders>
              <w:top w:val="nil"/>
              <w:left w:val="nil"/>
              <w:bottom w:val="nil"/>
              <w:right w:val="nil"/>
            </w:tcBorders>
            <w:shd w:val="clear" w:color="000000" w:fill="FFFFFF"/>
            <w:noWrap/>
            <w:vAlign w:val="center"/>
            <w:hideMark/>
          </w:tcPr>
          <w:p w14:paraId="1E1D7626" w14:textId="77777777" w:rsidR="00F376DC" w:rsidRPr="00F376DC" w:rsidRDefault="00F376DC">
            <w:pPr>
              <w:jc w:val="both"/>
              <w:rPr>
                <w:rFonts w:asciiTheme="minorHAnsi" w:hAnsiTheme="minorHAnsi" w:cstheme="minorHAnsi"/>
                <w:color w:val="000000"/>
                <w:sz w:val="16"/>
                <w:szCs w:val="16"/>
              </w:rPr>
            </w:pPr>
            <w:r w:rsidRPr="00F376DC">
              <w:rPr>
                <w:rFonts w:asciiTheme="minorHAnsi" w:hAnsiTheme="minorHAnsi" w:cstheme="minorHAnsi"/>
                <w:sz w:val="16"/>
                <w:szCs w:val="16"/>
              </w:rPr>
              <w:t>Outros pag. pessoais - órgãos integrantes SIAPE</w:t>
            </w:r>
          </w:p>
        </w:tc>
        <w:tc>
          <w:tcPr>
            <w:tcW w:w="119" w:type="pct"/>
            <w:tcBorders>
              <w:top w:val="nil"/>
              <w:left w:val="nil"/>
              <w:bottom w:val="nil"/>
              <w:right w:val="nil"/>
            </w:tcBorders>
            <w:shd w:val="clear" w:color="auto" w:fill="auto"/>
            <w:vAlign w:val="center"/>
            <w:hideMark/>
          </w:tcPr>
          <w:p w14:paraId="6B4A5D0E" w14:textId="77777777" w:rsidR="00F376DC" w:rsidRPr="00F376DC" w:rsidRDefault="00F376DC">
            <w:pPr>
              <w:jc w:val="both"/>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hideMark/>
          </w:tcPr>
          <w:p w14:paraId="1EE0C658" w14:textId="77777777" w:rsidR="00F376DC" w:rsidRPr="00F376DC" w:rsidRDefault="00F376DC">
            <w:pPr>
              <w:jc w:val="right"/>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hideMark/>
          </w:tcPr>
          <w:p w14:paraId="3025D2F2" w14:textId="77777777" w:rsidR="00F376DC" w:rsidRPr="00F376DC" w:rsidRDefault="00F376DC">
            <w:pPr>
              <w:jc w:val="right"/>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hideMark/>
          </w:tcPr>
          <w:p w14:paraId="361A5180" w14:textId="77777777" w:rsidR="00F376DC" w:rsidRPr="00F376DC" w:rsidRDefault="00F376DC">
            <w:pPr>
              <w:jc w:val="right"/>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hideMark/>
          </w:tcPr>
          <w:p w14:paraId="2AB56F32" w14:textId="3979E4F7" w:rsidR="00F376DC" w:rsidRPr="00F376DC" w:rsidRDefault="000B6330">
            <w:pPr>
              <w:jc w:val="right"/>
              <w:rPr>
                <w:rFonts w:asciiTheme="minorHAnsi" w:hAnsiTheme="minorHAnsi" w:cstheme="minorHAnsi"/>
                <w:color w:val="000000"/>
                <w:sz w:val="16"/>
                <w:szCs w:val="16"/>
              </w:rPr>
            </w:pPr>
            <w:r>
              <w:rPr>
                <w:rFonts w:asciiTheme="minorHAnsi" w:hAnsiTheme="minorHAnsi" w:cstheme="minorHAnsi"/>
                <w:color w:val="000000"/>
                <w:sz w:val="16"/>
                <w:szCs w:val="16"/>
              </w:rPr>
              <w:t>183.443</w:t>
            </w:r>
          </w:p>
        </w:tc>
        <w:tc>
          <w:tcPr>
            <w:tcW w:w="622" w:type="pct"/>
            <w:tcBorders>
              <w:top w:val="nil"/>
              <w:left w:val="nil"/>
              <w:bottom w:val="nil"/>
              <w:right w:val="nil"/>
            </w:tcBorders>
            <w:shd w:val="clear" w:color="auto" w:fill="auto"/>
            <w:vAlign w:val="center"/>
            <w:hideMark/>
          </w:tcPr>
          <w:p w14:paraId="0D77A6E3"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0</w:t>
            </w:r>
          </w:p>
        </w:tc>
      </w:tr>
      <w:tr w:rsidR="00F376DC" w:rsidRPr="00F376DC" w14:paraId="4D9A41E9" w14:textId="77777777" w:rsidTr="00F376DC">
        <w:trPr>
          <w:trHeight w:hRule="exact" w:val="227"/>
        </w:trPr>
        <w:tc>
          <w:tcPr>
            <w:tcW w:w="690" w:type="pct"/>
            <w:tcBorders>
              <w:top w:val="nil"/>
              <w:left w:val="nil"/>
              <w:bottom w:val="nil"/>
              <w:right w:val="nil"/>
            </w:tcBorders>
            <w:shd w:val="clear" w:color="000000" w:fill="FFFFFF"/>
            <w:noWrap/>
            <w:vAlign w:val="center"/>
            <w:hideMark/>
          </w:tcPr>
          <w:p w14:paraId="2BA7CDAD" w14:textId="77777777" w:rsidR="00F376DC" w:rsidRPr="00F376DC" w:rsidRDefault="00F376DC">
            <w:pPr>
              <w:jc w:val="center"/>
              <w:rPr>
                <w:rFonts w:asciiTheme="minorHAnsi" w:hAnsiTheme="minorHAnsi" w:cstheme="minorHAnsi"/>
                <w:color w:val="000000"/>
                <w:sz w:val="16"/>
                <w:szCs w:val="16"/>
              </w:rPr>
            </w:pPr>
            <w:r w:rsidRPr="00F376DC">
              <w:rPr>
                <w:rFonts w:asciiTheme="minorHAnsi" w:hAnsiTheme="minorHAnsi" w:cstheme="minorHAnsi"/>
                <w:sz w:val="16"/>
                <w:szCs w:val="16"/>
              </w:rPr>
              <w:t>308</w:t>
            </w:r>
          </w:p>
        </w:tc>
        <w:tc>
          <w:tcPr>
            <w:tcW w:w="2590" w:type="pct"/>
            <w:tcBorders>
              <w:top w:val="nil"/>
              <w:left w:val="nil"/>
              <w:bottom w:val="nil"/>
              <w:right w:val="nil"/>
            </w:tcBorders>
            <w:shd w:val="clear" w:color="000000" w:fill="FFFFFF"/>
            <w:noWrap/>
            <w:vAlign w:val="center"/>
            <w:hideMark/>
          </w:tcPr>
          <w:p w14:paraId="5F8A1F77" w14:textId="77777777" w:rsidR="00F376DC" w:rsidRPr="00F376DC" w:rsidRDefault="00F376DC">
            <w:pPr>
              <w:jc w:val="both"/>
              <w:rPr>
                <w:rFonts w:asciiTheme="minorHAnsi" w:hAnsiTheme="minorHAnsi" w:cstheme="minorHAnsi"/>
                <w:color w:val="000000"/>
                <w:sz w:val="16"/>
                <w:szCs w:val="16"/>
              </w:rPr>
            </w:pPr>
            <w:r w:rsidRPr="00F376DC">
              <w:rPr>
                <w:rFonts w:asciiTheme="minorHAnsi" w:hAnsiTheme="minorHAnsi" w:cstheme="minorHAnsi"/>
                <w:sz w:val="16"/>
                <w:szCs w:val="16"/>
              </w:rPr>
              <w:t xml:space="preserve">Contribuição previdência fechada     </w:t>
            </w:r>
          </w:p>
        </w:tc>
        <w:tc>
          <w:tcPr>
            <w:tcW w:w="119" w:type="pct"/>
            <w:tcBorders>
              <w:top w:val="nil"/>
              <w:left w:val="nil"/>
              <w:bottom w:val="nil"/>
              <w:right w:val="nil"/>
            </w:tcBorders>
            <w:shd w:val="clear" w:color="auto" w:fill="auto"/>
            <w:vAlign w:val="center"/>
            <w:hideMark/>
          </w:tcPr>
          <w:p w14:paraId="50E60C38" w14:textId="77777777" w:rsidR="00F376DC" w:rsidRPr="00F376DC" w:rsidRDefault="00F376DC">
            <w:pPr>
              <w:jc w:val="both"/>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hideMark/>
          </w:tcPr>
          <w:p w14:paraId="246FA114" w14:textId="77777777" w:rsidR="00F376DC" w:rsidRPr="00F376DC" w:rsidRDefault="00F376DC">
            <w:pPr>
              <w:jc w:val="right"/>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hideMark/>
          </w:tcPr>
          <w:p w14:paraId="698342D9" w14:textId="77777777" w:rsidR="00F376DC" w:rsidRPr="00F376DC" w:rsidRDefault="00F376DC">
            <w:pPr>
              <w:jc w:val="right"/>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hideMark/>
          </w:tcPr>
          <w:p w14:paraId="6BA85CB7" w14:textId="77777777" w:rsidR="00F376DC" w:rsidRPr="00F376DC" w:rsidRDefault="00F376DC">
            <w:pPr>
              <w:jc w:val="right"/>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hideMark/>
          </w:tcPr>
          <w:p w14:paraId="34F9C92C" w14:textId="49949747" w:rsidR="00F376DC" w:rsidRPr="00F376DC" w:rsidRDefault="000B6330">
            <w:pPr>
              <w:jc w:val="right"/>
              <w:rPr>
                <w:rFonts w:asciiTheme="minorHAnsi" w:hAnsiTheme="minorHAnsi" w:cstheme="minorHAnsi"/>
                <w:color w:val="000000"/>
                <w:sz w:val="16"/>
                <w:szCs w:val="16"/>
              </w:rPr>
            </w:pPr>
            <w:r>
              <w:rPr>
                <w:rFonts w:asciiTheme="minorHAnsi" w:hAnsiTheme="minorHAnsi" w:cstheme="minorHAnsi"/>
                <w:color w:val="000000"/>
                <w:sz w:val="16"/>
                <w:szCs w:val="16"/>
              </w:rPr>
              <w:t>91.053</w:t>
            </w:r>
          </w:p>
        </w:tc>
        <w:tc>
          <w:tcPr>
            <w:tcW w:w="622" w:type="pct"/>
            <w:tcBorders>
              <w:top w:val="nil"/>
              <w:left w:val="nil"/>
              <w:bottom w:val="nil"/>
              <w:right w:val="nil"/>
            </w:tcBorders>
            <w:shd w:val="clear" w:color="auto" w:fill="auto"/>
            <w:vAlign w:val="center"/>
            <w:hideMark/>
          </w:tcPr>
          <w:p w14:paraId="6DA77E04"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67.864</w:t>
            </w:r>
          </w:p>
        </w:tc>
      </w:tr>
      <w:tr w:rsidR="00F376DC" w:rsidRPr="00F376DC" w14:paraId="12635C70" w14:textId="77777777" w:rsidTr="00F376DC">
        <w:trPr>
          <w:trHeight w:hRule="exact" w:val="227"/>
        </w:trPr>
        <w:tc>
          <w:tcPr>
            <w:tcW w:w="690" w:type="pct"/>
            <w:tcBorders>
              <w:top w:val="nil"/>
              <w:left w:val="nil"/>
              <w:bottom w:val="nil"/>
              <w:right w:val="nil"/>
            </w:tcBorders>
            <w:shd w:val="clear" w:color="000000" w:fill="FFFFFF"/>
            <w:noWrap/>
            <w:vAlign w:val="center"/>
            <w:hideMark/>
          </w:tcPr>
          <w:p w14:paraId="31DF5532" w14:textId="77777777" w:rsidR="00F376DC" w:rsidRPr="00F376DC" w:rsidRDefault="00F376DC">
            <w:pPr>
              <w:jc w:val="center"/>
              <w:rPr>
                <w:rFonts w:asciiTheme="minorHAnsi" w:hAnsiTheme="minorHAnsi" w:cstheme="minorHAnsi"/>
                <w:color w:val="000000"/>
                <w:sz w:val="16"/>
                <w:szCs w:val="16"/>
              </w:rPr>
            </w:pPr>
            <w:r w:rsidRPr="00F376DC">
              <w:rPr>
                <w:rFonts w:asciiTheme="minorHAnsi" w:hAnsiTheme="minorHAnsi" w:cstheme="minorHAnsi"/>
                <w:sz w:val="16"/>
                <w:szCs w:val="16"/>
              </w:rPr>
              <w:t>310</w:t>
            </w:r>
          </w:p>
        </w:tc>
        <w:tc>
          <w:tcPr>
            <w:tcW w:w="2590" w:type="pct"/>
            <w:tcBorders>
              <w:top w:val="nil"/>
              <w:left w:val="nil"/>
              <w:bottom w:val="nil"/>
              <w:right w:val="nil"/>
            </w:tcBorders>
            <w:shd w:val="clear" w:color="000000" w:fill="FFFFFF"/>
            <w:noWrap/>
            <w:vAlign w:val="center"/>
            <w:hideMark/>
          </w:tcPr>
          <w:p w14:paraId="5FD438ED" w14:textId="77777777" w:rsidR="00F376DC" w:rsidRPr="00F376DC" w:rsidRDefault="00F376DC">
            <w:pPr>
              <w:rPr>
                <w:rFonts w:asciiTheme="minorHAnsi" w:hAnsiTheme="minorHAnsi" w:cstheme="minorHAnsi"/>
                <w:color w:val="000000"/>
                <w:sz w:val="16"/>
                <w:szCs w:val="16"/>
              </w:rPr>
            </w:pPr>
            <w:r w:rsidRPr="00F376DC">
              <w:rPr>
                <w:rFonts w:asciiTheme="minorHAnsi" w:hAnsiTheme="minorHAnsi" w:cstheme="minorHAnsi"/>
                <w:sz w:val="16"/>
                <w:szCs w:val="16"/>
              </w:rPr>
              <w:t xml:space="preserve">Pagamento pessoal                    </w:t>
            </w:r>
          </w:p>
        </w:tc>
        <w:tc>
          <w:tcPr>
            <w:tcW w:w="119" w:type="pct"/>
            <w:tcBorders>
              <w:top w:val="nil"/>
              <w:left w:val="nil"/>
              <w:bottom w:val="nil"/>
              <w:right w:val="nil"/>
            </w:tcBorders>
            <w:shd w:val="clear" w:color="auto" w:fill="auto"/>
            <w:vAlign w:val="center"/>
            <w:hideMark/>
          </w:tcPr>
          <w:p w14:paraId="6B98CD2A" w14:textId="77777777" w:rsidR="00F376DC" w:rsidRPr="00F376DC" w:rsidRDefault="00F376DC">
            <w:pPr>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hideMark/>
          </w:tcPr>
          <w:p w14:paraId="6003A1C4" w14:textId="77777777" w:rsidR="00F376DC" w:rsidRPr="00F376DC" w:rsidRDefault="00F376DC">
            <w:pPr>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hideMark/>
          </w:tcPr>
          <w:p w14:paraId="0661D06C" w14:textId="77777777" w:rsidR="00F376DC" w:rsidRPr="00F376DC" w:rsidRDefault="00F376DC">
            <w:pPr>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hideMark/>
          </w:tcPr>
          <w:p w14:paraId="71856824" w14:textId="77777777" w:rsidR="00F376DC" w:rsidRPr="00F376DC" w:rsidRDefault="00F376DC">
            <w:pPr>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hideMark/>
          </w:tcPr>
          <w:p w14:paraId="25F93407" w14:textId="6C19DBC9" w:rsidR="00F376DC" w:rsidRPr="00F376DC" w:rsidRDefault="000B6330">
            <w:pPr>
              <w:jc w:val="right"/>
              <w:rPr>
                <w:rFonts w:asciiTheme="minorHAnsi" w:hAnsiTheme="minorHAnsi" w:cstheme="minorHAnsi"/>
                <w:color w:val="000000"/>
                <w:sz w:val="16"/>
                <w:szCs w:val="16"/>
              </w:rPr>
            </w:pPr>
            <w:r>
              <w:rPr>
                <w:rFonts w:asciiTheme="minorHAnsi" w:hAnsiTheme="minorHAnsi" w:cstheme="minorHAnsi"/>
                <w:color w:val="000000"/>
                <w:sz w:val="16"/>
                <w:szCs w:val="16"/>
              </w:rPr>
              <w:t>5.893.938</w:t>
            </w:r>
          </w:p>
        </w:tc>
        <w:tc>
          <w:tcPr>
            <w:tcW w:w="622" w:type="pct"/>
            <w:tcBorders>
              <w:top w:val="nil"/>
              <w:left w:val="nil"/>
              <w:bottom w:val="nil"/>
              <w:right w:val="nil"/>
            </w:tcBorders>
            <w:shd w:val="clear" w:color="auto" w:fill="auto"/>
            <w:vAlign w:val="center"/>
            <w:hideMark/>
          </w:tcPr>
          <w:p w14:paraId="644DA943"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5.957.149</w:t>
            </w:r>
          </w:p>
        </w:tc>
      </w:tr>
      <w:tr w:rsidR="00F376DC" w:rsidRPr="00F376DC" w14:paraId="612EA651" w14:textId="77777777" w:rsidTr="00F376DC">
        <w:trPr>
          <w:trHeight w:hRule="exact" w:val="227"/>
        </w:trPr>
        <w:tc>
          <w:tcPr>
            <w:tcW w:w="690" w:type="pct"/>
            <w:tcBorders>
              <w:top w:val="nil"/>
              <w:left w:val="nil"/>
              <w:bottom w:val="nil"/>
              <w:right w:val="nil"/>
            </w:tcBorders>
            <w:shd w:val="clear" w:color="000000" w:fill="FFFFFF"/>
            <w:noWrap/>
            <w:vAlign w:val="center"/>
            <w:hideMark/>
          </w:tcPr>
          <w:p w14:paraId="08DDFA26" w14:textId="77777777" w:rsidR="00F376DC" w:rsidRPr="00F376DC" w:rsidRDefault="00F376DC">
            <w:pPr>
              <w:jc w:val="center"/>
              <w:rPr>
                <w:rFonts w:asciiTheme="minorHAnsi" w:hAnsiTheme="minorHAnsi" w:cstheme="minorHAnsi"/>
                <w:color w:val="000000"/>
                <w:sz w:val="16"/>
                <w:szCs w:val="16"/>
              </w:rPr>
            </w:pPr>
            <w:r w:rsidRPr="00F376DC">
              <w:rPr>
                <w:rFonts w:asciiTheme="minorHAnsi" w:hAnsiTheme="minorHAnsi" w:cstheme="minorHAnsi"/>
                <w:sz w:val="16"/>
                <w:szCs w:val="16"/>
              </w:rPr>
              <w:t>340</w:t>
            </w:r>
          </w:p>
        </w:tc>
        <w:tc>
          <w:tcPr>
            <w:tcW w:w="2590" w:type="pct"/>
            <w:tcBorders>
              <w:top w:val="nil"/>
              <w:left w:val="nil"/>
              <w:bottom w:val="nil"/>
              <w:right w:val="nil"/>
            </w:tcBorders>
            <w:shd w:val="clear" w:color="000000" w:fill="FFFFFF"/>
            <w:noWrap/>
            <w:vAlign w:val="center"/>
            <w:hideMark/>
          </w:tcPr>
          <w:p w14:paraId="46D245E4" w14:textId="77777777" w:rsidR="00F376DC" w:rsidRPr="00F376DC" w:rsidRDefault="00F376DC">
            <w:pPr>
              <w:jc w:val="both"/>
              <w:rPr>
                <w:rFonts w:asciiTheme="minorHAnsi" w:hAnsiTheme="minorHAnsi" w:cstheme="minorHAnsi"/>
                <w:color w:val="000000"/>
                <w:sz w:val="16"/>
                <w:szCs w:val="16"/>
              </w:rPr>
            </w:pPr>
            <w:r w:rsidRPr="00F376DC">
              <w:rPr>
                <w:rFonts w:asciiTheme="minorHAnsi" w:hAnsiTheme="minorHAnsi" w:cstheme="minorHAnsi"/>
                <w:sz w:val="16"/>
                <w:szCs w:val="16"/>
              </w:rPr>
              <w:t>Custeio sentenças judiciais</w:t>
            </w:r>
          </w:p>
        </w:tc>
        <w:tc>
          <w:tcPr>
            <w:tcW w:w="119" w:type="pct"/>
            <w:tcBorders>
              <w:top w:val="nil"/>
              <w:left w:val="nil"/>
              <w:bottom w:val="nil"/>
              <w:right w:val="nil"/>
            </w:tcBorders>
            <w:shd w:val="clear" w:color="auto" w:fill="auto"/>
            <w:vAlign w:val="center"/>
            <w:hideMark/>
          </w:tcPr>
          <w:p w14:paraId="0BD01D9D" w14:textId="77777777" w:rsidR="00F376DC" w:rsidRPr="00F376DC" w:rsidRDefault="00F376DC">
            <w:pPr>
              <w:jc w:val="both"/>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hideMark/>
          </w:tcPr>
          <w:p w14:paraId="4A0CC516" w14:textId="77777777" w:rsidR="00F376DC" w:rsidRPr="00F376DC" w:rsidRDefault="00F376DC">
            <w:pPr>
              <w:jc w:val="right"/>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hideMark/>
          </w:tcPr>
          <w:p w14:paraId="66F1A78B" w14:textId="77777777" w:rsidR="00F376DC" w:rsidRPr="00F376DC" w:rsidRDefault="00F376DC">
            <w:pPr>
              <w:jc w:val="right"/>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hideMark/>
          </w:tcPr>
          <w:p w14:paraId="5FB5756E" w14:textId="77777777" w:rsidR="00F376DC" w:rsidRPr="00F376DC" w:rsidRDefault="00F376DC">
            <w:pPr>
              <w:jc w:val="right"/>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hideMark/>
          </w:tcPr>
          <w:p w14:paraId="4F66F96B" w14:textId="7AEA7144"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60.00</w:t>
            </w:r>
            <w:r w:rsidR="000B6330">
              <w:rPr>
                <w:rFonts w:asciiTheme="minorHAnsi" w:hAnsiTheme="minorHAnsi" w:cstheme="minorHAnsi"/>
                <w:color w:val="000000"/>
                <w:sz w:val="16"/>
                <w:szCs w:val="16"/>
              </w:rPr>
              <w:t>0</w:t>
            </w:r>
          </w:p>
        </w:tc>
        <w:tc>
          <w:tcPr>
            <w:tcW w:w="622" w:type="pct"/>
            <w:tcBorders>
              <w:top w:val="nil"/>
              <w:left w:val="nil"/>
              <w:bottom w:val="nil"/>
              <w:right w:val="nil"/>
            </w:tcBorders>
            <w:shd w:val="clear" w:color="auto" w:fill="auto"/>
            <w:vAlign w:val="center"/>
            <w:hideMark/>
          </w:tcPr>
          <w:p w14:paraId="3C7B4C66"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0</w:t>
            </w:r>
          </w:p>
        </w:tc>
      </w:tr>
      <w:tr w:rsidR="00F376DC" w:rsidRPr="00F376DC" w14:paraId="4E42868F" w14:textId="77777777" w:rsidTr="00F376DC">
        <w:trPr>
          <w:trHeight w:hRule="exact" w:val="227"/>
        </w:trPr>
        <w:tc>
          <w:tcPr>
            <w:tcW w:w="690" w:type="pct"/>
            <w:tcBorders>
              <w:top w:val="nil"/>
              <w:left w:val="nil"/>
              <w:bottom w:val="nil"/>
              <w:right w:val="nil"/>
            </w:tcBorders>
            <w:shd w:val="clear" w:color="000000" w:fill="FFFFFF"/>
            <w:noWrap/>
            <w:vAlign w:val="center"/>
            <w:hideMark/>
          </w:tcPr>
          <w:p w14:paraId="55AF5348" w14:textId="77777777" w:rsidR="00F376DC" w:rsidRPr="00F376DC" w:rsidRDefault="00F376DC">
            <w:pPr>
              <w:jc w:val="center"/>
              <w:rPr>
                <w:rFonts w:asciiTheme="minorHAnsi" w:hAnsiTheme="minorHAnsi" w:cstheme="minorHAnsi"/>
                <w:color w:val="000000"/>
                <w:sz w:val="16"/>
                <w:szCs w:val="16"/>
              </w:rPr>
            </w:pPr>
            <w:r w:rsidRPr="00F376DC">
              <w:rPr>
                <w:rFonts w:asciiTheme="minorHAnsi" w:hAnsiTheme="minorHAnsi" w:cstheme="minorHAnsi"/>
                <w:sz w:val="16"/>
                <w:szCs w:val="16"/>
              </w:rPr>
              <w:t>400</w:t>
            </w:r>
          </w:p>
        </w:tc>
        <w:tc>
          <w:tcPr>
            <w:tcW w:w="2590" w:type="pct"/>
            <w:tcBorders>
              <w:top w:val="nil"/>
              <w:left w:val="nil"/>
              <w:bottom w:val="nil"/>
              <w:right w:val="nil"/>
            </w:tcBorders>
            <w:shd w:val="clear" w:color="000000" w:fill="FFFFFF"/>
            <w:noWrap/>
            <w:vAlign w:val="center"/>
            <w:hideMark/>
          </w:tcPr>
          <w:p w14:paraId="421AD38A" w14:textId="77777777" w:rsidR="00F376DC" w:rsidRPr="00F376DC" w:rsidRDefault="00F376DC">
            <w:pPr>
              <w:jc w:val="both"/>
              <w:rPr>
                <w:rFonts w:asciiTheme="minorHAnsi" w:hAnsiTheme="minorHAnsi" w:cstheme="minorHAnsi"/>
                <w:color w:val="000000"/>
                <w:sz w:val="16"/>
                <w:szCs w:val="16"/>
              </w:rPr>
            </w:pPr>
            <w:r w:rsidRPr="00F376DC">
              <w:rPr>
                <w:rFonts w:asciiTheme="minorHAnsi" w:hAnsiTheme="minorHAnsi" w:cstheme="minorHAnsi"/>
                <w:sz w:val="16"/>
                <w:szCs w:val="16"/>
              </w:rPr>
              <w:t xml:space="preserve">Custeio/invest. c/exigência de empenho  </w:t>
            </w:r>
          </w:p>
        </w:tc>
        <w:tc>
          <w:tcPr>
            <w:tcW w:w="119" w:type="pct"/>
            <w:tcBorders>
              <w:top w:val="nil"/>
              <w:left w:val="nil"/>
              <w:bottom w:val="nil"/>
              <w:right w:val="nil"/>
            </w:tcBorders>
            <w:shd w:val="clear" w:color="auto" w:fill="auto"/>
            <w:vAlign w:val="center"/>
            <w:hideMark/>
          </w:tcPr>
          <w:p w14:paraId="1A321B91" w14:textId="77777777" w:rsidR="00F376DC" w:rsidRPr="00F376DC" w:rsidRDefault="00F376DC">
            <w:pPr>
              <w:jc w:val="both"/>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hideMark/>
          </w:tcPr>
          <w:p w14:paraId="0F5859A1" w14:textId="77777777" w:rsidR="00F376DC" w:rsidRPr="00F376DC" w:rsidRDefault="00F376DC">
            <w:pPr>
              <w:jc w:val="right"/>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hideMark/>
          </w:tcPr>
          <w:p w14:paraId="4B7321B2" w14:textId="77777777" w:rsidR="00F376DC" w:rsidRPr="00F376DC" w:rsidRDefault="00F376DC">
            <w:pPr>
              <w:jc w:val="right"/>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hideMark/>
          </w:tcPr>
          <w:p w14:paraId="1AE089F3" w14:textId="77777777" w:rsidR="00F376DC" w:rsidRPr="00F376DC" w:rsidRDefault="00F376DC">
            <w:pPr>
              <w:jc w:val="right"/>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hideMark/>
          </w:tcPr>
          <w:p w14:paraId="3318F26A" w14:textId="6B57D0FC"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5</w:t>
            </w:r>
            <w:r w:rsidR="000B6330">
              <w:rPr>
                <w:rFonts w:asciiTheme="minorHAnsi" w:hAnsiTheme="minorHAnsi" w:cstheme="minorHAnsi"/>
                <w:color w:val="000000"/>
                <w:sz w:val="16"/>
                <w:szCs w:val="16"/>
              </w:rPr>
              <w:t>9.672.927</w:t>
            </w:r>
          </w:p>
        </w:tc>
        <w:tc>
          <w:tcPr>
            <w:tcW w:w="622" w:type="pct"/>
            <w:tcBorders>
              <w:top w:val="nil"/>
              <w:left w:val="nil"/>
              <w:bottom w:val="nil"/>
              <w:right w:val="nil"/>
            </w:tcBorders>
            <w:shd w:val="clear" w:color="auto" w:fill="auto"/>
            <w:vAlign w:val="center"/>
            <w:hideMark/>
          </w:tcPr>
          <w:p w14:paraId="5F189CC1"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18.147.951</w:t>
            </w:r>
          </w:p>
        </w:tc>
      </w:tr>
      <w:tr w:rsidR="00F376DC" w:rsidRPr="00F376DC" w14:paraId="111DCFD6" w14:textId="77777777" w:rsidTr="00F376DC">
        <w:trPr>
          <w:trHeight w:hRule="exact" w:val="227"/>
        </w:trPr>
        <w:tc>
          <w:tcPr>
            <w:tcW w:w="690" w:type="pct"/>
            <w:tcBorders>
              <w:top w:val="nil"/>
              <w:left w:val="nil"/>
              <w:bottom w:val="nil"/>
              <w:right w:val="nil"/>
            </w:tcBorders>
            <w:shd w:val="clear" w:color="000000" w:fill="FFFFFF"/>
            <w:noWrap/>
            <w:vAlign w:val="center"/>
            <w:hideMark/>
          </w:tcPr>
          <w:p w14:paraId="6930EBBF" w14:textId="77777777" w:rsidR="00F376DC" w:rsidRPr="00F376DC" w:rsidRDefault="00F376DC">
            <w:pPr>
              <w:jc w:val="center"/>
              <w:rPr>
                <w:rFonts w:asciiTheme="minorHAnsi" w:hAnsiTheme="minorHAnsi" w:cstheme="minorHAnsi"/>
                <w:color w:val="000000"/>
                <w:sz w:val="16"/>
                <w:szCs w:val="16"/>
              </w:rPr>
            </w:pPr>
            <w:r w:rsidRPr="00F376DC">
              <w:rPr>
                <w:rFonts w:asciiTheme="minorHAnsi" w:hAnsiTheme="minorHAnsi" w:cstheme="minorHAnsi"/>
                <w:sz w:val="16"/>
                <w:szCs w:val="16"/>
              </w:rPr>
              <w:t>404</w:t>
            </w:r>
          </w:p>
        </w:tc>
        <w:tc>
          <w:tcPr>
            <w:tcW w:w="2590" w:type="pct"/>
            <w:tcBorders>
              <w:top w:val="nil"/>
              <w:left w:val="nil"/>
              <w:bottom w:val="nil"/>
              <w:right w:val="nil"/>
            </w:tcBorders>
            <w:shd w:val="clear" w:color="000000" w:fill="FFFFFF"/>
            <w:noWrap/>
            <w:vAlign w:val="center"/>
            <w:hideMark/>
          </w:tcPr>
          <w:p w14:paraId="14D0E963" w14:textId="77777777" w:rsidR="00F376DC" w:rsidRPr="00F376DC" w:rsidRDefault="00F376DC">
            <w:pPr>
              <w:jc w:val="both"/>
              <w:rPr>
                <w:rFonts w:asciiTheme="minorHAnsi" w:hAnsiTheme="minorHAnsi" w:cstheme="minorHAnsi"/>
                <w:color w:val="000000"/>
                <w:sz w:val="16"/>
                <w:szCs w:val="16"/>
              </w:rPr>
            </w:pPr>
            <w:r w:rsidRPr="00F376DC">
              <w:rPr>
                <w:rFonts w:asciiTheme="minorHAnsi" w:hAnsiTheme="minorHAnsi" w:cstheme="minorHAnsi"/>
                <w:sz w:val="16"/>
                <w:szCs w:val="16"/>
              </w:rPr>
              <w:t>Custeio/invest. outras emendas impositivas</w:t>
            </w:r>
          </w:p>
        </w:tc>
        <w:tc>
          <w:tcPr>
            <w:tcW w:w="119" w:type="pct"/>
            <w:tcBorders>
              <w:top w:val="nil"/>
              <w:left w:val="nil"/>
              <w:bottom w:val="nil"/>
              <w:right w:val="nil"/>
            </w:tcBorders>
            <w:shd w:val="clear" w:color="auto" w:fill="auto"/>
            <w:vAlign w:val="center"/>
            <w:hideMark/>
          </w:tcPr>
          <w:p w14:paraId="2D963D21" w14:textId="77777777" w:rsidR="00F376DC" w:rsidRPr="00F376DC" w:rsidRDefault="00F376DC">
            <w:pPr>
              <w:jc w:val="both"/>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hideMark/>
          </w:tcPr>
          <w:p w14:paraId="77B3DD5F" w14:textId="77777777" w:rsidR="00F376DC" w:rsidRPr="00F376DC" w:rsidRDefault="00F376DC">
            <w:pPr>
              <w:jc w:val="right"/>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hideMark/>
          </w:tcPr>
          <w:p w14:paraId="4A40832B" w14:textId="77777777" w:rsidR="00F376DC" w:rsidRPr="00F376DC" w:rsidRDefault="00F376DC">
            <w:pPr>
              <w:jc w:val="right"/>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hideMark/>
          </w:tcPr>
          <w:p w14:paraId="27F4D3A0" w14:textId="77777777" w:rsidR="00F376DC" w:rsidRPr="00F376DC" w:rsidRDefault="00F376DC">
            <w:pPr>
              <w:jc w:val="right"/>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hideMark/>
          </w:tcPr>
          <w:p w14:paraId="76677424"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0</w:t>
            </w:r>
          </w:p>
        </w:tc>
        <w:tc>
          <w:tcPr>
            <w:tcW w:w="622" w:type="pct"/>
            <w:tcBorders>
              <w:top w:val="nil"/>
              <w:left w:val="nil"/>
              <w:bottom w:val="nil"/>
              <w:right w:val="nil"/>
            </w:tcBorders>
            <w:shd w:val="clear" w:color="auto" w:fill="auto"/>
            <w:vAlign w:val="center"/>
            <w:hideMark/>
          </w:tcPr>
          <w:p w14:paraId="79DF932B"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0</w:t>
            </w:r>
          </w:p>
        </w:tc>
      </w:tr>
      <w:tr w:rsidR="00F376DC" w:rsidRPr="00F376DC" w14:paraId="6F9A85F8" w14:textId="77777777" w:rsidTr="00F376DC">
        <w:trPr>
          <w:trHeight w:hRule="exact" w:val="227"/>
        </w:trPr>
        <w:tc>
          <w:tcPr>
            <w:tcW w:w="690" w:type="pct"/>
            <w:tcBorders>
              <w:top w:val="nil"/>
              <w:left w:val="nil"/>
              <w:bottom w:val="nil"/>
              <w:right w:val="nil"/>
            </w:tcBorders>
            <w:shd w:val="clear" w:color="000000" w:fill="FFFFFF"/>
            <w:noWrap/>
            <w:vAlign w:val="center"/>
            <w:hideMark/>
          </w:tcPr>
          <w:p w14:paraId="3FBAF7EB" w14:textId="77777777" w:rsidR="00F376DC" w:rsidRPr="00F376DC" w:rsidRDefault="00F376DC">
            <w:pPr>
              <w:jc w:val="center"/>
              <w:rPr>
                <w:rFonts w:asciiTheme="minorHAnsi" w:hAnsiTheme="minorHAnsi" w:cstheme="minorHAnsi"/>
                <w:color w:val="000000"/>
                <w:sz w:val="16"/>
                <w:szCs w:val="16"/>
              </w:rPr>
            </w:pPr>
            <w:r w:rsidRPr="00F376DC">
              <w:rPr>
                <w:rFonts w:asciiTheme="minorHAnsi" w:hAnsiTheme="minorHAnsi" w:cstheme="minorHAnsi"/>
                <w:sz w:val="16"/>
                <w:szCs w:val="16"/>
              </w:rPr>
              <w:t>409</w:t>
            </w:r>
          </w:p>
        </w:tc>
        <w:tc>
          <w:tcPr>
            <w:tcW w:w="2590" w:type="pct"/>
            <w:tcBorders>
              <w:top w:val="nil"/>
              <w:left w:val="nil"/>
              <w:bottom w:val="nil"/>
              <w:right w:val="nil"/>
            </w:tcBorders>
            <w:shd w:val="clear" w:color="000000" w:fill="FFFFFF"/>
            <w:noWrap/>
            <w:vAlign w:val="center"/>
            <w:hideMark/>
          </w:tcPr>
          <w:p w14:paraId="02C5CE89" w14:textId="77777777" w:rsidR="00F376DC" w:rsidRPr="00F376DC" w:rsidRDefault="00F376DC">
            <w:pPr>
              <w:jc w:val="both"/>
              <w:rPr>
                <w:rFonts w:asciiTheme="minorHAnsi" w:hAnsiTheme="minorHAnsi" w:cstheme="minorHAnsi"/>
                <w:color w:val="000000"/>
                <w:sz w:val="16"/>
                <w:szCs w:val="16"/>
              </w:rPr>
            </w:pPr>
            <w:r w:rsidRPr="00F376DC">
              <w:rPr>
                <w:rFonts w:asciiTheme="minorHAnsi" w:hAnsiTheme="minorHAnsi" w:cstheme="minorHAnsi"/>
                <w:sz w:val="16"/>
                <w:szCs w:val="16"/>
              </w:rPr>
              <w:t>Emendas Resultado EOF -9</w:t>
            </w:r>
          </w:p>
        </w:tc>
        <w:tc>
          <w:tcPr>
            <w:tcW w:w="119" w:type="pct"/>
            <w:tcBorders>
              <w:top w:val="nil"/>
              <w:left w:val="nil"/>
              <w:bottom w:val="nil"/>
              <w:right w:val="nil"/>
            </w:tcBorders>
            <w:shd w:val="clear" w:color="auto" w:fill="auto"/>
            <w:vAlign w:val="center"/>
            <w:hideMark/>
          </w:tcPr>
          <w:p w14:paraId="79912147" w14:textId="77777777" w:rsidR="00F376DC" w:rsidRPr="00F376DC" w:rsidRDefault="00F376DC">
            <w:pPr>
              <w:jc w:val="both"/>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hideMark/>
          </w:tcPr>
          <w:p w14:paraId="4FB693E2" w14:textId="77777777" w:rsidR="00F376DC" w:rsidRPr="00F376DC" w:rsidRDefault="00F376DC">
            <w:pPr>
              <w:jc w:val="right"/>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hideMark/>
          </w:tcPr>
          <w:p w14:paraId="2A543605" w14:textId="77777777" w:rsidR="00F376DC" w:rsidRPr="00F376DC" w:rsidRDefault="00F376DC">
            <w:pPr>
              <w:jc w:val="right"/>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hideMark/>
          </w:tcPr>
          <w:p w14:paraId="7BA92D63" w14:textId="77777777" w:rsidR="00F376DC" w:rsidRPr="00F376DC" w:rsidRDefault="00F376DC">
            <w:pPr>
              <w:jc w:val="right"/>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hideMark/>
          </w:tcPr>
          <w:p w14:paraId="243F2B6C" w14:textId="4B91E7C1" w:rsidR="00F376DC" w:rsidRPr="00F376DC" w:rsidRDefault="000B6330">
            <w:pPr>
              <w:jc w:val="right"/>
              <w:rPr>
                <w:rFonts w:asciiTheme="minorHAnsi" w:hAnsiTheme="minorHAnsi" w:cstheme="minorHAnsi"/>
                <w:color w:val="000000"/>
                <w:sz w:val="16"/>
                <w:szCs w:val="16"/>
              </w:rPr>
            </w:pPr>
            <w:r>
              <w:rPr>
                <w:rFonts w:asciiTheme="minorHAnsi" w:hAnsiTheme="minorHAnsi" w:cstheme="minorHAnsi"/>
                <w:color w:val="000000"/>
                <w:sz w:val="16"/>
                <w:szCs w:val="16"/>
              </w:rPr>
              <w:t>1.437.931</w:t>
            </w:r>
          </w:p>
        </w:tc>
        <w:tc>
          <w:tcPr>
            <w:tcW w:w="622" w:type="pct"/>
            <w:tcBorders>
              <w:top w:val="nil"/>
              <w:left w:val="nil"/>
              <w:bottom w:val="nil"/>
              <w:right w:val="nil"/>
            </w:tcBorders>
            <w:shd w:val="clear" w:color="auto" w:fill="auto"/>
            <w:vAlign w:val="center"/>
            <w:hideMark/>
          </w:tcPr>
          <w:p w14:paraId="26719CD6"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523.505</w:t>
            </w:r>
          </w:p>
        </w:tc>
      </w:tr>
      <w:tr w:rsidR="00F376DC" w:rsidRPr="00F376DC" w14:paraId="370CC9A2" w14:textId="77777777" w:rsidTr="00F376DC">
        <w:trPr>
          <w:trHeight w:hRule="exact" w:val="227"/>
        </w:trPr>
        <w:tc>
          <w:tcPr>
            <w:tcW w:w="690" w:type="pct"/>
            <w:tcBorders>
              <w:top w:val="nil"/>
              <w:left w:val="nil"/>
              <w:bottom w:val="nil"/>
              <w:right w:val="nil"/>
            </w:tcBorders>
            <w:shd w:val="clear" w:color="000000" w:fill="FFFFFF"/>
            <w:noWrap/>
            <w:vAlign w:val="center"/>
            <w:hideMark/>
          </w:tcPr>
          <w:p w14:paraId="16127F32" w14:textId="77777777" w:rsidR="00F376DC" w:rsidRPr="00F376DC" w:rsidRDefault="00F376DC">
            <w:pPr>
              <w:jc w:val="center"/>
              <w:rPr>
                <w:rFonts w:asciiTheme="minorHAnsi" w:hAnsiTheme="minorHAnsi" w:cstheme="minorHAnsi"/>
                <w:color w:val="000000"/>
                <w:sz w:val="16"/>
                <w:szCs w:val="16"/>
              </w:rPr>
            </w:pPr>
            <w:r w:rsidRPr="00F376DC">
              <w:rPr>
                <w:rFonts w:asciiTheme="minorHAnsi" w:hAnsiTheme="minorHAnsi" w:cstheme="minorHAnsi"/>
                <w:sz w:val="16"/>
                <w:szCs w:val="16"/>
              </w:rPr>
              <w:t>412</w:t>
            </w:r>
          </w:p>
        </w:tc>
        <w:tc>
          <w:tcPr>
            <w:tcW w:w="2590" w:type="pct"/>
            <w:tcBorders>
              <w:top w:val="nil"/>
              <w:left w:val="nil"/>
              <w:bottom w:val="nil"/>
              <w:right w:val="nil"/>
            </w:tcBorders>
            <w:shd w:val="clear" w:color="000000" w:fill="FFFFFF"/>
            <w:noWrap/>
            <w:vAlign w:val="center"/>
            <w:hideMark/>
          </w:tcPr>
          <w:p w14:paraId="5EA65DA1" w14:textId="77777777" w:rsidR="00F376DC" w:rsidRPr="00F376DC" w:rsidRDefault="00F376DC">
            <w:pPr>
              <w:jc w:val="both"/>
              <w:rPr>
                <w:rFonts w:asciiTheme="minorHAnsi" w:hAnsiTheme="minorHAnsi" w:cstheme="minorHAnsi"/>
                <w:color w:val="000000"/>
                <w:sz w:val="16"/>
                <w:szCs w:val="16"/>
              </w:rPr>
            </w:pPr>
            <w:r w:rsidRPr="00F376DC">
              <w:rPr>
                <w:rFonts w:asciiTheme="minorHAnsi" w:hAnsiTheme="minorHAnsi" w:cstheme="minorHAnsi"/>
                <w:sz w:val="16"/>
                <w:szCs w:val="16"/>
              </w:rPr>
              <w:t>Pagamento de cartão de crédito</w:t>
            </w:r>
          </w:p>
        </w:tc>
        <w:tc>
          <w:tcPr>
            <w:tcW w:w="119" w:type="pct"/>
            <w:tcBorders>
              <w:top w:val="nil"/>
              <w:left w:val="nil"/>
              <w:bottom w:val="nil"/>
              <w:right w:val="nil"/>
            </w:tcBorders>
            <w:shd w:val="clear" w:color="auto" w:fill="auto"/>
            <w:vAlign w:val="center"/>
            <w:hideMark/>
          </w:tcPr>
          <w:p w14:paraId="2F62D9BB" w14:textId="77777777" w:rsidR="00F376DC" w:rsidRPr="00F376DC" w:rsidRDefault="00F376DC">
            <w:pPr>
              <w:jc w:val="both"/>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hideMark/>
          </w:tcPr>
          <w:p w14:paraId="7E47B884" w14:textId="77777777" w:rsidR="00F376DC" w:rsidRPr="00F376DC" w:rsidRDefault="00F376DC">
            <w:pPr>
              <w:jc w:val="right"/>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hideMark/>
          </w:tcPr>
          <w:p w14:paraId="207E9B23" w14:textId="77777777" w:rsidR="00F376DC" w:rsidRPr="00F376DC" w:rsidRDefault="00F376DC">
            <w:pPr>
              <w:jc w:val="right"/>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hideMark/>
          </w:tcPr>
          <w:p w14:paraId="341258DE" w14:textId="77777777" w:rsidR="00F376DC" w:rsidRPr="00F376DC" w:rsidRDefault="00F376DC">
            <w:pPr>
              <w:jc w:val="right"/>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hideMark/>
          </w:tcPr>
          <w:p w14:paraId="3EE81D9B"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0</w:t>
            </w:r>
          </w:p>
        </w:tc>
        <w:tc>
          <w:tcPr>
            <w:tcW w:w="622" w:type="pct"/>
            <w:tcBorders>
              <w:top w:val="nil"/>
              <w:left w:val="nil"/>
              <w:bottom w:val="nil"/>
              <w:right w:val="nil"/>
            </w:tcBorders>
            <w:shd w:val="clear" w:color="auto" w:fill="auto"/>
            <w:vAlign w:val="center"/>
            <w:hideMark/>
          </w:tcPr>
          <w:p w14:paraId="69C49ECB"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0</w:t>
            </w:r>
          </w:p>
        </w:tc>
      </w:tr>
      <w:tr w:rsidR="00F376DC" w:rsidRPr="00F376DC" w14:paraId="2310E141" w14:textId="77777777" w:rsidTr="00F376DC">
        <w:trPr>
          <w:trHeight w:hRule="exact" w:val="227"/>
        </w:trPr>
        <w:tc>
          <w:tcPr>
            <w:tcW w:w="690" w:type="pct"/>
            <w:tcBorders>
              <w:top w:val="nil"/>
              <w:left w:val="nil"/>
              <w:bottom w:val="nil"/>
              <w:right w:val="nil"/>
            </w:tcBorders>
            <w:shd w:val="clear" w:color="000000" w:fill="FFFFFF"/>
            <w:noWrap/>
            <w:vAlign w:val="center"/>
            <w:hideMark/>
          </w:tcPr>
          <w:p w14:paraId="00A0174F" w14:textId="77777777" w:rsidR="00F376DC" w:rsidRPr="00F376DC" w:rsidRDefault="00F376DC">
            <w:pPr>
              <w:jc w:val="center"/>
              <w:rPr>
                <w:rFonts w:asciiTheme="minorHAnsi" w:hAnsiTheme="minorHAnsi" w:cstheme="minorHAnsi"/>
                <w:color w:val="000000"/>
                <w:sz w:val="16"/>
                <w:szCs w:val="16"/>
              </w:rPr>
            </w:pPr>
            <w:r w:rsidRPr="00F376DC">
              <w:rPr>
                <w:rFonts w:asciiTheme="minorHAnsi" w:hAnsiTheme="minorHAnsi" w:cstheme="minorHAnsi"/>
                <w:sz w:val="16"/>
                <w:szCs w:val="16"/>
              </w:rPr>
              <w:t>415</w:t>
            </w:r>
          </w:p>
        </w:tc>
        <w:tc>
          <w:tcPr>
            <w:tcW w:w="2590" w:type="pct"/>
            <w:tcBorders>
              <w:top w:val="nil"/>
              <w:left w:val="nil"/>
              <w:bottom w:val="nil"/>
              <w:right w:val="nil"/>
            </w:tcBorders>
            <w:shd w:val="clear" w:color="000000" w:fill="FFFFFF"/>
            <w:noWrap/>
            <w:vAlign w:val="center"/>
            <w:hideMark/>
          </w:tcPr>
          <w:p w14:paraId="18AAE1CE" w14:textId="77777777" w:rsidR="00F376DC" w:rsidRPr="00F376DC" w:rsidRDefault="00F376DC">
            <w:pPr>
              <w:jc w:val="both"/>
              <w:rPr>
                <w:rFonts w:asciiTheme="minorHAnsi" w:hAnsiTheme="minorHAnsi" w:cstheme="minorHAnsi"/>
                <w:color w:val="000000"/>
                <w:sz w:val="16"/>
                <w:szCs w:val="16"/>
              </w:rPr>
            </w:pPr>
            <w:r w:rsidRPr="00F376DC">
              <w:rPr>
                <w:rFonts w:asciiTheme="minorHAnsi" w:hAnsiTheme="minorHAnsi" w:cstheme="minorHAnsi"/>
                <w:sz w:val="16"/>
                <w:szCs w:val="16"/>
              </w:rPr>
              <w:t xml:space="preserve">Custeio/invest. projeto piloto </w:t>
            </w:r>
          </w:p>
        </w:tc>
        <w:tc>
          <w:tcPr>
            <w:tcW w:w="119" w:type="pct"/>
            <w:tcBorders>
              <w:top w:val="nil"/>
              <w:left w:val="nil"/>
              <w:bottom w:val="nil"/>
              <w:right w:val="nil"/>
            </w:tcBorders>
            <w:shd w:val="clear" w:color="auto" w:fill="auto"/>
            <w:vAlign w:val="center"/>
            <w:hideMark/>
          </w:tcPr>
          <w:p w14:paraId="6EA566D6" w14:textId="77777777" w:rsidR="00F376DC" w:rsidRPr="00F376DC" w:rsidRDefault="00F376DC">
            <w:pPr>
              <w:jc w:val="both"/>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hideMark/>
          </w:tcPr>
          <w:p w14:paraId="5A6724A0" w14:textId="77777777" w:rsidR="00F376DC" w:rsidRPr="00F376DC" w:rsidRDefault="00F376DC">
            <w:pPr>
              <w:jc w:val="right"/>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hideMark/>
          </w:tcPr>
          <w:p w14:paraId="41F5008A" w14:textId="77777777" w:rsidR="00F376DC" w:rsidRPr="00F376DC" w:rsidRDefault="00F376DC">
            <w:pPr>
              <w:jc w:val="right"/>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hideMark/>
          </w:tcPr>
          <w:p w14:paraId="6F2295FB" w14:textId="77777777" w:rsidR="00F376DC" w:rsidRPr="00F376DC" w:rsidRDefault="00F376DC">
            <w:pPr>
              <w:jc w:val="right"/>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hideMark/>
          </w:tcPr>
          <w:p w14:paraId="1CE0B4F3"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0</w:t>
            </w:r>
          </w:p>
        </w:tc>
        <w:tc>
          <w:tcPr>
            <w:tcW w:w="622" w:type="pct"/>
            <w:tcBorders>
              <w:top w:val="nil"/>
              <w:left w:val="nil"/>
              <w:bottom w:val="nil"/>
              <w:right w:val="nil"/>
            </w:tcBorders>
            <w:shd w:val="clear" w:color="auto" w:fill="auto"/>
            <w:vAlign w:val="center"/>
            <w:hideMark/>
          </w:tcPr>
          <w:p w14:paraId="738A7E01"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0</w:t>
            </w:r>
          </w:p>
        </w:tc>
      </w:tr>
      <w:tr w:rsidR="00F376DC" w:rsidRPr="00F376DC" w14:paraId="132D53B1" w14:textId="77777777" w:rsidTr="00F376DC">
        <w:trPr>
          <w:trHeight w:hRule="exact" w:val="227"/>
        </w:trPr>
        <w:tc>
          <w:tcPr>
            <w:tcW w:w="690" w:type="pct"/>
            <w:tcBorders>
              <w:top w:val="nil"/>
              <w:left w:val="nil"/>
              <w:bottom w:val="nil"/>
              <w:right w:val="nil"/>
            </w:tcBorders>
            <w:shd w:val="clear" w:color="000000" w:fill="FFFFFF"/>
            <w:noWrap/>
            <w:vAlign w:val="center"/>
            <w:hideMark/>
          </w:tcPr>
          <w:p w14:paraId="599E3BE0" w14:textId="77777777" w:rsidR="00F376DC" w:rsidRPr="00F376DC" w:rsidRDefault="00F376DC">
            <w:pPr>
              <w:jc w:val="center"/>
              <w:rPr>
                <w:rFonts w:asciiTheme="minorHAnsi" w:hAnsiTheme="minorHAnsi" w:cstheme="minorHAnsi"/>
                <w:color w:val="000000"/>
                <w:sz w:val="16"/>
                <w:szCs w:val="16"/>
              </w:rPr>
            </w:pPr>
            <w:r w:rsidRPr="00F376DC">
              <w:rPr>
                <w:rFonts w:asciiTheme="minorHAnsi" w:hAnsiTheme="minorHAnsi" w:cstheme="minorHAnsi"/>
                <w:sz w:val="16"/>
                <w:szCs w:val="16"/>
              </w:rPr>
              <w:t>500</w:t>
            </w:r>
          </w:p>
        </w:tc>
        <w:tc>
          <w:tcPr>
            <w:tcW w:w="2590" w:type="pct"/>
            <w:tcBorders>
              <w:top w:val="nil"/>
              <w:left w:val="nil"/>
              <w:bottom w:val="nil"/>
              <w:right w:val="nil"/>
            </w:tcBorders>
            <w:shd w:val="clear" w:color="000000" w:fill="FFFFFF"/>
            <w:noWrap/>
            <w:vAlign w:val="center"/>
            <w:hideMark/>
          </w:tcPr>
          <w:p w14:paraId="266BE23C" w14:textId="77777777" w:rsidR="00F376DC" w:rsidRPr="00F376DC" w:rsidRDefault="00F376DC">
            <w:pPr>
              <w:jc w:val="both"/>
              <w:rPr>
                <w:rFonts w:asciiTheme="minorHAnsi" w:hAnsiTheme="minorHAnsi" w:cstheme="minorHAnsi"/>
                <w:color w:val="000000"/>
                <w:sz w:val="16"/>
                <w:szCs w:val="16"/>
              </w:rPr>
            </w:pPr>
            <w:r w:rsidRPr="00F376DC">
              <w:rPr>
                <w:rFonts w:asciiTheme="minorHAnsi" w:hAnsiTheme="minorHAnsi" w:cstheme="minorHAnsi"/>
                <w:sz w:val="16"/>
                <w:szCs w:val="16"/>
              </w:rPr>
              <w:t>Custeio e investimento</w:t>
            </w:r>
          </w:p>
        </w:tc>
        <w:tc>
          <w:tcPr>
            <w:tcW w:w="119" w:type="pct"/>
            <w:tcBorders>
              <w:top w:val="nil"/>
              <w:left w:val="nil"/>
              <w:bottom w:val="nil"/>
              <w:right w:val="nil"/>
            </w:tcBorders>
            <w:shd w:val="clear" w:color="auto" w:fill="auto"/>
            <w:vAlign w:val="center"/>
            <w:hideMark/>
          </w:tcPr>
          <w:p w14:paraId="13D2D3D1" w14:textId="77777777" w:rsidR="00F376DC" w:rsidRPr="00F376DC" w:rsidRDefault="00F376DC">
            <w:pPr>
              <w:jc w:val="both"/>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hideMark/>
          </w:tcPr>
          <w:p w14:paraId="1A14BF5C" w14:textId="77777777" w:rsidR="00F376DC" w:rsidRPr="00F376DC" w:rsidRDefault="00F376DC">
            <w:pPr>
              <w:jc w:val="right"/>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hideMark/>
          </w:tcPr>
          <w:p w14:paraId="28FDFC5F" w14:textId="77777777" w:rsidR="00F376DC" w:rsidRPr="00F376DC" w:rsidRDefault="00F376DC">
            <w:pPr>
              <w:jc w:val="right"/>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hideMark/>
          </w:tcPr>
          <w:p w14:paraId="32C79B15" w14:textId="77777777" w:rsidR="00F376DC" w:rsidRPr="00F376DC" w:rsidRDefault="00F376DC">
            <w:pPr>
              <w:jc w:val="right"/>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hideMark/>
          </w:tcPr>
          <w:p w14:paraId="2E9554EA"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0</w:t>
            </w:r>
          </w:p>
        </w:tc>
        <w:tc>
          <w:tcPr>
            <w:tcW w:w="622" w:type="pct"/>
            <w:tcBorders>
              <w:top w:val="nil"/>
              <w:left w:val="nil"/>
              <w:bottom w:val="nil"/>
              <w:right w:val="nil"/>
            </w:tcBorders>
            <w:shd w:val="clear" w:color="auto" w:fill="auto"/>
            <w:vAlign w:val="center"/>
            <w:hideMark/>
          </w:tcPr>
          <w:p w14:paraId="31E75825"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7.322.036</w:t>
            </w:r>
          </w:p>
        </w:tc>
      </w:tr>
      <w:tr w:rsidR="00F376DC" w:rsidRPr="00F376DC" w14:paraId="0CD963FC" w14:textId="77777777" w:rsidTr="00F376DC">
        <w:trPr>
          <w:trHeight w:hRule="exact" w:val="227"/>
        </w:trPr>
        <w:tc>
          <w:tcPr>
            <w:tcW w:w="690" w:type="pct"/>
            <w:tcBorders>
              <w:top w:val="nil"/>
              <w:left w:val="nil"/>
              <w:bottom w:val="nil"/>
              <w:right w:val="nil"/>
            </w:tcBorders>
            <w:shd w:val="clear" w:color="000000" w:fill="FFFFFF"/>
            <w:noWrap/>
            <w:vAlign w:val="center"/>
            <w:hideMark/>
          </w:tcPr>
          <w:p w14:paraId="4CF07562" w14:textId="77777777" w:rsidR="00F376DC" w:rsidRPr="00F376DC" w:rsidRDefault="00F376DC">
            <w:pPr>
              <w:jc w:val="center"/>
              <w:rPr>
                <w:rFonts w:asciiTheme="minorHAnsi" w:hAnsiTheme="minorHAnsi" w:cstheme="minorHAnsi"/>
                <w:color w:val="000000"/>
                <w:sz w:val="16"/>
                <w:szCs w:val="16"/>
              </w:rPr>
            </w:pPr>
            <w:r w:rsidRPr="00F376DC">
              <w:rPr>
                <w:rFonts w:asciiTheme="minorHAnsi" w:hAnsiTheme="minorHAnsi" w:cstheme="minorHAnsi"/>
                <w:sz w:val="16"/>
                <w:szCs w:val="16"/>
              </w:rPr>
              <w:t>510</w:t>
            </w:r>
          </w:p>
        </w:tc>
        <w:tc>
          <w:tcPr>
            <w:tcW w:w="2590" w:type="pct"/>
            <w:tcBorders>
              <w:top w:val="nil"/>
              <w:left w:val="nil"/>
              <w:bottom w:val="nil"/>
              <w:right w:val="nil"/>
            </w:tcBorders>
            <w:shd w:val="clear" w:color="000000" w:fill="FFFFFF"/>
            <w:noWrap/>
            <w:vAlign w:val="center"/>
            <w:hideMark/>
          </w:tcPr>
          <w:p w14:paraId="3FD40067" w14:textId="77777777" w:rsidR="00F376DC" w:rsidRPr="00F376DC" w:rsidRDefault="00F376DC">
            <w:pPr>
              <w:jc w:val="both"/>
              <w:rPr>
                <w:rFonts w:asciiTheme="minorHAnsi" w:hAnsiTheme="minorHAnsi" w:cstheme="minorHAnsi"/>
                <w:color w:val="000000"/>
                <w:sz w:val="16"/>
                <w:szCs w:val="16"/>
              </w:rPr>
            </w:pPr>
            <w:r w:rsidRPr="00F376DC">
              <w:rPr>
                <w:rFonts w:asciiTheme="minorHAnsi" w:hAnsiTheme="minorHAnsi" w:cstheme="minorHAnsi"/>
                <w:sz w:val="16"/>
                <w:szCs w:val="16"/>
              </w:rPr>
              <w:t xml:space="preserve">Custeio pgto. pessoal/auxílios        </w:t>
            </w:r>
          </w:p>
        </w:tc>
        <w:tc>
          <w:tcPr>
            <w:tcW w:w="119" w:type="pct"/>
            <w:tcBorders>
              <w:top w:val="nil"/>
              <w:left w:val="nil"/>
              <w:bottom w:val="nil"/>
              <w:right w:val="nil"/>
            </w:tcBorders>
            <w:shd w:val="clear" w:color="auto" w:fill="auto"/>
            <w:vAlign w:val="center"/>
            <w:hideMark/>
          </w:tcPr>
          <w:p w14:paraId="4320340D" w14:textId="77777777" w:rsidR="00F376DC" w:rsidRPr="00F376DC" w:rsidRDefault="00F376DC">
            <w:pPr>
              <w:jc w:val="both"/>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hideMark/>
          </w:tcPr>
          <w:p w14:paraId="4579BF3F" w14:textId="77777777" w:rsidR="00F376DC" w:rsidRPr="00F376DC" w:rsidRDefault="00F376DC">
            <w:pPr>
              <w:jc w:val="right"/>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hideMark/>
          </w:tcPr>
          <w:p w14:paraId="6AAABCA2" w14:textId="77777777" w:rsidR="00F376DC" w:rsidRPr="00F376DC" w:rsidRDefault="00F376DC">
            <w:pPr>
              <w:jc w:val="right"/>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hideMark/>
          </w:tcPr>
          <w:p w14:paraId="33139082" w14:textId="77777777" w:rsidR="00F376DC" w:rsidRPr="00F376DC" w:rsidRDefault="00F376DC">
            <w:pPr>
              <w:jc w:val="right"/>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hideMark/>
          </w:tcPr>
          <w:p w14:paraId="109B9628" w14:textId="0CD42E4E"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1.</w:t>
            </w:r>
            <w:r w:rsidR="000B6330">
              <w:rPr>
                <w:rFonts w:asciiTheme="minorHAnsi" w:hAnsiTheme="minorHAnsi" w:cstheme="minorHAnsi"/>
                <w:color w:val="000000"/>
                <w:sz w:val="16"/>
                <w:szCs w:val="16"/>
              </w:rPr>
              <w:t>298.369</w:t>
            </w:r>
          </w:p>
        </w:tc>
        <w:tc>
          <w:tcPr>
            <w:tcW w:w="622" w:type="pct"/>
            <w:tcBorders>
              <w:top w:val="nil"/>
              <w:left w:val="nil"/>
              <w:bottom w:val="nil"/>
              <w:right w:val="nil"/>
            </w:tcBorders>
            <w:shd w:val="clear" w:color="auto" w:fill="auto"/>
            <w:vAlign w:val="center"/>
            <w:hideMark/>
          </w:tcPr>
          <w:p w14:paraId="3BDC4896"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288.786</w:t>
            </w:r>
          </w:p>
        </w:tc>
      </w:tr>
      <w:tr w:rsidR="00F376DC" w:rsidRPr="00F376DC" w14:paraId="147EEBAD" w14:textId="77777777" w:rsidTr="00F376DC">
        <w:trPr>
          <w:trHeight w:hRule="exact" w:val="227"/>
        </w:trPr>
        <w:tc>
          <w:tcPr>
            <w:tcW w:w="690" w:type="pct"/>
            <w:tcBorders>
              <w:top w:val="nil"/>
              <w:left w:val="nil"/>
              <w:bottom w:val="nil"/>
              <w:right w:val="nil"/>
            </w:tcBorders>
            <w:shd w:val="clear" w:color="000000" w:fill="FFFFFF"/>
            <w:noWrap/>
            <w:vAlign w:val="center"/>
            <w:hideMark/>
          </w:tcPr>
          <w:p w14:paraId="0ADD6496" w14:textId="77777777" w:rsidR="00F376DC" w:rsidRPr="00F376DC" w:rsidRDefault="00F376DC">
            <w:pPr>
              <w:jc w:val="center"/>
              <w:rPr>
                <w:rFonts w:asciiTheme="minorHAnsi" w:hAnsiTheme="minorHAnsi" w:cstheme="minorHAnsi"/>
                <w:color w:val="000000"/>
                <w:sz w:val="16"/>
                <w:szCs w:val="16"/>
              </w:rPr>
            </w:pPr>
            <w:r w:rsidRPr="00F376DC">
              <w:rPr>
                <w:rFonts w:asciiTheme="minorHAnsi" w:hAnsiTheme="minorHAnsi" w:cstheme="minorHAnsi"/>
                <w:sz w:val="16"/>
                <w:szCs w:val="16"/>
              </w:rPr>
              <w:t>514</w:t>
            </w:r>
          </w:p>
        </w:tc>
        <w:tc>
          <w:tcPr>
            <w:tcW w:w="2590" w:type="pct"/>
            <w:tcBorders>
              <w:top w:val="nil"/>
              <w:left w:val="nil"/>
              <w:bottom w:val="nil"/>
              <w:right w:val="nil"/>
            </w:tcBorders>
            <w:shd w:val="clear" w:color="000000" w:fill="FFFFFF"/>
            <w:noWrap/>
            <w:vAlign w:val="center"/>
            <w:hideMark/>
          </w:tcPr>
          <w:p w14:paraId="6A687E25" w14:textId="77777777" w:rsidR="00F376DC" w:rsidRPr="00F376DC" w:rsidRDefault="00F376DC">
            <w:pPr>
              <w:jc w:val="both"/>
              <w:rPr>
                <w:rFonts w:asciiTheme="minorHAnsi" w:hAnsiTheme="minorHAnsi" w:cstheme="minorHAnsi"/>
                <w:color w:val="000000"/>
                <w:sz w:val="16"/>
                <w:szCs w:val="16"/>
              </w:rPr>
            </w:pPr>
            <w:r w:rsidRPr="00F376DC">
              <w:rPr>
                <w:rFonts w:asciiTheme="minorHAnsi" w:hAnsiTheme="minorHAnsi" w:cstheme="minorHAnsi"/>
                <w:sz w:val="16"/>
                <w:szCs w:val="16"/>
              </w:rPr>
              <w:t>Custeio Pagamento Pessoal/Auxílios- Resultado. Primário</w:t>
            </w:r>
          </w:p>
        </w:tc>
        <w:tc>
          <w:tcPr>
            <w:tcW w:w="119" w:type="pct"/>
            <w:tcBorders>
              <w:top w:val="nil"/>
              <w:left w:val="nil"/>
              <w:bottom w:val="nil"/>
              <w:right w:val="nil"/>
            </w:tcBorders>
            <w:shd w:val="clear" w:color="auto" w:fill="auto"/>
            <w:vAlign w:val="center"/>
            <w:hideMark/>
          </w:tcPr>
          <w:p w14:paraId="45BC3F5C" w14:textId="77777777" w:rsidR="00F376DC" w:rsidRPr="00F376DC" w:rsidRDefault="00F376DC">
            <w:pPr>
              <w:jc w:val="both"/>
              <w:rPr>
                <w:rFonts w:asciiTheme="minorHAnsi" w:hAnsiTheme="minorHAnsi" w:cstheme="minorHAnsi"/>
                <w:color w:val="000000"/>
                <w:sz w:val="16"/>
                <w:szCs w:val="16"/>
              </w:rPr>
            </w:pPr>
          </w:p>
        </w:tc>
        <w:tc>
          <w:tcPr>
            <w:tcW w:w="119" w:type="pct"/>
            <w:tcBorders>
              <w:top w:val="nil"/>
              <w:left w:val="nil"/>
              <w:bottom w:val="nil"/>
              <w:right w:val="nil"/>
            </w:tcBorders>
            <w:shd w:val="clear" w:color="auto" w:fill="auto"/>
            <w:vAlign w:val="center"/>
            <w:hideMark/>
          </w:tcPr>
          <w:p w14:paraId="61D7982B" w14:textId="77777777" w:rsidR="00F376DC" w:rsidRPr="00F376DC" w:rsidRDefault="00F376DC">
            <w:pPr>
              <w:jc w:val="right"/>
              <w:rPr>
                <w:rFonts w:asciiTheme="minorHAnsi" w:hAnsiTheme="minorHAnsi" w:cstheme="minorHAnsi"/>
                <w:sz w:val="16"/>
                <w:szCs w:val="16"/>
              </w:rPr>
            </w:pPr>
          </w:p>
        </w:tc>
        <w:tc>
          <w:tcPr>
            <w:tcW w:w="119" w:type="pct"/>
            <w:tcBorders>
              <w:top w:val="nil"/>
              <w:left w:val="nil"/>
              <w:bottom w:val="nil"/>
              <w:right w:val="nil"/>
            </w:tcBorders>
            <w:shd w:val="clear" w:color="auto" w:fill="auto"/>
            <w:noWrap/>
            <w:vAlign w:val="center"/>
            <w:hideMark/>
          </w:tcPr>
          <w:p w14:paraId="26F58B1B" w14:textId="77777777" w:rsidR="00F376DC" w:rsidRPr="00F376DC" w:rsidRDefault="00F376DC">
            <w:pPr>
              <w:jc w:val="right"/>
              <w:rPr>
                <w:rFonts w:asciiTheme="minorHAnsi" w:hAnsiTheme="minorHAnsi" w:cstheme="minorHAnsi"/>
                <w:sz w:val="16"/>
                <w:szCs w:val="16"/>
              </w:rPr>
            </w:pPr>
          </w:p>
        </w:tc>
        <w:tc>
          <w:tcPr>
            <w:tcW w:w="119" w:type="pct"/>
            <w:tcBorders>
              <w:top w:val="nil"/>
              <w:left w:val="nil"/>
              <w:bottom w:val="nil"/>
              <w:right w:val="nil"/>
            </w:tcBorders>
            <w:shd w:val="clear" w:color="auto" w:fill="auto"/>
            <w:vAlign w:val="center"/>
            <w:hideMark/>
          </w:tcPr>
          <w:p w14:paraId="34E64A59" w14:textId="77777777" w:rsidR="00F376DC" w:rsidRPr="00F376DC" w:rsidRDefault="00F376DC">
            <w:pPr>
              <w:jc w:val="right"/>
              <w:rPr>
                <w:rFonts w:asciiTheme="minorHAnsi" w:hAnsiTheme="minorHAnsi" w:cstheme="minorHAnsi"/>
                <w:sz w:val="16"/>
                <w:szCs w:val="16"/>
              </w:rPr>
            </w:pPr>
          </w:p>
        </w:tc>
        <w:tc>
          <w:tcPr>
            <w:tcW w:w="622" w:type="pct"/>
            <w:tcBorders>
              <w:top w:val="nil"/>
              <w:left w:val="nil"/>
              <w:bottom w:val="nil"/>
              <w:right w:val="nil"/>
            </w:tcBorders>
            <w:shd w:val="clear" w:color="auto" w:fill="auto"/>
            <w:vAlign w:val="center"/>
            <w:hideMark/>
          </w:tcPr>
          <w:p w14:paraId="01BF1360" w14:textId="022DF4DF" w:rsidR="00F376DC" w:rsidRPr="00F376DC" w:rsidRDefault="000B6330">
            <w:pPr>
              <w:jc w:val="right"/>
              <w:rPr>
                <w:rFonts w:asciiTheme="minorHAnsi" w:hAnsiTheme="minorHAnsi" w:cstheme="minorHAnsi"/>
                <w:color w:val="000000"/>
                <w:sz w:val="16"/>
                <w:szCs w:val="16"/>
              </w:rPr>
            </w:pPr>
            <w:r>
              <w:rPr>
                <w:rFonts w:asciiTheme="minorHAnsi" w:hAnsiTheme="minorHAnsi" w:cstheme="minorHAnsi"/>
                <w:color w:val="000000"/>
                <w:sz w:val="16"/>
                <w:szCs w:val="16"/>
              </w:rPr>
              <w:t>62.366</w:t>
            </w:r>
          </w:p>
        </w:tc>
        <w:tc>
          <w:tcPr>
            <w:tcW w:w="622" w:type="pct"/>
            <w:tcBorders>
              <w:top w:val="nil"/>
              <w:left w:val="nil"/>
              <w:bottom w:val="nil"/>
              <w:right w:val="nil"/>
            </w:tcBorders>
            <w:shd w:val="clear" w:color="auto" w:fill="auto"/>
            <w:vAlign w:val="center"/>
            <w:hideMark/>
          </w:tcPr>
          <w:p w14:paraId="1A56F197"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43.687</w:t>
            </w:r>
          </w:p>
        </w:tc>
      </w:tr>
      <w:tr w:rsidR="00F376DC" w:rsidRPr="00F376DC" w14:paraId="2D27A0B9" w14:textId="77777777" w:rsidTr="00F376DC">
        <w:trPr>
          <w:trHeight w:hRule="exact" w:val="227"/>
        </w:trPr>
        <w:tc>
          <w:tcPr>
            <w:tcW w:w="690" w:type="pct"/>
            <w:tcBorders>
              <w:top w:val="nil"/>
              <w:left w:val="nil"/>
              <w:bottom w:val="single" w:sz="8" w:space="0" w:color="auto"/>
              <w:right w:val="nil"/>
            </w:tcBorders>
            <w:shd w:val="clear" w:color="000000" w:fill="FFFFFF"/>
            <w:noWrap/>
            <w:vAlign w:val="center"/>
            <w:hideMark/>
          </w:tcPr>
          <w:p w14:paraId="642410B4" w14:textId="77777777" w:rsidR="00F376DC" w:rsidRPr="00F376DC" w:rsidRDefault="00F376DC">
            <w:pPr>
              <w:jc w:val="center"/>
              <w:rPr>
                <w:rFonts w:asciiTheme="minorHAnsi" w:hAnsiTheme="minorHAnsi" w:cstheme="minorHAnsi"/>
                <w:color w:val="000000"/>
                <w:sz w:val="16"/>
                <w:szCs w:val="16"/>
              </w:rPr>
            </w:pPr>
            <w:r w:rsidRPr="00F376DC">
              <w:rPr>
                <w:rFonts w:asciiTheme="minorHAnsi" w:hAnsiTheme="minorHAnsi" w:cstheme="minorHAnsi"/>
                <w:sz w:val="16"/>
                <w:szCs w:val="16"/>
              </w:rPr>
              <w:t>551</w:t>
            </w:r>
          </w:p>
        </w:tc>
        <w:tc>
          <w:tcPr>
            <w:tcW w:w="2590" w:type="pct"/>
            <w:tcBorders>
              <w:top w:val="nil"/>
              <w:left w:val="nil"/>
              <w:bottom w:val="single" w:sz="8" w:space="0" w:color="auto"/>
              <w:right w:val="nil"/>
            </w:tcBorders>
            <w:shd w:val="clear" w:color="000000" w:fill="FFFFFF"/>
            <w:noWrap/>
            <w:vAlign w:val="center"/>
            <w:hideMark/>
          </w:tcPr>
          <w:p w14:paraId="56A1C6D2" w14:textId="77777777" w:rsidR="00F376DC" w:rsidRPr="00F376DC" w:rsidRDefault="00F376DC">
            <w:pPr>
              <w:jc w:val="both"/>
              <w:rPr>
                <w:rFonts w:asciiTheme="minorHAnsi" w:hAnsiTheme="minorHAnsi" w:cstheme="minorHAnsi"/>
                <w:color w:val="000000"/>
                <w:sz w:val="16"/>
                <w:szCs w:val="16"/>
              </w:rPr>
            </w:pPr>
            <w:r w:rsidRPr="00F376DC">
              <w:rPr>
                <w:rFonts w:asciiTheme="minorHAnsi" w:hAnsiTheme="minorHAnsi" w:cstheme="minorHAnsi"/>
                <w:sz w:val="16"/>
                <w:szCs w:val="16"/>
              </w:rPr>
              <w:t>Restituição de receita administrada</w:t>
            </w:r>
          </w:p>
        </w:tc>
        <w:tc>
          <w:tcPr>
            <w:tcW w:w="119" w:type="pct"/>
            <w:tcBorders>
              <w:top w:val="nil"/>
              <w:left w:val="nil"/>
              <w:bottom w:val="single" w:sz="8" w:space="0" w:color="auto"/>
              <w:right w:val="nil"/>
            </w:tcBorders>
            <w:shd w:val="clear" w:color="auto" w:fill="auto"/>
            <w:vAlign w:val="center"/>
            <w:hideMark/>
          </w:tcPr>
          <w:p w14:paraId="175542AE"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 </w:t>
            </w:r>
          </w:p>
        </w:tc>
        <w:tc>
          <w:tcPr>
            <w:tcW w:w="119" w:type="pct"/>
            <w:tcBorders>
              <w:top w:val="nil"/>
              <w:left w:val="nil"/>
              <w:bottom w:val="single" w:sz="8" w:space="0" w:color="auto"/>
              <w:right w:val="nil"/>
            </w:tcBorders>
            <w:shd w:val="clear" w:color="auto" w:fill="auto"/>
            <w:vAlign w:val="center"/>
            <w:hideMark/>
          </w:tcPr>
          <w:p w14:paraId="3CEBBF43"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 </w:t>
            </w:r>
          </w:p>
        </w:tc>
        <w:tc>
          <w:tcPr>
            <w:tcW w:w="119" w:type="pct"/>
            <w:tcBorders>
              <w:top w:val="nil"/>
              <w:left w:val="nil"/>
              <w:bottom w:val="single" w:sz="8" w:space="0" w:color="auto"/>
              <w:right w:val="nil"/>
            </w:tcBorders>
            <w:shd w:val="clear" w:color="auto" w:fill="auto"/>
            <w:noWrap/>
            <w:vAlign w:val="center"/>
            <w:hideMark/>
          </w:tcPr>
          <w:p w14:paraId="3B155411"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 </w:t>
            </w:r>
          </w:p>
        </w:tc>
        <w:tc>
          <w:tcPr>
            <w:tcW w:w="119" w:type="pct"/>
            <w:tcBorders>
              <w:top w:val="nil"/>
              <w:left w:val="nil"/>
              <w:bottom w:val="single" w:sz="8" w:space="0" w:color="auto"/>
              <w:right w:val="nil"/>
            </w:tcBorders>
            <w:shd w:val="clear" w:color="auto" w:fill="auto"/>
            <w:vAlign w:val="center"/>
            <w:hideMark/>
          </w:tcPr>
          <w:p w14:paraId="3C46EB24"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 </w:t>
            </w:r>
          </w:p>
        </w:tc>
        <w:tc>
          <w:tcPr>
            <w:tcW w:w="622" w:type="pct"/>
            <w:tcBorders>
              <w:top w:val="nil"/>
              <w:left w:val="nil"/>
              <w:bottom w:val="single" w:sz="8" w:space="0" w:color="auto"/>
              <w:right w:val="nil"/>
            </w:tcBorders>
            <w:shd w:val="clear" w:color="auto" w:fill="auto"/>
            <w:vAlign w:val="center"/>
            <w:hideMark/>
          </w:tcPr>
          <w:p w14:paraId="07B78B30"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0</w:t>
            </w:r>
          </w:p>
        </w:tc>
        <w:tc>
          <w:tcPr>
            <w:tcW w:w="622" w:type="pct"/>
            <w:tcBorders>
              <w:top w:val="nil"/>
              <w:left w:val="nil"/>
              <w:bottom w:val="single" w:sz="8" w:space="0" w:color="auto"/>
              <w:right w:val="nil"/>
            </w:tcBorders>
            <w:shd w:val="clear" w:color="auto" w:fill="auto"/>
            <w:vAlign w:val="center"/>
            <w:hideMark/>
          </w:tcPr>
          <w:p w14:paraId="27637260" w14:textId="77777777" w:rsidR="00F376DC" w:rsidRPr="00F376DC" w:rsidRDefault="00F376DC">
            <w:pPr>
              <w:jc w:val="right"/>
              <w:rPr>
                <w:rFonts w:asciiTheme="minorHAnsi" w:hAnsiTheme="minorHAnsi" w:cstheme="minorHAnsi"/>
                <w:color w:val="000000"/>
                <w:sz w:val="16"/>
                <w:szCs w:val="16"/>
              </w:rPr>
            </w:pPr>
            <w:r w:rsidRPr="00F376DC">
              <w:rPr>
                <w:rFonts w:asciiTheme="minorHAnsi" w:hAnsiTheme="minorHAnsi" w:cstheme="minorHAnsi"/>
                <w:color w:val="000000"/>
                <w:sz w:val="16"/>
                <w:szCs w:val="16"/>
              </w:rPr>
              <w:t>0</w:t>
            </w:r>
          </w:p>
        </w:tc>
      </w:tr>
      <w:tr w:rsidR="00F376DC" w:rsidRPr="00F376DC" w14:paraId="712AE7E3" w14:textId="77777777" w:rsidTr="00F376DC">
        <w:trPr>
          <w:trHeight w:hRule="exact" w:val="227"/>
        </w:trPr>
        <w:tc>
          <w:tcPr>
            <w:tcW w:w="690" w:type="pct"/>
            <w:tcBorders>
              <w:top w:val="nil"/>
              <w:left w:val="nil"/>
              <w:bottom w:val="single" w:sz="8" w:space="0" w:color="auto"/>
              <w:right w:val="nil"/>
            </w:tcBorders>
            <w:shd w:val="clear" w:color="000000" w:fill="FFFFFF"/>
            <w:noWrap/>
            <w:vAlign w:val="center"/>
            <w:hideMark/>
          </w:tcPr>
          <w:p w14:paraId="644D967F" w14:textId="77777777" w:rsidR="00F376DC" w:rsidRPr="00F376DC" w:rsidRDefault="00F376DC">
            <w:pPr>
              <w:rPr>
                <w:rFonts w:asciiTheme="minorHAnsi" w:hAnsiTheme="minorHAnsi" w:cstheme="minorHAnsi"/>
                <w:b/>
                <w:bCs/>
                <w:color w:val="000000"/>
                <w:sz w:val="16"/>
                <w:szCs w:val="16"/>
              </w:rPr>
            </w:pPr>
            <w:r w:rsidRPr="00F376DC">
              <w:rPr>
                <w:rFonts w:asciiTheme="minorHAnsi" w:hAnsiTheme="minorHAnsi" w:cstheme="minorHAnsi"/>
                <w:b/>
                <w:bCs/>
                <w:sz w:val="16"/>
                <w:szCs w:val="16"/>
              </w:rPr>
              <w:t xml:space="preserve">          TOTAL </w:t>
            </w:r>
          </w:p>
        </w:tc>
        <w:tc>
          <w:tcPr>
            <w:tcW w:w="2590" w:type="pct"/>
            <w:tcBorders>
              <w:top w:val="nil"/>
              <w:left w:val="nil"/>
              <w:bottom w:val="single" w:sz="8" w:space="0" w:color="auto"/>
              <w:right w:val="nil"/>
            </w:tcBorders>
            <w:shd w:val="clear" w:color="000000" w:fill="FFFFFF"/>
            <w:noWrap/>
            <w:vAlign w:val="bottom"/>
            <w:hideMark/>
          </w:tcPr>
          <w:p w14:paraId="0F93764F" w14:textId="77777777" w:rsidR="00F376DC" w:rsidRPr="00F376DC" w:rsidRDefault="00F376DC">
            <w:pPr>
              <w:rPr>
                <w:rFonts w:asciiTheme="minorHAnsi" w:hAnsiTheme="minorHAnsi" w:cstheme="minorHAnsi"/>
                <w:color w:val="000000"/>
                <w:sz w:val="16"/>
                <w:szCs w:val="16"/>
              </w:rPr>
            </w:pPr>
            <w:r w:rsidRPr="00F376DC">
              <w:rPr>
                <w:rFonts w:asciiTheme="minorHAnsi" w:hAnsiTheme="minorHAnsi" w:cstheme="minorHAnsi"/>
                <w:color w:val="000000"/>
                <w:sz w:val="16"/>
                <w:szCs w:val="16"/>
              </w:rPr>
              <w:t> </w:t>
            </w:r>
          </w:p>
        </w:tc>
        <w:tc>
          <w:tcPr>
            <w:tcW w:w="119" w:type="pct"/>
            <w:tcBorders>
              <w:top w:val="nil"/>
              <w:left w:val="nil"/>
              <w:bottom w:val="single" w:sz="8" w:space="0" w:color="auto"/>
              <w:right w:val="nil"/>
            </w:tcBorders>
            <w:shd w:val="clear" w:color="000000" w:fill="FFFFFF"/>
            <w:vAlign w:val="center"/>
            <w:hideMark/>
          </w:tcPr>
          <w:p w14:paraId="272E64F4" w14:textId="77777777" w:rsidR="00F376DC" w:rsidRPr="00F376DC" w:rsidRDefault="00F376DC">
            <w:pPr>
              <w:jc w:val="right"/>
              <w:rPr>
                <w:rFonts w:asciiTheme="minorHAnsi" w:hAnsiTheme="minorHAnsi" w:cstheme="minorHAnsi"/>
                <w:b/>
                <w:bCs/>
                <w:color w:val="000000"/>
                <w:sz w:val="16"/>
                <w:szCs w:val="16"/>
              </w:rPr>
            </w:pPr>
            <w:r w:rsidRPr="00F376DC">
              <w:rPr>
                <w:rFonts w:asciiTheme="minorHAnsi" w:hAnsiTheme="minorHAnsi" w:cstheme="minorHAnsi"/>
                <w:b/>
                <w:bCs/>
                <w:color w:val="000000"/>
                <w:sz w:val="16"/>
                <w:szCs w:val="16"/>
              </w:rPr>
              <w:t> </w:t>
            </w:r>
          </w:p>
        </w:tc>
        <w:tc>
          <w:tcPr>
            <w:tcW w:w="119" w:type="pct"/>
            <w:tcBorders>
              <w:top w:val="nil"/>
              <w:left w:val="nil"/>
              <w:bottom w:val="single" w:sz="8" w:space="0" w:color="auto"/>
              <w:right w:val="nil"/>
            </w:tcBorders>
            <w:shd w:val="clear" w:color="000000" w:fill="FFFFFF"/>
            <w:vAlign w:val="center"/>
            <w:hideMark/>
          </w:tcPr>
          <w:p w14:paraId="39E3BD95" w14:textId="77777777" w:rsidR="00F376DC" w:rsidRPr="00F376DC" w:rsidRDefault="00F376DC">
            <w:pPr>
              <w:jc w:val="right"/>
              <w:rPr>
                <w:rFonts w:asciiTheme="minorHAnsi" w:hAnsiTheme="minorHAnsi" w:cstheme="minorHAnsi"/>
                <w:b/>
                <w:bCs/>
                <w:color w:val="000000"/>
                <w:sz w:val="16"/>
                <w:szCs w:val="16"/>
              </w:rPr>
            </w:pPr>
            <w:r w:rsidRPr="00F376DC">
              <w:rPr>
                <w:rFonts w:asciiTheme="minorHAnsi" w:hAnsiTheme="minorHAnsi" w:cstheme="minorHAnsi"/>
                <w:b/>
                <w:bCs/>
                <w:color w:val="000000"/>
                <w:sz w:val="16"/>
                <w:szCs w:val="16"/>
              </w:rPr>
              <w:t> </w:t>
            </w:r>
          </w:p>
        </w:tc>
        <w:tc>
          <w:tcPr>
            <w:tcW w:w="119" w:type="pct"/>
            <w:tcBorders>
              <w:top w:val="nil"/>
              <w:left w:val="nil"/>
              <w:bottom w:val="single" w:sz="8" w:space="0" w:color="auto"/>
              <w:right w:val="nil"/>
            </w:tcBorders>
            <w:shd w:val="clear" w:color="000000" w:fill="FFFFFF"/>
            <w:noWrap/>
            <w:vAlign w:val="center"/>
            <w:hideMark/>
          </w:tcPr>
          <w:p w14:paraId="70ECC7E8" w14:textId="77777777" w:rsidR="00F376DC" w:rsidRPr="00F376DC" w:rsidRDefault="00F376DC">
            <w:pPr>
              <w:jc w:val="right"/>
              <w:rPr>
                <w:rFonts w:asciiTheme="minorHAnsi" w:hAnsiTheme="minorHAnsi" w:cstheme="minorHAnsi"/>
                <w:b/>
                <w:bCs/>
                <w:color w:val="000000"/>
                <w:sz w:val="16"/>
                <w:szCs w:val="16"/>
              </w:rPr>
            </w:pPr>
            <w:r w:rsidRPr="00F376DC">
              <w:rPr>
                <w:rFonts w:asciiTheme="minorHAnsi" w:hAnsiTheme="minorHAnsi" w:cstheme="minorHAnsi"/>
                <w:b/>
                <w:bCs/>
                <w:color w:val="000000"/>
                <w:sz w:val="16"/>
                <w:szCs w:val="16"/>
              </w:rPr>
              <w:t> </w:t>
            </w:r>
          </w:p>
        </w:tc>
        <w:tc>
          <w:tcPr>
            <w:tcW w:w="119" w:type="pct"/>
            <w:tcBorders>
              <w:top w:val="nil"/>
              <w:left w:val="nil"/>
              <w:bottom w:val="single" w:sz="8" w:space="0" w:color="auto"/>
              <w:right w:val="nil"/>
            </w:tcBorders>
            <w:shd w:val="clear" w:color="000000" w:fill="FFFFFF"/>
            <w:vAlign w:val="center"/>
            <w:hideMark/>
          </w:tcPr>
          <w:p w14:paraId="46BDF3C3" w14:textId="77777777" w:rsidR="00F376DC" w:rsidRPr="00F376DC" w:rsidRDefault="00F376DC">
            <w:pPr>
              <w:jc w:val="right"/>
              <w:rPr>
                <w:rFonts w:asciiTheme="minorHAnsi" w:hAnsiTheme="minorHAnsi" w:cstheme="minorHAnsi"/>
                <w:b/>
                <w:bCs/>
                <w:color w:val="000000"/>
                <w:sz w:val="16"/>
                <w:szCs w:val="16"/>
              </w:rPr>
            </w:pPr>
            <w:r w:rsidRPr="00F376DC">
              <w:rPr>
                <w:rFonts w:asciiTheme="minorHAnsi" w:hAnsiTheme="minorHAnsi" w:cstheme="minorHAnsi"/>
                <w:b/>
                <w:bCs/>
                <w:color w:val="000000"/>
                <w:sz w:val="16"/>
                <w:szCs w:val="16"/>
              </w:rPr>
              <w:t> </w:t>
            </w:r>
          </w:p>
        </w:tc>
        <w:tc>
          <w:tcPr>
            <w:tcW w:w="622" w:type="pct"/>
            <w:tcBorders>
              <w:top w:val="nil"/>
              <w:left w:val="nil"/>
              <w:bottom w:val="single" w:sz="8" w:space="0" w:color="auto"/>
              <w:right w:val="nil"/>
            </w:tcBorders>
            <w:shd w:val="clear" w:color="000000" w:fill="FFFFFF"/>
            <w:vAlign w:val="center"/>
            <w:hideMark/>
          </w:tcPr>
          <w:p w14:paraId="003D49A6" w14:textId="6751CD90" w:rsidR="00F376DC" w:rsidRPr="00F376DC" w:rsidRDefault="00F376DC">
            <w:pPr>
              <w:jc w:val="right"/>
              <w:rPr>
                <w:rFonts w:asciiTheme="minorHAnsi" w:hAnsiTheme="minorHAnsi" w:cstheme="minorHAnsi"/>
                <w:b/>
                <w:bCs/>
                <w:color w:val="000000"/>
                <w:sz w:val="16"/>
                <w:szCs w:val="16"/>
              </w:rPr>
            </w:pPr>
            <w:r w:rsidRPr="00F376DC">
              <w:rPr>
                <w:rFonts w:asciiTheme="minorHAnsi" w:hAnsiTheme="minorHAnsi" w:cstheme="minorHAnsi"/>
                <w:b/>
                <w:bCs/>
                <w:sz w:val="16"/>
                <w:szCs w:val="16"/>
              </w:rPr>
              <w:t>6</w:t>
            </w:r>
            <w:r w:rsidR="000B6330">
              <w:rPr>
                <w:rFonts w:asciiTheme="minorHAnsi" w:hAnsiTheme="minorHAnsi" w:cstheme="minorHAnsi"/>
                <w:b/>
                <w:bCs/>
                <w:sz w:val="16"/>
                <w:szCs w:val="16"/>
              </w:rPr>
              <w:t>8</w:t>
            </w:r>
            <w:r w:rsidRPr="00F376DC">
              <w:rPr>
                <w:rFonts w:asciiTheme="minorHAnsi" w:hAnsiTheme="minorHAnsi" w:cstheme="minorHAnsi"/>
                <w:b/>
                <w:bCs/>
                <w:sz w:val="16"/>
                <w:szCs w:val="16"/>
              </w:rPr>
              <w:t>.</w:t>
            </w:r>
            <w:r w:rsidR="000B6330">
              <w:rPr>
                <w:rFonts w:asciiTheme="minorHAnsi" w:hAnsiTheme="minorHAnsi" w:cstheme="minorHAnsi"/>
                <w:b/>
                <w:bCs/>
                <w:sz w:val="16"/>
                <w:szCs w:val="16"/>
              </w:rPr>
              <w:t>80</w:t>
            </w:r>
            <w:r w:rsidRPr="00F376DC">
              <w:rPr>
                <w:rFonts w:asciiTheme="minorHAnsi" w:hAnsiTheme="minorHAnsi" w:cstheme="minorHAnsi"/>
                <w:b/>
                <w:bCs/>
                <w:sz w:val="16"/>
                <w:szCs w:val="16"/>
              </w:rPr>
              <w:t>9.</w:t>
            </w:r>
            <w:r w:rsidR="000B6330">
              <w:rPr>
                <w:rFonts w:asciiTheme="minorHAnsi" w:hAnsiTheme="minorHAnsi" w:cstheme="minorHAnsi"/>
                <w:b/>
                <w:bCs/>
                <w:sz w:val="16"/>
                <w:szCs w:val="16"/>
              </w:rPr>
              <w:t>38</w:t>
            </w:r>
            <w:r w:rsidRPr="00F376DC">
              <w:rPr>
                <w:rFonts w:asciiTheme="minorHAnsi" w:hAnsiTheme="minorHAnsi" w:cstheme="minorHAnsi"/>
                <w:b/>
                <w:bCs/>
                <w:sz w:val="16"/>
                <w:szCs w:val="16"/>
              </w:rPr>
              <w:t>5</w:t>
            </w:r>
          </w:p>
        </w:tc>
        <w:tc>
          <w:tcPr>
            <w:tcW w:w="622" w:type="pct"/>
            <w:tcBorders>
              <w:top w:val="nil"/>
              <w:left w:val="nil"/>
              <w:bottom w:val="single" w:sz="8" w:space="0" w:color="auto"/>
              <w:right w:val="nil"/>
            </w:tcBorders>
            <w:shd w:val="clear" w:color="000000" w:fill="FFFFFF"/>
            <w:vAlign w:val="center"/>
            <w:hideMark/>
          </w:tcPr>
          <w:p w14:paraId="4A3F158F" w14:textId="77777777" w:rsidR="00F376DC" w:rsidRPr="00F376DC" w:rsidRDefault="00F376DC">
            <w:pPr>
              <w:jc w:val="right"/>
              <w:rPr>
                <w:rFonts w:asciiTheme="minorHAnsi" w:hAnsiTheme="minorHAnsi" w:cstheme="minorHAnsi"/>
                <w:b/>
                <w:bCs/>
                <w:color w:val="000000"/>
                <w:sz w:val="16"/>
                <w:szCs w:val="16"/>
              </w:rPr>
            </w:pPr>
            <w:r w:rsidRPr="00F376DC">
              <w:rPr>
                <w:rFonts w:asciiTheme="minorHAnsi" w:hAnsiTheme="minorHAnsi" w:cstheme="minorHAnsi"/>
                <w:b/>
                <w:bCs/>
                <w:sz w:val="16"/>
                <w:szCs w:val="16"/>
              </w:rPr>
              <w:t>32.350.978</w:t>
            </w:r>
          </w:p>
        </w:tc>
      </w:tr>
    </w:tbl>
    <w:p w14:paraId="75E00A2B" w14:textId="77777777" w:rsidR="00F376DC" w:rsidRDefault="00F376DC" w:rsidP="00F376DC">
      <w:pPr>
        <w:spacing w:after="120"/>
        <w:jc w:val="both"/>
        <w:rPr>
          <w:rFonts w:ascii="Calibri" w:hAnsi="Calibri" w:cs="Calibri"/>
          <w:sz w:val="22"/>
          <w:szCs w:val="22"/>
        </w:rPr>
      </w:pPr>
    </w:p>
    <w:p w14:paraId="15C5A957" w14:textId="5B47A2C0" w:rsidR="00865EDF" w:rsidRPr="002E2B5B" w:rsidRDefault="00D22F5E" w:rsidP="002E2B5B">
      <w:pPr>
        <w:rPr>
          <w:rFonts w:ascii="Calibri" w:hAnsi="Calibri" w:cs="Calibri"/>
          <w:b/>
          <w:sz w:val="22"/>
          <w:szCs w:val="22"/>
        </w:rPr>
      </w:pPr>
      <w:r w:rsidRPr="002E2B5B">
        <w:rPr>
          <w:rFonts w:ascii="Calibri" w:hAnsi="Calibri" w:cs="Calibri"/>
          <w:b/>
          <w:sz w:val="22"/>
          <w:szCs w:val="22"/>
        </w:rPr>
        <w:t xml:space="preserve">NOTA </w:t>
      </w:r>
      <w:r w:rsidR="00E32899">
        <w:rPr>
          <w:rFonts w:ascii="Calibri" w:hAnsi="Calibri" w:cs="Calibri"/>
          <w:b/>
          <w:sz w:val="22"/>
          <w:szCs w:val="22"/>
        </w:rPr>
        <w:t>4</w:t>
      </w:r>
      <w:r w:rsidR="000A7290" w:rsidRPr="002E2B5B">
        <w:rPr>
          <w:rFonts w:ascii="Calibri" w:hAnsi="Calibri" w:cs="Calibri"/>
          <w:b/>
          <w:sz w:val="22"/>
          <w:szCs w:val="22"/>
        </w:rPr>
        <w:t xml:space="preserve"> – </w:t>
      </w:r>
      <w:r w:rsidR="00865EDF" w:rsidRPr="002E2B5B">
        <w:rPr>
          <w:rFonts w:ascii="Calibri" w:hAnsi="Calibri" w:cs="Calibri"/>
          <w:b/>
          <w:sz w:val="22"/>
          <w:szCs w:val="22"/>
        </w:rPr>
        <w:t>DIREITO REALIZÁVEIS A CURTO PRAZO</w:t>
      </w:r>
    </w:p>
    <w:p w14:paraId="5AFE3A6E" w14:textId="77777777" w:rsidR="009C50C2" w:rsidRPr="002E2B5B" w:rsidRDefault="009147A6" w:rsidP="002E2B5B">
      <w:pPr>
        <w:numPr>
          <w:ilvl w:val="0"/>
          <w:numId w:val="10"/>
        </w:numPr>
        <w:ind w:left="284" w:hanging="284"/>
        <w:rPr>
          <w:rFonts w:ascii="Calibri" w:hAnsi="Calibri" w:cs="Calibri"/>
          <w:b/>
          <w:sz w:val="22"/>
          <w:szCs w:val="22"/>
        </w:rPr>
      </w:pPr>
      <w:r w:rsidRPr="002E2B5B">
        <w:rPr>
          <w:rFonts w:ascii="Calibri" w:hAnsi="Calibri" w:cs="Calibri"/>
          <w:b/>
          <w:sz w:val="22"/>
          <w:szCs w:val="22"/>
        </w:rPr>
        <w:t>Adiantamentos Concedidos</w:t>
      </w:r>
    </w:p>
    <w:tbl>
      <w:tblPr>
        <w:tblW w:w="5001" w:type="pct"/>
        <w:tblCellMar>
          <w:left w:w="70" w:type="dxa"/>
          <w:right w:w="70" w:type="dxa"/>
        </w:tblCellMar>
        <w:tblLook w:val="04A0" w:firstRow="1" w:lastRow="0" w:firstColumn="1" w:lastColumn="0" w:noHBand="0" w:noVBand="1"/>
      </w:tblPr>
      <w:tblGrid>
        <w:gridCol w:w="3972"/>
        <w:gridCol w:w="888"/>
        <w:gridCol w:w="888"/>
        <w:gridCol w:w="678"/>
        <w:gridCol w:w="1059"/>
        <w:gridCol w:w="515"/>
        <w:gridCol w:w="1059"/>
        <w:gridCol w:w="459"/>
        <w:gridCol w:w="951"/>
      </w:tblGrid>
      <w:tr w:rsidR="00F57038" w:rsidRPr="002E2B5B" w14:paraId="167F7B80" w14:textId="77777777" w:rsidTr="00B23D01">
        <w:trPr>
          <w:trHeight w:hRule="exact" w:val="227"/>
        </w:trPr>
        <w:tc>
          <w:tcPr>
            <w:tcW w:w="1897" w:type="pct"/>
            <w:tcBorders>
              <w:top w:val="nil"/>
              <w:left w:val="nil"/>
              <w:bottom w:val="single" w:sz="8" w:space="0" w:color="auto"/>
              <w:right w:val="nil"/>
            </w:tcBorders>
            <w:shd w:val="clear" w:color="auto" w:fill="auto"/>
            <w:noWrap/>
            <w:vAlign w:val="center"/>
            <w:hideMark/>
          </w:tcPr>
          <w:p w14:paraId="66148745" w14:textId="77777777" w:rsidR="00F57038" w:rsidRPr="002E2B5B" w:rsidRDefault="00F57038" w:rsidP="00F57038">
            <w:pPr>
              <w:rPr>
                <w:rFonts w:ascii="Calibri" w:hAnsi="Calibri" w:cs="Calibri"/>
                <w:b/>
                <w:bCs/>
                <w:color w:val="000000"/>
                <w:sz w:val="16"/>
                <w:szCs w:val="16"/>
              </w:rPr>
            </w:pPr>
            <w:r w:rsidRPr="002E2B5B">
              <w:rPr>
                <w:rFonts w:ascii="Calibri" w:hAnsi="Calibri" w:cs="Calibri"/>
                <w:b/>
                <w:bCs/>
                <w:color w:val="000000"/>
                <w:sz w:val="16"/>
                <w:szCs w:val="16"/>
              </w:rPr>
              <w:t>ADIANTAMENTOS (RFFSA – GEIPOT – VALEC)</w:t>
            </w:r>
          </w:p>
        </w:tc>
        <w:tc>
          <w:tcPr>
            <w:tcW w:w="424" w:type="pct"/>
            <w:tcBorders>
              <w:top w:val="nil"/>
              <w:left w:val="nil"/>
              <w:bottom w:val="single" w:sz="8" w:space="0" w:color="auto"/>
              <w:right w:val="nil"/>
            </w:tcBorders>
            <w:shd w:val="clear" w:color="auto" w:fill="auto"/>
            <w:noWrap/>
            <w:vAlign w:val="bottom"/>
            <w:hideMark/>
          </w:tcPr>
          <w:p w14:paraId="3C963ED4" w14:textId="77777777" w:rsidR="00F57038" w:rsidRPr="002E2B5B" w:rsidRDefault="00F57038" w:rsidP="00F57038">
            <w:pPr>
              <w:rPr>
                <w:rFonts w:ascii="Calibri" w:hAnsi="Calibri" w:cs="Calibri"/>
                <w:color w:val="000000"/>
                <w:sz w:val="16"/>
                <w:szCs w:val="16"/>
              </w:rPr>
            </w:pPr>
            <w:r w:rsidRPr="002E2B5B">
              <w:rPr>
                <w:rFonts w:ascii="Calibri" w:hAnsi="Calibri" w:cs="Calibri"/>
                <w:color w:val="000000"/>
                <w:sz w:val="16"/>
                <w:szCs w:val="16"/>
              </w:rPr>
              <w:t> </w:t>
            </w:r>
          </w:p>
        </w:tc>
        <w:tc>
          <w:tcPr>
            <w:tcW w:w="424" w:type="pct"/>
            <w:tcBorders>
              <w:top w:val="nil"/>
              <w:left w:val="nil"/>
              <w:bottom w:val="single" w:sz="8" w:space="0" w:color="auto"/>
              <w:right w:val="nil"/>
            </w:tcBorders>
            <w:shd w:val="clear" w:color="auto" w:fill="auto"/>
            <w:noWrap/>
            <w:vAlign w:val="bottom"/>
            <w:hideMark/>
          </w:tcPr>
          <w:p w14:paraId="6AF51FE8" w14:textId="77777777" w:rsidR="00F57038" w:rsidRPr="002E2B5B" w:rsidRDefault="00F57038" w:rsidP="00F57038">
            <w:pPr>
              <w:rPr>
                <w:rFonts w:ascii="Calibri" w:hAnsi="Calibri" w:cs="Calibri"/>
                <w:color w:val="000000"/>
                <w:sz w:val="16"/>
                <w:szCs w:val="16"/>
              </w:rPr>
            </w:pPr>
            <w:r w:rsidRPr="002E2B5B">
              <w:rPr>
                <w:rFonts w:ascii="Calibri" w:hAnsi="Calibri" w:cs="Calibri"/>
                <w:color w:val="000000"/>
                <w:sz w:val="16"/>
                <w:szCs w:val="16"/>
              </w:rPr>
              <w:t> </w:t>
            </w:r>
          </w:p>
        </w:tc>
        <w:tc>
          <w:tcPr>
            <w:tcW w:w="324" w:type="pct"/>
            <w:tcBorders>
              <w:top w:val="nil"/>
              <w:left w:val="nil"/>
              <w:bottom w:val="single" w:sz="8" w:space="0" w:color="auto"/>
              <w:right w:val="nil"/>
            </w:tcBorders>
            <w:shd w:val="clear" w:color="auto" w:fill="auto"/>
            <w:vAlign w:val="center"/>
            <w:hideMark/>
          </w:tcPr>
          <w:p w14:paraId="58D5FFC4" w14:textId="77777777" w:rsidR="00F57038" w:rsidRPr="002E2B5B" w:rsidRDefault="00F57038" w:rsidP="00F57038">
            <w:pPr>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506" w:type="pct"/>
            <w:tcBorders>
              <w:top w:val="nil"/>
              <w:left w:val="nil"/>
              <w:bottom w:val="single" w:sz="8" w:space="0" w:color="auto"/>
              <w:right w:val="nil"/>
            </w:tcBorders>
            <w:shd w:val="clear" w:color="auto" w:fill="auto"/>
            <w:noWrap/>
            <w:vAlign w:val="center"/>
          </w:tcPr>
          <w:p w14:paraId="24C1DF0B" w14:textId="77777777" w:rsidR="00F57038" w:rsidRPr="002E2B5B" w:rsidRDefault="00F57038" w:rsidP="00F57038">
            <w:pPr>
              <w:jc w:val="right"/>
              <w:rPr>
                <w:rFonts w:ascii="Calibri" w:hAnsi="Calibri" w:cs="Calibri"/>
                <w:b/>
                <w:bCs/>
                <w:color w:val="000000"/>
                <w:sz w:val="16"/>
                <w:szCs w:val="16"/>
              </w:rPr>
            </w:pPr>
          </w:p>
        </w:tc>
        <w:tc>
          <w:tcPr>
            <w:tcW w:w="246" w:type="pct"/>
            <w:tcBorders>
              <w:top w:val="nil"/>
              <w:left w:val="nil"/>
              <w:bottom w:val="single" w:sz="8" w:space="0" w:color="auto"/>
              <w:right w:val="nil"/>
            </w:tcBorders>
            <w:shd w:val="clear" w:color="auto" w:fill="auto"/>
            <w:noWrap/>
            <w:vAlign w:val="bottom"/>
            <w:hideMark/>
          </w:tcPr>
          <w:p w14:paraId="3C965E7F" w14:textId="77777777" w:rsidR="00F57038" w:rsidRPr="002E2B5B" w:rsidRDefault="00F57038" w:rsidP="00F57038">
            <w:pPr>
              <w:rPr>
                <w:rFonts w:ascii="Calibri" w:hAnsi="Calibri" w:cs="Calibri"/>
                <w:color w:val="000000"/>
                <w:sz w:val="16"/>
                <w:szCs w:val="16"/>
              </w:rPr>
            </w:pPr>
            <w:r w:rsidRPr="002E2B5B">
              <w:rPr>
                <w:rFonts w:ascii="Calibri" w:hAnsi="Calibri" w:cs="Calibri"/>
                <w:color w:val="000000"/>
                <w:sz w:val="16"/>
                <w:szCs w:val="16"/>
              </w:rPr>
              <w:t> </w:t>
            </w:r>
          </w:p>
        </w:tc>
        <w:tc>
          <w:tcPr>
            <w:tcW w:w="506" w:type="pct"/>
            <w:tcBorders>
              <w:top w:val="nil"/>
              <w:left w:val="nil"/>
              <w:bottom w:val="single" w:sz="8" w:space="0" w:color="auto"/>
              <w:right w:val="nil"/>
            </w:tcBorders>
            <w:shd w:val="clear" w:color="auto" w:fill="auto"/>
            <w:noWrap/>
            <w:vAlign w:val="center"/>
            <w:hideMark/>
          </w:tcPr>
          <w:p w14:paraId="6FB3FC22" w14:textId="1C2593CA" w:rsidR="00F57038" w:rsidRPr="002E2B5B" w:rsidRDefault="007D3C92" w:rsidP="00F57038">
            <w:pPr>
              <w:jc w:val="right"/>
              <w:rPr>
                <w:rFonts w:ascii="Calibri" w:hAnsi="Calibri" w:cs="Calibri"/>
                <w:b/>
                <w:bCs/>
                <w:color w:val="000000"/>
                <w:sz w:val="16"/>
                <w:szCs w:val="16"/>
              </w:rPr>
            </w:pPr>
            <w:r>
              <w:rPr>
                <w:rFonts w:ascii="Calibri" w:hAnsi="Calibri" w:cs="Calibri"/>
                <w:b/>
                <w:bCs/>
                <w:color w:val="000000"/>
                <w:sz w:val="16"/>
                <w:szCs w:val="16"/>
              </w:rPr>
              <w:t>30/0</w:t>
            </w:r>
            <w:r w:rsidR="000B6330">
              <w:rPr>
                <w:rFonts w:ascii="Calibri" w:hAnsi="Calibri" w:cs="Calibri"/>
                <w:b/>
                <w:bCs/>
                <w:color w:val="000000"/>
                <w:sz w:val="16"/>
                <w:szCs w:val="16"/>
              </w:rPr>
              <w:t>9</w:t>
            </w:r>
            <w:r>
              <w:rPr>
                <w:rFonts w:ascii="Calibri" w:hAnsi="Calibri" w:cs="Calibri"/>
                <w:b/>
                <w:bCs/>
                <w:color w:val="000000"/>
                <w:sz w:val="16"/>
                <w:szCs w:val="16"/>
              </w:rPr>
              <w:t>/2021</w:t>
            </w:r>
          </w:p>
        </w:tc>
        <w:tc>
          <w:tcPr>
            <w:tcW w:w="219" w:type="pct"/>
            <w:tcBorders>
              <w:top w:val="nil"/>
              <w:left w:val="nil"/>
              <w:bottom w:val="single" w:sz="8" w:space="0" w:color="auto"/>
              <w:right w:val="nil"/>
            </w:tcBorders>
            <w:shd w:val="clear" w:color="auto" w:fill="auto"/>
            <w:noWrap/>
            <w:vAlign w:val="bottom"/>
            <w:hideMark/>
          </w:tcPr>
          <w:p w14:paraId="66DCA7EC" w14:textId="77777777" w:rsidR="00F57038" w:rsidRPr="002E2B5B" w:rsidRDefault="00F57038" w:rsidP="00F57038">
            <w:pPr>
              <w:rPr>
                <w:rFonts w:ascii="Calibri" w:hAnsi="Calibri" w:cs="Calibri"/>
                <w:color w:val="000000"/>
                <w:sz w:val="16"/>
                <w:szCs w:val="16"/>
              </w:rPr>
            </w:pPr>
            <w:r w:rsidRPr="002E2B5B">
              <w:rPr>
                <w:rFonts w:ascii="Calibri" w:hAnsi="Calibri" w:cs="Calibri"/>
                <w:color w:val="000000"/>
                <w:sz w:val="16"/>
                <w:szCs w:val="16"/>
              </w:rPr>
              <w:t> </w:t>
            </w:r>
          </w:p>
        </w:tc>
        <w:tc>
          <w:tcPr>
            <w:tcW w:w="454" w:type="pct"/>
            <w:tcBorders>
              <w:top w:val="nil"/>
              <w:left w:val="nil"/>
              <w:bottom w:val="single" w:sz="8" w:space="0" w:color="auto"/>
              <w:right w:val="nil"/>
            </w:tcBorders>
            <w:vAlign w:val="center"/>
          </w:tcPr>
          <w:p w14:paraId="0D682B9E" w14:textId="2CCCDC20" w:rsidR="00F57038" w:rsidRPr="002E2B5B" w:rsidRDefault="00F57038" w:rsidP="00F57038">
            <w:pPr>
              <w:jc w:val="right"/>
              <w:rPr>
                <w:rFonts w:ascii="Calibri" w:hAnsi="Calibri" w:cs="Calibri"/>
                <w:b/>
                <w:bCs/>
                <w:color w:val="000000"/>
                <w:sz w:val="16"/>
                <w:szCs w:val="16"/>
              </w:rPr>
            </w:pPr>
            <w:r w:rsidRPr="002E2B5B">
              <w:rPr>
                <w:rFonts w:ascii="Calibri" w:hAnsi="Calibri" w:cs="Calibri"/>
                <w:b/>
                <w:bCs/>
                <w:color w:val="000000"/>
                <w:sz w:val="16"/>
                <w:szCs w:val="16"/>
              </w:rPr>
              <w:t>31/12/2020</w:t>
            </w:r>
          </w:p>
        </w:tc>
      </w:tr>
      <w:tr w:rsidR="00F57038" w:rsidRPr="002E2B5B" w14:paraId="6944C2F5" w14:textId="77777777" w:rsidTr="00B23D01">
        <w:trPr>
          <w:trHeight w:hRule="exact" w:val="227"/>
        </w:trPr>
        <w:tc>
          <w:tcPr>
            <w:tcW w:w="1897" w:type="pct"/>
            <w:tcBorders>
              <w:top w:val="nil"/>
              <w:left w:val="nil"/>
              <w:bottom w:val="nil"/>
              <w:right w:val="nil"/>
            </w:tcBorders>
            <w:shd w:val="clear" w:color="auto" w:fill="auto"/>
            <w:noWrap/>
            <w:vAlign w:val="center"/>
            <w:hideMark/>
          </w:tcPr>
          <w:p w14:paraId="33B1A44F" w14:textId="77777777" w:rsidR="00F57038" w:rsidRPr="002E2B5B" w:rsidRDefault="00F57038" w:rsidP="00F57038">
            <w:pPr>
              <w:rPr>
                <w:rFonts w:ascii="Calibri" w:hAnsi="Calibri" w:cs="Calibri"/>
                <w:color w:val="000000"/>
                <w:sz w:val="16"/>
                <w:szCs w:val="16"/>
              </w:rPr>
            </w:pPr>
            <w:r w:rsidRPr="002E2B5B">
              <w:rPr>
                <w:rFonts w:ascii="Calibri" w:hAnsi="Calibri" w:cs="Calibri"/>
                <w:color w:val="000000"/>
                <w:sz w:val="16"/>
                <w:szCs w:val="16"/>
              </w:rPr>
              <w:t>ADIANTAMENTO DE 13º SALÁRIO</w:t>
            </w:r>
          </w:p>
        </w:tc>
        <w:tc>
          <w:tcPr>
            <w:tcW w:w="424" w:type="pct"/>
            <w:vMerge w:val="restart"/>
            <w:tcBorders>
              <w:top w:val="nil"/>
              <w:left w:val="nil"/>
              <w:bottom w:val="single" w:sz="8" w:space="0" w:color="000000"/>
              <w:right w:val="nil"/>
            </w:tcBorders>
            <w:shd w:val="clear" w:color="auto" w:fill="auto"/>
            <w:noWrap/>
            <w:vAlign w:val="bottom"/>
            <w:hideMark/>
          </w:tcPr>
          <w:p w14:paraId="40F93720" w14:textId="77777777" w:rsidR="00F57038" w:rsidRPr="002E2B5B" w:rsidRDefault="00F57038" w:rsidP="00F57038">
            <w:pPr>
              <w:rPr>
                <w:rFonts w:ascii="Calibri" w:hAnsi="Calibri" w:cs="Calibri"/>
                <w:color w:val="000000"/>
                <w:sz w:val="16"/>
                <w:szCs w:val="16"/>
              </w:rPr>
            </w:pPr>
            <w:r w:rsidRPr="002E2B5B">
              <w:rPr>
                <w:rFonts w:ascii="Calibri" w:hAnsi="Calibri" w:cs="Calibri"/>
                <w:color w:val="000000"/>
                <w:sz w:val="16"/>
                <w:szCs w:val="16"/>
              </w:rPr>
              <w:t> </w:t>
            </w:r>
          </w:p>
        </w:tc>
        <w:tc>
          <w:tcPr>
            <w:tcW w:w="424" w:type="pct"/>
            <w:vMerge w:val="restart"/>
            <w:tcBorders>
              <w:top w:val="nil"/>
              <w:left w:val="nil"/>
              <w:bottom w:val="single" w:sz="8" w:space="0" w:color="000000"/>
              <w:right w:val="nil"/>
            </w:tcBorders>
            <w:shd w:val="clear" w:color="auto" w:fill="auto"/>
            <w:noWrap/>
            <w:vAlign w:val="bottom"/>
            <w:hideMark/>
          </w:tcPr>
          <w:p w14:paraId="33C4AAF4" w14:textId="77777777" w:rsidR="00F57038" w:rsidRPr="002E2B5B" w:rsidRDefault="00F57038" w:rsidP="00F57038">
            <w:pPr>
              <w:rPr>
                <w:rFonts w:ascii="Calibri" w:hAnsi="Calibri" w:cs="Calibri"/>
                <w:color w:val="000000"/>
                <w:sz w:val="16"/>
                <w:szCs w:val="16"/>
              </w:rPr>
            </w:pPr>
            <w:r w:rsidRPr="002E2B5B">
              <w:rPr>
                <w:rFonts w:ascii="Calibri" w:hAnsi="Calibri" w:cs="Calibri"/>
                <w:color w:val="000000"/>
                <w:sz w:val="16"/>
                <w:szCs w:val="16"/>
              </w:rPr>
              <w:t> </w:t>
            </w:r>
          </w:p>
        </w:tc>
        <w:tc>
          <w:tcPr>
            <w:tcW w:w="324" w:type="pct"/>
            <w:vMerge w:val="restart"/>
            <w:tcBorders>
              <w:top w:val="nil"/>
              <w:left w:val="nil"/>
              <w:bottom w:val="single" w:sz="8" w:space="0" w:color="000000"/>
              <w:right w:val="nil"/>
            </w:tcBorders>
            <w:shd w:val="clear" w:color="auto" w:fill="auto"/>
            <w:vAlign w:val="center"/>
            <w:hideMark/>
          </w:tcPr>
          <w:p w14:paraId="1ADF34CD" w14:textId="77777777" w:rsidR="00F57038" w:rsidRPr="002E2B5B" w:rsidRDefault="00F57038" w:rsidP="00F57038">
            <w:pPr>
              <w:jc w:val="right"/>
              <w:rPr>
                <w:rFonts w:ascii="Calibri" w:hAnsi="Calibri" w:cs="Calibri"/>
                <w:color w:val="000000"/>
                <w:sz w:val="16"/>
                <w:szCs w:val="16"/>
              </w:rPr>
            </w:pPr>
            <w:r w:rsidRPr="002E2B5B">
              <w:rPr>
                <w:rFonts w:ascii="Calibri" w:hAnsi="Calibri" w:cs="Calibri"/>
                <w:color w:val="000000"/>
                <w:sz w:val="16"/>
                <w:szCs w:val="16"/>
              </w:rPr>
              <w:t> </w:t>
            </w:r>
          </w:p>
        </w:tc>
        <w:tc>
          <w:tcPr>
            <w:tcW w:w="506" w:type="pct"/>
            <w:tcBorders>
              <w:top w:val="nil"/>
              <w:left w:val="nil"/>
              <w:bottom w:val="nil"/>
              <w:right w:val="nil"/>
            </w:tcBorders>
            <w:shd w:val="clear" w:color="auto" w:fill="auto"/>
            <w:noWrap/>
            <w:vAlign w:val="center"/>
          </w:tcPr>
          <w:p w14:paraId="7FF94DFF" w14:textId="77777777" w:rsidR="00F57038" w:rsidRPr="002E2B5B" w:rsidRDefault="00F57038" w:rsidP="00F57038">
            <w:pPr>
              <w:jc w:val="right"/>
              <w:rPr>
                <w:rFonts w:ascii="Calibri" w:hAnsi="Calibri" w:cs="Calibri"/>
                <w:color w:val="000000"/>
                <w:sz w:val="16"/>
                <w:szCs w:val="16"/>
              </w:rPr>
            </w:pPr>
          </w:p>
        </w:tc>
        <w:tc>
          <w:tcPr>
            <w:tcW w:w="246" w:type="pct"/>
            <w:vMerge w:val="restart"/>
            <w:tcBorders>
              <w:top w:val="nil"/>
              <w:left w:val="nil"/>
              <w:bottom w:val="single" w:sz="8" w:space="0" w:color="000000"/>
              <w:right w:val="nil"/>
            </w:tcBorders>
            <w:shd w:val="clear" w:color="auto" w:fill="auto"/>
            <w:noWrap/>
            <w:vAlign w:val="bottom"/>
            <w:hideMark/>
          </w:tcPr>
          <w:p w14:paraId="1A323250" w14:textId="77777777" w:rsidR="00F57038" w:rsidRPr="002E2B5B" w:rsidRDefault="00F57038" w:rsidP="00F57038">
            <w:pPr>
              <w:rPr>
                <w:rFonts w:ascii="Calibri" w:hAnsi="Calibri" w:cs="Calibri"/>
                <w:color w:val="000000"/>
                <w:sz w:val="16"/>
                <w:szCs w:val="16"/>
              </w:rPr>
            </w:pPr>
            <w:r w:rsidRPr="002E2B5B">
              <w:rPr>
                <w:rFonts w:ascii="Calibri" w:hAnsi="Calibri" w:cs="Calibri"/>
                <w:color w:val="000000"/>
                <w:sz w:val="16"/>
                <w:szCs w:val="16"/>
              </w:rPr>
              <w:t> </w:t>
            </w:r>
          </w:p>
        </w:tc>
        <w:tc>
          <w:tcPr>
            <w:tcW w:w="506" w:type="pct"/>
            <w:tcBorders>
              <w:top w:val="nil"/>
              <w:left w:val="nil"/>
              <w:bottom w:val="nil"/>
              <w:right w:val="nil"/>
            </w:tcBorders>
            <w:shd w:val="clear" w:color="auto" w:fill="auto"/>
            <w:noWrap/>
            <w:vAlign w:val="center"/>
            <w:hideMark/>
          </w:tcPr>
          <w:p w14:paraId="12C0F883" w14:textId="083AEB53" w:rsidR="00F57038" w:rsidRPr="002E2B5B" w:rsidRDefault="000B6330" w:rsidP="00F57038">
            <w:pPr>
              <w:jc w:val="right"/>
              <w:rPr>
                <w:rFonts w:ascii="Calibri" w:hAnsi="Calibri" w:cs="Calibri"/>
                <w:color w:val="000000"/>
                <w:sz w:val="16"/>
                <w:szCs w:val="16"/>
              </w:rPr>
            </w:pPr>
            <w:r>
              <w:rPr>
                <w:rFonts w:ascii="Calibri" w:hAnsi="Calibri" w:cs="Calibri"/>
                <w:color w:val="000000"/>
                <w:sz w:val="16"/>
                <w:szCs w:val="16"/>
              </w:rPr>
              <w:t>2.976.952</w:t>
            </w:r>
          </w:p>
        </w:tc>
        <w:tc>
          <w:tcPr>
            <w:tcW w:w="219" w:type="pct"/>
            <w:tcBorders>
              <w:top w:val="nil"/>
              <w:left w:val="nil"/>
              <w:bottom w:val="nil"/>
              <w:right w:val="nil"/>
            </w:tcBorders>
            <w:shd w:val="clear" w:color="auto" w:fill="auto"/>
            <w:noWrap/>
            <w:vAlign w:val="bottom"/>
            <w:hideMark/>
          </w:tcPr>
          <w:p w14:paraId="100A7E14" w14:textId="77777777" w:rsidR="00F57038" w:rsidRPr="002E2B5B" w:rsidRDefault="00F57038" w:rsidP="00F57038">
            <w:pPr>
              <w:rPr>
                <w:rFonts w:ascii="Calibri" w:hAnsi="Calibri" w:cs="Calibri"/>
                <w:color w:val="000000"/>
                <w:sz w:val="16"/>
                <w:szCs w:val="16"/>
              </w:rPr>
            </w:pPr>
            <w:r w:rsidRPr="002E2B5B">
              <w:rPr>
                <w:rFonts w:ascii="Calibri" w:hAnsi="Calibri" w:cs="Calibri"/>
                <w:color w:val="000000"/>
                <w:sz w:val="16"/>
                <w:szCs w:val="16"/>
              </w:rPr>
              <w:t> </w:t>
            </w:r>
          </w:p>
        </w:tc>
        <w:tc>
          <w:tcPr>
            <w:tcW w:w="454" w:type="pct"/>
            <w:tcBorders>
              <w:top w:val="nil"/>
              <w:left w:val="nil"/>
              <w:bottom w:val="nil"/>
              <w:right w:val="nil"/>
            </w:tcBorders>
            <w:vAlign w:val="center"/>
          </w:tcPr>
          <w:p w14:paraId="6078EE31" w14:textId="4A257837" w:rsidR="00F57038" w:rsidRPr="002E2B5B" w:rsidRDefault="00F57038" w:rsidP="00F57038">
            <w:pPr>
              <w:jc w:val="right"/>
              <w:rPr>
                <w:rFonts w:ascii="Calibri" w:hAnsi="Calibri" w:cs="Calibri"/>
                <w:color w:val="000000"/>
                <w:sz w:val="16"/>
                <w:szCs w:val="16"/>
              </w:rPr>
            </w:pPr>
            <w:r w:rsidRPr="002E2B5B">
              <w:rPr>
                <w:rFonts w:ascii="Calibri" w:hAnsi="Calibri" w:cs="Calibri"/>
                <w:color w:val="000000"/>
                <w:sz w:val="16"/>
                <w:szCs w:val="16"/>
              </w:rPr>
              <w:t>452.249</w:t>
            </w:r>
          </w:p>
        </w:tc>
      </w:tr>
      <w:tr w:rsidR="00F57038" w:rsidRPr="002E2B5B" w14:paraId="37FFBF3A" w14:textId="77777777" w:rsidTr="00B23D01">
        <w:trPr>
          <w:trHeight w:hRule="exact" w:val="227"/>
        </w:trPr>
        <w:tc>
          <w:tcPr>
            <w:tcW w:w="1897" w:type="pct"/>
            <w:tcBorders>
              <w:top w:val="nil"/>
              <w:left w:val="nil"/>
              <w:bottom w:val="single" w:sz="8" w:space="0" w:color="auto"/>
              <w:right w:val="nil"/>
            </w:tcBorders>
            <w:shd w:val="clear" w:color="auto" w:fill="auto"/>
            <w:noWrap/>
            <w:vAlign w:val="center"/>
            <w:hideMark/>
          </w:tcPr>
          <w:p w14:paraId="0DF82958" w14:textId="77777777" w:rsidR="00F57038" w:rsidRPr="002E2B5B" w:rsidRDefault="00F57038" w:rsidP="00F57038">
            <w:pPr>
              <w:rPr>
                <w:rFonts w:ascii="Calibri" w:hAnsi="Calibri" w:cs="Calibri"/>
                <w:color w:val="000000"/>
                <w:sz w:val="16"/>
                <w:szCs w:val="16"/>
              </w:rPr>
            </w:pPr>
            <w:r w:rsidRPr="002E2B5B">
              <w:rPr>
                <w:rFonts w:ascii="Calibri" w:hAnsi="Calibri" w:cs="Calibri"/>
                <w:color w:val="000000"/>
                <w:sz w:val="16"/>
                <w:szCs w:val="16"/>
              </w:rPr>
              <w:t>ADIANTAMENTOS DE SALÁRIOS E ORDENADOS</w:t>
            </w:r>
          </w:p>
        </w:tc>
        <w:tc>
          <w:tcPr>
            <w:tcW w:w="424" w:type="pct"/>
            <w:vMerge/>
            <w:tcBorders>
              <w:top w:val="nil"/>
              <w:left w:val="nil"/>
              <w:bottom w:val="single" w:sz="8" w:space="0" w:color="000000"/>
              <w:right w:val="nil"/>
            </w:tcBorders>
            <w:vAlign w:val="center"/>
            <w:hideMark/>
          </w:tcPr>
          <w:p w14:paraId="0456BD82" w14:textId="77777777" w:rsidR="00F57038" w:rsidRPr="002E2B5B" w:rsidRDefault="00F57038" w:rsidP="00F57038">
            <w:pPr>
              <w:rPr>
                <w:rFonts w:ascii="Calibri" w:hAnsi="Calibri" w:cs="Calibri"/>
                <w:color w:val="000000"/>
                <w:sz w:val="16"/>
                <w:szCs w:val="16"/>
              </w:rPr>
            </w:pPr>
          </w:p>
        </w:tc>
        <w:tc>
          <w:tcPr>
            <w:tcW w:w="424" w:type="pct"/>
            <w:vMerge/>
            <w:tcBorders>
              <w:top w:val="nil"/>
              <w:left w:val="nil"/>
              <w:bottom w:val="single" w:sz="8" w:space="0" w:color="000000"/>
              <w:right w:val="nil"/>
            </w:tcBorders>
            <w:vAlign w:val="center"/>
            <w:hideMark/>
          </w:tcPr>
          <w:p w14:paraId="0EB0E1F9" w14:textId="77777777" w:rsidR="00F57038" w:rsidRPr="002E2B5B" w:rsidRDefault="00F57038" w:rsidP="00F57038">
            <w:pPr>
              <w:rPr>
                <w:rFonts w:ascii="Calibri" w:hAnsi="Calibri" w:cs="Calibri"/>
                <w:color w:val="000000"/>
                <w:sz w:val="16"/>
                <w:szCs w:val="16"/>
              </w:rPr>
            </w:pPr>
          </w:p>
        </w:tc>
        <w:tc>
          <w:tcPr>
            <w:tcW w:w="324" w:type="pct"/>
            <w:vMerge/>
            <w:tcBorders>
              <w:top w:val="nil"/>
              <w:left w:val="nil"/>
              <w:bottom w:val="single" w:sz="8" w:space="0" w:color="000000"/>
              <w:right w:val="nil"/>
            </w:tcBorders>
            <w:vAlign w:val="center"/>
            <w:hideMark/>
          </w:tcPr>
          <w:p w14:paraId="32D9B459" w14:textId="77777777" w:rsidR="00F57038" w:rsidRPr="002E2B5B" w:rsidRDefault="00F57038" w:rsidP="00F57038">
            <w:pPr>
              <w:rPr>
                <w:rFonts w:ascii="Calibri" w:hAnsi="Calibri" w:cs="Calibri"/>
                <w:color w:val="000000"/>
                <w:sz w:val="16"/>
                <w:szCs w:val="16"/>
              </w:rPr>
            </w:pPr>
          </w:p>
        </w:tc>
        <w:tc>
          <w:tcPr>
            <w:tcW w:w="506" w:type="pct"/>
            <w:tcBorders>
              <w:top w:val="nil"/>
              <w:left w:val="nil"/>
              <w:bottom w:val="single" w:sz="8" w:space="0" w:color="auto"/>
              <w:right w:val="nil"/>
            </w:tcBorders>
            <w:shd w:val="clear" w:color="auto" w:fill="auto"/>
            <w:noWrap/>
            <w:vAlign w:val="center"/>
          </w:tcPr>
          <w:p w14:paraId="64E87839" w14:textId="77777777" w:rsidR="00F57038" w:rsidRPr="002E2B5B" w:rsidRDefault="00F57038" w:rsidP="00F57038">
            <w:pPr>
              <w:jc w:val="right"/>
              <w:rPr>
                <w:rFonts w:ascii="Calibri" w:hAnsi="Calibri" w:cs="Calibri"/>
                <w:color w:val="000000"/>
                <w:sz w:val="16"/>
                <w:szCs w:val="16"/>
              </w:rPr>
            </w:pPr>
          </w:p>
        </w:tc>
        <w:tc>
          <w:tcPr>
            <w:tcW w:w="246" w:type="pct"/>
            <w:vMerge/>
            <w:tcBorders>
              <w:top w:val="nil"/>
              <w:left w:val="nil"/>
              <w:bottom w:val="single" w:sz="8" w:space="0" w:color="000000"/>
              <w:right w:val="nil"/>
            </w:tcBorders>
            <w:vAlign w:val="center"/>
            <w:hideMark/>
          </w:tcPr>
          <w:p w14:paraId="4558FDE5" w14:textId="77777777" w:rsidR="00F57038" w:rsidRPr="002E2B5B" w:rsidRDefault="00F57038" w:rsidP="00F57038">
            <w:pPr>
              <w:rPr>
                <w:rFonts w:ascii="Calibri" w:hAnsi="Calibri" w:cs="Calibri"/>
                <w:color w:val="000000"/>
                <w:sz w:val="16"/>
                <w:szCs w:val="16"/>
              </w:rPr>
            </w:pPr>
          </w:p>
        </w:tc>
        <w:tc>
          <w:tcPr>
            <w:tcW w:w="506" w:type="pct"/>
            <w:tcBorders>
              <w:top w:val="nil"/>
              <w:left w:val="nil"/>
              <w:bottom w:val="single" w:sz="8" w:space="0" w:color="auto"/>
              <w:right w:val="nil"/>
            </w:tcBorders>
            <w:shd w:val="clear" w:color="auto" w:fill="auto"/>
            <w:noWrap/>
            <w:vAlign w:val="center"/>
            <w:hideMark/>
          </w:tcPr>
          <w:p w14:paraId="02111635" w14:textId="536893A1" w:rsidR="00F57038" w:rsidRPr="002E2B5B" w:rsidRDefault="007D3C92" w:rsidP="00F57038">
            <w:pPr>
              <w:jc w:val="right"/>
              <w:rPr>
                <w:rFonts w:ascii="Calibri" w:hAnsi="Calibri" w:cs="Calibri"/>
                <w:color w:val="000000"/>
                <w:sz w:val="16"/>
                <w:szCs w:val="16"/>
              </w:rPr>
            </w:pPr>
            <w:r>
              <w:rPr>
                <w:rFonts w:ascii="Calibri" w:hAnsi="Calibri" w:cs="Calibri"/>
                <w:color w:val="000000"/>
                <w:sz w:val="16"/>
                <w:szCs w:val="16"/>
              </w:rPr>
              <w:t>1</w:t>
            </w:r>
            <w:r w:rsidR="000B6330">
              <w:rPr>
                <w:rFonts w:ascii="Calibri" w:hAnsi="Calibri" w:cs="Calibri"/>
                <w:color w:val="000000"/>
                <w:sz w:val="16"/>
                <w:szCs w:val="16"/>
              </w:rPr>
              <w:t>37.806</w:t>
            </w:r>
          </w:p>
        </w:tc>
        <w:tc>
          <w:tcPr>
            <w:tcW w:w="219" w:type="pct"/>
            <w:tcBorders>
              <w:top w:val="nil"/>
              <w:left w:val="nil"/>
              <w:bottom w:val="single" w:sz="8" w:space="0" w:color="auto"/>
              <w:right w:val="nil"/>
            </w:tcBorders>
            <w:shd w:val="clear" w:color="auto" w:fill="auto"/>
            <w:noWrap/>
            <w:vAlign w:val="bottom"/>
            <w:hideMark/>
          </w:tcPr>
          <w:p w14:paraId="648DA4D3" w14:textId="77777777" w:rsidR="00F57038" w:rsidRPr="002E2B5B" w:rsidRDefault="00F57038" w:rsidP="00F57038">
            <w:pPr>
              <w:rPr>
                <w:rFonts w:ascii="Calibri" w:hAnsi="Calibri" w:cs="Calibri"/>
                <w:color w:val="000000"/>
                <w:sz w:val="16"/>
                <w:szCs w:val="16"/>
              </w:rPr>
            </w:pPr>
            <w:r w:rsidRPr="002E2B5B">
              <w:rPr>
                <w:rFonts w:ascii="Calibri" w:hAnsi="Calibri" w:cs="Calibri"/>
                <w:color w:val="000000"/>
                <w:sz w:val="16"/>
                <w:szCs w:val="16"/>
              </w:rPr>
              <w:t> </w:t>
            </w:r>
          </w:p>
        </w:tc>
        <w:tc>
          <w:tcPr>
            <w:tcW w:w="454" w:type="pct"/>
            <w:tcBorders>
              <w:top w:val="nil"/>
              <w:left w:val="nil"/>
              <w:bottom w:val="single" w:sz="8" w:space="0" w:color="auto"/>
              <w:right w:val="nil"/>
            </w:tcBorders>
            <w:vAlign w:val="center"/>
          </w:tcPr>
          <w:p w14:paraId="0DC55E13" w14:textId="1A819F7D" w:rsidR="00F57038" w:rsidRPr="002E2B5B" w:rsidRDefault="00F57038" w:rsidP="00F57038">
            <w:pPr>
              <w:jc w:val="right"/>
              <w:rPr>
                <w:rFonts w:ascii="Calibri" w:hAnsi="Calibri" w:cs="Calibri"/>
                <w:color w:val="000000"/>
                <w:sz w:val="16"/>
                <w:szCs w:val="16"/>
              </w:rPr>
            </w:pPr>
            <w:r w:rsidRPr="002E2B5B">
              <w:rPr>
                <w:rFonts w:ascii="Calibri" w:hAnsi="Calibri" w:cs="Calibri"/>
                <w:color w:val="000000"/>
                <w:sz w:val="16"/>
                <w:szCs w:val="16"/>
              </w:rPr>
              <w:t>225.624</w:t>
            </w:r>
          </w:p>
        </w:tc>
      </w:tr>
      <w:tr w:rsidR="00F57038" w:rsidRPr="002E2B5B" w14:paraId="5CD7C3C0" w14:textId="77777777" w:rsidTr="00B23D01">
        <w:trPr>
          <w:trHeight w:hRule="exact" w:val="227"/>
        </w:trPr>
        <w:tc>
          <w:tcPr>
            <w:tcW w:w="1897" w:type="pct"/>
            <w:tcBorders>
              <w:top w:val="nil"/>
              <w:left w:val="nil"/>
              <w:bottom w:val="single" w:sz="8" w:space="0" w:color="auto"/>
              <w:right w:val="nil"/>
            </w:tcBorders>
            <w:shd w:val="clear" w:color="auto" w:fill="auto"/>
            <w:noWrap/>
            <w:vAlign w:val="center"/>
            <w:hideMark/>
          </w:tcPr>
          <w:p w14:paraId="6957F134" w14:textId="77777777" w:rsidR="00F57038" w:rsidRPr="002E2B5B" w:rsidRDefault="00F57038" w:rsidP="00F57038">
            <w:pPr>
              <w:rPr>
                <w:rFonts w:ascii="Calibri" w:hAnsi="Calibri" w:cs="Calibri"/>
                <w:b/>
                <w:bCs/>
                <w:color w:val="000000"/>
                <w:sz w:val="16"/>
                <w:szCs w:val="16"/>
              </w:rPr>
            </w:pPr>
            <w:r w:rsidRPr="002E2B5B">
              <w:rPr>
                <w:rFonts w:ascii="Calibri" w:hAnsi="Calibri" w:cs="Calibri"/>
                <w:b/>
                <w:bCs/>
                <w:color w:val="000000"/>
                <w:sz w:val="16"/>
                <w:szCs w:val="16"/>
              </w:rPr>
              <w:t>TOTAL GERAL DE ADIANTAMENTOS CONCEDIDOS</w:t>
            </w:r>
          </w:p>
        </w:tc>
        <w:tc>
          <w:tcPr>
            <w:tcW w:w="424" w:type="pct"/>
            <w:tcBorders>
              <w:top w:val="nil"/>
              <w:left w:val="nil"/>
              <w:bottom w:val="single" w:sz="8" w:space="0" w:color="auto"/>
              <w:right w:val="nil"/>
            </w:tcBorders>
            <w:shd w:val="clear" w:color="auto" w:fill="auto"/>
            <w:noWrap/>
            <w:vAlign w:val="bottom"/>
            <w:hideMark/>
          </w:tcPr>
          <w:p w14:paraId="6DCD4FA0" w14:textId="77777777" w:rsidR="00F57038" w:rsidRPr="002E2B5B" w:rsidRDefault="00F57038" w:rsidP="00F57038">
            <w:pPr>
              <w:rPr>
                <w:rFonts w:ascii="Calibri" w:hAnsi="Calibri" w:cs="Calibri"/>
                <w:color w:val="000000"/>
                <w:sz w:val="16"/>
                <w:szCs w:val="16"/>
              </w:rPr>
            </w:pPr>
            <w:r w:rsidRPr="002E2B5B">
              <w:rPr>
                <w:rFonts w:ascii="Calibri" w:hAnsi="Calibri" w:cs="Calibri"/>
                <w:color w:val="000000"/>
                <w:sz w:val="16"/>
                <w:szCs w:val="16"/>
              </w:rPr>
              <w:t> </w:t>
            </w:r>
          </w:p>
        </w:tc>
        <w:tc>
          <w:tcPr>
            <w:tcW w:w="424" w:type="pct"/>
            <w:tcBorders>
              <w:top w:val="nil"/>
              <w:left w:val="nil"/>
              <w:bottom w:val="single" w:sz="8" w:space="0" w:color="auto"/>
              <w:right w:val="nil"/>
            </w:tcBorders>
            <w:shd w:val="clear" w:color="auto" w:fill="auto"/>
            <w:noWrap/>
            <w:vAlign w:val="bottom"/>
            <w:hideMark/>
          </w:tcPr>
          <w:p w14:paraId="78749100" w14:textId="77777777" w:rsidR="00F57038" w:rsidRPr="002E2B5B" w:rsidRDefault="00F57038" w:rsidP="00F57038">
            <w:pPr>
              <w:rPr>
                <w:rFonts w:ascii="Calibri" w:hAnsi="Calibri" w:cs="Calibri"/>
                <w:color w:val="000000"/>
                <w:sz w:val="16"/>
                <w:szCs w:val="16"/>
              </w:rPr>
            </w:pPr>
            <w:r w:rsidRPr="002E2B5B">
              <w:rPr>
                <w:rFonts w:ascii="Calibri" w:hAnsi="Calibri" w:cs="Calibri"/>
                <w:color w:val="000000"/>
                <w:sz w:val="16"/>
                <w:szCs w:val="16"/>
              </w:rPr>
              <w:t> </w:t>
            </w:r>
          </w:p>
        </w:tc>
        <w:tc>
          <w:tcPr>
            <w:tcW w:w="324" w:type="pct"/>
            <w:tcBorders>
              <w:top w:val="nil"/>
              <w:left w:val="nil"/>
              <w:bottom w:val="single" w:sz="8" w:space="0" w:color="auto"/>
              <w:right w:val="nil"/>
            </w:tcBorders>
            <w:shd w:val="clear" w:color="auto" w:fill="auto"/>
            <w:vAlign w:val="center"/>
            <w:hideMark/>
          </w:tcPr>
          <w:p w14:paraId="2AEBB226" w14:textId="77777777" w:rsidR="00F57038" w:rsidRPr="002E2B5B" w:rsidRDefault="00F57038" w:rsidP="00F57038">
            <w:pPr>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506" w:type="pct"/>
            <w:tcBorders>
              <w:top w:val="nil"/>
              <w:left w:val="nil"/>
              <w:bottom w:val="single" w:sz="8" w:space="0" w:color="auto"/>
              <w:right w:val="nil"/>
            </w:tcBorders>
            <w:shd w:val="clear" w:color="auto" w:fill="auto"/>
            <w:noWrap/>
            <w:vAlign w:val="center"/>
          </w:tcPr>
          <w:p w14:paraId="2F1E2D1A" w14:textId="77777777" w:rsidR="00F57038" w:rsidRPr="002E2B5B" w:rsidRDefault="00F57038" w:rsidP="00F57038">
            <w:pPr>
              <w:jc w:val="right"/>
              <w:rPr>
                <w:rFonts w:ascii="Calibri" w:hAnsi="Calibri" w:cs="Calibri"/>
                <w:b/>
                <w:bCs/>
                <w:color w:val="000000"/>
                <w:sz w:val="16"/>
                <w:szCs w:val="16"/>
              </w:rPr>
            </w:pPr>
          </w:p>
        </w:tc>
        <w:tc>
          <w:tcPr>
            <w:tcW w:w="246" w:type="pct"/>
            <w:tcBorders>
              <w:top w:val="nil"/>
              <w:left w:val="nil"/>
              <w:bottom w:val="single" w:sz="8" w:space="0" w:color="auto"/>
              <w:right w:val="nil"/>
            </w:tcBorders>
            <w:shd w:val="clear" w:color="auto" w:fill="auto"/>
            <w:noWrap/>
            <w:vAlign w:val="center"/>
            <w:hideMark/>
          </w:tcPr>
          <w:p w14:paraId="33B51B5C" w14:textId="77777777" w:rsidR="00F57038" w:rsidRPr="002E2B5B" w:rsidRDefault="00F57038" w:rsidP="00F57038">
            <w:pPr>
              <w:rPr>
                <w:rFonts w:ascii="Calibri" w:hAnsi="Calibri" w:cs="Calibri"/>
                <w:color w:val="000000"/>
                <w:sz w:val="16"/>
                <w:szCs w:val="16"/>
              </w:rPr>
            </w:pPr>
            <w:r w:rsidRPr="002E2B5B">
              <w:rPr>
                <w:rFonts w:ascii="Calibri" w:hAnsi="Calibri" w:cs="Calibri"/>
                <w:color w:val="000000"/>
                <w:sz w:val="16"/>
                <w:szCs w:val="16"/>
              </w:rPr>
              <w:t> </w:t>
            </w:r>
          </w:p>
        </w:tc>
        <w:tc>
          <w:tcPr>
            <w:tcW w:w="506" w:type="pct"/>
            <w:tcBorders>
              <w:top w:val="nil"/>
              <w:left w:val="nil"/>
              <w:bottom w:val="single" w:sz="8" w:space="0" w:color="auto"/>
              <w:right w:val="nil"/>
            </w:tcBorders>
            <w:shd w:val="clear" w:color="auto" w:fill="auto"/>
            <w:noWrap/>
            <w:vAlign w:val="center"/>
            <w:hideMark/>
          </w:tcPr>
          <w:p w14:paraId="45E754E4" w14:textId="3B48600D" w:rsidR="00F57038" w:rsidRPr="002E2B5B" w:rsidRDefault="000B6330" w:rsidP="008765E1">
            <w:pPr>
              <w:jc w:val="right"/>
              <w:rPr>
                <w:rFonts w:ascii="Calibri" w:hAnsi="Calibri" w:cs="Calibri"/>
                <w:b/>
                <w:bCs/>
                <w:color w:val="000000"/>
                <w:sz w:val="16"/>
                <w:szCs w:val="16"/>
              </w:rPr>
            </w:pPr>
            <w:r>
              <w:rPr>
                <w:rFonts w:ascii="Calibri" w:hAnsi="Calibri" w:cs="Calibri"/>
                <w:b/>
                <w:bCs/>
                <w:color w:val="000000"/>
                <w:sz w:val="16"/>
                <w:szCs w:val="16"/>
              </w:rPr>
              <w:t>3.114.758</w:t>
            </w:r>
          </w:p>
        </w:tc>
        <w:tc>
          <w:tcPr>
            <w:tcW w:w="219" w:type="pct"/>
            <w:tcBorders>
              <w:top w:val="nil"/>
              <w:left w:val="nil"/>
              <w:bottom w:val="single" w:sz="8" w:space="0" w:color="auto"/>
              <w:right w:val="nil"/>
            </w:tcBorders>
            <w:shd w:val="clear" w:color="auto" w:fill="auto"/>
            <w:noWrap/>
            <w:vAlign w:val="bottom"/>
            <w:hideMark/>
          </w:tcPr>
          <w:p w14:paraId="56B078B5" w14:textId="77777777" w:rsidR="00F57038" w:rsidRPr="002E2B5B" w:rsidRDefault="00F57038" w:rsidP="00F57038">
            <w:pPr>
              <w:rPr>
                <w:rFonts w:ascii="Calibri" w:hAnsi="Calibri" w:cs="Calibri"/>
                <w:color w:val="000000"/>
                <w:sz w:val="16"/>
                <w:szCs w:val="16"/>
              </w:rPr>
            </w:pPr>
            <w:r w:rsidRPr="002E2B5B">
              <w:rPr>
                <w:rFonts w:ascii="Calibri" w:hAnsi="Calibri" w:cs="Calibri"/>
                <w:color w:val="000000"/>
                <w:sz w:val="16"/>
                <w:szCs w:val="16"/>
              </w:rPr>
              <w:t> </w:t>
            </w:r>
          </w:p>
        </w:tc>
        <w:tc>
          <w:tcPr>
            <w:tcW w:w="454" w:type="pct"/>
            <w:tcBorders>
              <w:top w:val="nil"/>
              <w:left w:val="nil"/>
              <w:bottom w:val="single" w:sz="8" w:space="0" w:color="auto"/>
              <w:right w:val="nil"/>
            </w:tcBorders>
            <w:vAlign w:val="center"/>
          </w:tcPr>
          <w:p w14:paraId="68AC3079" w14:textId="79D03927" w:rsidR="00F57038" w:rsidRPr="002E2B5B" w:rsidRDefault="00F57038" w:rsidP="00F57038">
            <w:pPr>
              <w:jc w:val="right"/>
              <w:rPr>
                <w:rFonts w:ascii="Calibri" w:hAnsi="Calibri" w:cs="Calibri"/>
                <w:b/>
                <w:bCs/>
                <w:color w:val="000000"/>
                <w:sz w:val="16"/>
                <w:szCs w:val="16"/>
              </w:rPr>
            </w:pPr>
            <w:r w:rsidRPr="002E2B5B">
              <w:rPr>
                <w:rFonts w:ascii="Calibri" w:hAnsi="Calibri" w:cs="Calibri"/>
                <w:b/>
                <w:bCs/>
                <w:color w:val="000000"/>
                <w:sz w:val="16"/>
                <w:szCs w:val="16"/>
              </w:rPr>
              <w:t>677.873</w:t>
            </w:r>
          </w:p>
        </w:tc>
      </w:tr>
    </w:tbl>
    <w:p w14:paraId="731F7859" w14:textId="10B451AA" w:rsidR="00C24287" w:rsidRPr="002E2B5B" w:rsidRDefault="00580D61" w:rsidP="002E2B5B">
      <w:pPr>
        <w:spacing w:after="120"/>
        <w:jc w:val="both"/>
        <w:rPr>
          <w:rFonts w:ascii="Calibri" w:hAnsi="Calibri" w:cs="Calibri"/>
          <w:sz w:val="22"/>
          <w:szCs w:val="22"/>
        </w:rPr>
      </w:pPr>
      <w:r w:rsidRPr="002E2B5B">
        <w:rPr>
          <w:rFonts w:ascii="Calibri" w:hAnsi="Calibri" w:cs="Calibri"/>
          <w:sz w:val="22"/>
          <w:szCs w:val="22"/>
        </w:rPr>
        <w:t xml:space="preserve">O saldo de R$ </w:t>
      </w:r>
      <w:r w:rsidR="007D3C92">
        <w:rPr>
          <w:rFonts w:ascii="Calibri" w:hAnsi="Calibri" w:cs="Calibri"/>
          <w:sz w:val="22"/>
          <w:szCs w:val="22"/>
        </w:rPr>
        <w:t>3,1</w:t>
      </w:r>
      <w:r w:rsidR="000B6330">
        <w:rPr>
          <w:rFonts w:ascii="Calibri" w:hAnsi="Calibri" w:cs="Calibri"/>
          <w:sz w:val="22"/>
          <w:szCs w:val="22"/>
        </w:rPr>
        <w:t>1</w:t>
      </w:r>
      <w:r w:rsidR="00736874">
        <w:rPr>
          <w:rFonts w:ascii="Calibri" w:hAnsi="Calibri" w:cs="Calibri"/>
          <w:sz w:val="22"/>
          <w:szCs w:val="22"/>
        </w:rPr>
        <w:t xml:space="preserve"> milh</w:t>
      </w:r>
      <w:r w:rsidR="007D3C92">
        <w:rPr>
          <w:rFonts w:ascii="Calibri" w:hAnsi="Calibri" w:cs="Calibri"/>
          <w:sz w:val="22"/>
          <w:szCs w:val="22"/>
        </w:rPr>
        <w:t>ões</w:t>
      </w:r>
      <w:r w:rsidR="00736874">
        <w:rPr>
          <w:rFonts w:ascii="Calibri" w:hAnsi="Calibri" w:cs="Calibri"/>
          <w:sz w:val="22"/>
          <w:szCs w:val="22"/>
        </w:rPr>
        <w:t>,</w:t>
      </w:r>
      <w:r w:rsidRPr="002E2B5B">
        <w:rPr>
          <w:rFonts w:ascii="Calibri" w:hAnsi="Calibri" w:cs="Calibri"/>
          <w:sz w:val="22"/>
          <w:szCs w:val="22"/>
        </w:rPr>
        <w:t xml:space="preserve"> em </w:t>
      </w:r>
      <w:r w:rsidR="007D3C92">
        <w:rPr>
          <w:rFonts w:ascii="Calibri" w:hAnsi="Calibri" w:cs="Calibri"/>
          <w:sz w:val="22"/>
          <w:szCs w:val="22"/>
        </w:rPr>
        <w:t xml:space="preserve">30 de </w:t>
      </w:r>
      <w:r w:rsidR="000B6330">
        <w:rPr>
          <w:rFonts w:ascii="Calibri" w:hAnsi="Calibri" w:cs="Calibri"/>
          <w:sz w:val="22"/>
          <w:szCs w:val="22"/>
        </w:rPr>
        <w:t>setembr</w:t>
      </w:r>
      <w:r w:rsidR="007D3C92">
        <w:rPr>
          <w:rFonts w:ascii="Calibri" w:hAnsi="Calibri" w:cs="Calibri"/>
          <w:sz w:val="22"/>
          <w:szCs w:val="22"/>
        </w:rPr>
        <w:t>o</w:t>
      </w:r>
      <w:r w:rsidR="00DE2A36">
        <w:rPr>
          <w:rFonts w:ascii="Calibri" w:hAnsi="Calibri" w:cs="Calibri"/>
          <w:sz w:val="22"/>
          <w:szCs w:val="22"/>
        </w:rPr>
        <w:t xml:space="preserve"> de 2021</w:t>
      </w:r>
      <w:r w:rsidRPr="002E2B5B">
        <w:rPr>
          <w:rFonts w:ascii="Calibri" w:hAnsi="Calibri" w:cs="Calibri"/>
          <w:sz w:val="22"/>
          <w:szCs w:val="22"/>
        </w:rPr>
        <w:t>, refere-se a adiantamentos concedidos aos empregados da VALEC e das extintas empresas Rede Ferroviária Federal S/A – RFFSA e da Empresa Brasileira de Planejamento de Transportes – GEIPOT.</w:t>
      </w:r>
    </w:p>
    <w:p w14:paraId="0E071793" w14:textId="736D273D" w:rsidR="009165D8" w:rsidRPr="002E2B5B" w:rsidRDefault="00D725ED" w:rsidP="002E2B5B">
      <w:pPr>
        <w:spacing w:after="120"/>
        <w:jc w:val="both"/>
        <w:rPr>
          <w:rFonts w:ascii="Calibri" w:hAnsi="Calibri" w:cs="Calibri"/>
          <w:sz w:val="22"/>
          <w:szCs w:val="22"/>
        </w:rPr>
      </w:pPr>
      <w:r w:rsidRPr="002E2B5B">
        <w:rPr>
          <w:rFonts w:ascii="Calibri" w:hAnsi="Calibri" w:cs="Calibri"/>
          <w:sz w:val="22"/>
          <w:szCs w:val="22"/>
        </w:rPr>
        <w:t>Os provisionamentos das despesas com 13º salário e férias são efetuados e conciliados mensalmente. A VALEC paga metade do salário a título de adiantamento de 13º salário a seus empregados na Folha de Pagamento do mês de junho de cada ano, a fim de que o empregado receba no primeiro dia útil do mês de julho. No entanto, o empregado tem o direito de solicitar esse adiantamento na ocasião de férias quando gozadas de janeiro a junho.</w:t>
      </w:r>
    </w:p>
    <w:p w14:paraId="2D4A7BEF" w14:textId="076D3D9B" w:rsidR="00D4582D" w:rsidRPr="002E2B5B" w:rsidRDefault="00D725ED" w:rsidP="002E2B5B">
      <w:pPr>
        <w:spacing w:after="120"/>
        <w:jc w:val="both"/>
        <w:rPr>
          <w:rFonts w:ascii="Calibri" w:hAnsi="Calibri" w:cs="Calibri"/>
          <w:sz w:val="22"/>
          <w:szCs w:val="22"/>
        </w:rPr>
      </w:pPr>
      <w:r w:rsidRPr="002E2B5B">
        <w:rPr>
          <w:rFonts w:ascii="Calibri" w:hAnsi="Calibri" w:cs="Calibri"/>
          <w:sz w:val="22"/>
          <w:szCs w:val="22"/>
        </w:rPr>
        <w:t>Mediante conciliação mensal, o saldo da conta de adiantamento de 13º salário representa fielmente os valores devidamente adiantados, os quais serão descontados por ocasião da Folha de Pagamento do mês de novembro</w:t>
      </w:r>
      <w:r w:rsidR="00F51287" w:rsidRPr="002E2B5B">
        <w:rPr>
          <w:rFonts w:ascii="Calibri" w:hAnsi="Calibri" w:cs="Calibri"/>
          <w:sz w:val="22"/>
          <w:szCs w:val="22"/>
        </w:rPr>
        <w:t>,</w:t>
      </w:r>
      <w:r w:rsidRPr="002E2B5B">
        <w:rPr>
          <w:rFonts w:ascii="Calibri" w:hAnsi="Calibri" w:cs="Calibri"/>
          <w:sz w:val="22"/>
          <w:szCs w:val="22"/>
        </w:rPr>
        <w:t xml:space="preserve"> quando o 13º salário é integralmente pago. </w:t>
      </w:r>
    </w:p>
    <w:p w14:paraId="703156C7" w14:textId="04E1264C" w:rsidR="00FA0D6A" w:rsidRPr="002E2B5B" w:rsidRDefault="00D725ED" w:rsidP="002E2B5B">
      <w:pPr>
        <w:spacing w:after="120"/>
        <w:jc w:val="both"/>
        <w:rPr>
          <w:rFonts w:ascii="Calibri" w:hAnsi="Calibri" w:cs="Calibri"/>
          <w:sz w:val="22"/>
          <w:szCs w:val="22"/>
        </w:rPr>
      </w:pPr>
      <w:r w:rsidRPr="002E2B5B">
        <w:rPr>
          <w:rFonts w:ascii="Calibri" w:hAnsi="Calibri" w:cs="Calibri"/>
          <w:sz w:val="22"/>
          <w:szCs w:val="22"/>
        </w:rPr>
        <w:t>Os empregados da VALEC</w:t>
      </w:r>
      <w:r w:rsidR="0046500A" w:rsidRPr="002E2B5B">
        <w:rPr>
          <w:rFonts w:ascii="Calibri" w:hAnsi="Calibri" w:cs="Calibri"/>
          <w:sz w:val="22"/>
          <w:szCs w:val="22"/>
        </w:rPr>
        <w:t xml:space="preserve"> e das extintas empresas</w:t>
      </w:r>
      <w:r w:rsidRPr="002E2B5B">
        <w:rPr>
          <w:rFonts w:ascii="Calibri" w:hAnsi="Calibri" w:cs="Calibri"/>
          <w:sz w:val="22"/>
          <w:szCs w:val="22"/>
        </w:rPr>
        <w:t xml:space="preserve"> RFFSA e GEIPOT podem solicitar, na ocasião de suas férias, adiantamento salarial, o qual será restituído em até 6 (seis) parcelas mensais. </w:t>
      </w:r>
    </w:p>
    <w:p w14:paraId="2FDB058F" w14:textId="77777777" w:rsidR="009B313F" w:rsidRPr="002E2B5B" w:rsidRDefault="00660339" w:rsidP="002E2B5B">
      <w:pPr>
        <w:numPr>
          <w:ilvl w:val="0"/>
          <w:numId w:val="10"/>
        </w:numPr>
        <w:spacing w:after="120"/>
        <w:ind w:left="284" w:hanging="284"/>
        <w:jc w:val="both"/>
        <w:rPr>
          <w:rFonts w:ascii="Calibri" w:hAnsi="Calibri" w:cs="Calibri"/>
          <w:b/>
          <w:sz w:val="22"/>
          <w:szCs w:val="22"/>
        </w:rPr>
      </w:pPr>
      <w:r w:rsidRPr="002E2B5B">
        <w:rPr>
          <w:rFonts w:ascii="Calibri" w:hAnsi="Calibri" w:cs="Calibri"/>
          <w:b/>
          <w:sz w:val="22"/>
          <w:szCs w:val="22"/>
        </w:rPr>
        <w:t>Crédito</w:t>
      </w:r>
      <w:r w:rsidR="00FA0D6A" w:rsidRPr="002E2B5B">
        <w:rPr>
          <w:rFonts w:ascii="Calibri" w:hAnsi="Calibri" w:cs="Calibri"/>
          <w:b/>
          <w:sz w:val="22"/>
          <w:szCs w:val="22"/>
        </w:rPr>
        <w:t>s Tributários e</w:t>
      </w:r>
      <w:r w:rsidRPr="002E2B5B">
        <w:rPr>
          <w:rFonts w:ascii="Calibri" w:hAnsi="Calibri" w:cs="Calibri"/>
          <w:b/>
          <w:sz w:val="22"/>
          <w:szCs w:val="22"/>
        </w:rPr>
        <w:t xml:space="preserve"> Previdenciário a Compensar</w:t>
      </w:r>
      <w:r w:rsidR="00CD1E2F" w:rsidRPr="002E2B5B">
        <w:rPr>
          <w:rFonts w:ascii="Calibri" w:hAnsi="Calibri" w:cs="Calibri"/>
          <w:b/>
          <w:sz w:val="22"/>
          <w:szCs w:val="22"/>
        </w:rPr>
        <w:t xml:space="preserve"> </w:t>
      </w:r>
    </w:p>
    <w:p w14:paraId="0A86414A" w14:textId="7C4D1E01" w:rsidR="009165D8" w:rsidRPr="002E2B5B" w:rsidRDefault="00766496" w:rsidP="002E2B5B">
      <w:pPr>
        <w:spacing w:after="120"/>
        <w:jc w:val="both"/>
        <w:rPr>
          <w:rFonts w:ascii="Calibri" w:hAnsi="Calibri" w:cs="Calibri"/>
          <w:bCs/>
          <w:sz w:val="22"/>
          <w:szCs w:val="22"/>
        </w:rPr>
      </w:pPr>
      <w:r w:rsidRPr="002E2B5B">
        <w:rPr>
          <w:rFonts w:ascii="Calibri" w:hAnsi="Calibri" w:cs="Calibri"/>
          <w:bCs/>
          <w:sz w:val="22"/>
          <w:szCs w:val="22"/>
        </w:rPr>
        <w:t>O saldo de créditos tributários e previdenciários a compensar em 3</w:t>
      </w:r>
      <w:r w:rsidR="000B6330">
        <w:rPr>
          <w:rFonts w:ascii="Calibri" w:hAnsi="Calibri" w:cs="Calibri"/>
          <w:bCs/>
          <w:sz w:val="22"/>
          <w:szCs w:val="22"/>
        </w:rPr>
        <w:t>0</w:t>
      </w:r>
      <w:r w:rsidRPr="002E2B5B">
        <w:rPr>
          <w:rFonts w:ascii="Calibri" w:hAnsi="Calibri" w:cs="Calibri"/>
          <w:bCs/>
          <w:sz w:val="22"/>
          <w:szCs w:val="22"/>
        </w:rPr>
        <w:t xml:space="preserve"> de </w:t>
      </w:r>
      <w:r w:rsidR="000B6330">
        <w:rPr>
          <w:rFonts w:ascii="Calibri" w:hAnsi="Calibri" w:cs="Calibri"/>
          <w:bCs/>
          <w:sz w:val="22"/>
          <w:szCs w:val="22"/>
        </w:rPr>
        <w:t>setembro</w:t>
      </w:r>
      <w:r w:rsidR="00DE2A36">
        <w:rPr>
          <w:rFonts w:ascii="Calibri" w:hAnsi="Calibri" w:cs="Calibri"/>
          <w:bCs/>
          <w:sz w:val="22"/>
          <w:szCs w:val="22"/>
        </w:rPr>
        <w:t xml:space="preserve"> </w:t>
      </w:r>
      <w:r w:rsidRPr="002E2B5B">
        <w:rPr>
          <w:rFonts w:ascii="Calibri" w:hAnsi="Calibri" w:cs="Calibri"/>
          <w:bCs/>
          <w:sz w:val="22"/>
          <w:szCs w:val="22"/>
        </w:rPr>
        <w:t>de 202</w:t>
      </w:r>
      <w:r w:rsidR="00DE2A36">
        <w:rPr>
          <w:rFonts w:ascii="Calibri" w:hAnsi="Calibri" w:cs="Calibri"/>
          <w:bCs/>
          <w:sz w:val="22"/>
          <w:szCs w:val="22"/>
        </w:rPr>
        <w:t>1</w:t>
      </w:r>
      <w:r w:rsidRPr="002E2B5B">
        <w:rPr>
          <w:rFonts w:ascii="Calibri" w:hAnsi="Calibri" w:cs="Calibri"/>
          <w:bCs/>
          <w:sz w:val="22"/>
          <w:szCs w:val="22"/>
        </w:rPr>
        <w:t xml:space="preserve"> é de R$ 1,</w:t>
      </w:r>
      <w:r w:rsidR="000B6330">
        <w:rPr>
          <w:rFonts w:ascii="Calibri" w:hAnsi="Calibri" w:cs="Calibri"/>
          <w:bCs/>
          <w:sz w:val="22"/>
          <w:szCs w:val="22"/>
        </w:rPr>
        <w:t>8</w:t>
      </w:r>
      <w:r w:rsidRPr="002E2B5B">
        <w:rPr>
          <w:rFonts w:ascii="Calibri" w:hAnsi="Calibri" w:cs="Calibri"/>
          <w:bCs/>
          <w:sz w:val="22"/>
          <w:szCs w:val="22"/>
        </w:rPr>
        <w:t xml:space="preserve"> milh</w:t>
      </w:r>
      <w:r w:rsidR="0092389C">
        <w:rPr>
          <w:rFonts w:ascii="Calibri" w:hAnsi="Calibri" w:cs="Calibri"/>
          <w:bCs/>
          <w:sz w:val="22"/>
          <w:szCs w:val="22"/>
        </w:rPr>
        <w:t>ão</w:t>
      </w:r>
      <w:r w:rsidRPr="002E2B5B">
        <w:rPr>
          <w:rFonts w:ascii="Calibri" w:hAnsi="Calibri" w:cs="Calibri"/>
          <w:bCs/>
          <w:sz w:val="22"/>
          <w:szCs w:val="22"/>
        </w:rPr>
        <w:t xml:space="preserve">, sendo R$ </w:t>
      </w:r>
      <w:r w:rsidR="000B6330">
        <w:rPr>
          <w:rFonts w:ascii="Calibri" w:hAnsi="Calibri" w:cs="Calibri"/>
          <w:bCs/>
          <w:sz w:val="22"/>
          <w:szCs w:val="22"/>
        </w:rPr>
        <w:t>812</w:t>
      </w:r>
      <w:r w:rsidRPr="002E2B5B">
        <w:rPr>
          <w:rFonts w:ascii="Calibri" w:hAnsi="Calibri" w:cs="Calibri"/>
          <w:bCs/>
          <w:sz w:val="22"/>
          <w:szCs w:val="22"/>
        </w:rPr>
        <w:t xml:space="preserve"> mil </w:t>
      </w:r>
      <w:r w:rsidR="009705E6" w:rsidRPr="002E2B5B">
        <w:rPr>
          <w:rFonts w:ascii="Calibri" w:hAnsi="Calibri" w:cs="Calibri"/>
          <w:bCs/>
          <w:sz w:val="22"/>
          <w:szCs w:val="22"/>
        </w:rPr>
        <w:t>em</w:t>
      </w:r>
      <w:r w:rsidRPr="002E2B5B">
        <w:rPr>
          <w:rFonts w:ascii="Calibri" w:hAnsi="Calibri" w:cs="Calibri"/>
          <w:bCs/>
          <w:sz w:val="22"/>
          <w:szCs w:val="22"/>
        </w:rPr>
        <w:t xml:space="preserve"> tributos a compensar e R$ 1,</w:t>
      </w:r>
      <w:r w:rsidR="000B6330">
        <w:rPr>
          <w:rFonts w:ascii="Calibri" w:hAnsi="Calibri" w:cs="Calibri"/>
          <w:bCs/>
          <w:sz w:val="22"/>
          <w:szCs w:val="22"/>
        </w:rPr>
        <w:t>08</w:t>
      </w:r>
      <w:r w:rsidRPr="002E2B5B">
        <w:rPr>
          <w:rFonts w:ascii="Calibri" w:hAnsi="Calibri" w:cs="Calibri"/>
          <w:bCs/>
          <w:sz w:val="22"/>
          <w:szCs w:val="22"/>
        </w:rPr>
        <w:t xml:space="preserve"> milh</w:t>
      </w:r>
      <w:r w:rsidR="0092389C">
        <w:rPr>
          <w:rFonts w:ascii="Calibri" w:hAnsi="Calibri" w:cs="Calibri"/>
          <w:bCs/>
          <w:sz w:val="22"/>
          <w:szCs w:val="22"/>
        </w:rPr>
        <w:t>ão</w:t>
      </w:r>
      <w:r w:rsidRPr="002E2B5B">
        <w:rPr>
          <w:rFonts w:ascii="Calibri" w:hAnsi="Calibri" w:cs="Calibri"/>
          <w:bCs/>
          <w:sz w:val="22"/>
          <w:szCs w:val="22"/>
        </w:rPr>
        <w:t xml:space="preserve"> em créditos previdenciários.</w:t>
      </w:r>
    </w:p>
    <w:p w14:paraId="099DBF6D" w14:textId="77777777" w:rsidR="00FA0D6A" w:rsidRPr="002E2B5B" w:rsidRDefault="00FA0D6A" w:rsidP="002E2B5B">
      <w:pPr>
        <w:spacing w:after="120"/>
        <w:jc w:val="both"/>
        <w:rPr>
          <w:rFonts w:ascii="Calibri" w:hAnsi="Calibri" w:cs="Calibri"/>
          <w:b/>
          <w:sz w:val="22"/>
          <w:szCs w:val="22"/>
        </w:rPr>
      </w:pPr>
      <w:r w:rsidRPr="002E2B5B">
        <w:rPr>
          <w:rFonts w:ascii="Calibri" w:hAnsi="Calibri" w:cs="Calibri"/>
          <w:b/>
          <w:sz w:val="22"/>
          <w:szCs w:val="22"/>
        </w:rPr>
        <w:t xml:space="preserve">b.1) </w:t>
      </w:r>
      <w:r w:rsidR="00250E26" w:rsidRPr="002E2B5B">
        <w:rPr>
          <w:rFonts w:ascii="Calibri" w:hAnsi="Calibri" w:cs="Calibri"/>
          <w:b/>
          <w:sz w:val="22"/>
          <w:szCs w:val="22"/>
        </w:rPr>
        <w:t>Tributos</w:t>
      </w:r>
      <w:r w:rsidRPr="002E2B5B">
        <w:rPr>
          <w:rFonts w:ascii="Calibri" w:hAnsi="Calibri" w:cs="Calibri"/>
          <w:b/>
          <w:sz w:val="22"/>
          <w:szCs w:val="22"/>
        </w:rPr>
        <w:t xml:space="preserve"> a Compensar</w:t>
      </w:r>
    </w:p>
    <w:p w14:paraId="65CB6546" w14:textId="62254F89" w:rsidR="00250E26" w:rsidRDefault="00250E26" w:rsidP="00F731F8">
      <w:pPr>
        <w:spacing w:after="120"/>
        <w:jc w:val="both"/>
        <w:rPr>
          <w:rFonts w:ascii="Calibri" w:hAnsi="Calibri" w:cs="Calibri"/>
          <w:sz w:val="22"/>
          <w:szCs w:val="22"/>
        </w:rPr>
      </w:pPr>
      <w:r w:rsidRPr="002E2B5B">
        <w:rPr>
          <w:rFonts w:ascii="Calibri" w:hAnsi="Calibri" w:cs="Calibri"/>
          <w:sz w:val="22"/>
          <w:szCs w:val="22"/>
        </w:rPr>
        <w:t>De acordo com o art. 1º da Lei</w:t>
      </w:r>
      <w:r w:rsidR="00750CA7">
        <w:rPr>
          <w:rFonts w:ascii="Calibri" w:hAnsi="Calibri" w:cs="Calibri"/>
          <w:sz w:val="22"/>
          <w:szCs w:val="22"/>
        </w:rPr>
        <w:t xml:space="preserve"> nº</w:t>
      </w:r>
      <w:r w:rsidRPr="002E2B5B">
        <w:rPr>
          <w:rFonts w:ascii="Calibri" w:hAnsi="Calibri" w:cs="Calibri"/>
          <w:sz w:val="22"/>
          <w:szCs w:val="22"/>
        </w:rPr>
        <w:t xml:space="preserve"> 10.637</w:t>
      </w:r>
      <w:r w:rsidR="00750CA7">
        <w:rPr>
          <w:rFonts w:ascii="Calibri" w:hAnsi="Calibri" w:cs="Calibri"/>
          <w:sz w:val="22"/>
          <w:szCs w:val="22"/>
        </w:rPr>
        <w:t xml:space="preserve">, de 30 de dezembro de </w:t>
      </w:r>
      <w:r w:rsidRPr="002E2B5B">
        <w:rPr>
          <w:rFonts w:ascii="Calibri" w:hAnsi="Calibri" w:cs="Calibri"/>
          <w:sz w:val="22"/>
          <w:szCs w:val="22"/>
        </w:rPr>
        <w:t>2002 e art. 1º da Lei</w:t>
      </w:r>
      <w:r w:rsidR="00750CA7">
        <w:rPr>
          <w:rFonts w:ascii="Calibri" w:hAnsi="Calibri" w:cs="Calibri"/>
          <w:sz w:val="22"/>
          <w:szCs w:val="22"/>
        </w:rPr>
        <w:t xml:space="preserve"> nº</w:t>
      </w:r>
      <w:r w:rsidRPr="002E2B5B">
        <w:rPr>
          <w:rFonts w:ascii="Calibri" w:hAnsi="Calibri" w:cs="Calibri"/>
          <w:sz w:val="22"/>
          <w:szCs w:val="22"/>
        </w:rPr>
        <w:t xml:space="preserve"> 10.833</w:t>
      </w:r>
      <w:r w:rsidR="00750CA7">
        <w:rPr>
          <w:rFonts w:ascii="Calibri" w:hAnsi="Calibri" w:cs="Calibri"/>
          <w:sz w:val="22"/>
          <w:szCs w:val="22"/>
        </w:rPr>
        <w:t xml:space="preserve">, de 29 de dezembro de </w:t>
      </w:r>
      <w:r w:rsidRPr="002E2B5B">
        <w:rPr>
          <w:rFonts w:ascii="Calibri" w:hAnsi="Calibri" w:cs="Calibri"/>
          <w:sz w:val="22"/>
          <w:szCs w:val="22"/>
        </w:rPr>
        <w:t xml:space="preserve">2003, a base de cálculo da apuração do PIS e da COFINS pelo regime não-cumulativo é o total das receitas auferidas no mês, excluídas as situações previstas em lei. As referidas leis, em seu art. 3º, preveem a possibilidade de aproveitamento de créditos de PIS (1,65%) e COFINS (7,6%) sobre “aluguéis de prédios, máquinas e equipamentos e energia elétrica ou térmica”. Assim, a </w:t>
      </w:r>
      <w:proofErr w:type="spellStart"/>
      <w:r w:rsidRPr="002E2B5B">
        <w:rPr>
          <w:rFonts w:ascii="Calibri" w:hAnsi="Calibri" w:cs="Calibri"/>
          <w:sz w:val="22"/>
          <w:szCs w:val="22"/>
        </w:rPr>
        <w:t>Valec</w:t>
      </w:r>
      <w:proofErr w:type="spellEnd"/>
      <w:r w:rsidRPr="002E2B5B">
        <w:rPr>
          <w:rFonts w:ascii="Calibri" w:hAnsi="Calibri" w:cs="Calibri"/>
          <w:sz w:val="22"/>
          <w:szCs w:val="22"/>
        </w:rPr>
        <w:t xml:space="preserve"> encerrou o </w:t>
      </w:r>
      <w:r w:rsidR="007C004E">
        <w:rPr>
          <w:rFonts w:ascii="Calibri" w:hAnsi="Calibri" w:cs="Calibri"/>
          <w:sz w:val="22"/>
          <w:szCs w:val="22"/>
        </w:rPr>
        <w:t>3</w:t>
      </w:r>
      <w:r w:rsidR="00736874">
        <w:rPr>
          <w:rFonts w:ascii="Calibri" w:hAnsi="Calibri" w:cs="Calibri"/>
          <w:sz w:val="22"/>
          <w:szCs w:val="22"/>
        </w:rPr>
        <w:t>º trimestre de 2021</w:t>
      </w:r>
      <w:r w:rsidRPr="002E2B5B">
        <w:rPr>
          <w:rFonts w:ascii="Calibri" w:hAnsi="Calibri" w:cs="Calibri"/>
          <w:sz w:val="22"/>
          <w:szCs w:val="22"/>
        </w:rPr>
        <w:t xml:space="preserve"> com saldo de crédito de PIS de R$ </w:t>
      </w:r>
      <w:r w:rsidR="007C004E">
        <w:rPr>
          <w:rFonts w:ascii="Calibri" w:hAnsi="Calibri" w:cs="Calibri"/>
          <w:sz w:val="22"/>
          <w:szCs w:val="22"/>
        </w:rPr>
        <w:t>145</w:t>
      </w:r>
      <w:r w:rsidR="00F731F8">
        <w:rPr>
          <w:rFonts w:ascii="Calibri" w:hAnsi="Calibri" w:cs="Calibri"/>
          <w:sz w:val="22"/>
          <w:szCs w:val="22"/>
        </w:rPr>
        <w:t>,7</w:t>
      </w:r>
      <w:r w:rsidRPr="002E2B5B">
        <w:rPr>
          <w:rFonts w:ascii="Calibri" w:hAnsi="Calibri" w:cs="Calibri"/>
          <w:sz w:val="22"/>
          <w:szCs w:val="22"/>
        </w:rPr>
        <w:t xml:space="preserve"> mil e COFINS de R$ </w:t>
      </w:r>
      <w:r w:rsidR="007C004E">
        <w:rPr>
          <w:rFonts w:ascii="Calibri" w:hAnsi="Calibri" w:cs="Calibri"/>
          <w:sz w:val="22"/>
          <w:szCs w:val="22"/>
        </w:rPr>
        <w:t>666</w:t>
      </w:r>
      <w:r w:rsidR="00F731F8">
        <w:rPr>
          <w:rFonts w:ascii="Calibri" w:hAnsi="Calibri" w:cs="Calibri"/>
          <w:sz w:val="22"/>
          <w:szCs w:val="22"/>
        </w:rPr>
        <w:t>,3</w:t>
      </w:r>
      <w:r w:rsidRPr="002E2B5B">
        <w:rPr>
          <w:rFonts w:ascii="Calibri" w:hAnsi="Calibri" w:cs="Calibri"/>
          <w:sz w:val="22"/>
          <w:szCs w:val="22"/>
        </w:rPr>
        <w:t xml:space="preserve"> mil a serem utilizados em </w:t>
      </w:r>
      <w:r w:rsidR="0092389C">
        <w:rPr>
          <w:rFonts w:ascii="Calibri" w:hAnsi="Calibri" w:cs="Calibri"/>
          <w:sz w:val="22"/>
          <w:szCs w:val="22"/>
        </w:rPr>
        <w:t>períodos</w:t>
      </w:r>
      <w:r w:rsidRPr="002E2B5B">
        <w:rPr>
          <w:rFonts w:ascii="Calibri" w:hAnsi="Calibri" w:cs="Calibri"/>
          <w:sz w:val="22"/>
          <w:szCs w:val="22"/>
        </w:rPr>
        <w:t xml:space="preserve"> posteriores.</w:t>
      </w:r>
    </w:p>
    <w:tbl>
      <w:tblPr>
        <w:tblW w:w="5000" w:type="pct"/>
        <w:tblCellMar>
          <w:left w:w="70" w:type="dxa"/>
          <w:right w:w="70" w:type="dxa"/>
        </w:tblCellMar>
        <w:tblLook w:val="04A0" w:firstRow="1" w:lastRow="0" w:firstColumn="1" w:lastColumn="0" w:noHBand="0" w:noVBand="1"/>
      </w:tblPr>
      <w:tblGrid>
        <w:gridCol w:w="3127"/>
        <w:gridCol w:w="1836"/>
        <w:gridCol w:w="1836"/>
        <w:gridCol w:w="1836"/>
        <w:gridCol w:w="1832"/>
      </w:tblGrid>
      <w:tr w:rsidR="00F731F8" w14:paraId="07911491" w14:textId="77777777" w:rsidTr="00B23D01">
        <w:trPr>
          <w:trHeight w:hRule="exact" w:val="227"/>
        </w:trPr>
        <w:tc>
          <w:tcPr>
            <w:tcW w:w="1494" w:type="pct"/>
            <w:tcBorders>
              <w:top w:val="nil"/>
              <w:left w:val="nil"/>
              <w:bottom w:val="single" w:sz="8" w:space="0" w:color="auto"/>
              <w:right w:val="nil"/>
            </w:tcBorders>
            <w:shd w:val="clear" w:color="auto" w:fill="auto"/>
            <w:noWrap/>
            <w:vAlign w:val="center"/>
            <w:hideMark/>
          </w:tcPr>
          <w:p w14:paraId="609155A2" w14:textId="77777777" w:rsidR="00F731F8" w:rsidRDefault="00F731F8">
            <w:pPr>
              <w:rPr>
                <w:rFonts w:ascii="Calibri" w:hAnsi="Calibri" w:cs="Calibri"/>
                <w:b/>
                <w:bCs/>
                <w:color w:val="000000"/>
                <w:sz w:val="16"/>
                <w:szCs w:val="16"/>
              </w:rPr>
            </w:pPr>
            <w:r>
              <w:rPr>
                <w:rFonts w:ascii="Calibri" w:hAnsi="Calibri" w:cs="Calibri"/>
                <w:b/>
                <w:bCs/>
                <w:color w:val="000000"/>
                <w:sz w:val="16"/>
                <w:szCs w:val="16"/>
              </w:rPr>
              <w:t>TRIBUTOS A COMPENSAR</w:t>
            </w:r>
          </w:p>
        </w:tc>
        <w:tc>
          <w:tcPr>
            <w:tcW w:w="877" w:type="pct"/>
            <w:tcBorders>
              <w:top w:val="nil"/>
              <w:left w:val="nil"/>
              <w:bottom w:val="single" w:sz="8" w:space="0" w:color="auto"/>
              <w:right w:val="nil"/>
            </w:tcBorders>
            <w:shd w:val="clear" w:color="auto" w:fill="auto"/>
            <w:vAlign w:val="center"/>
            <w:hideMark/>
          </w:tcPr>
          <w:p w14:paraId="428F0E5B" w14:textId="77777777" w:rsidR="00F731F8" w:rsidRDefault="00F731F8">
            <w:pPr>
              <w:jc w:val="right"/>
              <w:rPr>
                <w:rFonts w:ascii="Calibri" w:hAnsi="Calibri" w:cs="Calibri"/>
                <w:b/>
                <w:bCs/>
                <w:color w:val="000000"/>
                <w:sz w:val="16"/>
                <w:szCs w:val="16"/>
              </w:rPr>
            </w:pPr>
            <w:r>
              <w:rPr>
                <w:rFonts w:ascii="Calibri" w:hAnsi="Calibri" w:cs="Calibri"/>
                <w:b/>
                <w:bCs/>
                <w:color w:val="000000"/>
                <w:sz w:val="16"/>
                <w:szCs w:val="16"/>
              </w:rPr>
              <w:t>Saldo em 31/12/2020</w:t>
            </w:r>
          </w:p>
        </w:tc>
        <w:tc>
          <w:tcPr>
            <w:tcW w:w="877" w:type="pct"/>
            <w:tcBorders>
              <w:top w:val="nil"/>
              <w:left w:val="nil"/>
              <w:bottom w:val="single" w:sz="8" w:space="0" w:color="auto"/>
              <w:right w:val="nil"/>
            </w:tcBorders>
            <w:shd w:val="clear" w:color="auto" w:fill="auto"/>
            <w:vAlign w:val="center"/>
            <w:hideMark/>
          </w:tcPr>
          <w:p w14:paraId="05267F1F" w14:textId="77777777" w:rsidR="00F731F8" w:rsidRDefault="00F731F8">
            <w:pPr>
              <w:jc w:val="right"/>
              <w:rPr>
                <w:rFonts w:ascii="Calibri" w:hAnsi="Calibri" w:cs="Calibri"/>
                <w:b/>
                <w:bCs/>
                <w:color w:val="000000"/>
                <w:sz w:val="16"/>
                <w:szCs w:val="16"/>
              </w:rPr>
            </w:pPr>
            <w:r>
              <w:rPr>
                <w:rFonts w:ascii="Calibri" w:hAnsi="Calibri" w:cs="Calibri"/>
                <w:b/>
                <w:bCs/>
                <w:color w:val="000000"/>
                <w:sz w:val="16"/>
                <w:szCs w:val="16"/>
              </w:rPr>
              <w:t>Ingresso</w:t>
            </w:r>
          </w:p>
        </w:tc>
        <w:tc>
          <w:tcPr>
            <w:tcW w:w="877" w:type="pct"/>
            <w:tcBorders>
              <w:top w:val="nil"/>
              <w:left w:val="nil"/>
              <w:bottom w:val="single" w:sz="8" w:space="0" w:color="auto"/>
              <w:right w:val="nil"/>
            </w:tcBorders>
            <w:shd w:val="clear" w:color="auto" w:fill="auto"/>
            <w:vAlign w:val="center"/>
            <w:hideMark/>
          </w:tcPr>
          <w:p w14:paraId="30E7755F" w14:textId="77777777" w:rsidR="00F731F8" w:rsidRDefault="00F731F8">
            <w:pPr>
              <w:jc w:val="right"/>
              <w:rPr>
                <w:rFonts w:ascii="Calibri" w:hAnsi="Calibri" w:cs="Calibri"/>
                <w:b/>
                <w:bCs/>
                <w:color w:val="000000"/>
                <w:sz w:val="16"/>
                <w:szCs w:val="16"/>
              </w:rPr>
            </w:pPr>
            <w:r>
              <w:rPr>
                <w:rFonts w:ascii="Calibri" w:hAnsi="Calibri" w:cs="Calibri"/>
                <w:b/>
                <w:bCs/>
                <w:color w:val="000000"/>
                <w:sz w:val="16"/>
                <w:szCs w:val="16"/>
              </w:rPr>
              <w:t>Baixa</w:t>
            </w:r>
          </w:p>
        </w:tc>
        <w:tc>
          <w:tcPr>
            <w:tcW w:w="877" w:type="pct"/>
            <w:tcBorders>
              <w:top w:val="nil"/>
              <w:left w:val="nil"/>
              <w:bottom w:val="single" w:sz="8" w:space="0" w:color="auto"/>
              <w:right w:val="nil"/>
            </w:tcBorders>
            <w:shd w:val="clear" w:color="auto" w:fill="auto"/>
            <w:vAlign w:val="center"/>
            <w:hideMark/>
          </w:tcPr>
          <w:p w14:paraId="3A8E7E53" w14:textId="120E74A7" w:rsidR="00F731F8" w:rsidRDefault="00F731F8">
            <w:pPr>
              <w:jc w:val="right"/>
              <w:rPr>
                <w:rFonts w:ascii="Calibri" w:hAnsi="Calibri" w:cs="Calibri"/>
                <w:b/>
                <w:bCs/>
                <w:color w:val="000000"/>
                <w:sz w:val="16"/>
                <w:szCs w:val="16"/>
              </w:rPr>
            </w:pPr>
            <w:r>
              <w:rPr>
                <w:rFonts w:ascii="Calibri" w:hAnsi="Calibri" w:cs="Calibri"/>
                <w:b/>
                <w:bCs/>
                <w:color w:val="000000"/>
                <w:sz w:val="16"/>
                <w:szCs w:val="16"/>
              </w:rPr>
              <w:t>Saldo em 30/0</w:t>
            </w:r>
            <w:r w:rsidR="001D64BE">
              <w:rPr>
                <w:rFonts w:ascii="Calibri" w:hAnsi="Calibri" w:cs="Calibri"/>
                <w:b/>
                <w:bCs/>
                <w:color w:val="000000"/>
                <w:sz w:val="16"/>
                <w:szCs w:val="16"/>
              </w:rPr>
              <w:t>9</w:t>
            </w:r>
            <w:r>
              <w:rPr>
                <w:rFonts w:ascii="Calibri" w:hAnsi="Calibri" w:cs="Calibri"/>
                <w:b/>
                <w:bCs/>
                <w:color w:val="000000"/>
                <w:sz w:val="16"/>
                <w:szCs w:val="16"/>
              </w:rPr>
              <w:t>/2021</w:t>
            </w:r>
          </w:p>
        </w:tc>
      </w:tr>
      <w:tr w:rsidR="00F731F8" w14:paraId="50E3C179" w14:textId="77777777" w:rsidTr="00B23D01">
        <w:trPr>
          <w:trHeight w:hRule="exact" w:val="227"/>
        </w:trPr>
        <w:tc>
          <w:tcPr>
            <w:tcW w:w="1494" w:type="pct"/>
            <w:tcBorders>
              <w:top w:val="nil"/>
              <w:left w:val="nil"/>
              <w:bottom w:val="nil"/>
              <w:right w:val="nil"/>
            </w:tcBorders>
            <w:shd w:val="clear" w:color="auto" w:fill="auto"/>
            <w:noWrap/>
            <w:vAlign w:val="center"/>
            <w:hideMark/>
          </w:tcPr>
          <w:p w14:paraId="63CEAD0E" w14:textId="77777777" w:rsidR="00F731F8" w:rsidRDefault="00F731F8">
            <w:pPr>
              <w:rPr>
                <w:rFonts w:ascii="Calibri" w:hAnsi="Calibri" w:cs="Calibri"/>
                <w:color w:val="000000"/>
                <w:sz w:val="16"/>
                <w:szCs w:val="16"/>
              </w:rPr>
            </w:pPr>
            <w:r>
              <w:rPr>
                <w:rFonts w:ascii="Calibri" w:hAnsi="Calibri" w:cs="Calibri"/>
                <w:color w:val="000000"/>
                <w:sz w:val="16"/>
                <w:szCs w:val="16"/>
              </w:rPr>
              <w:t>COFINS a Compensar</w:t>
            </w:r>
          </w:p>
        </w:tc>
        <w:tc>
          <w:tcPr>
            <w:tcW w:w="877" w:type="pct"/>
            <w:tcBorders>
              <w:top w:val="nil"/>
              <w:left w:val="nil"/>
              <w:bottom w:val="nil"/>
              <w:right w:val="nil"/>
            </w:tcBorders>
            <w:shd w:val="clear" w:color="auto" w:fill="auto"/>
            <w:noWrap/>
            <w:vAlign w:val="center"/>
            <w:hideMark/>
          </w:tcPr>
          <w:p w14:paraId="0AD1DCA3" w14:textId="77777777" w:rsidR="00F731F8" w:rsidRDefault="00F731F8">
            <w:pPr>
              <w:jc w:val="right"/>
              <w:rPr>
                <w:rFonts w:ascii="Calibri" w:hAnsi="Calibri" w:cs="Calibri"/>
                <w:color w:val="000000"/>
                <w:sz w:val="16"/>
                <w:szCs w:val="16"/>
              </w:rPr>
            </w:pPr>
            <w:r>
              <w:rPr>
                <w:rFonts w:ascii="Calibri" w:hAnsi="Calibri" w:cs="Calibri"/>
                <w:color w:val="000000"/>
                <w:sz w:val="16"/>
                <w:szCs w:val="16"/>
              </w:rPr>
              <w:t>325.576</w:t>
            </w:r>
          </w:p>
        </w:tc>
        <w:tc>
          <w:tcPr>
            <w:tcW w:w="877" w:type="pct"/>
            <w:tcBorders>
              <w:top w:val="nil"/>
              <w:left w:val="nil"/>
              <w:bottom w:val="nil"/>
              <w:right w:val="nil"/>
            </w:tcBorders>
            <w:shd w:val="clear" w:color="auto" w:fill="auto"/>
            <w:vAlign w:val="center"/>
            <w:hideMark/>
          </w:tcPr>
          <w:p w14:paraId="300A17EE" w14:textId="39387A57" w:rsidR="00F731F8" w:rsidRDefault="007C004E">
            <w:pPr>
              <w:jc w:val="right"/>
              <w:rPr>
                <w:rFonts w:ascii="Calibri" w:hAnsi="Calibri" w:cs="Calibri"/>
                <w:color w:val="000000"/>
                <w:sz w:val="16"/>
                <w:szCs w:val="16"/>
              </w:rPr>
            </w:pPr>
            <w:r>
              <w:rPr>
                <w:rFonts w:ascii="Calibri" w:hAnsi="Calibri" w:cs="Calibri"/>
                <w:color w:val="000000"/>
                <w:sz w:val="16"/>
                <w:szCs w:val="16"/>
              </w:rPr>
              <w:t>340.724</w:t>
            </w:r>
          </w:p>
        </w:tc>
        <w:tc>
          <w:tcPr>
            <w:tcW w:w="877" w:type="pct"/>
            <w:tcBorders>
              <w:top w:val="nil"/>
              <w:left w:val="nil"/>
              <w:bottom w:val="nil"/>
              <w:right w:val="nil"/>
            </w:tcBorders>
            <w:shd w:val="clear" w:color="auto" w:fill="auto"/>
            <w:vAlign w:val="center"/>
            <w:hideMark/>
          </w:tcPr>
          <w:p w14:paraId="0E44E094" w14:textId="77777777" w:rsidR="00F731F8" w:rsidRDefault="00F731F8">
            <w:pPr>
              <w:jc w:val="right"/>
              <w:rPr>
                <w:rFonts w:ascii="Calibri" w:hAnsi="Calibri" w:cs="Calibri"/>
                <w:color w:val="000000"/>
                <w:sz w:val="16"/>
                <w:szCs w:val="16"/>
              </w:rPr>
            </w:pPr>
            <w:r>
              <w:rPr>
                <w:rFonts w:ascii="Calibri" w:hAnsi="Calibri" w:cs="Calibri"/>
                <w:color w:val="000000"/>
                <w:sz w:val="16"/>
                <w:szCs w:val="16"/>
              </w:rPr>
              <w:t>-</w:t>
            </w:r>
          </w:p>
        </w:tc>
        <w:tc>
          <w:tcPr>
            <w:tcW w:w="877" w:type="pct"/>
            <w:tcBorders>
              <w:top w:val="nil"/>
              <w:left w:val="nil"/>
              <w:bottom w:val="nil"/>
              <w:right w:val="nil"/>
            </w:tcBorders>
            <w:shd w:val="clear" w:color="auto" w:fill="auto"/>
            <w:vAlign w:val="center"/>
            <w:hideMark/>
          </w:tcPr>
          <w:p w14:paraId="03683C73" w14:textId="7E9FDF9A" w:rsidR="00F731F8" w:rsidRDefault="007C004E">
            <w:pPr>
              <w:jc w:val="right"/>
              <w:rPr>
                <w:rFonts w:ascii="Calibri" w:hAnsi="Calibri" w:cs="Calibri"/>
                <w:color w:val="000000"/>
                <w:sz w:val="16"/>
                <w:szCs w:val="16"/>
              </w:rPr>
            </w:pPr>
            <w:r>
              <w:rPr>
                <w:rFonts w:ascii="Calibri" w:hAnsi="Calibri" w:cs="Calibri"/>
                <w:color w:val="000000"/>
                <w:sz w:val="16"/>
                <w:szCs w:val="16"/>
              </w:rPr>
              <w:t>666.300</w:t>
            </w:r>
          </w:p>
        </w:tc>
      </w:tr>
      <w:tr w:rsidR="00F731F8" w14:paraId="16B46E6A" w14:textId="77777777" w:rsidTr="00B23D01">
        <w:trPr>
          <w:trHeight w:hRule="exact" w:val="227"/>
        </w:trPr>
        <w:tc>
          <w:tcPr>
            <w:tcW w:w="1494" w:type="pct"/>
            <w:tcBorders>
              <w:top w:val="nil"/>
              <w:left w:val="nil"/>
              <w:bottom w:val="nil"/>
              <w:right w:val="nil"/>
            </w:tcBorders>
            <w:shd w:val="clear" w:color="auto" w:fill="auto"/>
            <w:noWrap/>
            <w:vAlign w:val="center"/>
            <w:hideMark/>
          </w:tcPr>
          <w:p w14:paraId="4C82138D" w14:textId="77777777" w:rsidR="00F731F8" w:rsidRDefault="00F731F8">
            <w:pPr>
              <w:rPr>
                <w:rFonts w:ascii="Calibri" w:hAnsi="Calibri" w:cs="Calibri"/>
                <w:color w:val="000000"/>
                <w:sz w:val="16"/>
                <w:szCs w:val="16"/>
              </w:rPr>
            </w:pPr>
            <w:r>
              <w:rPr>
                <w:rFonts w:ascii="Calibri" w:hAnsi="Calibri" w:cs="Calibri"/>
                <w:color w:val="000000"/>
                <w:sz w:val="16"/>
                <w:szCs w:val="16"/>
              </w:rPr>
              <w:t>PIS a Compensar</w:t>
            </w:r>
          </w:p>
        </w:tc>
        <w:tc>
          <w:tcPr>
            <w:tcW w:w="877" w:type="pct"/>
            <w:tcBorders>
              <w:top w:val="nil"/>
              <w:left w:val="nil"/>
              <w:bottom w:val="nil"/>
              <w:right w:val="nil"/>
            </w:tcBorders>
            <w:shd w:val="clear" w:color="auto" w:fill="auto"/>
            <w:noWrap/>
            <w:vAlign w:val="center"/>
            <w:hideMark/>
          </w:tcPr>
          <w:p w14:paraId="3534E4D6" w14:textId="77777777" w:rsidR="00F731F8" w:rsidRDefault="00F731F8">
            <w:pPr>
              <w:jc w:val="right"/>
              <w:rPr>
                <w:rFonts w:ascii="Calibri" w:hAnsi="Calibri" w:cs="Calibri"/>
                <w:color w:val="000000"/>
                <w:sz w:val="16"/>
                <w:szCs w:val="16"/>
              </w:rPr>
            </w:pPr>
            <w:r>
              <w:rPr>
                <w:rFonts w:ascii="Calibri" w:hAnsi="Calibri" w:cs="Calibri"/>
                <w:color w:val="000000"/>
                <w:sz w:val="16"/>
                <w:szCs w:val="16"/>
              </w:rPr>
              <w:t>70.937</w:t>
            </w:r>
          </w:p>
        </w:tc>
        <w:tc>
          <w:tcPr>
            <w:tcW w:w="877" w:type="pct"/>
            <w:tcBorders>
              <w:top w:val="nil"/>
              <w:left w:val="nil"/>
              <w:bottom w:val="nil"/>
              <w:right w:val="nil"/>
            </w:tcBorders>
            <w:shd w:val="clear" w:color="auto" w:fill="auto"/>
            <w:vAlign w:val="center"/>
            <w:hideMark/>
          </w:tcPr>
          <w:p w14:paraId="493BACB3" w14:textId="43C3F6EE" w:rsidR="00F731F8" w:rsidRDefault="007C004E">
            <w:pPr>
              <w:jc w:val="right"/>
              <w:rPr>
                <w:rFonts w:ascii="Calibri" w:hAnsi="Calibri" w:cs="Calibri"/>
                <w:color w:val="000000"/>
                <w:sz w:val="16"/>
                <w:szCs w:val="16"/>
              </w:rPr>
            </w:pPr>
            <w:r>
              <w:rPr>
                <w:rFonts w:ascii="Calibri" w:hAnsi="Calibri" w:cs="Calibri"/>
                <w:color w:val="000000"/>
                <w:sz w:val="16"/>
                <w:szCs w:val="16"/>
              </w:rPr>
              <w:t>74.811</w:t>
            </w:r>
          </w:p>
        </w:tc>
        <w:tc>
          <w:tcPr>
            <w:tcW w:w="877" w:type="pct"/>
            <w:tcBorders>
              <w:top w:val="nil"/>
              <w:left w:val="nil"/>
              <w:bottom w:val="nil"/>
              <w:right w:val="nil"/>
            </w:tcBorders>
            <w:shd w:val="clear" w:color="auto" w:fill="auto"/>
            <w:vAlign w:val="center"/>
            <w:hideMark/>
          </w:tcPr>
          <w:p w14:paraId="115D2965" w14:textId="77777777" w:rsidR="00F731F8" w:rsidRDefault="00F731F8">
            <w:pPr>
              <w:jc w:val="right"/>
              <w:rPr>
                <w:rFonts w:ascii="Calibri" w:hAnsi="Calibri" w:cs="Calibri"/>
                <w:color w:val="000000"/>
                <w:sz w:val="16"/>
                <w:szCs w:val="16"/>
              </w:rPr>
            </w:pPr>
            <w:r>
              <w:rPr>
                <w:rFonts w:ascii="Calibri" w:hAnsi="Calibri" w:cs="Calibri"/>
                <w:color w:val="000000"/>
                <w:sz w:val="16"/>
                <w:szCs w:val="16"/>
              </w:rPr>
              <w:t>-</w:t>
            </w:r>
          </w:p>
        </w:tc>
        <w:tc>
          <w:tcPr>
            <w:tcW w:w="877" w:type="pct"/>
            <w:tcBorders>
              <w:top w:val="nil"/>
              <w:left w:val="nil"/>
              <w:bottom w:val="nil"/>
              <w:right w:val="nil"/>
            </w:tcBorders>
            <w:shd w:val="clear" w:color="auto" w:fill="auto"/>
            <w:vAlign w:val="center"/>
            <w:hideMark/>
          </w:tcPr>
          <w:p w14:paraId="3E09BD6A" w14:textId="5426447C" w:rsidR="00F731F8" w:rsidRDefault="007C004E">
            <w:pPr>
              <w:jc w:val="right"/>
              <w:rPr>
                <w:rFonts w:ascii="Calibri" w:hAnsi="Calibri" w:cs="Calibri"/>
                <w:color w:val="000000"/>
                <w:sz w:val="16"/>
                <w:szCs w:val="16"/>
              </w:rPr>
            </w:pPr>
            <w:r>
              <w:rPr>
                <w:rFonts w:ascii="Calibri" w:hAnsi="Calibri" w:cs="Calibri"/>
                <w:color w:val="000000"/>
                <w:sz w:val="16"/>
                <w:szCs w:val="16"/>
              </w:rPr>
              <w:t>145.748</w:t>
            </w:r>
          </w:p>
        </w:tc>
      </w:tr>
      <w:tr w:rsidR="00F731F8" w14:paraId="35D510A1" w14:textId="77777777" w:rsidTr="00B23D01">
        <w:trPr>
          <w:trHeight w:hRule="exact" w:val="227"/>
        </w:trPr>
        <w:tc>
          <w:tcPr>
            <w:tcW w:w="1494" w:type="pct"/>
            <w:tcBorders>
              <w:top w:val="nil"/>
              <w:left w:val="nil"/>
              <w:bottom w:val="nil"/>
              <w:right w:val="nil"/>
            </w:tcBorders>
            <w:shd w:val="clear" w:color="auto" w:fill="auto"/>
            <w:noWrap/>
            <w:vAlign w:val="center"/>
            <w:hideMark/>
          </w:tcPr>
          <w:p w14:paraId="22FCA95C" w14:textId="77777777" w:rsidR="00F731F8" w:rsidRDefault="00F731F8">
            <w:pPr>
              <w:rPr>
                <w:rFonts w:ascii="Calibri" w:hAnsi="Calibri" w:cs="Calibri"/>
                <w:color w:val="000000"/>
                <w:sz w:val="16"/>
                <w:szCs w:val="16"/>
              </w:rPr>
            </w:pPr>
            <w:r>
              <w:rPr>
                <w:rFonts w:ascii="Calibri" w:hAnsi="Calibri" w:cs="Calibri"/>
                <w:color w:val="000000"/>
                <w:sz w:val="16"/>
                <w:szCs w:val="16"/>
              </w:rPr>
              <w:t>IRRF a Compensar</w:t>
            </w:r>
          </w:p>
        </w:tc>
        <w:tc>
          <w:tcPr>
            <w:tcW w:w="877" w:type="pct"/>
            <w:tcBorders>
              <w:top w:val="nil"/>
              <w:left w:val="nil"/>
              <w:bottom w:val="nil"/>
              <w:right w:val="nil"/>
            </w:tcBorders>
            <w:shd w:val="clear" w:color="auto" w:fill="auto"/>
            <w:noWrap/>
            <w:vAlign w:val="center"/>
            <w:hideMark/>
          </w:tcPr>
          <w:p w14:paraId="51F9E186" w14:textId="77777777" w:rsidR="00F731F8" w:rsidRDefault="00F731F8">
            <w:pPr>
              <w:jc w:val="right"/>
              <w:rPr>
                <w:rFonts w:ascii="Calibri" w:hAnsi="Calibri" w:cs="Calibri"/>
                <w:color w:val="000000"/>
                <w:sz w:val="16"/>
                <w:szCs w:val="16"/>
              </w:rPr>
            </w:pPr>
            <w:r>
              <w:rPr>
                <w:rFonts w:ascii="Calibri" w:hAnsi="Calibri" w:cs="Calibri"/>
                <w:color w:val="000000"/>
                <w:sz w:val="16"/>
                <w:szCs w:val="16"/>
              </w:rPr>
              <w:t>134</w:t>
            </w:r>
          </w:p>
        </w:tc>
        <w:tc>
          <w:tcPr>
            <w:tcW w:w="877" w:type="pct"/>
            <w:tcBorders>
              <w:top w:val="nil"/>
              <w:left w:val="nil"/>
              <w:bottom w:val="nil"/>
              <w:right w:val="nil"/>
            </w:tcBorders>
            <w:shd w:val="clear" w:color="auto" w:fill="auto"/>
            <w:vAlign w:val="center"/>
            <w:hideMark/>
          </w:tcPr>
          <w:p w14:paraId="7A4DA6DF" w14:textId="77777777" w:rsidR="00F731F8" w:rsidRDefault="00F731F8">
            <w:pPr>
              <w:jc w:val="right"/>
              <w:rPr>
                <w:rFonts w:ascii="Calibri" w:hAnsi="Calibri" w:cs="Calibri"/>
                <w:color w:val="000000"/>
                <w:sz w:val="16"/>
                <w:szCs w:val="16"/>
              </w:rPr>
            </w:pPr>
            <w:r>
              <w:rPr>
                <w:rFonts w:ascii="Calibri" w:hAnsi="Calibri" w:cs="Calibri"/>
                <w:color w:val="000000"/>
                <w:sz w:val="16"/>
                <w:szCs w:val="16"/>
              </w:rPr>
              <w:t>167</w:t>
            </w:r>
          </w:p>
        </w:tc>
        <w:tc>
          <w:tcPr>
            <w:tcW w:w="877" w:type="pct"/>
            <w:tcBorders>
              <w:top w:val="nil"/>
              <w:left w:val="nil"/>
              <w:bottom w:val="nil"/>
              <w:right w:val="nil"/>
            </w:tcBorders>
            <w:shd w:val="clear" w:color="auto" w:fill="auto"/>
            <w:vAlign w:val="center"/>
            <w:hideMark/>
          </w:tcPr>
          <w:p w14:paraId="1007A702" w14:textId="69092A90" w:rsidR="00F731F8" w:rsidRDefault="00F731F8">
            <w:pPr>
              <w:jc w:val="right"/>
              <w:rPr>
                <w:rFonts w:ascii="Calibri" w:hAnsi="Calibri" w:cs="Calibri"/>
                <w:color w:val="000000"/>
                <w:sz w:val="16"/>
                <w:szCs w:val="16"/>
              </w:rPr>
            </w:pPr>
            <w:r>
              <w:rPr>
                <w:rFonts w:ascii="Calibri" w:hAnsi="Calibri" w:cs="Calibri"/>
                <w:color w:val="000000"/>
                <w:sz w:val="16"/>
                <w:szCs w:val="16"/>
              </w:rPr>
              <w:t>(301)</w:t>
            </w:r>
          </w:p>
        </w:tc>
        <w:tc>
          <w:tcPr>
            <w:tcW w:w="877" w:type="pct"/>
            <w:tcBorders>
              <w:top w:val="nil"/>
              <w:left w:val="nil"/>
              <w:bottom w:val="nil"/>
              <w:right w:val="nil"/>
            </w:tcBorders>
            <w:shd w:val="clear" w:color="auto" w:fill="auto"/>
            <w:vAlign w:val="center"/>
            <w:hideMark/>
          </w:tcPr>
          <w:p w14:paraId="109EC415" w14:textId="77777777" w:rsidR="00F731F8" w:rsidRDefault="00F731F8">
            <w:pPr>
              <w:jc w:val="right"/>
              <w:rPr>
                <w:rFonts w:ascii="Calibri" w:hAnsi="Calibri" w:cs="Calibri"/>
                <w:color w:val="000000"/>
                <w:sz w:val="16"/>
                <w:szCs w:val="16"/>
              </w:rPr>
            </w:pPr>
            <w:r>
              <w:rPr>
                <w:rFonts w:ascii="Calibri" w:hAnsi="Calibri" w:cs="Calibri"/>
                <w:color w:val="000000"/>
                <w:sz w:val="16"/>
                <w:szCs w:val="16"/>
              </w:rPr>
              <w:t>0</w:t>
            </w:r>
          </w:p>
        </w:tc>
      </w:tr>
      <w:tr w:rsidR="00F731F8" w14:paraId="62640809" w14:textId="77777777" w:rsidTr="00B23D01">
        <w:trPr>
          <w:trHeight w:hRule="exact" w:val="227"/>
        </w:trPr>
        <w:tc>
          <w:tcPr>
            <w:tcW w:w="1494" w:type="pct"/>
            <w:tcBorders>
              <w:top w:val="single" w:sz="8" w:space="0" w:color="auto"/>
              <w:left w:val="nil"/>
              <w:bottom w:val="single" w:sz="8" w:space="0" w:color="auto"/>
              <w:right w:val="nil"/>
            </w:tcBorders>
            <w:shd w:val="clear" w:color="auto" w:fill="auto"/>
            <w:noWrap/>
            <w:vAlign w:val="center"/>
            <w:hideMark/>
          </w:tcPr>
          <w:p w14:paraId="49EBB067" w14:textId="77777777" w:rsidR="00F731F8" w:rsidRDefault="00F731F8">
            <w:pPr>
              <w:jc w:val="center"/>
              <w:rPr>
                <w:rFonts w:ascii="Calibri" w:hAnsi="Calibri" w:cs="Calibri"/>
                <w:b/>
                <w:bCs/>
                <w:color w:val="000000"/>
                <w:sz w:val="16"/>
                <w:szCs w:val="16"/>
              </w:rPr>
            </w:pPr>
            <w:r>
              <w:rPr>
                <w:rFonts w:ascii="Calibri" w:hAnsi="Calibri" w:cs="Calibri"/>
                <w:b/>
                <w:bCs/>
                <w:color w:val="000000"/>
                <w:sz w:val="16"/>
                <w:szCs w:val="16"/>
              </w:rPr>
              <w:t>TOTAL</w:t>
            </w:r>
          </w:p>
        </w:tc>
        <w:tc>
          <w:tcPr>
            <w:tcW w:w="877" w:type="pct"/>
            <w:tcBorders>
              <w:top w:val="single" w:sz="8" w:space="0" w:color="auto"/>
              <w:left w:val="nil"/>
              <w:bottom w:val="single" w:sz="8" w:space="0" w:color="auto"/>
              <w:right w:val="nil"/>
            </w:tcBorders>
            <w:shd w:val="clear" w:color="auto" w:fill="auto"/>
            <w:noWrap/>
            <w:vAlign w:val="center"/>
            <w:hideMark/>
          </w:tcPr>
          <w:p w14:paraId="71DB36EE" w14:textId="77777777" w:rsidR="00F731F8" w:rsidRDefault="00F731F8">
            <w:pPr>
              <w:jc w:val="right"/>
              <w:rPr>
                <w:rFonts w:ascii="Calibri" w:hAnsi="Calibri" w:cs="Calibri"/>
                <w:b/>
                <w:bCs/>
                <w:color w:val="000000"/>
                <w:sz w:val="16"/>
                <w:szCs w:val="16"/>
              </w:rPr>
            </w:pPr>
            <w:r>
              <w:rPr>
                <w:rFonts w:ascii="Calibri" w:hAnsi="Calibri" w:cs="Calibri"/>
                <w:b/>
                <w:bCs/>
                <w:color w:val="000000"/>
                <w:sz w:val="16"/>
                <w:szCs w:val="16"/>
              </w:rPr>
              <w:t>396.647</w:t>
            </w:r>
          </w:p>
        </w:tc>
        <w:tc>
          <w:tcPr>
            <w:tcW w:w="877" w:type="pct"/>
            <w:tcBorders>
              <w:top w:val="single" w:sz="8" w:space="0" w:color="auto"/>
              <w:left w:val="nil"/>
              <w:bottom w:val="single" w:sz="8" w:space="0" w:color="auto"/>
              <w:right w:val="nil"/>
            </w:tcBorders>
            <w:shd w:val="clear" w:color="auto" w:fill="auto"/>
            <w:vAlign w:val="center"/>
            <w:hideMark/>
          </w:tcPr>
          <w:p w14:paraId="01D74EA9" w14:textId="73AE6828" w:rsidR="00F731F8" w:rsidRDefault="007C004E">
            <w:pPr>
              <w:jc w:val="right"/>
              <w:rPr>
                <w:rFonts w:ascii="Calibri" w:hAnsi="Calibri" w:cs="Calibri"/>
                <w:b/>
                <w:bCs/>
                <w:color w:val="000000"/>
                <w:sz w:val="16"/>
                <w:szCs w:val="16"/>
              </w:rPr>
            </w:pPr>
            <w:r>
              <w:rPr>
                <w:rFonts w:ascii="Calibri" w:hAnsi="Calibri" w:cs="Calibri"/>
                <w:b/>
                <w:bCs/>
                <w:color w:val="000000"/>
                <w:sz w:val="16"/>
                <w:szCs w:val="16"/>
              </w:rPr>
              <w:t>415.702</w:t>
            </w:r>
          </w:p>
        </w:tc>
        <w:tc>
          <w:tcPr>
            <w:tcW w:w="877" w:type="pct"/>
            <w:tcBorders>
              <w:top w:val="single" w:sz="8" w:space="0" w:color="auto"/>
              <w:left w:val="nil"/>
              <w:bottom w:val="single" w:sz="8" w:space="0" w:color="auto"/>
              <w:right w:val="nil"/>
            </w:tcBorders>
            <w:shd w:val="clear" w:color="auto" w:fill="auto"/>
            <w:vAlign w:val="center"/>
            <w:hideMark/>
          </w:tcPr>
          <w:p w14:paraId="3BF16929" w14:textId="301750B5" w:rsidR="00F731F8" w:rsidRDefault="00F731F8">
            <w:pPr>
              <w:jc w:val="right"/>
              <w:rPr>
                <w:rFonts w:ascii="Calibri" w:hAnsi="Calibri" w:cs="Calibri"/>
                <w:b/>
                <w:bCs/>
                <w:color w:val="000000"/>
                <w:sz w:val="16"/>
                <w:szCs w:val="16"/>
              </w:rPr>
            </w:pPr>
            <w:r>
              <w:rPr>
                <w:rFonts w:ascii="Calibri" w:hAnsi="Calibri" w:cs="Calibri"/>
                <w:b/>
                <w:bCs/>
                <w:color w:val="000000"/>
                <w:sz w:val="16"/>
                <w:szCs w:val="16"/>
              </w:rPr>
              <w:t>(301)</w:t>
            </w:r>
          </w:p>
        </w:tc>
        <w:tc>
          <w:tcPr>
            <w:tcW w:w="877" w:type="pct"/>
            <w:tcBorders>
              <w:top w:val="single" w:sz="8" w:space="0" w:color="auto"/>
              <w:left w:val="nil"/>
              <w:bottom w:val="single" w:sz="8" w:space="0" w:color="auto"/>
              <w:right w:val="nil"/>
            </w:tcBorders>
            <w:shd w:val="clear" w:color="auto" w:fill="auto"/>
            <w:vAlign w:val="center"/>
            <w:hideMark/>
          </w:tcPr>
          <w:p w14:paraId="375C137A" w14:textId="6FF7B65C" w:rsidR="00F731F8" w:rsidRDefault="007C004E">
            <w:pPr>
              <w:jc w:val="right"/>
              <w:rPr>
                <w:rFonts w:ascii="Calibri" w:hAnsi="Calibri" w:cs="Calibri"/>
                <w:b/>
                <w:bCs/>
                <w:color w:val="000000"/>
                <w:sz w:val="16"/>
                <w:szCs w:val="16"/>
              </w:rPr>
            </w:pPr>
            <w:r>
              <w:rPr>
                <w:rFonts w:ascii="Calibri" w:hAnsi="Calibri" w:cs="Calibri"/>
                <w:b/>
                <w:bCs/>
                <w:color w:val="000000"/>
                <w:sz w:val="16"/>
                <w:szCs w:val="16"/>
              </w:rPr>
              <w:t>812.048</w:t>
            </w:r>
          </w:p>
        </w:tc>
      </w:tr>
    </w:tbl>
    <w:p w14:paraId="46F909EB" w14:textId="77777777" w:rsidR="00FA0D6A" w:rsidRPr="002E2B5B" w:rsidRDefault="00FA0D6A" w:rsidP="002E2B5B">
      <w:pPr>
        <w:jc w:val="both"/>
        <w:rPr>
          <w:rFonts w:ascii="Calibri" w:hAnsi="Calibri" w:cs="Calibri"/>
          <w:b/>
          <w:sz w:val="22"/>
          <w:szCs w:val="22"/>
        </w:rPr>
      </w:pPr>
      <w:r w:rsidRPr="0092389C">
        <w:rPr>
          <w:rFonts w:ascii="Calibri" w:hAnsi="Calibri" w:cs="Calibri"/>
          <w:b/>
          <w:sz w:val="22"/>
          <w:szCs w:val="22"/>
        </w:rPr>
        <w:lastRenderedPageBreak/>
        <w:t>b.2) Crédito Previdenciário a Compensar</w:t>
      </w:r>
    </w:p>
    <w:p w14:paraId="2731CFF9" w14:textId="65A27785" w:rsidR="00FC6CF4" w:rsidRPr="002E2B5B" w:rsidRDefault="00404FDE" w:rsidP="002E2B5B">
      <w:pPr>
        <w:jc w:val="both"/>
        <w:rPr>
          <w:rFonts w:ascii="Calibri" w:hAnsi="Calibri" w:cs="Calibri"/>
          <w:b/>
          <w:sz w:val="22"/>
          <w:szCs w:val="22"/>
        </w:rPr>
      </w:pPr>
      <w:r w:rsidRPr="002E2B5B">
        <w:rPr>
          <w:rFonts w:ascii="Calibri" w:hAnsi="Calibri" w:cs="Calibri"/>
          <w:sz w:val="22"/>
          <w:szCs w:val="22"/>
        </w:rPr>
        <w:t>Os seguintes fatos e princípios foram determinantes como justificativa para apuração de créditos previdenciários: Índices FAP declarados em divergência ao que determina o Portal FAPWeb; Atividades preponderantes declaradas em discordância com a real atividade exercida pelos funcionários de cada filial, conforme determina a Instrução Normativa 1.453</w:t>
      </w:r>
      <w:r w:rsidR="00A10351" w:rsidRPr="002E2B5B">
        <w:rPr>
          <w:rFonts w:ascii="Calibri" w:hAnsi="Calibri" w:cs="Calibri"/>
          <w:sz w:val="22"/>
          <w:szCs w:val="22"/>
        </w:rPr>
        <w:t xml:space="preserve">, de 24 de fevereiro de </w:t>
      </w:r>
      <w:r w:rsidRPr="002E2B5B">
        <w:rPr>
          <w:rFonts w:ascii="Calibri" w:hAnsi="Calibri" w:cs="Calibri"/>
          <w:sz w:val="22"/>
          <w:szCs w:val="22"/>
        </w:rPr>
        <w:t>2014</w:t>
      </w:r>
      <w:r w:rsidR="00A10351" w:rsidRPr="002E2B5B">
        <w:rPr>
          <w:rFonts w:ascii="Calibri" w:hAnsi="Calibri" w:cs="Calibri"/>
          <w:sz w:val="22"/>
          <w:szCs w:val="22"/>
        </w:rPr>
        <w:t>,</w:t>
      </w:r>
      <w:r w:rsidRPr="002E2B5B">
        <w:rPr>
          <w:rFonts w:ascii="Calibri" w:hAnsi="Calibri" w:cs="Calibri"/>
          <w:sz w:val="22"/>
          <w:szCs w:val="22"/>
        </w:rPr>
        <w:t xml:space="preserve"> e COSIT</w:t>
      </w:r>
      <w:r w:rsidR="00A10351" w:rsidRPr="002E2B5B">
        <w:rPr>
          <w:rFonts w:ascii="Calibri" w:hAnsi="Calibri" w:cs="Calibri"/>
          <w:sz w:val="22"/>
          <w:szCs w:val="22"/>
        </w:rPr>
        <w:t>, de 14 de junho de 2016</w:t>
      </w:r>
      <w:r w:rsidRPr="002E2B5B">
        <w:rPr>
          <w:rFonts w:ascii="Calibri" w:hAnsi="Calibri" w:cs="Calibri"/>
          <w:sz w:val="22"/>
          <w:szCs w:val="22"/>
        </w:rPr>
        <w:t>; Alíquota RAT declaradas em discordância com o determinado pelo Decreto 6.957</w:t>
      </w:r>
      <w:r w:rsidR="00A10351" w:rsidRPr="002E2B5B">
        <w:rPr>
          <w:rFonts w:ascii="Calibri" w:hAnsi="Calibri" w:cs="Calibri"/>
          <w:sz w:val="22"/>
          <w:szCs w:val="22"/>
        </w:rPr>
        <w:t>, de 09 de setembro de 2</w:t>
      </w:r>
      <w:r w:rsidRPr="002E2B5B">
        <w:rPr>
          <w:rFonts w:ascii="Calibri" w:hAnsi="Calibri" w:cs="Calibri"/>
          <w:sz w:val="22"/>
          <w:szCs w:val="22"/>
        </w:rPr>
        <w:t>009; Ausência de lançamento de desoneração em folha durante o período em que a mesma era obrigatória para o setor econômico da VALEC, conforme Lei</w:t>
      </w:r>
      <w:r w:rsidR="00214011">
        <w:rPr>
          <w:rFonts w:ascii="Calibri" w:hAnsi="Calibri" w:cs="Calibri"/>
          <w:sz w:val="22"/>
          <w:szCs w:val="22"/>
        </w:rPr>
        <w:t xml:space="preserve"> nº</w:t>
      </w:r>
      <w:r w:rsidRPr="002E2B5B">
        <w:rPr>
          <w:rFonts w:ascii="Calibri" w:hAnsi="Calibri" w:cs="Calibri"/>
          <w:sz w:val="22"/>
          <w:szCs w:val="22"/>
        </w:rPr>
        <w:t xml:space="preserve"> 12.546</w:t>
      </w:r>
      <w:r w:rsidR="00A10351" w:rsidRPr="002E2B5B">
        <w:rPr>
          <w:rFonts w:ascii="Calibri" w:hAnsi="Calibri" w:cs="Calibri"/>
          <w:sz w:val="22"/>
          <w:szCs w:val="22"/>
        </w:rPr>
        <w:t xml:space="preserve">, de 14 de dezembro de </w:t>
      </w:r>
      <w:r w:rsidRPr="002E2B5B">
        <w:rPr>
          <w:rFonts w:ascii="Calibri" w:hAnsi="Calibri" w:cs="Calibri"/>
          <w:sz w:val="22"/>
          <w:szCs w:val="22"/>
        </w:rPr>
        <w:t>2011</w:t>
      </w:r>
      <w:r w:rsidR="00A10351" w:rsidRPr="002E2B5B">
        <w:rPr>
          <w:rFonts w:ascii="Calibri" w:hAnsi="Calibri" w:cs="Calibri"/>
          <w:sz w:val="22"/>
          <w:szCs w:val="22"/>
        </w:rPr>
        <w:t>,</w:t>
      </w:r>
      <w:r w:rsidRPr="002E2B5B">
        <w:rPr>
          <w:rFonts w:ascii="Calibri" w:hAnsi="Calibri" w:cs="Calibri"/>
          <w:sz w:val="22"/>
          <w:szCs w:val="22"/>
        </w:rPr>
        <w:t xml:space="preserve"> e posteriores alterações; e Ausência de pagamento de DARF CPRB no período em que a mesma era obrigatória para o setor econômico da VALEC, conforme </w:t>
      </w:r>
      <w:r w:rsidR="00A10351" w:rsidRPr="002E2B5B">
        <w:rPr>
          <w:rFonts w:ascii="Calibri" w:hAnsi="Calibri" w:cs="Calibri"/>
          <w:sz w:val="22"/>
          <w:szCs w:val="22"/>
        </w:rPr>
        <w:t>Lei</w:t>
      </w:r>
      <w:r w:rsidR="00214011">
        <w:rPr>
          <w:rFonts w:ascii="Calibri" w:hAnsi="Calibri" w:cs="Calibri"/>
          <w:sz w:val="22"/>
          <w:szCs w:val="22"/>
        </w:rPr>
        <w:t xml:space="preserve"> nº</w:t>
      </w:r>
      <w:r w:rsidR="00A10351" w:rsidRPr="002E2B5B">
        <w:rPr>
          <w:rFonts w:ascii="Calibri" w:hAnsi="Calibri" w:cs="Calibri"/>
          <w:sz w:val="22"/>
          <w:szCs w:val="22"/>
        </w:rPr>
        <w:t xml:space="preserve"> 12.546, de 14 de dezembro de 2011, </w:t>
      </w:r>
      <w:r w:rsidRPr="002E2B5B">
        <w:rPr>
          <w:rFonts w:ascii="Calibri" w:hAnsi="Calibri" w:cs="Calibri"/>
          <w:sz w:val="22"/>
          <w:szCs w:val="22"/>
        </w:rPr>
        <w:t>e posteriores alterações.</w:t>
      </w:r>
    </w:p>
    <w:tbl>
      <w:tblPr>
        <w:tblW w:w="5000" w:type="pct"/>
        <w:tblCellMar>
          <w:left w:w="70" w:type="dxa"/>
          <w:right w:w="70" w:type="dxa"/>
        </w:tblCellMar>
        <w:tblLook w:val="04A0" w:firstRow="1" w:lastRow="0" w:firstColumn="1" w:lastColumn="0" w:noHBand="0" w:noVBand="1"/>
      </w:tblPr>
      <w:tblGrid>
        <w:gridCol w:w="5471"/>
        <w:gridCol w:w="710"/>
        <w:gridCol w:w="283"/>
        <w:gridCol w:w="1834"/>
        <w:gridCol w:w="1991"/>
        <w:gridCol w:w="178"/>
      </w:tblGrid>
      <w:tr w:rsidR="004C6C47" w:rsidRPr="002E2B5B" w14:paraId="333AE8D4" w14:textId="77777777" w:rsidTr="00FF1438">
        <w:trPr>
          <w:trHeight w:val="255"/>
        </w:trPr>
        <w:tc>
          <w:tcPr>
            <w:tcW w:w="2614" w:type="pct"/>
            <w:tcBorders>
              <w:top w:val="nil"/>
              <w:left w:val="nil"/>
              <w:bottom w:val="single" w:sz="4" w:space="0" w:color="auto"/>
              <w:right w:val="nil"/>
            </w:tcBorders>
            <w:shd w:val="clear" w:color="auto" w:fill="auto"/>
            <w:noWrap/>
            <w:vAlign w:val="bottom"/>
            <w:hideMark/>
          </w:tcPr>
          <w:p w14:paraId="1CEE3169" w14:textId="77777777" w:rsidR="00FF1438" w:rsidRPr="002E2B5B" w:rsidRDefault="00FF1438" w:rsidP="002E2B5B">
            <w:pPr>
              <w:rPr>
                <w:rFonts w:ascii="Calibri" w:hAnsi="Calibri" w:cs="Calibri"/>
                <w:b/>
                <w:bCs/>
                <w:sz w:val="16"/>
                <w:szCs w:val="16"/>
              </w:rPr>
            </w:pPr>
            <w:r w:rsidRPr="002E2B5B">
              <w:rPr>
                <w:rFonts w:ascii="Calibri" w:hAnsi="Calibri" w:cs="Calibri"/>
                <w:b/>
                <w:bCs/>
                <w:sz w:val="16"/>
                <w:szCs w:val="16"/>
              </w:rPr>
              <w:t>CRÉDITO PREVIDENCIÁRIO</w:t>
            </w:r>
          </w:p>
        </w:tc>
        <w:tc>
          <w:tcPr>
            <w:tcW w:w="339" w:type="pct"/>
            <w:tcBorders>
              <w:top w:val="nil"/>
              <w:left w:val="nil"/>
              <w:bottom w:val="single" w:sz="4" w:space="0" w:color="auto"/>
              <w:right w:val="nil"/>
            </w:tcBorders>
            <w:shd w:val="clear" w:color="auto" w:fill="auto"/>
            <w:noWrap/>
            <w:vAlign w:val="bottom"/>
            <w:hideMark/>
          </w:tcPr>
          <w:p w14:paraId="78EA5425" w14:textId="77777777" w:rsidR="00FF1438" w:rsidRPr="002E2B5B" w:rsidRDefault="00FF1438" w:rsidP="002E2B5B">
            <w:pPr>
              <w:jc w:val="center"/>
              <w:rPr>
                <w:rFonts w:ascii="Calibri" w:hAnsi="Calibri" w:cs="Calibri"/>
                <w:b/>
                <w:bCs/>
                <w:sz w:val="16"/>
                <w:szCs w:val="16"/>
              </w:rPr>
            </w:pPr>
          </w:p>
        </w:tc>
        <w:tc>
          <w:tcPr>
            <w:tcW w:w="135" w:type="pct"/>
            <w:tcBorders>
              <w:top w:val="nil"/>
              <w:left w:val="nil"/>
              <w:bottom w:val="single" w:sz="4" w:space="0" w:color="auto"/>
              <w:right w:val="nil"/>
            </w:tcBorders>
            <w:shd w:val="clear" w:color="auto" w:fill="auto"/>
            <w:noWrap/>
            <w:vAlign w:val="bottom"/>
            <w:hideMark/>
          </w:tcPr>
          <w:p w14:paraId="50AB08D3" w14:textId="77777777" w:rsidR="00FF1438" w:rsidRPr="002E2B5B" w:rsidRDefault="00FF1438" w:rsidP="002E2B5B">
            <w:pPr>
              <w:jc w:val="center"/>
              <w:rPr>
                <w:rFonts w:ascii="Calibri" w:hAnsi="Calibri" w:cs="Calibri"/>
                <w:b/>
                <w:bCs/>
                <w:sz w:val="16"/>
                <w:szCs w:val="16"/>
              </w:rPr>
            </w:pPr>
          </w:p>
        </w:tc>
        <w:tc>
          <w:tcPr>
            <w:tcW w:w="876" w:type="pct"/>
            <w:tcBorders>
              <w:top w:val="nil"/>
              <w:left w:val="nil"/>
              <w:bottom w:val="single" w:sz="4" w:space="0" w:color="auto"/>
              <w:right w:val="nil"/>
            </w:tcBorders>
          </w:tcPr>
          <w:p w14:paraId="4C7E6A62" w14:textId="77777777" w:rsidR="00FF1438" w:rsidRPr="002E2B5B" w:rsidRDefault="00FF1438" w:rsidP="002E2B5B">
            <w:pPr>
              <w:jc w:val="right"/>
              <w:rPr>
                <w:rFonts w:ascii="Calibri" w:hAnsi="Calibri" w:cs="Calibri"/>
                <w:b/>
                <w:bCs/>
                <w:sz w:val="16"/>
                <w:szCs w:val="16"/>
              </w:rPr>
            </w:pPr>
          </w:p>
        </w:tc>
        <w:tc>
          <w:tcPr>
            <w:tcW w:w="951" w:type="pct"/>
            <w:tcBorders>
              <w:top w:val="nil"/>
              <w:left w:val="nil"/>
              <w:bottom w:val="single" w:sz="4" w:space="0" w:color="auto"/>
              <w:right w:val="nil"/>
            </w:tcBorders>
            <w:shd w:val="clear" w:color="auto" w:fill="auto"/>
            <w:noWrap/>
            <w:vAlign w:val="bottom"/>
          </w:tcPr>
          <w:p w14:paraId="28C40260" w14:textId="77777777" w:rsidR="00FF1438" w:rsidRPr="002E2B5B" w:rsidRDefault="00FF1438" w:rsidP="002E2B5B">
            <w:pPr>
              <w:jc w:val="right"/>
              <w:rPr>
                <w:rFonts w:ascii="Calibri" w:hAnsi="Calibri" w:cs="Calibri"/>
                <w:b/>
                <w:bCs/>
                <w:sz w:val="16"/>
                <w:szCs w:val="16"/>
              </w:rPr>
            </w:pPr>
          </w:p>
        </w:tc>
        <w:tc>
          <w:tcPr>
            <w:tcW w:w="85" w:type="pct"/>
            <w:tcBorders>
              <w:top w:val="nil"/>
              <w:left w:val="nil"/>
              <w:bottom w:val="single" w:sz="4" w:space="0" w:color="auto"/>
              <w:right w:val="nil"/>
            </w:tcBorders>
            <w:shd w:val="clear" w:color="auto" w:fill="auto"/>
            <w:noWrap/>
            <w:vAlign w:val="bottom"/>
            <w:hideMark/>
          </w:tcPr>
          <w:p w14:paraId="029BEF60" w14:textId="77777777" w:rsidR="00FF1438" w:rsidRPr="002E2B5B" w:rsidRDefault="00FF1438" w:rsidP="002E2B5B">
            <w:pPr>
              <w:jc w:val="center"/>
              <w:rPr>
                <w:rFonts w:ascii="Calibri" w:hAnsi="Calibri" w:cs="Calibri"/>
                <w:b/>
                <w:bCs/>
                <w:sz w:val="16"/>
                <w:szCs w:val="16"/>
              </w:rPr>
            </w:pPr>
          </w:p>
        </w:tc>
      </w:tr>
      <w:tr w:rsidR="004C6C47" w:rsidRPr="002E2B5B" w14:paraId="1EA050EC" w14:textId="77777777" w:rsidTr="00526F70">
        <w:trPr>
          <w:trHeight w:val="317"/>
        </w:trPr>
        <w:tc>
          <w:tcPr>
            <w:tcW w:w="2614" w:type="pct"/>
            <w:tcBorders>
              <w:top w:val="nil"/>
              <w:left w:val="nil"/>
              <w:right w:val="nil"/>
            </w:tcBorders>
            <w:shd w:val="clear" w:color="auto" w:fill="auto"/>
            <w:noWrap/>
            <w:vAlign w:val="bottom"/>
            <w:hideMark/>
          </w:tcPr>
          <w:p w14:paraId="7602D446" w14:textId="77777777" w:rsidR="00FF1438" w:rsidRPr="002E2B5B" w:rsidRDefault="00FF1438" w:rsidP="002E2B5B">
            <w:pPr>
              <w:rPr>
                <w:rFonts w:ascii="Calibri" w:hAnsi="Calibri" w:cs="Calibri"/>
                <w:sz w:val="16"/>
                <w:szCs w:val="16"/>
              </w:rPr>
            </w:pPr>
            <w:r w:rsidRPr="002E2B5B">
              <w:rPr>
                <w:rFonts w:ascii="Calibri" w:hAnsi="Calibri" w:cs="Calibri"/>
                <w:sz w:val="16"/>
                <w:szCs w:val="16"/>
              </w:rPr>
              <w:t>Crédito Previdenciário</w:t>
            </w:r>
          </w:p>
        </w:tc>
        <w:tc>
          <w:tcPr>
            <w:tcW w:w="339" w:type="pct"/>
            <w:tcBorders>
              <w:top w:val="nil"/>
              <w:left w:val="nil"/>
              <w:right w:val="nil"/>
            </w:tcBorders>
            <w:shd w:val="clear" w:color="auto" w:fill="auto"/>
            <w:noWrap/>
            <w:vAlign w:val="bottom"/>
            <w:hideMark/>
          </w:tcPr>
          <w:p w14:paraId="6596684E" w14:textId="77777777" w:rsidR="00FF1438" w:rsidRPr="002E2B5B" w:rsidRDefault="00FF1438" w:rsidP="002E2B5B">
            <w:pPr>
              <w:rPr>
                <w:rFonts w:ascii="Calibri" w:hAnsi="Calibri" w:cs="Calibri"/>
                <w:sz w:val="16"/>
                <w:szCs w:val="16"/>
              </w:rPr>
            </w:pPr>
          </w:p>
        </w:tc>
        <w:tc>
          <w:tcPr>
            <w:tcW w:w="135" w:type="pct"/>
            <w:tcBorders>
              <w:top w:val="nil"/>
              <w:left w:val="nil"/>
              <w:right w:val="nil"/>
            </w:tcBorders>
            <w:shd w:val="clear" w:color="auto" w:fill="auto"/>
            <w:noWrap/>
            <w:vAlign w:val="bottom"/>
            <w:hideMark/>
          </w:tcPr>
          <w:p w14:paraId="562C614F" w14:textId="77777777" w:rsidR="00FF1438" w:rsidRPr="002E2B5B" w:rsidRDefault="00FF1438" w:rsidP="002E2B5B">
            <w:pPr>
              <w:rPr>
                <w:rFonts w:ascii="Calibri" w:hAnsi="Calibri" w:cs="Calibri"/>
                <w:b/>
                <w:bCs/>
                <w:sz w:val="16"/>
                <w:szCs w:val="16"/>
              </w:rPr>
            </w:pPr>
          </w:p>
        </w:tc>
        <w:tc>
          <w:tcPr>
            <w:tcW w:w="876" w:type="pct"/>
            <w:tcBorders>
              <w:top w:val="nil"/>
              <w:left w:val="nil"/>
              <w:right w:val="nil"/>
            </w:tcBorders>
          </w:tcPr>
          <w:p w14:paraId="7F9DFFE4" w14:textId="77777777" w:rsidR="00FF1438" w:rsidRPr="002E2B5B" w:rsidRDefault="00FF1438" w:rsidP="002E2B5B">
            <w:pPr>
              <w:jc w:val="right"/>
              <w:rPr>
                <w:rFonts w:ascii="Calibri" w:hAnsi="Calibri" w:cs="Calibri"/>
                <w:sz w:val="16"/>
                <w:szCs w:val="16"/>
              </w:rPr>
            </w:pPr>
          </w:p>
        </w:tc>
        <w:tc>
          <w:tcPr>
            <w:tcW w:w="951" w:type="pct"/>
            <w:tcBorders>
              <w:top w:val="nil"/>
              <w:left w:val="nil"/>
              <w:right w:val="nil"/>
            </w:tcBorders>
            <w:shd w:val="clear" w:color="auto" w:fill="auto"/>
            <w:noWrap/>
            <w:hideMark/>
          </w:tcPr>
          <w:p w14:paraId="6B6ED91E" w14:textId="77777777" w:rsidR="00FF1438" w:rsidRPr="002E2B5B" w:rsidRDefault="00FF1438" w:rsidP="002E2B5B">
            <w:pPr>
              <w:jc w:val="right"/>
              <w:rPr>
                <w:rFonts w:ascii="Calibri" w:hAnsi="Calibri" w:cs="Calibri"/>
                <w:sz w:val="16"/>
                <w:szCs w:val="16"/>
              </w:rPr>
            </w:pPr>
            <w:r w:rsidRPr="002E2B5B">
              <w:rPr>
                <w:rFonts w:ascii="Calibri" w:hAnsi="Calibri" w:cs="Calibri"/>
                <w:sz w:val="16"/>
                <w:szCs w:val="16"/>
              </w:rPr>
              <w:t xml:space="preserve">        54.285.136 </w:t>
            </w:r>
          </w:p>
        </w:tc>
        <w:tc>
          <w:tcPr>
            <w:tcW w:w="85" w:type="pct"/>
            <w:tcBorders>
              <w:top w:val="nil"/>
              <w:left w:val="nil"/>
              <w:right w:val="nil"/>
            </w:tcBorders>
            <w:shd w:val="clear" w:color="auto" w:fill="auto"/>
            <w:noWrap/>
            <w:vAlign w:val="bottom"/>
            <w:hideMark/>
          </w:tcPr>
          <w:p w14:paraId="168C4784" w14:textId="77777777" w:rsidR="00FF1438" w:rsidRPr="002E2B5B" w:rsidRDefault="00FF1438" w:rsidP="002E2B5B">
            <w:pPr>
              <w:rPr>
                <w:rFonts w:ascii="Calibri" w:hAnsi="Calibri" w:cs="Calibri"/>
                <w:sz w:val="16"/>
                <w:szCs w:val="16"/>
              </w:rPr>
            </w:pPr>
          </w:p>
        </w:tc>
      </w:tr>
      <w:tr w:rsidR="004C6C47" w:rsidRPr="002E2B5B" w14:paraId="346477AA" w14:textId="77777777" w:rsidTr="00C535B0">
        <w:trPr>
          <w:trHeight w:val="255"/>
        </w:trPr>
        <w:tc>
          <w:tcPr>
            <w:tcW w:w="2614" w:type="pct"/>
            <w:tcBorders>
              <w:top w:val="nil"/>
              <w:left w:val="nil"/>
              <w:right w:val="nil"/>
            </w:tcBorders>
            <w:shd w:val="clear" w:color="auto" w:fill="auto"/>
            <w:noWrap/>
            <w:vAlign w:val="bottom"/>
            <w:hideMark/>
          </w:tcPr>
          <w:p w14:paraId="074D2988" w14:textId="77777777" w:rsidR="00FF1438" w:rsidRPr="002E2B5B" w:rsidRDefault="00FF1438" w:rsidP="002E2B5B">
            <w:pPr>
              <w:rPr>
                <w:rFonts w:ascii="Calibri" w:hAnsi="Calibri" w:cs="Calibri"/>
                <w:sz w:val="16"/>
                <w:szCs w:val="16"/>
              </w:rPr>
            </w:pPr>
            <w:r w:rsidRPr="002E2B5B">
              <w:rPr>
                <w:rFonts w:ascii="Calibri" w:hAnsi="Calibri" w:cs="Calibri"/>
                <w:sz w:val="16"/>
                <w:szCs w:val="16"/>
              </w:rPr>
              <w:t>Crédito Compensado em 2018</w:t>
            </w:r>
          </w:p>
        </w:tc>
        <w:tc>
          <w:tcPr>
            <w:tcW w:w="339" w:type="pct"/>
            <w:tcBorders>
              <w:top w:val="nil"/>
              <w:left w:val="nil"/>
              <w:right w:val="nil"/>
            </w:tcBorders>
            <w:shd w:val="clear" w:color="auto" w:fill="auto"/>
            <w:noWrap/>
            <w:vAlign w:val="bottom"/>
            <w:hideMark/>
          </w:tcPr>
          <w:p w14:paraId="363EF7EF" w14:textId="77777777" w:rsidR="00FF1438" w:rsidRPr="002E2B5B" w:rsidRDefault="00FF1438" w:rsidP="002E2B5B">
            <w:pPr>
              <w:rPr>
                <w:rFonts w:ascii="Calibri" w:hAnsi="Calibri" w:cs="Calibri"/>
                <w:sz w:val="16"/>
                <w:szCs w:val="16"/>
              </w:rPr>
            </w:pPr>
          </w:p>
        </w:tc>
        <w:tc>
          <w:tcPr>
            <w:tcW w:w="135" w:type="pct"/>
            <w:tcBorders>
              <w:top w:val="nil"/>
              <w:left w:val="nil"/>
              <w:right w:val="nil"/>
            </w:tcBorders>
            <w:shd w:val="clear" w:color="auto" w:fill="auto"/>
            <w:noWrap/>
            <w:vAlign w:val="bottom"/>
            <w:hideMark/>
          </w:tcPr>
          <w:p w14:paraId="28BA6823" w14:textId="77777777" w:rsidR="00FF1438" w:rsidRPr="002E2B5B" w:rsidRDefault="00FF1438" w:rsidP="002E2B5B">
            <w:pPr>
              <w:rPr>
                <w:rFonts w:ascii="Calibri" w:hAnsi="Calibri" w:cs="Calibri"/>
                <w:sz w:val="16"/>
                <w:szCs w:val="16"/>
              </w:rPr>
            </w:pPr>
          </w:p>
        </w:tc>
        <w:tc>
          <w:tcPr>
            <w:tcW w:w="876" w:type="pct"/>
            <w:tcBorders>
              <w:top w:val="nil"/>
              <w:left w:val="nil"/>
              <w:right w:val="nil"/>
            </w:tcBorders>
          </w:tcPr>
          <w:p w14:paraId="1239D82A" w14:textId="77777777" w:rsidR="00FF1438" w:rsidRPr="002E2B5B" w:rsidRDefault="00FF1438" w:rsidP="002E2B5B">
            <w:pPr>
              <w:jc w:val="right"/>
              <w:rPr>
                <w:rFonts w:ascii="Calibri" w:hAnsi="Calibri" w:cs="Calibri"/>
                <w:sz w:val="16"/>
                <w:szCs w:val="16"/>
              </w:rPr>
            </w:pPr>
          </w:p>
        </w:tc>
        <w:tc>
          <w:tcPr>
            <w:tcW w:w="951" w:type="pct"/>
            <w:tcBorders>
              <w:top w:val="nil"/>
              <w:left w:val="nil"/>
              <w:right w:val="nil"/>
            </w:tcBorders>
            <w:shd w:val="clear" w:color="auto" w:fill="auto"/>
            <w:noWrap/>
          </w:tcPr>
          <w:p w14:paraId="502687BE" w14:textId="77777777" w:rsidR="00FF1438" w:rsidRPr="002E2B5B" w:rsidRDefault="00B41017" w:rsidP="002E2B5B">
            <w:pPr>
              <w:jc w:val="right"/>
              <w:rPr>
                <w:rFonts w:ascii="Calibri" w:hAnsi="Calibri" w:cs="Calibri"/>
                <w:sz w:val="16"/>
                <w:szCs w:val="16"/>
              </w:rPr>
            </w:pPr>
            <w:r w:rsidRPr="002E2B5B">
              <w:rPr>
                <w:rFonts w:ascii="Calibri" w:hAnsi="Calibri" w:cs="Calibri"/>
                <w:sz w:val="16"/>
                <w:szCs w:val="16"/>
              </w:rPr>
              <w:t xml:space="preserve"> </w:t>
            </w:r>
            <w:r w:rsidR="00FF1438" w:rsidRPr="002E2B5B">
              <w:rPr>
                <w:rFonts w:ascii="Calibri" w:hAnsi="Calibri" w:cs="Calibri"/>
                <w:sz w:val="16"/>
                <w:szCs w:val="16"/>
              </w:rPr>
              <w:t xml:space="preserve">            </w:t>
            </w:r>
            <w:r w:rsidRPr="002E2B5B">
              <w:rPr>
                <w:rFonts w:ascii="Calibri" w:hAnsi="Calibri" w:cs="Calibri"/>
                <w:sz w:val="16"/>
                <w:szCs w:val="16"/>
              </w:rPr>
              <w:t xml:space="preserve"> </w:t>
            </w:r>
            <w:r w:rsidR="00FF1438" w:rsidRPr="002E2B5B">
              <w:rPr>
                <w:rFonts w:ascii="Calibri" w:hAnsi="Calibri" w:cs="Calibri"/>
                <w:sz w:val="16"/>
                <w:szCs w:val="16"/>
              </w:rPr>
              <w:t>(26.966.503)</w:t>
            </w:r>
          </w:p>
        </w:tc>
        <w:tc>
          <w:tcPr>
            <w:tcW w:w="85" w:type="pct"/>
            <w:tcBorders>
              <w:top w:val="nil"/>
              <w:left w:val="nil"/>
              <w:right w:val="nil"/>
            </w:tcBorders>
            <w:shd w:val="clear" w:color="auto" w:fill="auto"/>
            <w:noWrap/>
            <w:vAlign w:val="bottom"/>
            <w:hideMark/>
          </w:tcPr>
          <w:p w14:paraId="71325E9C" w14:textId="77777777" w:rsidR="00FF1438" w:rsidRPr="002E2B5B" w:rsidRDefault="00FF1438" w:rsidP="002E2B5B">
            <w:pPr>
              <w:rPr>
                <w:rFonts w:ascii="Calibri" w:hAnsi="Calibri" w:cs="Calibri"/>
                <w:sz w:val="16"/>
                <w:szCs w:val="16"/>
              </w:rPr>
            </w:pPr>
          </w:p>
        </w:tc>
      </w:tr>
      <w:tr w:rsidR="004C6C47" w:rsidRPr="002E2B5B" w14:paraId="76603E63" w14:textId="77777777" w:rsidTr="0002343B">
        <w:trPr>
          <w:trHeight w:val="255"/>
        </w:trPr>
        <w:tc>
          <w:tcPr>
            <w:tcW w:w="2614" w:type="pct"/>
            <w:tcBorders>
              <w:left w:val="nil"/>
              <w:right w:val="nil"/>
            </w:tcBorders>
            <w:shd w:val="clear" w:color="auto" w:fill="auto"/>
            <w:noWrap/>
            <w:vAlign w:val="bottom"/>
          </w:tcPr>
          <w:p w14:paraId="0D4F8B4E" w14:textId="77777777" w:rsidR="00FF1438" w:rsidRPr="002E2B5B" w:rsidRDefault="00FF1438" w:rsidP="002E2B5B">
            <w:pPr>
              <w:rPr>
                <w:rFonts w:ascii="Calibri" w:hAnsi="Calibri" w:cs="Calibri"/>
                <w:sz w:val="16"/>
                <w:szCs w:val="16"/>
              </w:rPr>
            </w:pPr>
            <w:r w:rsidRPr="002E2B5B">
              <w:rPr>
                <w:rFonts w:ascii="Calibri" w:hAnsi="Calibri" w:cs="Calibri"/>
                <w:sz w:val="16"/>
                <w:szCs w:val="16"/>
              </w:rPr>
              <w:t xml:space="preserve">Crédito Compensado </w:t>
            </w:r>
            <w:r w:rsidR="00CD3248" w:rsidRPr="002E2B5B">
              <w:rPr>
                <w:rFonts w:ascii="Calibri" w:hAnsi="Calibri" w:cs="Calibri"/>
                <w:sz w:val="16"/>
                <w:szCs w:val="16"/>
              </w:rPr>
              <w:t xml:space="preserve">em </w:t>
            </w:r>
            <w:r w:rsidRPr="002E2B5B">
              <w:rPr>
                <w:rFonts w:ascii="Calibri" w:hAnsi="Calibri" w:cs="Calibri"/>
                <w:sz w:val="16"/>
                <w:szCs w:val="16"/>
              </w:rPr>
              <w:t>2019</w:t>
            </w:r>
          </w:p>
        </w:tc>
        <w:tc>
          <w:tcPr>
            <w:tcW w:w="339" w:type="pct"/>
            <w:tcBorders>
              <w:left w:val="nil"/>
              <w:right w:val="nil"/>
            </w:tcBorders>
            <w:shd w:val="clear" w:color="auto" w:fill="auto"/>
            <w:noWrap/>
            <w:vAlign w:val="bottom"/>
          </w:tcPr>
          <w:p w14:paraId="3F9FDAF2" w14:textId="77777777" w:rsidR="00FF1438" w:rsidRPr="002E2B5B" w:rsidRDefault="00FF1438" w:rsidP="002E2B5B">
            <w:pPr>
              <w:rPr>
                <w:rFonts w:ascii="Calibri" w:hAnsi="Calibri" w:cs="Calibri"/>
                <w:sz w:val="16"/>
                <w:szCs w:val="16"/>
              </w:rPr>
            </w:pPr>
          </w:p>
        </w:tc>
        <w:tc>
          <w:tcPr>
            <w:tcW w:w="135" w:type="pct"/>
            <w:tcBorders>
              <w:left w:val="nil"/>
              <w:right w:val="nil"/>
            </w:tcBorders>
            <w:shd w:val="clear" w:color="auto" w:fill="auto"/>
            <w:noWrap/>
            <w:vAlign w:val="bottom"/>
          </w:tcPr>
          <w:p w14:paraId="729F44D0" w14:textId="77777777" w:rsidR="00FF1438" w:rsidRPr="002E2B5B" w:rsidRDefault="00FF1438" w:rsidP="002E2B5B">
            <w:pPr>
              <w:rPr>
                <w:rFonts w:ascii="Calibri" w:hAnsi="Calibri" w:cs="Calibri"/>
                <w:sz w:val="16"/>
                <w:szCs w:val="16"/>
              </w:rPr>
            </w:pPr>
          </w:p>
        </w:tc>
        <w:tc>
          <w:tcPr>
            <w:tcW w:w="876" w:type="pct"/>
            <w:tcBorders>
              <w:left w:val="nil"/>
              <w:right w:val="nil"/>
            </w:tcBorders>
            <w:vAlign w:val="bottom"/>
          </w:tcPr>
          <w:p w14:paraId="631FC3AA" w14:textId="77777777" w:rsidR="00FF1438" w:rsidRPr="002E2B5B" w:rsidRDefault="00FF1438" w:rsidP="002E2B5B">
            <w:pPr>
              <w:jc w:val="right"/>
              <w:rPr>
                <w:rFonts w:ascii="Calibri" w:hAnsi="Calibri" w:cs="Calibri"/>
                <w:sz w:val="16"/>
                <w:szCs w:val="16"/>
              </w:rPr>
            </w:pPr>
          </w:p>
        </w:tc>
        <w:tc>
          <w:tcPr>
            <w:tcW w:w="951" w:type="pct"/>
            <w:tcBorders>
              <w:left w:val="nil"/>
              <w:right w:val="nil"/>
            </w:tcBorders>
            <w:shd w:val="clear" w:color="auto" w:fill="auto"/>
            <w:noWrap/>
            <w:vAlign w:val="bottom"/>
          </w:tcPr>
          <w:p w14:paraId="54A2445F" w14:textId="77777777" w:rsidR="00FF1438" w:rsidRPr="002E2B5B" w:rsidRDefault="00FF1438" w:rsidP="002E2B5B">
            <w:pPr>
              <w:jc w:val="right"/>
              <w:rPr>
                <w:rFonts w:ascii="Calibri" w:hAnsi="Calibri" w:cs="Calibri"/>
                <w:sz w:val="16"/>
                <w:szCs w:val="16"/>
              </w:rPr>
            </w:pPr>
            <w:r w:rsidRPr="002E2B5B">
              <w:rPr>
                <w:rFonts w:ascii="Calibri" w:hAnsi="Calibri" w:cs="Calibri"/>
                <w:sz w:val="16"/>
                <w:szCs w:val="16"/>
              </w:rPr>
              <w:t>(</w:t>
            </w:r>
            <w:r w:rsidR="00CD3248" w:rsidRPr="002E2B5B">
              <w:rPr>
                <w:rFonts w:ascii="Calibri" w:hAnsi="Calibri" w:cs="Calibri"/>
                <w:sz w:val="16"/>
                <w:szCs w:val="16"/>
              </w:rPr>
              <w:t>9.477.108</w:t>
            </w:r>
            <w:r w:rsidRPr="002E2B5B">
              <w:rPr>
                <w:rFonts w:ascii="Calibri" w:hAnsi="Calibri" w:cs="Calibri"/>
                <w:sz w:val="16"/>
                <w:szCs w:val="16"/>
              </w:rPr>
              <w:t>)</w:t>
            </w:r>
          </w:p>
        </w:tc>
        <w:tc>
          <w:tcPr>
            <w:tcW w:w="85" w:type="pct"/>
            <w:tcBorders>
              <w:left w:val="nil"/>
              <w:right w:val="nil"/>
            </w:tcBorders>
            <w:shd w:val="clear" w:color="auto" w:fill="auto"/>
            <w:noWrap/>
            <w:vAlign w:val="bottom"/>
          </w:tcPr>
          <w:p w14:paraId="7025D4C3" w14:textId="77777777" w:rsidR="00FF1438" w:rsidRPr="002E2B5B" w:rsidRDefault="00FF1438" w:rsidP="002E2B5B">
            <w:pPr>
              <w:rPr>
                <w:rFonts w:ascii="Calibri" w:hAnsi="Calibri" w:cs="Calibri"/>
                <w:b/>
                <w:sz w:val="16"/>
                <w:szCs w:val="16"/>
              </w:rPr>
            </w:pPr>
          </w:p>
        </w:tc>
      </w:tr>
      <w:tr w:rsidR="004C6C47" w:rsidRPr="002E2B5B" w14:paraId="15C0BFFD" w14:textId="77777777" w:rsidTr="0002343B">
        <w:trPr>
          <w:trHeight w:val="255"/>
        </w:trPr>
        <w:tc>
          <w:tcPr>
            <w:tcW w:w="2614" w:type="pct"/>
            <w:tcBorders>
              <w:left w:val="nil"/>
              <w:right w:val="nil"/>
            </w:tcBorders>
            <w:shd w:val="clear" w:color="auto" w:fill="auto"/>
            <w:noWrap/>
            <w:vAlign w:val="center"/>
          </w:tcPr>
          <w:p w14:paraId="65465E6A" w14:textId="77777777" w:rsidR="00B8368E" w:rsidRPr="002E2B5B" w:rsidRDefault="00B8368E" w:rsidP="002E2B5B">
            <w:pPr>
              <w:rPr>
                <w:rFonts w:ascii="Calibri" w:hAnsi="Calibri" w:cs="Calibri"/>
                <w:sz w:val="16"/>
                <w:szCs w:val="16"/>
              </w:rPr>
            </w:pPr>
            <w:r w:rsidRPr="002E2B5B">
              <w:rPr>
                <w:rFonts w:ascii="Calibri" w:hAnsi="Calibri" w:cs="Calibri"/>
                <w:sz w:val="16"/>
                <w:szCs w:val="16"/>
              </w:rPr>
              <w:t xml:space="preserve">Reconhecimento </w:t>
            </w:r>
            <w:r w:rsidR="00CD3248" w:rsidRPr="002E2B5B">
              <w:rPr>
                <w:rFonts w:ascii="Calibri" w:hAnsi="Calibri" w:cs="Calibri"/>
                <w:sz w:val="16"/>
                <w:szCs w:val="16"/>
              </w:rPr>
              <w:t>de Crédito em 2019</w:t>
            </w:r>
          </w:p>
        </w:tc>
        <w:tc>
          <w:tcPr>
            <w:tcW w:w="339" w:type="pct"/>
            <w:tcBorders>
              <w:left w:val="nil"/>
              <w:right w:val="nil"/>
            </w:tcBorders>
            <w:shd w:val="clear" w:color="auto" w:fill="auto"/>
            <w:noWrap/>
            <w:vAlign w:val="bottom"/>
          </w:tcPr>
          <w:p w14:paraId="57A0EB7D" w14:textId="77777777" w:rsidR="00B8368E" w:rsidRPr="002E2B5B" w:rsidRDefault="00B8368E" w:rsidP="002E2B5B">
            <w:pPr>
              <w:rPr>
                <w:rFonts w:ascii="Calibri" w:hAnsi="Calibri" w:cs="Calibri"/>
                <w:sz w:val="16"/>
                <w:szCs w:val="16"/>
              </w:rPr>
            </w:pPr>
          </w:p>
        </w:tc>
        <w:tc>
          <w:tcPr>
            <w:tcW w:w="135" w:type="pct"/>
            <w:tcBorders>
              <w:left w:val="nil"/>
              <w:right w:val="nil"/>
            </w:tcBorders>
            <w:shd w:val="clear" w:color="auto" w:fill="auto"/>
            <w:noWrap/>
            <w:vAlign w:val="bottom"/>
          </w:tcPr>
          <w:p w14:paraId="5376F23A" w14:textId="77777777" w:rsidR="00B8368E" w:rsidRPr="002E2B5B" w:rsidRDefault="00B8368E" w:rsidP="002E2B5B">
            <w:pPr>
              <w:rPr>
                <w:rFonts w:ascii="Calibri" w:hAnsi="Calibri" w:cs="Calibri"/>
                <w:sz w:val="16"/>
                <w:szCs w:val="16"/>
              </w:rPr>
            </w:pPr>
          </w:p>
        </w:tc>
        <w:tc>
          <w:tcPr>
            <w:tcW w:w="876" w:type="pct"/>
            <w:tcBorders>
              <w:left w:val="nil"/>
              <w:right w:val="nil"/>
            </w:tcBorders>
            <w:vAlign w:val="bottom"/>
          </w:tcPr>
          <w:p w14:paraId="1537706B" w14:textId="77777777" w:rsidR="00B8368E" w:rsidRPr="002E2B5B" w:rsidRDefault="00B8368E" w:rsidP="002E2B5B">
            <w:pPr>
              <w:jc w:val="right"/>
              <w:rPr>
                <w:rFonts w:ascii="Calibri" w:hAnsi="Calibri" w:cs="Calibri"/>
                <w:sz w:val="16"/>
                <w:szCs w:val="16"/>
              </w:rPr>
            </w:pPr>
          </w:p>
        </w:tc>
        <w:tc>
          <w:tcPr>
            <w:tcW w:w="951" w:type="pct"/>
            <w:tcBorders>
              <w:left w:val="nil"/>
              <w:right w:val="nil"/>
            </w:tcBorders>
            <w:shd w:val="clear" w:color="auto" w:fill="auto"/>
            <w:noWrap/>
            <w:vAlign w:val="bottom"/>
          </w:tcPr>
          <w:p w14:paraId="0AE06814" w14:textId="77777777" w:rsidR="00B8368E" w:rsidRPr="002E2B5B" w:rsidRDefault="00CD3248" w:rsidP="002E2B5B">
            <w:pPr>
              <w:jc w:val="right"/>
              <w:rPr>
                <w:rFonts w:ascii="Calibri" w:hAnsi="Calibri" w:cs="Calibri"/>
                <w:sz w:val="16"/>
                <w:szCs w:val="16"/>
              </w:rPr>
            </w:pPr>
            <w:r w:rsidRPr="002E2B5B">
              <w:rPr>
                <w:rFonts w:ascii="Calibri" w:hAnsi="Calibri" w:cs="Calibri"/>
                <w:sz w:val="16"/>
                <w:szCs w:val="16"/>
              </w:rPr>
              <w:t>16.61</w:t>
            </w:r>
            <w:r w:rsidR="00F51287" w:rsidRPr="002E2B5B">
              <w:rPr>
                <w:rFonts w:ascii="Calibri" w:hAnsi="Calibri" w:cs="Calibri"/>
                <w:sz w:val="16"/>
                <w:szCs w:val="16"/>
              </w:rPr>
              <w:t>3</w:t>
            </w:r>
          </w:p>
        </w:tc>
        <w:tc>
          <w:tcPr>
            <w:tcW w:w="85" w:type="pct"/>
            <w:tcBorders>
              <w:left w:val="nil"/>
              <w:right w:val="nil"/>
            </w:tcBorders>
            <w:shd w:val="clear" w:color="auto" w:fill="auto"/>
            <w:noWrap/>
            <w:vAlign w:val="bottom"/>
          </w:tcPr>
          <w:p w14:paraId="5E058B60" w14:textId="77777777" w:rsidR="00B8368E" w:rsidRPr="002E2B5B" w:rsidRDefault="00B8368E" w:rsidP="002E2B5B">
            <w:pPr>
              <w:rPr>
                <w:rFonts w:ascii="Calibri" w:hAnsi="Calibri" w:cs="Calibri"/>
                <w:b/>
                <w:sz w:val="16"/>
                <w:szCs w:val="16"/>
              </w:rPr>
            </w:pPr>
          </w:p>
        </w:tc>
      </w:tr>
      <w:tr w:rsidR="004C6C47" w:rsidRPr="002E2B5B" w14:paraId="7DAA8D08" w14:textId="77777777" w:rsidTr="0002343B">
        <w:trPr>
          <w:trHeight w:val="255"/>
        </w:trPr>
        <w:tc>
          <w:tcPr>
            <w:tcW w:w="2614" w:type="pct"/>
            <w:tcBorders>
              <w:left w:val="nil"/>
              <w:bottom w:val="single" w:sz="4" w:space="0" w:color="auto"/>
              <w:right w:val="nil"/>
            </w:tcBorders>
            <w:shd w:val="clear" w:color="auto" w:fill="auto"/>
            <w:noWrap/>
            <w:vAlign w:val="center"/>
          </w:tcPr>
          <w:p w14:paraId="1E9205C8" w14:textId="77777777" w:rsidR="0002343B" w:rsidRPr="002E2B5B" w:rsidRDefault="0002343B" w:rsidP="002E2B5B">
            <w:pPr>
              <w:rPr>
                <w:rFonts w:ascii="Calibri" w:hAnsi="Calibri" w:cs="Calibri"/>
                <w:sz w:val="16"/>
                <w:szCs w:val="16"/>
              </w:rPr>
            </w:pPr>
            <w:r w:rsidRPr="002E2B5B">
              <w:rPr>
                <w:rFonts w:ascii="Calibri" w:hAnsi="Calibri" w:cs="Calibri"/>
                <w:sz w:val="16"/>
                <w:szCs w:val="16"/>
              </w:rPr>
              <w:t>Baixa por prescrição no 4º trimestre / 2020</w:t>
            </w:r>
          </w:p>
        </w:tc>
        <w:tc>
          <w:tcPr>
            <w:tcW w:w="339" w:type="pct"/>
            <w:tcBorders>
              <w:left w:val="nil"/>
              <w:bottom w:val="single" w:sz="4" w:space="0" w:color="auto"/>
              <w:right w:val="nil"/>
            </w:tcBorders>
            <w:shd w:val="clear" w:color="auto" w:fill="auto"/>
            <w:noWrap/>
            <w:vAlign w:val="bottom"/>
          </w:tcPr>
          <w:p w14:paraId="62F49E53" w14:textId="77777777" w:rsidR="0002343B" w:rsidRPr="002E2B5B" w:rsidRDefault="0002343B" w:rsidP="002E2B5B">
            <w:pPr>
              <w:rPr>
                <w:rFonts w:ascii="Calibri" w:hAnsi="Calibri" w:cs="Calibri"/>
                <w:sz w:val="16"/>
                <w:szCs w:val="16"/>
              </w:rPr>
            </w:pPr>
          </w:p>
        </w:tc>
        <w:tc>
          <w:tcPr>
            <w:tcW w:w="135" w:type="pct"/>
            <w:tcBorders>
              <w:left w:val="nil"/>
              <w:bottom w:val="single" w:sz="4" w:space="0" w:color="auto"/>
              <w:right w:val="nil"/>
            </w:tcBorders>
            <w:shd w:val="clear" w:color="auto" w:fill="auto"/>
            <w:noWrap/>
            <w:vAlign w:val="bottom"/>
          </w:tcPr>
          <w:p w14:paraId="5D6AB9BB" w14:textId="77777777" w:rsidR="0002343B" w:rsidRPr="002E2B5B" w:rsidRDefault="0002343B" w:rsidP="002E2B5B">
            <w:pPr>
              <w:rPr>
                <w:rFonts w:ascii="Calibri" w:hAnsi="Calibri" w:cs="Calibri"/>
                <w:sz w:val="16"/>
                <w:szCs w:val="16"/>
              </w:rPr>
            </w:pPr>
          </w:p>
        </w:tc>
        <w:tc>
          <w:tcPr>
            <w:tcW w:w="876" w:type="pct"/>
            <w:tcBorders>
              <w:left w:val="nil"/>
              <w:bottom w:val="single" w:sz="4" w:space="0" w:color="auto"/>
              <w:right w:val="nil"/>
            </w:tcBorders>
            <w:vAlign w:val="bottom"/>
          </w:tcPr>
          <w:p w14:paraId="62642422" w14:textId="77777777" w:rsidR="0002343B" w:rsidRPr="002E2B5B" w:rsidRDefault="0002343B" w:rsidP="002E2B5B">
            <w:pPr>
              <w:jc w:val="right"/>
              <w:rPr>
                <w:rFonts w:ascii="Calibri" w:hAnsi="Calibri" w:cs="Calibri"/>
                <w:sz w:val="16"/>
                <w:szCs w:val="16"/>
              </w:rPr>
            </w:pPr>
          </w:p>
        </w:tc>
        <w:tc>
          <w:tcPr>
            <w:tcW w:w="951" w:type="pct"/>
            <w:tcBorders>
              <w:left w:val="nil"/>
              <w:bottom w:val="single" w:sz="4" w:space="0" w:color="auto"/>
              <w:right w:val="nil"/>
            </w:tcBorders>
            <w:shd w:val="clear" w:color="auto" w:fill="auto"/>
            <w:noWrap/>
            <w:vAlign w:val="bottom"/>
          </w:tcPr>
          <w:p w14:paraId="36CB0717" w14:textId="77777777" w:rsidR="0002343B" w:rsidRPr="002E2B5B" w:rsidRDefault="0002343B" w:rsidP="002E2B5B">
            <w:pPr>
              <w:jc w:val="right"/>
              <w:rPr>
                <w:rFonts w:ascii="Calibri" w:hAnsi="Calibri" w:cs="Calibri"/>
                <w:sz w:val="16"/>
                <w:szCs w:val="16"/>
              </w:rPr>
            </w:pPr>
            <w:r w:rsidRPr="002E2B5B">
              <w:rPr>
                <w:rFonts w:ascii="Calibri" w:hAnsi="Calibri" w:cs="Calibri"/>
                <w:sz w:val="16"/>
                <w:szCs w:val="16"/>
              </w:rPr>
              <w:t>(16.171.756,85)</w:t>
            </w:r>
          </w:p>
        </w:tc>
        <w:tc>
          <w:tcPr>
            <w:tcW w:w="85" w:type="pct"/>
            <w:tcBorders>
              <w:left w:val="nil"/>
              <w:bottom w:val="single" w:sz="4" w:space="0" w:color="auto"/>
              <w:right w:val="nil"/>
            </w:tcBorders>
            <w:shd w:val="clear" w:color="auto" w:fill="auto"/>
            <w:noWrap/>
            <w:vAlign w:val="bottom"/>
          </w:tcPr>
          <w:p w14:paraId="25DBD5EC" w14:textId="77777777" w:rsidR="0002343B" w:rsidRPr="002E2B5B" w:rsidRDefault="0002343B" w:rsidP="002E2B5B">
            <w:pPr>
              <w:rPr>
                <w:rFonts w:ascii="Calibri" w:hAnsi="Calibri" w:cs="Calibri"/>
                <w:b/>
                <w:sz w:val="16"/>
                <w:szCs w:val="16"/>
              </w:rPr>
            </w:pPr>
          </w:p>
        </w:tc>
      </w:tr>
      <w:tr w:rsidR="004C6C47" w:rsidRPr="002E2B5B" w14:paraId="7B161F4E" w14:textId="77777777" w:rsidTr="0002343B">
        <w:trPr>
          <w:trHeight w:val="255"/>
        </w:trPr>
        <w:tc>
          <w:tcPr>
            <w:tcW w:w="2614" w:type="pct"/>
            <w:tcBorders>
              <w:top w:val="single" w:sz="4" w:space="0" w:color="auto"/>
              <w:left w:val="nil"/>
              <w:bottom w:val="single" w:sz="4" w:space="0" w:color="auto"/>
              <w:right w:val="nil"/>
            </w:tcBorders>
            <w:shd w:val="clear" w:color="auto" w:fill="auto"/>
            <w:noWrap/>
            <w:vAlign w:val="bottom"/>
            <w:hideMark/>
          </w:tcPr>
          <w:p w14:paraId="12F164FE" w14:textId="77777777" w:rsidR="00C535B0" w:rsidRPr="002E2B5B" w:rsidRDefault="00C535B0" w:rsidP="002E2B5B">
            <w:pPr>
              <w:rPr>
                <w:rFonts w:ascii="Calibri" w:hAnsi="Calibri" w:cs="Calibri"/>
                <w:b/>
                <w:sz w:val="16"/>
                <w:szCs w:val="16"/>
              </w:rPr>
            </w:pPr>
            <w:r w:rsidRPr="002E2B5B">
              <w:rPr>
                <w:rFonts w:ascii="Calibri" w:hAnsi="Calibri" w:cs="Calibri"/>
                <w:b/>
                <w:sz w:val="16"/>
                <w:szCs w:val="16"/>
              </w:rPr>
              <w:t>SALDO DE CRÉDITO PREVIDENCIÁRIO EM 3</w:t>
            </w:r>
            <w:r w:rsidR="00B31412" w:rsidRPr="002E2B5B">
              <w:rPr>
                <w:rFonts w:ascii="Calibri" w:hAnsi="Calibri" w:cs="Calibri"/>
                <w:b/>
                <w:sz w:val="16"/>
                <w:szCs w:val="16"/>
              </w:rPr>
              <w:t>1</w:t>
            </w:r>
            <w:r w:rsidRPr="002E2B5B">
              <w:rPr>
                <w:rFonts w:ascii="Calibri" w:hAnsi="Calibri" w:cs="Calibri"/>
                <w:b/>
                <w:sz w:val="16"/>
                <w:szCs w:val="16"/>
              </w:rPr>
              <w:t>/</w:t>
            </w:r>
            <w:r w:rsidR="00B31412" w:rsidRPr="002E2B5B">
              <w:rPr>
                <w:rFonts w:ascii="Calibri" w:hAnsi="Calibri" w:cs="Calibri"/>
                <w:b/>
                <w:sz w:val="16"/>
                <w:szCs w:val="16"/>
              </w:rPr>
              <w:t>12</w:t>
            </w:r>
            <w:r w:rsidRPr="002E2B5B">
              <w:rPr>
                <w:rFonts w:ascii="Calibri" w:hAnsi="Calibri" w:cs="Calibri"/>
                <w:b/>
                <w:sz w:val="16"/>
                <w:szCs w:val="16"/>
              </w:rPr>
              <w:t>/20</w:t>
            </w:r>
            <w:r w:rsidR="0002343B" w:rsidRPr="002E2B5B">
              <w:rPr>
                <w:rFonts w:ascii="Calibri" w:hAnsi="Calibri" w:cs="Calibri"/>
                <w:b/>
                <w:sz w:val="16"/>
                <w:szCs w:val="16"/>
              </w:rPr>
              <w:t>20</w:t>
            </w:r>
          </w:p>
        </w:tc>
        <w:tc>
          <w:tcPr>
            <w:tcW w:w="339" w:type="pct"/>
            <w:tcBorders>
              <w:top w:val="single" w:sz="4" w:space="0" w:color="auto"/>
              <w:left w:val="nil"/>
              <w:bottom w:val="single" w:sz="4" w:space="0" w:color="auto"/>
              <w:right w:val="nil"/>
            </w:tcBorders>
            <w:shd w:val="clear" w:color="auto" w:fill="auto"/>
            <w:noWrap/>
            <w:vAlign w:val="bottom"/>
            <w:hideMark/>
          </w:tcPr>
          <w:p w14:paraId="51BC2C21" w14:textId="77777777" w:rsidR="00C535B0" w:rsidRPr="002E2B5B" w:rsidRDefault="00C535B0" w:rsidP="002E2B5B">
            <w:pPr>
              <w:rPr>
                <w:rFonts w:ascii="Calibri" w:hAnsi="Calibri" w:cs="Calibri"/>
                <w:b/>
                <w:sz w:val="16"/>
                <w:szCs w:val="16"/>
              </w:rPr>
            </w:pPr>
          </w:p>
        </w:tc>
        <w:tc>
          <w:tcPr>
            <w:tcW w:w="135" w:type="pct"/>
            <w:tcBorders>
              <w:top w:val="single" w:sz="4" w:space="0" w:color="auto"/>
              <w:left w:val="nil"/>
              <w:bottom w:val="single" w:sz="4" w:space="0" w:color="auto"/>
              <w:right w:val="nil"/>
            </w:tcBorders>
            <w:shd w:val="clear" w:color="auto" w:fill="auto"/>
            <w:noWrap/>
            <w:vAlign w:val="bottom"/>
            <w:hideMark/>
          </w:tcPr>
          <w:p w14:paraId="3AF5CF3F" w14:textId="77777777" w:rsidR="00C535B0" w:rsidRPr="002E2B5B" w:rsidRDefault="00C535B0" w:rsidP="002E2B5B">
            <w:pPr>
              <w:rPr>
                <w:rFonts w:ascii="Calibri" w:hAnsi="Calibri" w:cs="Calibri"/>
                <w:b/>
                <w:sz w:val="16"/>
                <w:szCs w:val="16"/>
              </w:rPr>
            </w:pPr>
          </w:p>
        </w:tc>
        <w:tc>
          <w:tcPr>
            <w:tcW w:w="876" w:type="pct"/>
            <w:tcBorders>
              <w:top w:val="single" w:sz="4" w:space="0" w:color="auto"/>
              <w:left w:val="nil"/>
              <w:bottom w:val="single" w:sz="4" w:space="0" w:color="auto"/>
              <w:right w:val="nil"/>
            </w:tcBorders>
            <w:vAlign w:val="bottom"/>
          </w:tcPr>
          <w:p w14:paraId="031C74E3" w14:textId="77777777" w:rsidR="00C535B0" w:rsidRPr="002E2B5B" w:rsidRDefault="00C535B0" w:rsidP="002E2B5B">
            <w:pPr>
              <w:jc w:val="right"/>
              <w:rPr>
                <w:rFonts w:ascii="Calibri" w:hAnsi="Calibri" w:cs="Calibri"/>
                <w:b/>
                <w:sz w:val="16"/>
                <w:szCs w:val="16"/>
              </w:rPr>
            </w:pPr>
          </w:p>
        </w:tc>
        <w:tc>
          <w:tcPr>
            <w:tcW w:w="951" w:type="pct"/>
            <w:tcBorders>
              <w:top w:val="single" w:sz="4" w:space="0" w:color="auto"/>
              <w:left w:val="nil"/>
              <w:bottom w:val="single" w:sz="4" w:space="0" w:color="auto"/>
              <w:right w:val="nil"/>
            </w:tcBorders>
            <w:shd w:val="clear" w:color="auto" w:fill="auto"/>
            <w:noWrap/>
            <w:vAlign w:val="bottom"/>
            <w:hideMark/>
          </w:tcPr>
          <w:p w14:paraId="75BCE980" w14:textId="77777777" w:rsidR="00C535B0" w:rsidRPr="002E2B5B" w:rsidRDefault="0002343B" w:rsidP="002E2B5B">
            <w:pPr>
              <w:jc w:val="right"/>
              <w:rPr>
                <w:rFonts w:ascii="Calibri" w:hAnsi="Calibri" w:cs="Calibri"/>
                <w:b/>
                <w:sz w:val="16"/>
                <w:szCs w:val="16"/>
              </w:rPr>
            </w:pPr>
            <w:r w:rsidRPr="002E2B5B">
              <w:rPr>
                <w:rFonts w:ascii="Calibri" w:hAnsi="Calibri" w:cs="Calibri"/>
                <w:b/>
                <w:sz w:val="16"/>
                <w:szCs w:val="16"/>
              </w:rPr>
              <w:t>1.686.381</w:t>
            </w:r>
          </w:p>
        </w:tc>
        <w:tc>
          <w:tcPr>
            <w:tcW w:w="85" w:type="pct"/>
            <w:tcBorders>
              <w:top w:val="single" w:sz="4" w:space="0" w:color="auto"/>
              <w:left w:val="nil"/>
              <w:bottom w:val="single" w:sz="4" w:space="0" w:color="auto"/>
              <w:right w:val="nil"/>
            </w:tcBorders>
            <w:shd w:val="clear" w:color="auto" w:fill="auto"/>
            <w:noWrap/>
            <w:vAlign w:val="bottom"/>
            <w:hideMark/>
          </w:tcPr>
          <w:p w14:paraId="6B56C6D1" w14:textId="77777777" w:rsidR="00C535B0" w:rsidRPr="002E2B5B" w:rsidRDefault="00C535B0" w:rsidP="002E2B5B">
            <w:pPr>
              <w:rPr>
                <w:rFonts w:ascii="Calibri" w:hAnsi="Calibri" w:cs="Calibri"/>
                <w:b/>
                <w:sz w:val="16"/>
                <w:szCs w:val="16"/>
              </w:rPr>
            </w:pPr>
          </w:p>
        </w:tc>
      </w:tr>
      <w:tr w:rsidR="004C6C47" w:rsidRPr="002E2B5B" w14:paraId="00B6C5DC" w14:textId="77777777" w:rsidTr="00FF1438">
        <w:trPr>
          <w:trHeight w:val="255"/>
        </w:trPr>
        <w:tc>
          <w:tcPr>
            <w:tcW w:w="2614" w:type="pct"/>
            <w:tcBorders>
              <w:top w:val="single" w:sz="4" w:space="0" w:color="auto"/>
              <w:left w:val="nil"/>
              <w:bottom w:val="single" w:sz="4" w:space="0" w:color="auto"/>
              <w:right w:val="nil"/>
            </w:tcBorders>
            <w:shd w:val="clear" w:color="auto" w:fill="auto"/>
            <w:noWrap/>
            <w:vAlign w:val="bottom"/>
          </w:tcPr>
          <w:p w14:paraId="1ABBFC62" w14:textId="77777777" w:rsidR="001F541A" w:rsidRPr="002E2B5B" w:rsidRDefault="001F541A" w:rsidP="002E2B5B">
            <w:pPr>
              <w:rPr>
                <w:rFonts w:ascii="Calibri" w:hAnsi="Calibri" w:cs="Calibri"/>
                <w:b/>
                <w:sz w:val="16"/>
                <w:szCs w:val="16"/>
              </w:rPr>
            </w:pPr>
            <w:r w:rsidRPr="002E2B5B">
              <w:rPr>
                <w:rFonts w:ascii="Calibri" w:hAnsi="Calibri" w:cs="Calibri"/>
                <w:b/>
                <w:sz w:val="16"/>
                <w:szCs w:val="16"/>
              </w:rPr>
              <w:t xml:space="preserve">CRÉDITO PRESCRITO EM 2021 (Até </w:t>
            </w:r>
            <w:proofErr w:type="spellStart"/>
            <w:r w:rsidR="004C6C47" w:rsidRPr="002E2B5B">
              <w:rPr>
                <w:rFonts w:ascii="Calibri" w:hAnsi="Calibri" w:cs="Calibri"/>
                <w:b/>
                <w:sz w:val="16"/>
                <w:szCs w:val="16"/>
              </w:rPr>
              <w:t>Abr</w:t>
            </w:r>
            <w:proofErr w:type="spellEnd"/>
            <w:r w:rsidRPr="002E2B5B">
              <w:rPr>
                <w:rFonts w:ascii="Calibri" w:hAnsi="Calibri" w:cs="Calibri"/>
                <w:b/>
                <w:sz w:val="16"/>
                <w:szCs w:val="16"/>
              </w:rPr>
              <w:t>/2021)</w:t>
            </w:r>
            <w:r w:rsidR="004C6C47" w:rsidRPr="002E2B5B">
              <w:rPr>
                <w:rFonts w:ascii="Calibri" w:hAnsi="Calibri" w:cs="Calibri"/>
                <w:b/>
                <w:sz w:val="16"/>
                <w:szCs w:val="16"/>
              </w:rPr>
              <w:t xml:space="preserve"> RECONHECIDO NAS DFS DE 2019</w:t>
            </w:r>
          </w:p>
        </w:tc>
        <w:tc>
          <w:tcPr>
            <w:tcW w:w="339" w:type="pct"/>
            <w:tcBorders>
              <w:top w:val="single" w:sz="4" w:space="0" w:color="auto"/>
              <w:left w:val="nil"/>
              <w:bottom w:val="single" w:sz="4" w:space="0" w:color="auto"/>
              <w:right w:val="nil"/>
            </w:tcBorders>
            <w:shd w:val="clear" w:color="auto" w:fill="auto"/>
            <w:noWrap/>
            <w:vAlign w:val="bottom"/>
          </w:tcPr>
          <w:p w14:paraId="38CDF79F" w14:textId="77777777" w:rsidR="001F541A" w:rsidRPr="002E2B5B" w:rsidRDefault="001F541A" w:rsidP="002E2B5B">
            <w:pPr>
              <w:rPr>
                <w:rFonts w:ascii="Calibri" w:hAnsi="Calibri" w:cs="Calibri"/>
                <w:b/>
                <w:sz w:val="16"/>
                <w:szCs w:val="16"/>
              </w:rPr>
            </w:pPr>
          </w:p>
        </w:tc>
        <w:tc>
          <w:tcPr>
            <w:tcW w:w="135" w:type="pct"/>
            <w:tcBorders>
              <w:top w:val="single" w:sz="4" w:space="0" w:color="auto"/>
              <w:left w:val="nil"/>
              <w:bottom w:val="single" w:sz="4" w:space="0" w:color="auto"/>
              <w:right w:val="nil"/>
            </w:tcBorders>
            <w:shd w:val="clear" w:color="auto" w:fill="auto"/>
            <w:noWrap/>
            <w:vAlign w:val="bottom"/>
          </w:tcPr>
          <w:p w14:paraId="50A15532" w14:textId="77777777" w:rsidR="001F541A" w:rsidRPr="002E2B5B" w:rsidRDefault="001F541A" w:rsidP="002E2B5B">
            <w:pPr>
              <w:rPr>
                <w:rFonts w:ascii="Calibri" w:hAnsi="Calibri" w:cs="Calibri"/>
                <w:b/>
                <w:sz w:val="16"/>
                <w:szCs w:val="16"/>
              </w:rPr>
            </w:pPr>
          </w:p>
        </w:tc>
        <w:tc>
          <w:tcPr>
            <w:tcW w:w="876" w:type="pct"/>
            <w:tcBorders>
              <w:top w:val="single" w:sz="4" w:space="0" w:color="auto"/>
              <w:left w:val="nil"/>
              <w:bottom w:val="single" w:sz="4" w:space="0" w:color="auto"/>
              <w:right w:val="nil"/>
            </w:tcBorders>
            <w:vAlign w:val="bottom"/>
          </w:tcPr>
          <w:p w14:paraId="584E2F1D" w14:textId="77777777" w:rsidR="001F541A" w:rsidRPr="002E2B5B" w:rsidRDefault="001F541A" w:rsidP="002E2B5B">
            <w:pPr>
              <w:jc w:val="right"/>
              <w:rPr>
                <w:rFonts w:ascii="Calibri" w:hAnsi="Calibri" w:cs="Calibri"/>
                <w:b/>
                <w:sz w:val="16"/>
                <w:szCs w:val="16"/>
              </w:rPr>
            </w:pPr>
          </w:p>
        </w:tc>
        <w:tc>
          <w:tcPr>
            <w:tcW w:w="951" w:type="pct"/>
            <w:tcBorders>
              <w:top w:val="single" w:sz="4" w:space="0" w:color="auto"/>
              <w:left w:val="nil"/>
              <w:bottom w:val="single" w:sz="4" w:space="0" w:color="auto"/>
              <w:right w:val="nil"/>
            </w:tcBorders>
            <w:shd w:val="clear" w:color="auto" w:fill="auto"/>
            <w:noWrap/>
            <w:vAlign w:val="bottom"/>
          </w:tcPr>
          <w:p w14:paraId="4A723E1B" w14:textId="77777777" w:rsidR="001F541A" w:rsidRPr="002E2B5B" w:rsidRDefault="001F541A" w:rsidP="002E2B5B">
            <w:pPr>
              <w:jc w:val="right"/>
              <w:rPr>
                <w:rFonts w:ascii="Calibri" w:hAnsi="Calibri" w:cs="Calibri"/>
                <w:b/>
                <w:sz w:val="16"/>
                <w:szCs w:val="16"/>
              </w:rPr>
            </w:pPr>
            <w:r w:rsidRPr="002E2B5B">
              <w:rPr>
                <w:rFonts w:ascii="Calibri" w:hAnsi="Calibri" w:cs="Calibri"/>
                <w:b/>
                <w:sz w:val="16"/>
                <w:szCs w:val="16"/>
              </w:rPr>
              <w:t>(</w:t>
            </w:r>
            <w:r w:rsidR="004C6C47" w:rsidRPr="002E2B5B">
              <w:rPr>
                <w:rFonts w:ascii="Calibri" w:hAnsi="Calibri" w:cs="Calibri"/>
                <w:b/>
                <w:sz w:val="16"/>
                <w:szCs w:val="16"/>
              </w:rPr>
              <w:t>271.209</w:t>
            </w:r>
            <w:r w:rsidRPr="002E2B5B">
              <w:rPr>
                <w:rFonts w:ascii="Calibri" w:hAnsi="Calibri" w:cs="Calibri"/>
                <w:b/>
                <w:sz w:val="16"/>
                <w:szCs w:val="16"/>
              </w:rPr>
              <w:t>)</w:t>
            </w:r>
          </w:p>
        </w:tc>
        <w:tc>
          <w:tcPr>
            <w:tcW w:w="85" w:type="pct"/>
            <w:tcBorders>
              <w:top w:val="single" w:sz="4" w:space="0" w:color="auto"/>
              <w:left w:val="nil"/>
              <w:bottom w:val="single" w:sz="4" w:space="0" w:color="auto"/>
              <w:right w:val="nil"/>
            </w:tcBorders>
            <w:shd w:val="clear" w:color="auto" w:fill="auto"/>
            <w:noWrap/>
            <w:vAlign w:val="bottom"/>
          </w:tcPr>
          <w:p w14:paraId="1BC57218" w14:textId="77777777" w:rsidR="001F541A" w:rsidRPr="002E2B5B" w:rsidRDefault="001F541A" w:rsidP="002E2B5B">
            <w:pPr>
              <w:rPr>
                <w:rFonts w:ascii="Calibri" w:hAnsi="Calibri" w:cs="Calibri"/>
                <w:b/>
                <w:sz w:val="16"/>
                <w:szCs w:val="16"/>
              </w:rPr>
            </w:pPr>
          </w:p>
        </w:tc>
      </w:tr>
      <w:tr w:rsidR="004C6C47" w:rsidRPr="002E2B5B" w14:paraId="2AB44943" w14:textId="77777777" w:rsidTr="00FF1438">
        <w:trPr>
          <w:trHeight w:val="255"/>
        </w:trPr>
        <w:tc>
          <w:tcPr>
            <w:tcW w:w="2614" w:type="pct"/>
            <w:tcBorders>
              <w:top w:val="single" w:sz="4" w:space="0" w:color="auto"/>
              <w:left w:val="nil"/>
              <w:bottom w:val="single" w:sz="4" w:space="0" w:color="auto"/>
              <w:right w:val="nil"/>
            </w:tcBorders>
            <w:shd w:val="clear" w:color="auto" w:fill="auto"/>
            <w:noWrap/>
            <w:vAlign w:val="bottom"/>
          </w:tcPr>
          <w:p w14:paraId="7ED132CE" w14:textId="77777777" w:rsidR="004C6C47" w:rsidRPr="002E2B5B" w:rsidRDefault="004C6C47" w:rsidP="002E2B5B">
            <w:pPr>
              <w:rPr>
                <w:rFonts w:ascii="Calibri" w:hAnsi="Calibri" w:cs="Calibri"/>
                <w:b/>
                <w:sz w:val="16"/>
                <w:szCs w:val="16"/>
              </w:rPr>
            </w:pPr>
            <w:r w:rsidRPr="002E2B5B">
              <w:rPr>
                <w:rFonts w:ascii="Calibri" w:hAnsi="Calibri" w:cs="Calibri"/>
                <w:b/>
                <w:sz w:val="16"/>
                <w:szCs w:val="16"/>
              </w:rPr>
              <w:t xml:space="preserve">CRÉDITO PRESCRITO EM 2021 (Até </w:t>
            </w:r>
            <w:proofErr w:type="spellStart"/>
            <w:r w:rsidRPr="002E2B5B">
              <w:rPr>
                <w:rFonts w:ascii="Calibri" w:hAnsi="Calibri" w:cs="Calibri"/>
                <w:b/>
                <w:sz w:val="16"/>
                <w:szCs w:val="16"/>
              </w:rPr>
              <w:t>jun</w:t>
            </w:r>
            <w:proofErr w:type="spellEnd"/>
            <w:r w:rsidRPr="002E2B5B">
              <w:rPr>
                <w:rFonts w:ascii="Calibri" w:hAnsi="Calibri" w:cs="Calibri"/>
                <w:b/>
                <w:sz w:val="16"/>
                <w:szCs w:val="16"/>
              </w:rPr>
              <w:t>/2021) RECONHECIDO NAS DFS DE 2020</w:t>
            </w:r>
          </w:p>
        </w:tc>
        <w:tc>
          <w:tcPr>
            <w:tcW w:w="339" w:type="pct"/>
            <w:tcBorders>
              <w:top w:val="single" w:sz="4" w:space="0" w:color="auto"/>
              <w:left w:val="nil"/>
              <w:bottom w:val="single" w:sz="4" w:space="0" w:color="auto"/>
              <w:right w:val="nil"/>
            </w:tcBorders>
            <w:shd w:val="clear" w:color="auto" w:fill="auto"/>
            <w:noWrap/>
            <w:vAlign w:val="bottom"/>
          </w:tcPr>
          <w:p w14:paraId="3A96F748" w14:textId="77777777" w:rsidR="004C6C47" w:rsidRPr="002E2B5B" w:rsidRDefault="004C6C47" w:rsidP="002E2B5B">
            <w:pPr>
              <w:rPr>
                <w:rFonts w:ascii="Calibri" w:hAnsi="Calibri" w:cs="Calibri"/>
                <w:b/>
                <w:sz w:val="16"/>
                <w:szCs w:val="16"/>
              </w:rPr>
            </w:pPr>
          </w:p>
        </w:tc>
        <w:tc>
          <w:tcPr>
            <w:tcW w:w="135" w:type="pct"/>
            <w:tcBorders>
              <w:top w:val="single" w:sz="4" w:space="0" w:color="auto"/>
              <w:left w:val="nil"/>
              <w:bottom w:val="single" w:sz="4" w:space="0" w:color="auto"/>
              <w:right w:val="nil"/>
            </w:tcBorders>
            <w:shd w:val="clear" w:color="auto" w:fill="auto"/>
            <w:noWrap/>
            <w:vAlign w:val="bottom"/>
          </w:tcPr>
          <w:p w14:paraId="4C99607E" w14:textId="77777777" w:rsidR="004C6C47" w:rsidRPr="002E2B5B" w:rsidRDefault="004C6C47" w:rsidP="002E2B5B">
            <w:pPr>
              <w:rPr>
                <w:rFonts w:ascii="Calibri" w:hAnsi="Calibri" w:cs="Calibri"/>
                <w:b/>
                <w:sz w:val="16"/>
                <w:szCs w:val="16"/>
              </w:rPr>
            </w:pPr>
          </w:p>
        </w:tc>
        <w:tc>
          <w:tcPr>
            <w:tcW w:w="876" w:type="pct"/>
            <w:tcBorders>
              <w:top w:val="single" w:sz="4" w:space="0" w:color="auto"/>
              <w:left w:val="nil"/>
              <w:bottom w:val="single" w:sz="4" w:space="0" w:color="auto"/>
              <w:right w:val="nil"/>
            </w:tcBorders>
            <w:vAlign w:val="bottom"/>
          </w:tcPr>
          <w:p w14:paraId="3317ABB9" w14:textId="77777777" w:rsidR="004C6C47" w:rsidRPr="002E2B5B" w:rsidRDefault="004C6C47" w:rsidP="002E2B5B">
            <w:pPr>
              <w:jc w:val="right"/>
              <w:rPr>
                <w:rFonts w:ascii="Calibri" w:hAnsi="Calibri" w:cs="Calibri"/>
                <w:b/>
                <w:sz w:val="16"/>
                <w:szCs w:val="16"/>
              </w:rPr>
            </w:pPr>
          </w:p>
        </w:tc>
        <w:tc>
          <w:tcPr>
            <w:tcW w:w="951" w:type="pct"/>
            <w:tcBorders>
              <w:top w:val="single" w:sz="4" w:space="0" w:color="auto"/>
              <w:left w:val="nil"/>
              <w:bottom w:val="single" w:sz="4" w:space="0" w:color="auto"/>
              <w:right w:val="nil"/>
            </w:tcBorders>
            <w:shd w:val="clear" w:color="auto" w:fill="auto"/>
            <w:noWrap/>
            <w:vAlign w:val="bottom"/>
          </w:tcPr>
          <w:p w14:paraId="2E23ABE7" w14:textId="77777777" w:rsidR="004C6C47" w:rsidRPr="002E2B5B" w:rsidRDefault="004C6C47" w:rsidP="002E2B5B">
            <w:pPr>
              <w:jc w:val="right"/>
              <w:rPr>
                <w:rFonts w:ascii="Calibri" w:hAnsi="Calibri" w:cs="Calibri"/>
                <w:b/>
                <w:sz w:val="16"/>
                <w:szCs w:val="16"/>
              </w:rPr>
            </w:pPr>
            <w:r w:rsidRPr="002E2B5B">
              <w:rPr>
                <w:rFonts w:ascii="Calibri" w:hAnsi="Calibri" w:cs="Calibri"/>
                <w:b/>
                <w:sz w:val="16"/>
                <w:szCs w:val="16"/>
              </w:rPr>
              <w:t>(132.239)</w:t>
            </w:r>
          </w:p>
        </w:tc>
        <w:tc>
          <w:tcPr>
            <w:tcW w:w="85" w:type="pct"/>
            <w:tcBorders>
              <w:top w:val="single" w:sz="4" w:space="0" w:color="auto"/>
              <w:left w:val="nil"/>
              <w:bottom w:val="single" w:sz="4" w:space="0" w:color="auto"/>
              <w:right w:val="nil"/>
            </w:tcBorders>
            <w:shd w:val="clear" w:color="auto" w:fill="auto"/>
            <w:noWrap/>
            <w:vAlign w:val="bottom"/>
          </w:tcPr>
          <w:p w14:paraId="298692A3" w14:textId="77777777" w:rsidR="004C6C47" w:rsidRPr="002E2B5B" w:rsidRDefault="004C6C47" w:rsidP="002E2B5B">
            <w:pPr>
              <w:rPr>
                <w:rFonts w:ascii="Calibri" w:hAnsi="Calibri" w:cs="Calibri"/>
                <w:b/>
                <w:sz w:val="16"/>
                <w:szCs w:val="16"/>
              </w:rPr>
            </w:pPr>
          </w:p>
        </w:tc>
      </w:tr>
      <w:tr w:rsidR="007C004E" w:rsidRPr="002E2B5B" w14:paraId="0568FF60" w14:textId="77777777" w:rsidTr="00FF1438">
        <w:trPr>
          <w:trHeight w:val="255"/>
        </w:trPr>
        <w:tc>
          <w:tcPr>
            <w:tcW w:w="2614" w:type="pct"/>
            <w:tcBorders>
              <w:top w:val="single" w:sz="4" w:space="0" w:color="auto"/>
              <w:left w:val="nil"/>
              <w:bottom w:val="single" w:sz="4" w:space="0" w:color="auto"/>
              <w:right w:val="nil"/>
            </w:tcBorders>
            <w:shd w:val="clear" w:color="auto" w:fill="auto"/>
            <w:noWrap/>
            <w:vAlign w:val="bottom"/>
          </w:tcPr>
          <w:p w14:paraId="6F216491" w14:textId="27529A27" w:rsidR="007C004E" w:rsidRPr="002E2B5B" w:rsidRDefault="007C004E" w:rsidP="002E2B5B">
            <w:pPr>
              <w:rPr>
                <w:rFonts w:ascii="Calibri" w:hAnsi="Calibri" w:cs="Calibri"/>
                <w:b/>
                <w:sz w:val="16"/>
                <w:szCs w:val="16"/>
              </w:rPr>
            </w:pPr>
            <w:r w:rsidRPr="002E2B5B">
              <w:rPr>
                <w:rFonts w:ascii="Calibri" w:hAnsi="Calibri" w:cs="Calibri"/>
                <w:b/>
                <w:sz w:val="16"/>
                <w:szCs w:val="16"/>
              </w:rPr>
              <w:t xml:space="preserve">CRÉDITO PRESCRITO EM 2021 (Até </w:t>
            </w:r>
            <w:r>
              <w:rPr>
                <w:rFonts w:ascii="Calibri" w:hAnsi="Calibri" w:cs="Calibri"/>
                <w:b/>
                <w:sz w:val="16"/>
                <w:szCs w:val="16"/>
              </w:rPr>
              <w:t>set</w:t>
            </w:r>
            <w:r w:rsidRPr="002E2B5B">
              <w:rPr>
                <w:rFonts w:ascii="Calibri" w:hAnsi="Calibri" w:cs="Calibri"/>
                <w:b/>
                <w:sz w:val="16"/>
                <w:szCs w:val="16"/>
              </w:rPr>
              <w:t>/2021) RECONHECIDO NAS DFS DE 202</w:t>
            </w:r>
            <w:r>
              <w:rPr>
                <w:rFonts w:ascii="Calibri" w:hAnsi="Calibri" w:cs="Calibri"/>
                <w:b/>
                <w:sz w:val="16"/>
                <w:szCs w:val="16"/>
              </w:rPr>
              <w:t>1</w:t>
            </w:r>
          </w:p>
        </w:tc>
        <w:tc>
          <w:tcPr>
            <w:tcW w:w="339" w:type="pct"/>
            <w:tcBorders>
              <w:top w:val="single" w:sz="4" w:space="0" w:color="auto"/>
              <w:left w:val="nil"/>
              <w:bottom w:val="single" w:sz="4" w:space="0" w:color="auto"/>
              <w:right w:val="nil"/>
            </w:tcBorders>
            <w:shd w:val="clear" w:color="auto" w:fill="auto"/>
            <w:noWrap/>
            <w:vAlign w:val="bottom"/>
          </w:tcPr>
          <w:p w14:paraId="6F1BFE2B" w14:textId="77777777" w:rsidR="007C004E" w:rsidRPr="002E2B5B" w:rsidRDefault="007C004E" w:rsidP="002E2B5B">
            <w:pPr>
              <w:rPr>
                <w:rFonts w:ascii="Calibri" w:hAnsi="Calibri" w:cs="Calibri"/>
                <w:b/>
                <w:sz w:val="16"/>
                <w:szCs w:val="16"/>
              </w:rPr>
            </w:pPr>
          </w:p>
        </w:tc>
        <w:tc>
          <w:tcPr>
            <w:tcW w:w="135" w:type="pct"/>
            <w:tcBorders>
              <w:top w:val="single" w:sz="4" w:space="0" w:color="auto"/>
              <w:left w:val="nil"/>
              <w:bottom w:val="single" w:sz="4" w:space="0" w:color="auto"/>
              <w:right w:val="nil"/>
            </w:tcBorders>
            <w:shd w:val="clear" w:color="auto" w:fill="auto"/>
            <w:noWrap/>
            <w:vAlign w:val="bottom"/>
          </w:tcPr>
          <w:p w14:paraId="1FF29C41" w14:textId="77777777" w:rsidR="007C004E" w:rsidRPr="002E2B5B" w:rsidRDefault="007C004E" w:rsidP="002E2B5B">
            <w:pPr>
              <w:rPr>
                <w:rFonts w:ascii="Calibri" w:hAnsi="Calibri" w:cs="Calibri"/>
                <w:b/>
                <w:sz w:val="16"/>
                <w:szCs w:val="16"/>
              </w:rPr>
            </w:pPr>
          </w:p>
        </w:tc>
        <w:tc>
          <w:tcPr>
            <w:tcW w:w="876" w:type="pct"/>
            <w:tcBorders>
              <w:top w:val="single" w:sz="4" w:space="0" w:color="auto"/>
              <w:left w:val="nil"/>
              <w:bottom w:val="single" w:sz="4" w:space="0" w:color="auto"/>
              <w:right w:val="nil"/>
            </w:tcBorders>
            <w:vAlign w:val="bottom"/>
          </w:tcPr>
          <w:p w14:paraId="39611AFE" w14:textId="77777777" w:rsidR="007C004E" w:rsidRPr="002E2B5B" w:rsidRDefault="007C004E" w:rsidP="002E2B5B">
            <w:pPr>
              <w:jc w:val="right"/>
              <w:rPr>
                <w:rFonts w:ascii="Calibri" w:hAnsi="Calibri" w:cs="Calibri"/>
                <w:b/>
                <w:sz w:val="16"/>
                <w:szCs w:val="16"/>
              </w:rPr>
            </w:pPr>
          </w:p>
        </w:tc>
        <w:tc>
          <w:tcPr>
            <w:tcW w:w="951" w:type="pct"/>
            <w:tcBorders>
              <w:top w:val="single" w:sz="4" w:space="0" w:color="auto"/>
              <w:left w:val="nil"/>
              <w:bottom w:val="single" w:sz="4" w:space="0" w:color="auto"/>
              <w:right w:val="nil"/>
            </w:tcBorders>
            <w:shd w:val="clear" w:color="auto" w:fill="auto"/>
            <w:noWrap/>
            <w:vAlign w:val="bottom"/>
          </w:tcPr>
          <w:p w14:paraId="5D5550A6" w14:textId="5054D6C7" w:rsidR="007C004E" w:rsidRPr="002E2B5B" w:rsidRDefault="007C004E" w:rsidP="002E2B5B">
            <w:pPr>
              <w:jc w:val="right"/>
              <w:rPr>
                <w:rFonts w:ascii="Calibri" w:hAnsi="Calibri" w:cs="Calibri"/>
                <w:b/>
                <w:sz w:val="16"/>
                <w:szCs w:val="16"/>
              </w:rPr>
            </w:pPr>
            <w:r>
              <w:rPr>
                <w:rFonts w:ascii="Calibri" w:hAnsi="Calibri" w:cs="Calibri"/>
                <w:b/>
                <w:sz w:val="16"/>
                <w:szCs w:val="16"/>
              </w:rPr>
              <w:t>(197.036)</w:t>
            </w:r>
          </w:p>
        </w:tc>
        <w:tc>
          <w:tcPr>
            <w:tcW w:w="85" w:type="pct"/>
            <w:tcBorders>
              <w:top w:val="single" w:sz="4" w:space="0" w:color="auto"/>
              <w:left w:val="nil"/>
              <w:bottom w:val="single" w:sz="4" w:space="0" w:color="auto"/>
              <w:right w:val="nil"/>
            </w:tcBorders>
            <w:shd w:val="clear" w:color="auto" w:fill="auto"/>
            <w:noWrap/>
            <w:vAlign w:val="bottom"/>
          </w:tcPr>
          <w:p w14:paraId="2D03C9FF" w14:textId="77777777" w:rsidR="007C004E" w:rsidRPr="002E2B5B" w:rsidRDefault="007C004E" w:rsidP="002E2B5B">
            <w:pPr>
              <w:rPr>
                <w:rFonts w:ascii="Calibri" w:hAnsi="Calibri" w:cs="Calibri"/>
                <w:b/>
                <w:sz w:val="16"/>
                <w:szCs w:val="16"/>
              </w:rPr>
            </w:pPr>
          </w:p>
        </w:tc>
      </w:tr>
      <w:tr w:rsidR="004C6C47" w:rsidRPr="002E2B5B" w14:paraId="465FE58D" w14:textId="77777777" w:rsidTr="00FF1438">
        <w:trPr>
          <w:trHeight w:val="255"/>
        </w:trPr>
        <w:tc>
          <w:tcPr>
            <w:tcW w:w="2614" w:type="pct"/>
            <w:tcBorders>
              <w:top w:val="single" w:sz="4" w:space="0" w:color="auto"/>
              <w:left w:val="nil"/>
              <w:bottom w:val="single" w:sz="4" w:space="0" w:color="auto"/>
              <w:right w:val="nil"/>
            </w:tcBorders>
            <w:shd w:val="clear" w:color="auto" w:fill="auto"/>
            <w:noWrap/>
            <w:vAlign w:val="bottom"/>
          </w:tcPr>
          <w:p w14:paraId="616B6535" w14:textId="42995A2C" w:rsidR="001F541A" w:rsidRPr="002E2B5B" w:rsidRDefault="001F541A" w:rsidP="002E2B5B">
            <w:pPr>
              <w:rPr>
                <w:rFonts w:ascii="Calibri" w:hAnsi="Calibri" w:cs="Calibri"/>
                <w:b/>
                <w:sz w:val="16"/>
                <w:szCs w:val="16"/>
              </w:rPr>
            </w:pPr>
            <w:r w:rsidRPr="002E2B5B">
              <w:rPr>
                <w:rFonts w:ascii="Calibri" w:hAnsi="Calibri" w:cs="Calibri"/>
                <w:b/>
                <w:sz w:val="16"/>
                <w:szCs w:val="16"/>
              </w:rPr>
              <w:t xml:space="preserve">SALDO DE CRÉDITO PREVIDENCIÁRIO EM </w:t>
            </w:r>
            <w:r w:rsidR="001D4E7F">
              <w:rPr>
                <w:rFonts w:ascii="Calibri" w:hAnsi="Calibri" w:cs="Calibri"/>
                <w:b/>
                <w:sz w:val="16"/>
                <w:szCs w:val="16"/>
              </w:rPr>
              <w:t>SETEMBRO</w:t>
            </w:r>
            <w:r w:rsidRPr="002E2B5B">
              <w:rPr>
                <w:rFonts w:ascii="Calibri" w:hAnsi="Calibri" w:cs="Calibri"/>
                <w:b/>
                <w:sz w:val="16"/>
                <w:szCs w:val="16"/>
              </w:rPr>
              <w:t>/2021</w:t>
            </w:r>
          </w:p>
        </w:tc>
        <w:tc>
          <w:tcPr>
            <w:tcW w:w="339" w:type="pct"/>
            <w:tcBorders>
              <w:top w:val="single" w:sz="4" w:space="0" w:color="auto"/>
              <w:left w:val="nil"/>
              <w:bottom w:val="single" w:sz="4" w:space="0" w:color="auto"/>
              <w:right w:val="nil"/>
            </w:tcBorders>
            <w:shd w:val="clear" w:color="auto" w:fill="auto"/>
            <w:noWrap/>
            <w:vAlign w:val="bottom"/>
          </w:tcPr>
          <w:p w14:paraId="7016823C" w14:textId="77777777" w:rsidR="001F541A" w:rsidRPr="002E2B5B" w:rsidRDefault="001F541A" w:rsidP="002E2B5B">
            <w:pPr>
              <w:rPr>
                <w:rFonts w:ascii="Calibri" w:hAnsi="Calibri" w:cs="Calibri"/>
                <w:b/>
                <w:sz w:val="16"/>
                <w:szCs w:val="16"/>
              </w:rPr>
            </w:pPr>
          </w:p>
        </w:tc>
        <w:tc>
          <w:tcPr>
            <w:tcW w:w="135" w:type="pct"/>
            <w:tcBorders>
              <w:top w:val="single" w:sz="4" w:space="0" w:color="auto"/>
              <w:left w:val="nil"/>
              <w:bottom w:val="single" w:sz="4" w:space="0" w:color="auto"/>
              <w:right w:val="nil"/>
            </w:tcBorders>
            <w:shd w:val="clear" w:color="auto" w:fill="auto"/>
            <w:noWrap/>
            <w:vAlign w:val="bottom"/>
          </w:tcPr>
          <w:p w14:paraId="2A8F2BCA" w14:textId="77777777" w:rsidR="001F541A" w:rsidRPr="002E2B5B" w:rsidRDefault="001F541A" w:rsidP="002E2B5B">
            <w:pPr>
              <w:rPr>
                <w:rFonts w:ascii="Calibri" w:hAnsi="Calibri" w:cs="Calibri"/>
                <w:b/>
                <w:sz w:val="16"/>
                <w:szCs w:val="16"/>
              </w:rPr>
            </w:pPr>
          </w:p>
        </w:tc>
        <w:tc>
          <w:tcPr>
            <w:tcW w:w="876" w:type="pct"/>
            <w:tcBorders>
              <w:top w:val="single" w:sz="4" w:space="0" w:color="auto"/>
              <w:left w:val="nil"/>
              <w:bottom w:val="single" w:sz="4" w:space="0" w:color="auto"/>
              <w:right w:val="nil"/>
            </w:tcBorders>
            <w:vAlign w:val="bottom"/>
          </w:tcPr>
          <w:p w14:paraId="518F9EC0" w14:textId="77777777" w:rsidR="001F541A" w:rsidRPr="002E2B5B" w:rsidRDefault="001F541A" w:rsidP="002E2B5B">
            <w:pPr>
              <w:jc w:val="right"/>
              <w:rPr>
                <w:rFonts w:ascii="Calibri" w:hAnsi="Calibri" w:cs="Calibri"/>
                <w:b/>
                <w:sz w:val="16"/>
                <w:szCs w:val="16"/>
              </w:rPr>
            </w:pPr>
          </w:p>
        </w:tc>
        <w:tc>
          <w:tcPr>
            <w:tcW w:w="951" w:type="pct"/>
            <w:tcBorders>
              <w:top w:val="single" w:sz="4" w:space="0" w:color="auto"/>
              <w:left w:val="nil"/>
              <w:bottom w:val="single" w:sz="4" w:space="0" w:color="auto"/>
              <w:right w:val="nil"/>
            </w:tcBorders>
            <w:shd w:val="clear" w:color="auto" w:fill="auto"/>
            <w:noWrap/>
            <w:vAlign w:val="bottom"/>
          </w:tcPr>
          <w:p w14:paraId="0DCA18B3" w14:textId="43E66ED0" w:rsidR="001F541A" w:rsidRPr="002E2B5B" w:rsidRDefault="004C6C47" w:rsidP="002E2B5B">
            <w:pPr>
              <w:jc w:val="right"/>
              <w:rPr>
                <w:rFonts w:ascii="Calibri" w:hAnsi="Calibri" w:cs="Calibri"/>
                <w:b/>
                <w:sz w:val="16"/>
                <w:szCs w:val="16"/>
              </w:rPr>
            </w:pPr>
            <w:r w:rsidRPr="002E2B5B">
              <w:rPr>
                <w:rFonts w:ascii="Calibri" w:hAnsi="Calibri" w:cs="Calibri"/>
                <w:b/>
                <w:sz w:val="16"/>
                <w:szCs w:val="16"/>
              </w:rPr>
              <w:t>1.</w:t>
            </w:r>
            <w:r w:rsidR="007C004E">
              <w:rPr>
                <w:rFonts w:ascii="Calibri" w:hAnsi="Calibri" w:cs="Calibri"/>
                <w:b/>
                <w:sz w:val="16"/>
                <w:szCs w:val="16"/>
              </w:rPr>
              <w:t>085.89</w:t>
            </w:r>
            <w:r w:rsidR="00233E70">
              <w:rPr>
                <w:rFonts w:ascii="Calibri" w:hAnsi="Calibri" w:cs="Calibri"/>
                <w:b/>
                <w:sz w:val="16"/>
                <w:szCs w:val="16"/>
              </w:rPr>
              <w:t>7</w:t>
            </w:r>
          </w:p>
        </w:tc>
        <w:tc>
          <w:tcPr>
            <w:tcW w:w="85" w:type="pct"/>
            <w:tcBorders>
              <w:top w:val="single" w:sz="4" w:space="0" w:color="auto"/>
              <w:left w:val="nil"/>
              <w:bottom w:val="single" w:sz="4" w:space="0" w:color="auto"/>
              <w:right w:val="nil"/>
            </w:tcBorders>
            <w:shd w:val="clear" w:color="auto" w:fill="auto"/>
            <w:noWrap/>
            <w:vAlign w:val="bottom"/>
          </w:tcPr>
          <w:p w14:paraId="1D22428D" w14:textId="77777777" w:rsidR="001F541A" w:rsidRPr="002E2B5B" w:rsidRDefault="001F541A" w:rsidP="002E2B5B">
            <w:pPr>
              <w:rPr>
                <w:rFonts w:ascii="Calibri" w:hAnsi="Calibri" w:cs="Calibri"/>
                <w:b/>
                <w:sz w:val="16"/>
                <w:szCs w:val="16"/>
              </w:rPr>
            </w:pPr>
          </w:p>
        </w:tc>
      </w:tr>
    </w:tbl>
    <w:p w14:paraId="750FF746" w14:textId="77777777" w:rsidR="00D52821" w:rsidRPr="002E2B5B" w:rsidRDefault="00D52821" w:rsidP="002E2B5B">
      <w:pPr>
        <w:jc w:val="both"/>
        <w:rPr>
          <w:rFonts w:ascii="Calibri" w:hAnsi="Calibri" w:cs="Calibri"/>
          <w:sz w:val="22"/>
          <w:szCs w:val="22"/>
        </w:rPr>
      </w:pPr>
    </w:p>
    <w:p w14:paraId="4C29FD13" w14:textId="663B86A0" w:rsidR="00D52821" w:rsidRPr="002E2B5B" w:rsidRDefault="00404FDE" w:rsidP="00A14D31">
      <w:pPr>
        <w:spacing w:after="120"/>
        <w:jc w:val="both"/>
        <w:rPr>
          <w:rFonts w:ascii="Calibri" w:hAnsi="Calibri" w:cs="Calibri"/>
          <w:sz w:val="22"/>
          <w:szCs w:val="22"/>
        </w:rPr>
      </w:pPr>
      <w:r w:rsidRPr="002E2B5B">
        <w:rPr>
          <w:rFonts w:ascii="Calibri" w:hAnsi="Calibri" w:cs="Calibri"/>
          <w:sz w:val="22"/>
          <w:szCs w:val="22"/>
        </w:rPr>
        <w:t>Os créditos previdenciários est</w:t>
      </w:r>
      <w:r w:rsidR="0052637A" w:rsidRPr="002E2B5B">
        <w:rPr>
          <w:rFonts w:ascii="Calibri" w:hAnsi="Calibri" w:cs="Calibri"/>
          <w:sz w:val="22"/>
          <w:szCs w:val="22"/>
        </w:rPr>
        <w:t>ão</w:t>
      </w:r>
      <w:r w:rsidR="00C535B0" w:rsidRPr="002E2B5B">
        <w:rPr>
          <w:rFonts w:ascii="Calibri" w:hAnsi="Calibri" w:cs="Calibri"/>
          <w:sz w:val="22"/>
          <w:szCs w:val="22"/>
        </w:rPr>
        <w:t xml:space="preserve"> </w:t>
      </w:r>
      <w:r w:rsidRPr="002E2B5B">
        <w:rPr>
          <w:rFonts w:ascii="Calibri" w:hAnsi="Calibri" w:cs="Calibri"/>
          <w:sz w:val="22"/>
          <w:szCs w:val="22"/>
        </w:rPr>
        <w:t>sendo compensados nas guias de pagamentos do INSS referentes às folhas de pagamentos da VALEC e das extintas empresas Rede Ferroviária Federal S/A – RFFSA e Empresa Brasileira de Planejamento de Transportes – GEIPOT</w:t>
      </w:r>
      <w:r w:rsidR="0052637A" w:rsidRPr="002E2B5B">
        <w:rPr>
          <w:rFonts w:ascii="Calibri" w:hAnsi="Calibri" w:cs="Calibri"/>
          <w:sz w:val="22"/>
          <w:szCs w:val="22"/>
        </w:rPr>
        <w:t>.</w:t>
      </w:r>
    </w:p>
    <w:p w14:paraId="5C350B96" w14:textId="14A89107" w:rsidR="00F0767F" w:rsidRPr="002E2B5B" w:rsidRDefault="005D16F5" w:rsidP="00A14D31">
      <w:pPr>
        <w:spacing w:after="120"/>
        <w:jc w:val="both"/>
        <w:rPr>
          <w:rFonts w:ascii="Calibri" w:hAnsi="Calibri" w:cs="Calibri"/>
          <w:sz w:val="22"/>
          <w:szCs w:val="22"/>
        </w:rPr>
      </w:pPr>
      <w:r w:rsidRPr="002E2B5B">
        <w:rPr>
          <w:rFonts w:ascii="Calibri" w:hAnsi="Calibri" w:cs="Calibri"/>
          <w:sz w:val="22"/>
          <w:szCs w:val="22"/>
        </w:rPr>
        <w:t xml:space="preserve">No final do segundo trimestre de 2019, </w:t>
      </w:r>
      <w:r w:rsidR="0034767A" w:rsidRPr="002E2B5B">
        <w:rPr>
          <w:rFonts w:ascii="Calibri" w:hAnsi="Calibri" w:cs="Calibri"/>
          <w:sz w:val="22"/>
          <w:szCs w:val="22"/>
        </w:rPr>
        <w:t>houve a suspensão das compensações de créditos previdenciários</w:t>
      </w:r>
      <w:r w:rsidR="007B012F" w:rsidRPr="002E2B5B">
        <w:rPr>
          <w:rFonts w:ascii="Calibri" w:hAnsi="Calibri" w:cs="Calibri"/>
          <w:sz w:val="22"/>
          <w:szCs w:val="22"/>
        </w:rPr>
        <w:t>, para aguardar a homologação por parte da Receita Federal do Brasil referente aos créditos já compensados</w:t>
      </w:r>
      <w:r w:rsidR="00C625D2" w:rsidRPr="002E2B5B">
        <w:rPr>
          <w:rFonts w:ascii="Calibri" w:hAnsi="Calibri" w:cs="Calibri"/>
          <w:sz w:val="22"/>
          <w:szCs w:val="22"/>
        </w:rPr>
        <w:t>, visto que, caso a Receita Federal do Brasil negue provimento à demanda, a VALEC deverá pagar com juros e multas todos os encargos que já foram compensados.</w:t>
      </w:r>
      <w:r w:rsidR="00F0767F" w:rsidRPr="002E2B5B">
        <w:rPr>
          <w:rFonts w:ascii="Calibri" w:hAnsi="Calibri" w:cs="Calibri"/>
          <w:sz w:val="22"/>
          <w:szCs w:val="22"/>
        </w:rPr>
        <w:t xml:space="preserve"> </w:t>
      </w:r>
    </w:p>
    <w:p w14:paraId="010C22C4" w14:textId="2120D940" w:rsidR="009165D8" w:rsidRDefault="0002343B" w:rsidP="00A14D31">
      <w:pPr>
        <w:spacing w:after="120"/>
        <w:jc w:val="both"/>
        <w:rPr>
          <w:rFonts w:ascii="Calibri" w:hAnsi="Calibri" w:cs="Calibri"/>
          <w:sz w:val="22"/>
          <w:szCs w:val="22"/>
        </w:rPr>
      </w:pPr>
      <w:r w:rsidRPr="002E2B5B">
        <w:rPr>
          <w:rFonts w:ascii="Calibri" w:hAnsi="Calibri" w:cs="Calibri"/>
          <w:sz w:val="22"/>
          <w:szCs w:val="22"/>
        </w:rPr>
        <w:t>Em dezembro de 2020, após consulta à Superintendência de Gestão de Pessoas, verificou-se que seria necessário realizar uma baixa por prescrição do direito a recuperar no valor de R$ 16 milhões do saldo de INSS A COMPENSAR, restando como saldo a compensar o valor de R$ R$ 1,6 milh</w:t>
      </w:r>
      <w:r w:rsidR="0092389C">
        <w:rPr>
          <w:rFonts w:ascii="Calibri" w:hAnsi="Calibri" w:cs="Calibri"/>
          <w:sz w:val="22"/>
          <w:szCs w:val="22"/>
        </w:rPr>
        <w:t>ão</w:t>
      </w:r>
      <w:r w:rsidRPr="002E2B5B">
        <w:rPr>
          <w:rFonts w:ascii="Calibri" w:hAnsi="Calibri" w:cs="Calibri"/>
          <w:sz w:val="22"/>
          <w:szCs w:val="22"/>
        </w:rPr>
        <w:t xml:space="preserve">, </w:t>
      </w:r>
      <w:r w:rsidR="00EF6D44" w:rsidRPr="002E2B5B">
        <w:rPr>
          <w:rFonts w:ascii="Calibri" w:hAnsi="Calibri" w:cs="Calibri"/>
          <w:sz w:val="22"/>
          <w:szCs w:val="22"/>
        </w:rPr>
        <w:t>o qua</w:t>
      </w:r>
      <w:r w:rsidR="001D4E7F">
        <w:rPr>
          <w:rFonts w:ascii="Calibri" w:hAnsi="Calibri" w:cs="Calibri"/>
          <w:sz w:val="22"/>
          <w:szCs w:val="22"/>
        </w:rPr>
        <w:t xml:space="preserve">l </w:t>
      </w:r>
      <w:r w:rsidR="001D4E7F" w:rsidRPr="00233E70">
        <w:rPr>
          <w:rFonts w:ascii="Calibri" w:hAnsi="Calibri" w:cs="Calibri"/>
          <w:sz w:val="22"/>
          <w:szCs w:val="22"/>
        </w:rPr>
        <w:t>está sendo baixado proporcionalmente à medida que os créditos prescrevem.</w:t>
      </w:r>
    </w:p>
    <w:p w14:paraId="043B28A5" w14:textId="77777777" w:rsidR="00A14D31" w:rsidRPr="002E2B5B" w:rsidRDefault="00A14D31" w:rsidP="00A14D31">
      <w:pPr>
        <w:jc w:val="both"/>
        <w:rPr>
          <w:rFonts w:ascii="Calibri" w:hAnsi="Calibri" w:cs="Calibri"/>
          <w:sz w:val="22"/>
          <w:szCs w:val="22"/>
        </w:rPr>
      </w:pPr>
    </w:p>
    <w:p w14:paraId="7C1E00B9" w14:textId="77777777" w:rsidR="002D346E" w:rsidRPr="002E2B5B" w:rsidRDefault="0002316D" w:rsidP="002E2B5B">
      <w:pPr>
        <w:numPr>
          <w:ilvl w:val="0"/>
          <w:numId w:val="10"/>
        </w:numPr>
        <w:spacing w:after="120"/>
        <w:ind w:left="284" w:hanging="284"/>
        <w:rPr>
          <w:rFonts w:ascii="Calibri" w:hAnsi="Calibri" w:cs="Calibri"/>
          <w:b/>
          <w:sz w:val="22"/>
          <w:szCs w:val="22"/>
        </w:rPr>
      </w:pPr>
      <w:r w:rsidRPr="002E2B5B">
        <w:rPr>
          <w:rFonts w:ascii="Calibri" w:hAnsi="Calibri" w:cs="Calibri"/>
          <w:b/>
          <w:sz w:val="22"/>
          <w:szCs w:val="22"/>
        </w:rPr>
        <w:t xml:space="preserve">Outros </w:t>
      </w:r>
      <w:r w:rsidR="007D119D" w:rsidRPr="002E2B5B">
        <w:rPr>
          <w:rFonts w:ascii="Calibri" w:hAnsi="Calibri" w:cs="Calibri"/>
          <w:b/>
          <w:sz w:val="22"/>
          <w:szCs w:val="22"/>
        </w:rPr>
        <w:t>Créditos</w:t>
      </w:r>
      <w:r w:rsidR="00580D61" w:rsidRPr="002E2B5B">
        <w:rPr>
          <w:rFonts w:ascii="Calibri" w:hAnsi="Calibri" w:cs="Calibri"/>
          <w:b/>
          <w:sz w:val="22"/>
          <w:szCs w:val="22"/>
        </w:rPr>
        <w:t xml:space="preserve"> a receber</w:t>
      </w:r>
    </w:p>
    <w:p w14:paraId="28EC8953" w14:textId="0C017D53" w:rsidR="009165D8" w:rsidRDefault="007D119D" w:rsidP="002E2B5B">
      <w:pPr>
        <w:spacing w:after="120"/>
        <w:jc w:val="both"/>
        <w:rPr>
          <w:rFonts w:ascii="Calibri" w:hAnsi="Calibri" w:cs="Calibri"/>
          <w:sz w:val="22"/>
          <w:szCs w:val="22"/>
        </w:rPr>
      </w:pPr>
      <w:r w:rsidRPr="002E2B5B">
        <w:rPr>
          <w:rFonts w:ascii="Calibri" w:hAnsi="Calibri" w:cs="Calibri"/>
          <w:sz w:val="22"/>
          <w:szCs w:val="22"/>
        </w:rPr>
        <w:t xml:space="preserve">Outros créditos compreendem </w:t>
      </w:r>
      <w:r w:rsidR="005D27D4" w:rsidRPr="002E2B5B">
        <w:rPr>
          <w:rFonts w:ascii="Calibri" w:hAnsi="Calibri" w:cs="Calibri"/>
          <w:sz w:val="22"/>
          <w:szCs w:val="22"/>
        </w:rPr>
        <w:t xml:space="preserve">os </w:t>
      </w:r>
      <w:r w:rsidRPr="002E2B5B">
        <w:rPr>
          <w:rFonts w:ascii="Calibri" w:hAnsi="Calibri" w:cs="Calibri"/>
          <w:sz w:val="22"/>
          <w:szCs w:val="22"/>
        </w:rPr>
        <w:t>Termos de</w:t>
      </w:r>
      <w:r w:rsidR="003771D4" w:rsidRPr="002E2B5B">
        <w:rPr>
          <w:rFonts w:ascii="Calibri" w:hAnsi="Calibri" w:cs="Calibri"/>
          <w:sz w:val="22"/>
          <w:szCs w:val="22"/>
        </w:rPr>
        <w:t xml:space="preserve"> Execução Descentralizada</w:t>
      </w:r>
      <w:r w:rsidR="00580D61" w:rsidRPr="002E2B5B">
        <w:rPr>
          <w:rFonts w:ascii="Calibri" w:hAnsi="Calibri" w:cs="Calibri"/>
          <w:sz w:val="22"/>
          <w:szCs w:val="22"/>
        </w:rPr>
        <w:t xml:space="preserve"> a comprovar</w:t>
      </w:r>
      <w:r w:rsidR="005D27D4" w:rsidRPr="002E2B5B">
        <w:rPr>
          <w:rFonts w:ascii="Calibri" w:hAnsi="Calibri" w:cs="Calibri"/>
          <w:sz w:val="22"/>
          <w:szCs w:val="22"/>
        </w:rPr>
        <w:t xml:space="preserve"> e </w:t>
      </w:r>
      <w:r w:rsidR="0002316D" w:rsidRPr="002E2B5B">
        <w:rPr>
          <w:rFonts w:ascii="Calibri" w:hAnsi="Calibri" w:cs="Calibri"/>
          <w:sz w:val="22"/>
          <w:szCs w:val="22"/>
        </w:rPr>
        <w:t xml:space="preserve">os </w:t>
      </w:r>
      <w:r w:rsidR="005D27D4" w:rsidRPr="002E2B5B">
        <w:rPr>
          <w:rFonts w:ascii="Calibri" w:hAnsi="Calibri" w:cs="Calibri"/>
          <w:sz w:val="22"/>
          <w:szCs w:val="22"/>
        </w:rPr>
        <w:t>créditos a receber de fornecedores:</w:t>
      </w:r>
    </w:p>
    <w:p w14:paraId="30319082" w14:textId="77777777" w:rsidR="00A14D31" w:rsidRPr="002E2B5B" w:rsidRDefault="00A14D31" w:rsidP="002E2B5B">
      <w:pPr>
        <w:spacing w:after="120"/>
        <w:jc w:val="both"/>
        <w:rPr>
          <w:rFonts w:ascii="Calibri" w:hAnsi="Calibri" w:cs="Calibri"/>
          <w:sz w:val="22"/>
          <w:szCs w:val="22"/>
        </w:rPr>
      </w:pPr>
    </w:p>
    <w:p w14:paraId="4AD83B51" w14:textId="155CF90A" w:rsidR="00B22FF7" w:rsidRPr="002E2B5B" w:rsidRDefault="002339ED" w:rsidP="002E2B5B">
      <w:pPr>
        <w:spacing w:after="120"/>
        <w:jc w:val="both"/>
        <w:rPr>
          <w:rFonts w:ascii="Calibri" w:hAnsi="Calibri" w:cs="Calibri"/>
          <w:b/>
          <w:sz w:val="22"/>
          <w:szCs w:val="22"/>
        </w:rPr>
      </w:pPr>
      <w:r w:rsidRPr="002E2B5B">
        <w:rPr>
          <w:rFonts w:ascii="Calibri" w:hAnsi="Calibri" w:cs="Calibri"/>
          <w:b/>
          <w:sz w:val="22"/>
          <w:szCs w:val="22"/>
        </w:rPr>
        <w:t>c</w:t>
      </w:r>
      <w:r w:rsidR="0002316D" w:rsidRPr="002E2B5B">
        <w:rPr>
          <w:rFonts w:ascii="Calibri" w:hAnsi="Calibri" w:cs="Calibri"/>
          <w:b/>
          <w:sz w:val="22"/>
          <w:szCs w:val="22"/>
        </w:rPr>
        <w:t>.1</w:t>
      </w:r>
      <w:r w:rsidR="007D119D" w:rsidRPr="002E2B5B">
        <w:rPr>
          <w:rFonts w:ascii="Calibri" w:hAnsi="Calibri" w:cs="Calibri"/>
          <w:b/>
          <w:sz w:val="22"/>
          <w:szCs w:val="22"/>
        </w:rPr>
        <w:t xml:space="preserve">) Termos de </w:t>
      </w:r>
      <w:r w:rsidR="00B22FF7" w:rsidRPr="002E2B5B">
        <w:rPr>
          <w:rFonts w:ascii="Calibri" w:hAnsi="Calibri" w:cs="Calibri"/>
          <w:b/>
          <w:sz w:val="22"/>
          <w:szCs w:val="22"/>
        </w:rPr>
        <w:t xml:space="preserve">Execução Descentralizada </w:t>
      </w:r>
      <w:r w:rsidR="007D119D" w:rsidRPr="002E2B5B">
        <w:rPr>
          <w:rFonts w:ascii="Calibri" w:hAnsi="Calibri" w:cs="Calibri"/>
          <w:b/>
          <w:sz w:val="22"/>
          <w:szCs w:val="22"/>
        </w:rPr>
        <w:t>a comprovar:</w:t>
      </w:r>
    </w:p>
    <w:p w14:paraId="646874A8" w14:textId="656C8B31" w:rsidR="003771D4" w:rsidRDefault="009705E6" w:rsidP="002E2B5B">
      <w:pPr>
        <w:spacing w:after="120"/>
        <w:jc w:val="both"/>
        <w:rPr>
          <w:rFonts w:ascii="Calibri" w:hAnsi="Calibri" w:cs="Calibri"/>
          <w:sz w:val="22"/>
          <w:szCs w:val="22"/>
        </w:rPr>
      </w:pPr>
      <w:r w:rsidRPr="002E2B5B">
        <w:rPr>
          <w:rFonts w:ascii="Calibri" w:hAnsi="Calibri" w:cs="Calibri"/>
          <w:sz w:val="22"/>
          <w:szCs w:val="22"/>
        </w:rPr>
        <w:t xml:space="preserve">Os </w:t>
      </w:r>
      <w:r w:rsidR="003771D4" w:rsidRPr="002E2B5B">
        <w:rPr>
          <w:rFonts w:ascii="Calibri" w:hAnsi="Calibri" w:cs="Calibri"/>
          <w:sz w:val="22"/>
          <w:szCs w:val="22"/>
        </w:rPr>
        <w:t xml:space="preserve">Termos </w:t>
      </w:r>
      <w:r w:rsidRPr="002E2B5B">
        <w:rPr>
          <w:rFonts w:ascii="Calibri" w:hAnsi="Calibri" w:cs="Calibri"/>
          <w:sz w:val="22"/>
          <w:szCs w:val="22"/>
        </w:rPr>
        <w:t xml:space="preserve">de Execução Descentralizada </w:t>
      </w:r>
      <w:r w:rsidR="003771D4" w:rsidRPr="002E2B5B">
        <w:rPr>
          <w:rFonts w:ascii="Calibri" w:hAnsi="Calibri" w:cs="Calibri"/>
          <w:sz w:val="22"/>
          <w:szCs w:val="22"/>
        </w:rPr>
        <w:t>celebrados entre a VALEC e órgãos vinculados à União para execução de serviços de interesse desta empresa</w:t>
      </w:r>
      <w:r w:rsidRPr="002E2B5B">
        <w:rPr>
          <w:rFonts w:ascii="Calibri" w:hAnsi="Calibri" w:cs="Calibri"/>
          <w:sz w:val="22"/>
          <w:szCs w:val="22"/>
        </w:rPr>
        <w:t xml:space="preserve">, com valor a comprovar em </w:t>
      </w:r>
      <w:r w:rsidR="008227CE">
        <w:rPr>
          <w:rFonts w:ascii="Calibri" w:hAnsi="Calibri" w:cs="Calibri"/>
          <w:sz w:val="22"/>
          <w:szCs w:val="22"/>
        </w:rPr>
        <w:t xml:space="preserve">30 de </w:t>
      </w:r>
      <w:r w:rsidR="001D4E7F">
        <w:rPr>
          <w:rFonts w:ascii="Calibri" w:hAnsi="Calibri" w:cs="Calibri"/>
          <w:sz w:val="22"/>
          <w:szCs w:val="22"/>
        </w:rPr>
        <w:t>setembr</w:t>
      </w:r>
      <w:r w:rsidR="008227CE">
        <w:rPr>
          <w:rFonts w:ascii="Calibri" w:hAnsi="Calibri" w:cs="Calibri"/>
          <w:sz w:val="22"/>
          <w:szCs w:val="22"/>
        </w:rPr>
        <w:t>o</w:t>
      </w:r>
      <w:r w:rsidR="00DF4449">
        <w:rPr>
          <w:rFonts w:ascii="Calibri" w:hAnsi="Calibri" w:cs="Calibri"/>
          <w:sz w:val="22"/>
          <w:szCs w:val="22"/>
        </w:rPr>
        <w:t xml:space="preserve"> </w:t>
      </w:r>
      <w:r w:rsidRPr="002E2B5B">
        <w:rPr>
          <w:rFonts w:ascii="Calibri" w:hAnsi="Calibri" w:cs="Calibri"/>
          <w:sz w:val="22"/>
          <w:szCs w:val="22"/>
        </w:rPr>
        <w:t>de 202</w:t>
      </w:r>
      <w:r w:rsidR="00DF4449">
        <w:rPr>
          <w:rFonts w:ascii="Calibri" w:hAnsi="Calibri" w:cs="Calibri"/>
          <w:sz w:val="22"/>
          <w:szCs w:val="22"/>
        </w:rPr>
        <w:t>1</w:t>
      </w:r>
      <w:r w:rsidRPr="002E2B5B">
        <w:rPr>
          <w:rFonts w:ascii="Calibri" w:hAnsi="Calibri" w:cs="Calibri"/>
          <w:sz w:val="22"/>
          <w:szCs w:val="22"/>
        </w:rPr>
        <w:t>, são:</w:t>
      </w:r>
    </w:p>
    <w:p w14:paraId="594E4694" w14:textId="4A92661A" w:rsidR="00B23D01" w:rsidRDefault="00B23D01" w:rsidP="002E2B5B">
      <w:pPr>
        <w:spacing w:after="120"/>
        <w:jc w:val="both"/>
        <w:rPr>
          <w:rFonts w:ascii="Calibri" w:hAnsi="Calibri" w:cs="Calibri"/>
          <w:sz w:val="22"/>
          <w:szCs w:val="22"/>
        </w:rPr>
      </w:pPr>
    </w:p>
    <w:p w14:paraId="6D63BE4C" w14:textId="2688550F" w:rsidR="00B23D01" w:rsidRDefault="00B23D01" w:rsidP="002E2B5B">
      <w:pPr>
        <w:spacing w:after="120"/>
        <w:jc w:val="both"/>
        <w:rPr>
          <w:rFonts w:ascii="Calibri" w:hAnsi="Calibri" w:cs="Calibri"/>
          <w:sz w:val="22"/>
          <w:szCs w:val="22"/>
        </w:rPr>
      </w:pPr>
    </w:p>
    <w:p w14:paraId="5733E635" w14:textId="7D135D36" w:rsidR="00B23D01" w:rsidRDefault="00B23D01" w:rsidP="002E2B5B">
      <w:pPr>
        <w:spacing w:after="120"/>
        <w:jc w:val="both"/>
        <w:rPr>
          <w:rFonts w:ascii="Calibri" w:hAnsi="Calibri" w:cs="Calibri"/>
          <w:sz w:val="22"/>
          <w:szCs w:val="22"/>
        </w:rPr>
      </w:pPr>
    </w:p>
    <w:p w14:paraId="6AEBD846" w14:textId="77777777" w:rsidR="00B23D01" w:rsidRPr="002E2B5B" w:rsidRDefault="00B23D01" w:rsidP="002E2B5B">
      <w:pPr>
        <w:spacing w:after="120"/>
        <w:jc w:val="both"/>
        <w:rPr>
          <w:rFonts w:ascii="Calibri" w:hAnsi="Calibri" w:cs="Calibri"/>
          <w:sz w:val="22"/>
          <w:szCs w:val="22"/>
        </w:rPr>
      </w:pPr>
    </w:p>
    <w:tbl>
      <w:tblPr>
        <w:tblW w:w="5000" w:type="pct"/>
        <w:shd w:val="clear" w:color="auto" w:fill="FFFFFF"/>
        <w:tblCellMar>
          <w:left w:w="0" w:type="dxa"/>
          <w:right w:w="0" w:type="dxa"/>
        </w:tblCellMar>
        <w:tblLook w:val="04A0" w:firstRow="1" w:lastRow="0" w:firstColumn="1" w:lastColumn="0" w:noHBand="0" w:noVBand="1"/>
      </w:tblPr>
      <w:tblGrid>
        <w:gridCol w:w="2172"/>
        <w:gridCol w:w="1842"/>
        <w:gridCol w:w="2347"/>
        <w:gridCol w:w="2054"/>
        <w:gridCol w:w="2052"/>
      </w:tblGrid>
      <w:tr w:rsidR="000F149C" w:rsidRPr="002E2B5B" w14:paraId="2CC5B25F" w14:textId="77777777" w:rsidTr="00B23D01">
        <w:trPr>
          <w:trHeight w:hRule="exact" w:val="227"/>
        </w:trPr>
        <w:tc>
          <w:tcPr>
            <w:tcW w:w="1038" w:type="pct"/>
            <w:tcBorders>
              <w:bottom w:val="single" w:sz="8" w:space="0" w:color="000000"/>
            </w:tcBorders>
            <w:shd w:val="clear" w:color="auto" w:fill="FFFFFF"/>
            <w:noWrap/>
            <w:tcMar>
              <w:top w:w="15" w:type="dxa"/>
              <w:left w:w="15" w:type="dxa"/>
              <w:bottom w:w="0" w:type="dxa"/>
              <w:right w:w="15" w:type="dxa"/>
            </w:tcMar>
            <w:vAlign w:val="bottom"/>
            <w:hideMark/>
          </w:tcPr>
          <w:p w14:paraId="1D4A1605" w14:textId="77777777" w:rsidR="000F149C" w:rsidRPr="002E2B5B" w:rsidRDefault="000F149C" w:rsidP="002E2B5B">
            <w:pPr>
              <w:jc w:val="center"/>
              <w:rPr>
                <w:rFonts w:ascii="Calibri" w:hAnsi="Calibri" w:cs="Calibri"/>
                <w:b/>
                <w:bCs/>
                <w:sz w:val="16"/>
                <w:szCs w:val="16"/>
              </w:rPr>
            </w:pPr>
            <w:r w:rsidRPr="002E2B5B">
              <w:rPr>
                <w:rFonts w:ascii="Calibri" w:hAnsi="Calibri" w:cs="Calibri"/>
                <w:b/>
                <w:bCs/>
                <w:sz w:val="16"/>
                <w:szCs w:val="16"/>
              </w:rPr>
              <w:lastRenderedPageBreak/>
              <w:t>N° TED</w:t>
            </w:r>
          </w:p>
        </w:tc>
        <w:tc>
          <w:tcPr>
            <w:tcW w:w="880" w:type="pct"/>
            <w:tcBorders>
              <w:bottom w:val="single" w:sz="8" w:space="0" w:color="000000"/>
            </w:tcBorders>
            <w:shd w:val="clear" w:color="auto" w:fill="FFFFFF"/>
            <w:noWrap/>
            <w:tcMar>
              <w:top w:w="15" w:type="dxa"/>
              <w:left w:w="15" w:type="dxa"/>
              <w:bottom w:w="0" w:type="dxa"/>
              <w:right w:w="15" w:type="dxa"/>
            </w:tcMar>
            <w:vAlign w:val="bottom"/>
            <w:hideMark/>
          </w:tcPr>
          <w:p w14:paraId="3E3B8FA3" w14:textId="77777777" w:rsidR="000F149C" w:rsidRPr="002E2B5B" w:rsidRDefault="000F149C" w:rsidP="002E2B5B">
            <w:pPr>
              <w:jc w:val="center"/>
              <w:rPr>
                <w:rFonts w:ascii="Calibri" w:hAnsi="Calibri" w:cs="Calibri"/>
                <w:b/>
                <w:bCs/>
                <w:sz w:val="16"/>
                <w:szCs w:val="16"/>
              </w:rPr>
            </w:pPr>
            <w:r w:rsidRPr="002E2B5B">
              <w:rPr>
                <w:rFonts w:ascii="Calibri" w:hAnsi="Calibri" w:cs="Calibri"/>
                <w:b/>
                <w:bCs/>
                <w:sz w:val="16"/>
                <w:szCs w:val="16"/>
              </w:rPr>
              <w:t>SIAFI</w:t>
            </w:r>
          </w:p>
        </w:tc>
        <w:tc>
          <w:tcPr>
            <w:tcW w:w="1121" w:type="pct"/>
            <w:tcBorders>
              <w:bottom w:val="single" w:sz="8" w:space="0" w:color="000000"/>
            </w:tcBorders>
            <w:shd w:val="clear" w:color="auto" w:fill="FFFFFF"/>
            <w:noWrap/>
            <w:tcMar>
              <w:top w:w="15" w:type="dxa"/>
              <w:left w:w="15" w:type="dxa"/>
              <w:bottom w:w="0" w:type="dxa"/>
              <w:right w:w="15" w:type="dxa"/>
            </w:tcMar>
            <w:vAlign w:val="bottom"/>
            <w:hideMark/>
          </w:tcPr>
          <w:p w14:paraId="0E02478B" w14:textId="77777777" w:rsidR="000F149C" w:rsidRPr="002E2B5B" w:rsidRDefault="000F149C" w:rsidP="002E2B5B">
            <w:pPr>
              <w:jc w:val="center"/>
              <w:rPr>
                <w:rFonts w:ascii="Calibri" w:hAnsi="Calibri" w:cs="Calibri"/>
                <w:b/>
                <w:bCs/>
                <w:sz w:val="16"/>
                <w:szCs w:val="16"/>
              </w:rPr>
            </w:pPr>
            <w:r w:rsidRPr="002E2B5B">
              <w:rPr>
                <w:rFonts w:ascii="Calibri" w:hAnsi="Calibri" w:cs="Calibri"/>
                <w:b/>
                <w:bCs/>
                <w:sz w:val="16"/>
                <w:szCs w:val="16"/>
              </w:rPr>
              <w:t>ÓRGÃO</w:t>
            </w:r>
          </w:p>
        </w:tc>
        <w:tc>
          <w:tcPr>
            <w:tcW w:w="981" w:type="pct"/>
            <w:tcBorders>
              <w:bottom w:val="single" w:sz="8" w:space="0" w:color="000000"/>
            </w:tcBorders>
            <w:shd w:val="clear" w:color="auto" w:fill="FFFFFF"/>
            <w:vAlign w:val="bottom"/>
          </w:tcPr>
          <w:p w14:paraId="087F657C" w14:textId="77777777" w:rsidR="000F149C" w:rsidRPr="002E2B5B" w:rsidRDefault="000F149C" w:rsidP="002E2B5B">
            <w:pPr>
              <w:jc w:val="center"/>
              <w:rPr>
                <w:rFonts w:ascii="Calibri" w:hAnsi="Calibri" w:cs="Calibri"/>
                <w:b/>
                <w:bCs/>
                <w:sz w:val="16"/>
                <w:szCs w:val="16"/>
              </w:rPr>
            </w:pPr>
            <w:r w:rsidRPr="002E2B5B">
              <w:rPr>
                <w:rFonts w:ascii="Calibri" w:hAnsi="Calibri" w:cs="Calibri"/>
                <w:b/>
                <w:bCs/>
                <w:sz w:val="16"/>
                <w:szCs w:val="16"/>
              </w:rPr>
              <w:t>VIGÊNCIA</w:t>
            </w:r>
          </w:p>
        </w:tc>
        <w:tc>
          <w:tcPr>
            <w:tcW w:w="980" w:type="pct"/>
            <w:tcBorders>
              <w:bottom w:val="single" w:sz="8" w:space="0" w:color="000000"/>
            </w:tcBorders>
            <w:shd w:val="clear" w:color="auto" w:fill="FFFFFF"/>
            <w:noWrap/>
            <w:tcMar>
              <w:top w:w="15" w:type="dxa"/>
              <w:left w:w="15" w:type="dxa"/>
              <w:bottom w:w="0" w:type="dxa"/>
              <w:right w:w="15" w:type="dxa"/>
            </w:tcMar>
            <w:vAlign w:val="bottom"/>
            <w:hideMark/>
          </w:tcPr>
          <w:p w14:paraId="1A64EC30" w14:textId="77777777" w:rsidR="000F149C" w:rsidRPr="002E2B5B" w:rsidRDefault="000F149C" w:rsidP="002E2B5B">
            <w:pPr>
              <w:jc w:val="right"/>
              <w:rPr>
                <w:rFonts w:ascii="Calibri" w:hAnsi="Calibri" w:cs="Calibri"/>
                <w:b/>
                <w:bCs/>
                <w:sz w:val="16"/>
                <w:szCs w:val="16"/>
              </w:rPr>
            </w:pPr>
            <w:r w:rsidRPr="002E2B5B">
              <w:rPr>
                <w:rFonts w:ascii="Calibri" w:hAnsi="Calibri" w:cs="Calibri"/>
                <w:b/>
                <w:bCs/>
                <w:sz w:val="16"/>
                <w:szCs w:val="16"/>
              </w:rPr>
              <w:t>VALOR</w:t>
            </w:r>
            <w:r w:rsidR="009705E6" w:rsidRPr="002E2B5B">
              <w:rPr>
                <w:rFonts w:ascii="Calibri" w:hAnsi="Calibri" w:cs="Calibri"/>
                <w:b/>
                <w:bCs/>
                <w:sz w:val="16"/>
                <w:szCs w:val="16"/>
              </w:rPr>
              <w:t xml:space="preserve"> A COMPROVAR</w:t>
            </w:r>
          </w:p>
        </w:tc>
      </w:tr>
      <w:tr w:rsidR="001D64BE" w:rsidRPr="002E2B5B" w14:paraId="4B70279F" w14:textId="77777777" w:rsidTr="00B23D01">
        <w:trPr>
          <w:trHeight w:hRule="exact" w:val="227"/>
        </w:trPr>
        <w:tc>
          <w:tcPr>
            <w:tcW w:w="1038" w:type="pct"/>
            <w:shd w:val="clear" w:color="auto" w:fill="FFFFFF"/>
            <w:noWrap/>
            <w:tcMar>
              <w:top w:w="15" w:type="dxa"/>
              <w:left w:w="15" w:type="dxa"/>
              <w:bottom w:w="0" w:type="dxa"/>
              <w:right w:w="15" w:type="dxa"/>
            </w:tcMar>
            <w:vAlign w:val="bottom"/>
          </w:tcPr>
          <w:p w14:paraId="268CA032" w14:textId="257DD066" w:rsidR="001D64BE" w:rsidRPr="00214011" w:rsidRDefault="001D64BE" w:rsidP="002E2B5B">
            <w:pPr>
              <w:jc w:val="center"/>
              <w:rPr>
                <w:rFonts w:ascii="Calibri" w:hAnsi="Calibri" w:cs="Calibri"/>
                <w:sz w:val="16"/>
                <w:szCs w:val="16"/>
              </w:rPr>
            </w:pPr>
            <w:r>
              <w:rPr>
                <w:rFonts w:ascii="Calibri" w:hAnsi="Calibri" w:cs="Calibri"/>
                <w:sz w:val="16"/>
                <w:szCs w:val="16"/>
              </w:rPr>
              <w:t>002/2013</w:t>
            </w:r>
          </w:p>
        </w:tc>
        <w:tc>
          <w:tcPr>
            <w:tcW w:w="880" w:type="pct"/>
            <w:shd w:val="clear" w:color="auto" w:fill="FFFFFF"/>
            <w:noWrap/>
            <w:tcMar>
              <w:top w:w="15" w:type="dxa"/>
              <w:left w:w="15" w:type="dxa"/>
              <w:bottom w:w="0" w:type="dxa"/>
              <w:right w:w="15" w:type="dxa"/>
            </w:tcMar>
            <w:vAlign w:val="bottom"/>
          </w:tcPr>
          <w:p w14:paraId="7BEA6425" w14:textId="63FFE30D" w:rsidR="001D64BE" w:rsidRPr="00214011" w:rsidRDefault="001D64BE" w:rsidP="002E2B5B">
            <w:pPr>
              <w:jc w:val="center"/>
              <w:rPr>
                <w:rFonts w:ascii="Calibri" w:hAnsi="Calibri" w:cs="Calibri"/>
                <w:sz w:val="16"/>
                <w:szCs w:val="16"/>
              </w:rPr>
            </w:pPr>
            <w:r>
              <w:rPr>
                <w:rFonts w:ascii="Calibri" w:hAnsi="Calibri" w:cs="Calibri"/>
                <w:sz w:val="16"/>
                <w:szCs w:val="16"/>
              </w:rPr>
              <w:t>676940</w:t>
            </w:r>
          </w:p>
        </w:tc>
        <w:tc>
          <w:tcPr>
            <w:tcW w:w="1121" w:type="pct"/>
            <w:shd w:val="clear" w:color="auto" w:fill="FFFFFF"/>
            <w:noWrap/>
            <w:tcMar>
              <w:top w:w="15" w:type="dxa"/>
              <w:left w:w="15" w:type="dxa"/>
              <w:bottom w:w="0" w:type="dxa"/>
              <w:right w:w="15" w:type="dxa"/>
            </w:tcMar>
            <w:vAlign w:val="bottom"/>
          </w:tcPr>
          <w:p w14:paraId="6A10D24E" w14:textId="362ED38D" w:rsidR="001D64BE" w:rsidRPr="00214011" w:rsidRDefault="001D64BE" w:rsidP="002E2B5B">
            <w:pPr>
              <w:jc w:val="center"/>
              <w:rPr>
                <w:rFonts w:ascii="Calibri" w:hAnsi="Calibri" w:cs="Calibri"/>
                <w:sz w:val="16"/>
                <w:szCs w:val="16"/>
              </w:rPr>
            </w:pPr>
            <w:r>
              <w:rPr>
                <w:rFonts w:ascii="Calibri" w:hAnsi="Calibri" w:cs="Calibri"/>
                <w:sz w:val="16"/>
                <w:szCs w:val="16"/>
              </w:rPr>
              <w:t>UFRB</w:t>
            </w:r>
          </w:p>
        </w:tc>
        <w:tc>
          <w:tcPr>
            <w:tcW w:w="981" w:type="pct"/>
            <w:shd w:val="clear" w:color="auto" w:fill="FFFFFF"/>
            <w:vAlign w:val="bottom"/>
          </w:tcPr>
          <w:p w14:paraId="2260E5B6" w14:textId="4605DABC" w:rsidR="001D64BE" w:rsidRPr="00214011" w:rsidRDefault="001D64BE" w:rsidP="002E2B5B">
            <w:pPr>
              <w:jc w:val="center"/>
              <w:rPr>
                <w:rFonts w:ascii="Calibri" w:hAnsi="Calibri" w:cs="Calibri"/>
                <w:sz w:val="16"/>
                <w:szCs w:val="16"/>
              </w:rPr>
            </w:pPr>
            <w:r>
              <w:rPr>
                <w:rFonts w:ascii="Calibri" w:hAnsi="Calibri" w:cs="Calibri"/>
                <w:sz w:val="16"/>
                <w:szCs w:val="16"/>
              </w:rPr>
              <w:t>20.11.2020</w:t>
            </w:r>
          </w:p>
        </w:tc>
        <w:tc>
          <w:tcPr>
            <w:tcW w:w="980" w:type="pct"/>
            <w:shd w:val="clear" w:color="auto" w:fill="FFFFFF"/>
            <w:noWrap/>
            <w:tcMar>
              <w:top w:w="15" w:type="dxa"/>
              <w:left w:w="15" w:type="dxa"/>
              <w:bottom w:w="0" w:type="dxa"/>
              <w:right w:w="15" w:type="dxa"/>
            </w:tcMar>
            <w:vAlign w:val="bottom"/>
          </w:tcPr>
          <w:p w14:paraId="7A5935C1" w14:textId="69A532BD" w:rsidR="001D64BE" w:rsidRPr="00214011" w:rsidRDefault="001D64BE" w:rsidP="002E2B5B">
            <w:pPr>
              <w:jc w:val="right"/>
              <w:rPr>
                <w:rFonts w:ascii="Calibri" w:hAnsi="Calibri" w:cs="Calibri"/>
                <w:sz w:val="16"/>
                <w:szCs w:val="16"/>
              </w:rPr>
            </w:pPr>
            <w:r>
              <w:rPr>
                <w:rFonts w:ascii="Calibri" w:hAnsi="Calibri" w:cs="Calibri"/>
                <w:sz w:val="16"/>
                <w:szCs w:val="16"/>
              </w:rPr>
              <w:t>0</w:t>
            </w:r>
          </w:p>
        </w:tc>
      </w:tr>
      <w:tr w:rsidR="00FF00FD" w:rsidRPr="002E2B5B" w14:paraId="749B781F" w14:textId="77777777" w:rsidTr="00B23D01">
        <w:trPr>
          <w:trHeight w:hRule="exact" w:val="227"/>
        </w:trPr>
        <w:tc>
          <w:tcPr>
            <w:tcW w:w="1038" w:type="pct"/>
            <w:shd w:val="clear" w:color="auto" w:fill="FFFFFF"/>
            <w:noWrap/>
            <w:tcMar>
              <w:top w:w="15" w:type="dxa"/>
              <w:left w:w="15" w:type="dxa"/>
              <w:bottom w:w="0" w:type="dxa"/>
              <w:right w:w="15" w:type="dxa"/>
            </w:tcMar>
            <w:vAlign w:val="bottom"/>
          </w:tcPr>
          <w:p w14:paraId="4312F9AF" w14:textId="77777777" w:rsidR="00FF00FD" w:rsidRPr="00214011" w:rsidRDefault="00FF00FD" w:rsidP="002E2B5B">
            <w:pPr>
              <w:jc w:val="center"/>
              <w:rPr>
                <w:rFonts w:ascii="Calibri" w:hAnsi="Calibri" w:cs="Calibri"/>
                <w:sz w:val="16"/>
                <w:szCs w:val="16"/>
              </w:rPr>
            </w:pPr>
            <w:r w:rsidRPr="00214011">
              <w:rPr>
                <w:rFonts w:ascii="Calibri" w:hAnsi="Calibri" w:cs="Calibri"/>
                <w:sz w:val="16"/>
                <w:szCs w:val="16"/>
              </w:rPr>
              <w:t>003/2013</w:t>
            </w:r>
          </w:p>
        </w:tc>
        <w:tc>
          <w:tcPr>
            <w:tcW w:w="880" w:type="pct"/>
            <w:shd w:val="clear" w:color="auto" w:fill="FFFFFF"/>
            <w:noWrap/>
            <w:tcMar>
              <w:top w:w="15" w:type="dxa"/>
              <w:left w:w="15" w:type="dxa"/>
              <w:bottom w:w="0" w:type="dxa"/>
              <w:right w:w="15" w:type="dxa"/>
            </w:tcMar>
            <w:vAlign w:val="bottom"/>
          </w:tcPr>
          <w:p w14:paraId="4A018E7B" w14:textId="77777777" w:rsidR="00FF00FD" w:rsidRPr="00214011" w:rsidRDefault="00FF00FD" w:rsidP="002E2B5B">
            <w:pPr>
              <w:jc w:val="center"/>
              <w:rPr>
                <w:rFonts w:ascii="Calibri" w:hAnsi="Calibri" w:cs="Calibri"/>
                <w:sz w:val="16"/>
                <w:szCs w:val="16"/>
              </w:rPr>
            </w:pPr>
            <w:r w:rsidRPr="00214011">
              <w:rPr>
                <w:rFonts w:ascii="Calibri" w:hAnsi="Calibri" w:cs="Calibri"/>
                <w:sz w:val="16"/>
                <w:szCs w:val="16"/>
              </w:rPr>
              <w:t>690654</w:t>
            </w:r>
          </w:p>
        </w:tc>
        <w:tc>
          <w:tcPr>
            <w:tcW w:w="1121" w:type="pct"/>
            <w:shd w:val="clear" w:color="auto" w:fill="FFFFFF"/>
            <w:noWrap/>
            <w:tcMar>
              <w:top w:w="15" w:type="dxa"/>
              <w:left w:w="15" w:type="dxa"/>
              <w:bottom w:w="0" w:type="dxa"/>
              <w:right w:w="15" w:type="dxa"/>
            </w:tcMar>
            <w:vAlign w:val="bottom"/>
          </w:tcPr>
          <w:p w14:paraId="38C3F1B4" w14:textId="77777777" w:rsidR="00FF00FD" w:rsidRPr="00214011" w:rsidRDefault="00FF00FD" w:rsidP="002E2B5B">
            <w:pPr>
              <w:jc w:val="center"/>
              <w:rPr>
                <w:rFonts w:ascii="Calibri" w:hAnsi="Calibri" w:cs="Calibri"/>
                <w:sz w:val="16"/>
                <w:szCs w:val="16"/>
              </w:rPr>
            </w:pPr>
            <w:r w:rsidRPr="00214011">
              <w:rPr>
                <w:rFonts w:ascii="Calibri" w:hAnsi="Calibri" w:cs="Calibri"/>
                <w:sz w:val="16"/>
                <w:szCs w:val="16"/>
              </w:rPr>
              <w:t>CBTU</w:t>
            </w:r>
          </w:p>
        </w:tc>
        <w:tc>
          <w:tcPr>
            <w:tcW w:w="981" w:type="pct"/>
            <w:shd w:val="clear" w:color="auto" w:fill="FFFFFF"/>
            <w:vAlign w:val="bottom"/>
          </w:tcPr>
          <w:p w14:paraId="501C6B3E" w14:textId="77777777" w:rsidR="00FF00FD" w:rsidRPr="00214011" w:rsidRDefault="00FF00FD" w:rsidP="002E2B5B">
            <w:pPr>
              <w:jc w:val="center"/>
              <w:rPr>
                <w:rFonts w:ascii="Calibri" w:hAnsi="Calibri" w:cs="Calibri"/>
                <w:sz w:val="16"/>
                <w:szCs w:val="16"/>
              </w:rPr>
            </w:pPr>
            <w:r w:rsidRPr="00214011">
              <w:rPr>
                <w:rFonts w:ascii="Calibri" w:hAnsi="Calibri" w:cs="Calibri"/>
                <w:sz w:val="16"/>
                <w:szCs w:val="16"/>
              </w:rPr>
              <w:t>28.03.2021</w:t>
            </w:r>
          </w:p>
        </w:tc>
        <w:tc>
          <w:tcPr>
            <w:tcW w:w="980" w:type="pct"/>
            <w:shd w:val="clear" w:color="auto" w:fill="FFFFFF"/>
            <w:noWrap/>
            <w:tcMar>
              <w:top w:w="15" w:type="dxa"/>
              <w:left w:w="15" w:type="dxa"/>
              <w:bottom w:w="0" w:type="dxa"/>
              <w:right w:w="15" w:type="dxa"/>
            </w:tcMar>
            <w:vAlign w:val="bottom"/>
          </w:tcPr>
          <w:p w14:paraId="6D4B1618" w14:textId="77777777" w:rsidR="00FF00FD" w:rsidRPr="00214011" w:rsidRDefault="00FF00FD" w:rsidP="002E2B5B">
            <w:pPr>
              <w:jc w:val="right"/>
              <w:rPr>
                <w:rFonts w:ascii="Calibri" w:hAnsi="Calibri" w:cs="Calibri"/>
                <w:sz w:val="16"/>
                <w:szCs w:val="16"/>
              </w:rPr>
            </w:pPr>
            <w:r w:rsidRPr="00214011">
              <w:rPr>
                <w:rFonts w:ascii="Calibri" w:hAnsi="Calibri" w:cs="Calibri"/>
                <w:sz w:val="16"/>
                <w:szCs w:val="16"/>
              </w:rPr>
              <w:t>71.948</w:t>
            </w:r>
          </w:p>
        </w:tc>
      </w:tr>
      <w:tr w:rsidR="001D64BE" w:rsidRPr="00DF4449" w14:paraId="6C67D3CC" w14:textId="77777777" w:rsidTr="00B23D01">
        <w:trPr>
          <w:trHeight w:hRule="exact" w:val="227"/>
        </w:trPr>
        <w:tc>
          <w:tcPr>
            <w:tcW w:w="1038" w:type="pct"/>
            <w:shd w:val="clear" w:color="auto" w:fill="FFFFFF"/>
            <w:noWrap/>
            <w:tcMar>
              <w:top w:w="15" w:type="dxa"/>
              <w:left w:w="15" w:type="dxa"/>
              <w:bottom w:w="0" w:type="dxa"/>
              <w:right w:w="15" w:type="dxa"/>
            </w:tcMar>
            <w:vAlign w:val="bottom"/>
          </w:tcPr>
          <w:p w14:paraId="130031D1" w14:textId="3FCE8A59" w:rsidR="001D64BE" w:rsidRPr="00790DCE" w:rsidRDefault="001D64BE" w:rsidP="002E2B5B">
            <w:pPr>
              <w:jc w:val="center"/>
              <w:rPr>
                <w:rFonts w:ascii="Calibri" w:hAnsi="Calibri" w:cs="Calibri"/>
                <w:sz w:val="16"/>
                <w:szCs w:val="16"/>
              </w:rPr>
            </w:pPr>
            <w:r>
              <w:rPr>
                <w:rFonts w:ascii="Calibri" w:hAnsi="Calibri" w:cs="Calibri"/>
                <w:sz w:val="16"/>
                <w:szCs w:val="16"/>
              </w:rPr>
              <w:t>001/2014</w:t>
            </w:r>
          </w:p>
        </w:tc>
        <w:tc>
          <w:tcPr>
            <w:tcW w:w="880" w:type="pct"/>
            <w:shd w:val="clear" w:color="auto" w:fill="FFFFFF"/>
            <w:noWrap/>
            <w:tcMar>
              <w:top w:w="15" w:type="dxa"/>
              <w:left w:w="15" w:type="dxa"/>
              <w:bottom w:w="0" w:type="dxa"/>
              <w:right w:w="15" w:type="dxa"/>
            </w:tcMar>
            <w:vAlign w:val="bottom"/>
          </w:tcPr>
          <w:p w14:paraId="0983E1D7" w14:textId="1DB0C92D" w:rsidR="001D64BE" w:rsidRPr="00790DCE" w:rsidRDefault="001D64BE" w:rsidP="002E2B5B">
            <w:pPr>
              <w:jc w:val="center"/>
              <w:rPr>
                <w:rFonts w:ascii="Calibri" w:hAnsi="Calibri" w:cs="Calibri"/>
                <w:sz w:val="16"/>
                <w:szCs w:val="16"/>
              </w:rPr>
            </w:pPr>
            <w:r>
              <w:rPr>
                <w:rFonts w:ascii="Calibri" w:hAnsi="Calibri" w:cs="Calibri"/>
                <w:sz w:val="16"/>
                <w:szCs w:val="16"/>
              </w:rPr>
              <w:t>680152</w:t>
            </w:r>
          </w:p>
        </w:tc>
        <w:tc>
          <w:tcPr>
            <w:tcW w:w="1121" w:type="pct"/>
            <w:shd w:val="clear" w:color="auto" w:fill="FFFFFF"/>
            <w:noWrap/>
            <w:tcMar>
              <w:top w:w="15" w:type="dxa"/>
              <w:left w:w="15" w:type="dxa"/>
              <w:bottom w:w="0" w:type="dxa"/>
              <w:right w:w="15" w:type="dxa"/>
            </w:tcMar>
            <w:vAlign w:val="bottom"/>
          </w:tcPr>
          <w:p w14:paraId="237BB073" w14:textId="066AED4D" w:rsidR="001D64BE" w:rsidRPr="00790DCE" w:rsidRDefault="001D64BE" w:rsidP="002E2B5B">
            <w:pPr>
              <w:jc w:val="center"/>
              <w:rPr>
                <w:rFonts w:ascii="Calibri" w:hAnsi="Calibri" w:cs="Calibri"/>
                <w:sz w:val="16"/>
                <w:szCs w:val="16"/>
              </w:rPr>
            </w:pPr>
            <w:r>
              <w:rPr>
                <w:rFonts w:ascii="Calibri" w:hAnsi="Calibri" w:cs="Calibri"/>
                <w:sz w:val="16"/>
                <w:szCs w:val="16"/>
              </w:rPr>
              <w:t>UFRS</w:t>
            </w:r>
          </w:p>
        </w:tc>
        <w:tc>
          <w:tcPr>
            <w:tcW w:w="981" w:type="pct"/>
            <w:shd w:val="clear" w:color="auto" w:fill="FFFFFF"/>
            <w:vAlign w:val="bottom"/>
          </w:tcPr>
          <w:p w14:paraId="5B2D0038" w14:textId="278DCF2D" w:rsidR="001D64BE" w:rsidRPr="00790DCE" w:rsidRDefault="001D64BE" w:rsidP="002E2B5B">
            <w:pPr>
              <w:jc w:val="center"/>
              <w:rPr>
                <w:rFonts w:ascii="Calibri" w:hAnsi="Calibri" w:cs="Calibri"/>
                <w:sz w:val="16"/>
                <w:szCs w:val="16"/>
              </w:rPr>
            </w:pPr>
            <w:r>
              <w:rPr>
                <w:rFonts w:ascii="Calibri" w:hAnsi="Calibri" w:cs="Calibri"/>
                <w:sz w:val="16"/>
                <w:szCs w:val="16"/>
              </w:rPr>
              <w:t>27.06.2018</w:t>
            </w:r>
          </w:p>
        </w:tc>
        <w:tc>
          <w:tcPr>
            <w:tcW w:w="980" w:type="pct"/>
            <w:shd w:val="clear" w:color="auto" w:fill="FFFFFF"/>
            <w:noWrap/>
            <w:tcMar>
              <w:top w:w="15" w:type="dxa"/>
              <w:left w:w="15" w:type="dxa"/>
              <w:bottom w:w="0" w:type="dxa"/>
              <w:right w:w="15" w:type="dxa"/>
            </w:tcMar>
            <w:vAlign w:val="bottom"/>
          </w:tcPr>
          <w:p w14:paraId="686E5961" w14:textId="0651AB0C" w:rsidR="001D64BE" w:rsidRPr="00790DCE" w:rsidRDefault="001D64BE" w:rsidP="002E2B5B">
            <w:pPr>
              <w:jc w:val="right"/>
              <w:rPr>
                <w:rFonts w:ascii="Calibri" w:hAnsi="Calibri" w:cs="Calibri"/>
                <w:sz w:val="16"/>
                <w:szCs w:val="16"/>
              </w:rPr>
            </w:pPr>
            <w:r>
              <w:rPr>
                <w:rFonts w:ascii="Calibri" w:hAnsi="Calibri" w:cs="Calibri"/>
                <w:sz w:val="16"/>
                <w:szCs w:val="16"/>
              </w:rPr>
              <w:t>0</w:t>
            </w:r>
          </w:p>
        </w:tc>
      </w:tr>
      <w:tr w:rsidR="00B91EDB" w:rsidRPr="00DF4449" w14:paraId="6DDE59A3" w14:textId="77777777" w:rsidTr="00B23D01">
        <w:trPr>
          <w:trHeight w:hRule="exact" w:val="227"/>
        </w:trPr>
        <w:tc>
          <w:tcPr>
            <w:tcW w:w="1038" w:type="pct"/>
            <w:shd w:val="clear" w:color="auto" w:fill="FFFFFF"/>
            <w:noWrap/>
            <w:tcMar>
              <w:top w:w="15" w:type="dxa"/>
              <w:left w:w="15" w:type="dxa"/>
              <w:bottom w:w="0" w:type="dxa"/>
              <w:right w:w="15" w:type="dxa"/>
            </w:tcMar>
            <w:vAlign w:val="bottom"/>
          </w:tcPr>
          <w:p w14:paraId="5FBFB670" w14:textId="3B296CDD" w:rsidR="00B91EDB" w:rsidRDefault="00B91EDB" w:rsidP="00B91EDB">
            <w:pPr>
              <w:jc w:val="center"/>
              <w:rPr>
                <w:rFonts w:ascii="Calibri" w:hAnsi="Calibri" w:cs="Calibri"/>
                <w:sz w:val="16"/>
                <w:szCs w:val="16"/>
              </w:rPr>
            </w:pPr>
            <w:r>
              <w:rPr>
                <w:rFonts w:ascii="Calibri" w:hAnsi="Calibri" w:cs="Calibri"/>
                <w:sz w:val="16"/>
                <w:szCs w:val="16"/>
              </w:rPr>
              <w:t>002/2017</w:t>
            </w:r>
          </w:p>
        </w:tc>
        <w:tc>
          <w:tcPr>
            <w:tcW w:w="880" w:type="pct"/>
            <w:shd w:val="clear" w:color="auto" w:fill="FFFFFF"/>
            <w:noWrap/>
            <w:tcMar>
              <w:top w:w="15" w:type="dxa"/>
              <w:left w:w="15" w:type="dxa"/>
              <w:bottom w:w="0" w:type="dxa"/>
              <w:right w:w="15" w:type="dxa"/>
            </w:tcMar>
            <w:vAlign w:val="bottom"/>
          </w:tcPr>
          <w:p w14:paraId="58C6DBA6" w14:textId="3F42212B" w:rsidR="00B91EDB" w:rsidRDefault="00B91EDB" w:rsidP="00B91EDB">
            <w:pPr>
              <w:jc w:val="center"/>
              <w:rPr>
                <w:rFonts w:ascii="Calibri" w:hAnsi="Calibri" w:cs="Calibri"/>
                <w:sz w:val="16"/>
                <w:szCs w:val="16"/>
              </w:rPr>
            </w:pPr>
            <w:r>
              <w:rPr>
                <w:rFonts w:ascii="Calibri" w:hAnsi="Calibri" w:cs="Calibri"/>
                <w:sz w:val="16"/>
                <w:szCs w:val="16"/>
              </w:rPr>
              <w:t>692242</w:t>
            </w:r>
          </w:p>
        </w:tc>
        <w:tc>
          <w:tcPr>
            <w:tcW w:w="1121" w:type="pct"/>
            <w:shd w:val="clear" w:color="auto" w:fill="FFFFFF"/>
            <w:noWrap/>
            <w:tcMar>
              <w:top w:w="15" w:type="dxa"/>
              <w:left w:w="15" w:type="dxa"/>
              <w:bottom w:w="0" w:type="dxa"/>
              <w:right w:w="15" w:type="dxa"/>
            </w:tcMar>
            <w:vAlign w:val="bottom"/>
          </w:tcPr>
          <w:p w14:paraId="5FE55DE6" w14:textId="66FF4204" w:rsidR="00B91EDB" w:rsidRDefault="00B91EDB" w:rsidP="00B91EDB">
            <w:pPr>
              <w:jc w:val="center"/>
              <w:rPr>
                <w:rFonts w:ascii="Calibri" w:hAnsi="Calibri" w:cs="Calibri"/>
                <w:sz w:val="16"/>
                <w:szCs w:val="16"/>
              </w:rPr>
            </w:pPr>
            <w:r>
              <w:rPr>
                <w:rFonts w:ascii="Calibri" w:hAnsi="Calibri" w:cs="Calibri"/>
                <w:sz w:val="16"/>
                <w:szCs w:val="16"/>
              </w:rPr>
              <w:t>UFPA</w:t>
            </w:r>
          </w:p>
        </w:tc>
        <w:tc>
          <w:tcPr>
            <w:tcW w:w="981" w:type="pct"/>
            <w:shd w:val="clear" w:color="auto" w:fill="FFFFFF"/>
            <w:vAlign w:val="bottom"/>
          </w:tcPr>
          <w:p w14:paraId="7D501E49" w14:textId="699473A9" w:rsidR="00B91EDB" w:rsidRDefault="00B91EDB" w:rsidP="00B91EDB">
            <w:pPr>
              <w:jc w:val="center"/>
              <w:rPr>
                <w:rFonts w:ascii="Calibri" w:hAnsi="Calibri" w:cs="Calibri"/>
                <w:sz w:val="16"/>
                <w:szCs w:val="16"/>
              </w:rPr>
            </w:pPr>
            <w:r>
              <w:rPr>
                <w:rFonts w:ascii="Calibri" w:hAnsi="Calibri" w:cs="Calibri"/>
                <w:sz w:val="16"/>
                <w:szCs w:val="16"/>
              </w:rPr>
              <w:t>12.12.2020</w:t>
            </w:r>
          </w:p>
        </w:tc>
        <w:tc>
          <w:tcPr>
            <w:tcW w:w="980" w:type="pct"/>
            <w:shd w:val="clear" w:color="auto" w:fill="FFFFFF"/>
            <w:noWrap/>
            <w:tcMar>
              <w:top w:w="15" w:type="dxa"/>
              <w:left w:w="15" w:type="dxa"/>
              <w:bottom w:w="0" w:type="dxa"/>
              <w:right w:w="15" w:type="dxa"/>
            </w:tcMar>
            <w:vAlign w:val="bottom"/>
          </w:tcPr>
          <w:p w14:paraId="05A6DFA4" w14:textId="7F25FCEC" w:rsidR="00B91EDB" w:rsidRDefault="00B91EDB" w:rsidP="00B91EDB">
            <w:pPr>
              <w:jc w:val="right"/>
              <w:rPr>
                <w:rFonts w:ascii="Calibri" w:hAnsi="Calibri" w:cs="Calibri"/>
                <w:sz w:val="16"/>
                <w:szCs w:val="16"/>
              </w:rPr>
            </w:pPr>
            <w:r>
              <w:rPr>
                <w:rFonts w:ascii="Calibri" w:hAnsi="Calibri" w:cs="Calibri"/>
                <w:sz w:val="16"/>
                <w:szCs w:val="16"/>
              </w:rPr>
              <w:t>0</w:t>
            </w:r>
          </w:p>
        </w:tc>
      </w:tr>
      <w:tr w:rsidR="00B91EDB" w:rsidRPr="00DF4449" w14:paraId="2C39C1BA" w14:textId="77777777" w:rsidTr="00B23D01">
        <w:trPr>
          <w:trHeight w:hRule="exact" w:val="227"/>
        </w:trPr>
        <w:tc>
          <w:tcPr>
            <w:tcW w:w="1038" w:type="pct"/>
            <w:shd w:val="clear" w:color="auto" w:fill="FFFFFF"/>
            <w:noWrap/>
            <w:tcMar>
              <w:top w:w="15" w:type="dxa"/>
              <w:left w:w="15" w:type="dxa"/>
              <w:bottom w:w="0" w:type="dxa"/>
              <w:right w:w="15" w:type="dxa"/>
            </w:tcMar>
            <w:vAlign w:val="bottom"/>
          </w:tcPr>
          <w:p w14:paraId="0D81F709" w14:textId="77777777" w:rsidR="00B91EDB" w:rsidRPr="00790DCE" w:rsidRDefault="00B91EDB" w:rsidP="00B91EDB">
            <w:pPr>
              <w:jc w:val="center"/>
              <w:rPr>
                <w:rFonts w:ascii="Calibri" w:hAnsi="Calibri" w:cs="Calibri"/>
                <w:sz w:val="16"/>
                <w:szCs w:val="16"/>
              </w:rPr>
            </w:pPr>
            <w:r w:rsidRPr="00790DCE">
              <w:rPr>
                <w:rFonts w:ascii="Calibri" w:hAnsi="Calibri" w:cs="Calibri"/>
                <w:sz w:val="16"/>
                <w:szCs w:val="16"/>
              </w:rPr>
              <w:t>001/2019</w:t>
            </w:r>
          </w:p>
        </w:tc>
        <w:tc>
          <w:tcPr>
            <w:tcW w:w="880" w:type="pct"/>
            <w:shd w:val="clear" w:color="auto" w:fill="FFFFFF"/>
            <w:noWrap/>
            <w:tcMar>
              <w:top w:w="15" w:type="dxa"/>
              <w:left w:w="15" w:type="dxa"/>
              <w:bottom w:w="0" w:type="dxa"/>
              <w:right w:w="15" w:type="dxa"/>
            </w:tcMar>
            <w:vAlign w:val="bottom"/>
          </w:tcPr>
          <w:p w14:paraId="4DEEDADA" w14:textId="77777777" w:rsidR="00B91EDB" w:rsidRPr="00790DCE" w:rsidRDefault="00B91EDB" w:rsidP="00B91EDB">
            <w:pPr>
              <w:jc w:val="center"/>
              <w:rPr>
                <w:rFonts w:ascii="Calibri" w:hAnsi="Calibri" w:cs="Calibri"/>
                <w:sz w:val="16"/>
                <w:szCs w:val="16"/>
              </w:rPr>
            </w:pPr>
            <w:r w:rsidRPr="00790DCE">
              <w:rPr>
                <w:rFonts w:ascii="Calibri" w:hAnsi="Calibri" w:cs="Calibri"/>
                <w:sz w:val="16"/>
                <w:szCs w:val="16"/>
              </w:rPr>
              <w:t>699154</w:t>
            </w:r>
          </w:p>
        </w:tc>
        <w:tc>
          <w:tcPr>
            <w:tcW w:w="1121" w:type="pct"/>
            <w:shd w:val="clear" w:color="auto" w:fill="FFFFFF"/>
            <w:noWrap/>
            <w:tcMar>
              <w:top w:w="15" w:type="dxa"/>
              <w:left w:w="15" w:type="dxa"/>
              <w:bottom w:w="0" w:type="dxa"/>
              <w:right w:w="15" w:type="dxa"/>
            </w:tcMar>
            <w:vAlign w:val="bottom"/>
          </w:tcPr>
          <w:p w14:paraId="5F4EBB14" w14:textId="77777777" w:rsidR="00B91EDB" w:rsidRPr="00790DCE" w:rsidRDefault="00B91EDB" w:rsidP="00B91EDB">
            <w:pPr>
              <w:jc w:val="center"/>
              <w:rPr>
                <w:rFonts w:ascii="Calibri" w:hAnsi="Calibri" w:cs="Calibri"/>
                <w:sz w:val="16"/>
                <w:szCs w:val="16"/>
              </w:rPr>
            </w:pPr>
            <w:r w:rsidRPr="00790DCE">
              <w:rPr>
                <w:rFonts w:ascii="Calibri" w:hAnsi="Calibri" w:cs="Calibri"/>
                <w:sz w:val="16"/>
                <w:szCs w:val="16"/>
              </w:rPr>
              <w:t>ME/RJ</w:t>
            </w:r>
          </w:p>
        </w:tc>
        <w:tc>
          <w:tcPr>
            <w:tcW w:w="981" w:type="pct"/>
            <w:shd w:val="clear" w:color="auto" w:fill="FFFFFF"/>
            <w:vAlign w:val="bottom"/>
          </w:tcPr>
          <w:p w14:paraId="6A6BDEF5" w14:textId="77777777" w:rsidR="00B91EDB" w:rsidRPr="00790DCE" w:rsidRDefault="00B91EDB" w:rsidP="00B91EDB">
            <w:pPr>
              <w:jc w:val="center"/>
              <w:rPr>
                <w:rFonts w:ascii="Calibri" w:hAnsi="Calibri" w:cs="Calibri"/>
                <w:sz w:val="16"/>
                <w:szCs w:val="16"/>
              </w:rPr>
            </w:pPr>
            <w:r w:rsidRPr="00790DCE">
              <w:rPr>
                <w:rFonts w:ascii="Calibri" w:hAnsi="Calibri" w:cs="Calibri"/>
                <w:sz w:val="16"/>
                <w:szCs w:val="16"/>
              </w:rPr>
              <w:t>09.12.2020</w:t>
            </w:r>
          </w:p>
        </w:tc>
        <w:tc>
          <w:tcPr>
            <w:tcW w:w="980" w:type="pct"/>
            <w:shd w:val="clear" w:color="auto" w:fill="FFFFFF"/>
            <w:noWrap/>
            <w:tcMar>
              <w:top w:w="15" w:type="dxa"/>
              <w:left w:w="15" w:type="dxa"/>
              <w:bottom w:w="0" w:type="dxa"/>
              <w:right w:w="15" w:type="dxa"/>
            </w:tcMar>
            <w:vAlign w:val="bottom"/>
          </w:tcPr>
          <w:p w14:paraId="47553E09" w14:textId="77777777" w:rsidR="00B91EDB" w:rsidRPr="00790DCE" w:rsidRDefault="00B91EDB" w:rsidP="00B91EDB">
            <w:pPr>
              <w:jc w:val="right"/>
              <w:rPr>
                <w:rFonts w:ascii="Calibri" w:hAnsi="Calibri" w:cs="Calibri"/>
                <w:sz w:val="16"/>
                <w:szCs w:val="16"/>
              </w:rPr>
            </w:pPr>
            <w:r w:rsidRPr="00790DCE">
              <w:rPr>
                <w:rFonts w:ascii="Calibri" w:hAnsi="Calibri" w:cs="Calibri"/>
                <w:sz w:val="16"/>
                <w:szCs w:val="16"/>
              </w:rPr>
              <w:t>0</w:t>
            </w:r>
          </w:p>
        </w:tc>
      </w:tr>
      <w:tr w:rsidR="00B91EDB" w:rsidRPr="002E2B5B" w14:paraId="29BB2DBF" w14:textId="77777777" w:rsidTr="00B23D01">
        <w:trPr>
          <w:trHeight w:hRule="exact" w:val="227"/>
        </w:trPr>
        <w:tc>
          <w:tcPr>
            <w:tcW w:w="1038" w:type="pct"/>
            <w:shd w:val="clear" w:color="auto" w:fill="FFFFFF"/>
            <w:noWrap/>
            <w:tcMar>
              <w:top w:w="15" w:type="dxa"/>
              <w:left w:w="15" w:type="dxa"/>
              <w:bottom w:w="0" w:type="dxa"/>
              <w:right w:w="15" w:type="dxa"/>
            </w:tcMar>
            <w:vAlign w:val="bottom"/>
            <w:hideMark/>
          </w:tcPr>
          <w:p w14:paraId="3EC9C9F9" w14:textId="77777777" w:rsidR="00B91EDB" w:rsidRPr="002E2B5B" w:rsidRDefault="00B91EDB" w:rsidP="00B91EDB">
            <w:pPr>
              <w:jc w:val="center"/>
              <w:rPr>
                <w:rFonts w:ascii="Calibri" w:hAnsi="Calibri" w:cs="Calibri"/>
                <w:sz w:val="16"/>
                <w:szCs w:val="16"/>
              </w:rPr>
            </w:pPr>
            <w:r w:rsidRPr="002E2B5B">
              <w:rPr>
                <w:rFonts w:ascii="Calibri" w:hAnsi="Calibri" w:cs="Calibri"/>
                <w:sz w:val="16"/>
                <w:szCs w:val="16"/>
              </w:rPr>
              <w:t>001/2020</w:t>
            </w:r>
          </w:p>
        </w:tc>
        <w:tc>
          <w:tcPr>
            <w:tcW w:w="880" w:type="pct"/>
            <w:shd w:val="clear" w:color="auto" w:fill="FFFFFF"/>
            <w:noWrap/>
            <w:tcMar>
              <w:top w:w="15" w:type="dxa"/>
              <w:left w:w="15" w:type="dxa"/>
              <w:bottom w:w="0" w:type="dxa"/>
              <w:right w:w="15" w:type="dxa"/>
            </w:tcMar>
            <w:vAlign w:val="bottom"/>
            <w:hideMark/>
          </w:tcPr>
          <w:p w14:paraId="5E562148" w14:textId="77777777" w:rsidR="00B91EDB" w:rsidRPr="002E2B5B" w:rsidRDefault="00B91EDB" w:rsidP="00B91EDB">
            <w:pPr>
              <w:jc w:val="center"/>
              <w:rPr>
                <w:rFonts w:ascii="Calibri" w:hAnsi="Calibri" w:cs="Calibri"/>
                <w:sz w:val="16"/>
                <w:szCs w:val="16"/>
              </w:rPr>
            </w:pPr>
            <w:r w:rsidRPr="002E2B5B">
              <w:rPr>
                <w:rFonts w:ascii="Calibri" w:hAnsi="Calibri" w:cs="Calibri"/>
                <w:sz w:val="16"/>
                <w:szCs w:val="16"/>
              </w:rPr>
              <w:t>1AABOM</w:t>
            </w:r>
          </w:p>
        </w:tc>
        <w:tc>
          <w:tcPr>
            <w:tcW w:w="1121" w:type="pct"/>
            <w:shd w:val="clear" w:color="auto" w:fill="FFFFFF"/>
            <w:noWrap/>
            <w:tcMar>
              <w:top w:w="15" w:type="dxa"/>
              <w:left w:w="15" w:type="dxa"/>
              <w:bottom w:w="0" w:type="dxa"/>
              <w:right w:w="15" w:type="dxa"/>
            </w:tcMar>
            <w:vAlign w:val="bottom"/>
            <w:hideMark/>
          </w:tcPr>
          <w:p w14:paraId="2947C078" w14:textId="77777777" w:rsidR="00B91EDB" w:rsidRPr="002E2B5B" w:rsidRDefault="00B91EDB" w:rsidP="00B91EDB">
            <w:pPr>
              <w:jc w:val="center"/>
              <w:rPr>
                <w:rFonts w:ascii="Calibri" w:hAnsi="Calibri" w:cs="Calibri"/>
                <w:sz w:val="16"/>
                <w:szCs w:val="16"/>
              </w:rPr>
            </w:pPr>
            <w:r w:rsidRPr="002E2B5B">
              <w:rPr>
                <w:rFonts w:ascii="Calibri" w:hAnsi="Calibri" w:cs="Calibri"/>
                <w:sz w:val="16"/>
                <w:szCs w:val="16"/>
              </w:rPr>
              <w:t>EXÉRCITO</w:t>
            </w:r>
          </w:p>
        </w:tc>
        <w:tc>
          <w:tcPr>
            <w:tcW w:w="981" w:type="pct"/>
            <w:shd w:val="clear" w:color="auto" w:fill="FFFFFF"/>
            <w:vAlign w:val="bottom"/>
          </w:tcPr>
          <w:p w14:paraId="40AF71FE" w14:textId="77777777" w:rsidR="00B91EDB" w:rsidRPr="002E2B5B" w:rsidRDefault="00B91EDB" w:rsidP="00B91EDB">
            <w:pPr>
              <w:jc w:val="center"/>
              <w:rPr>
                <w:rFonts w:ascii="Calibri" w:hAnsi="Calibri" w:cs="Calibri"/>
                <w:sz w:val="16"/>
                <w:szCs w:val="16"/>
              </w:rPr>
            </w:pPr>
            <w:r w:rsidRPr="002E2B5B">
              <w:rPr>
                <w:rFonts w:ascii="Calibri" w:hAnsi="Calibri" w:cs="Calibri"/>
                <w:sz w:val="16"/>
                <w:szCs w:val="16"/>
              </w:rPr>
              <w:t>28.09.2023</w:t>
            </w:r>
          </w:p>
        </w:tc>
        <w:tc>
          <w:tcPr>
            <w:tcW w:w="980" w:type="pct"/>
            <w:shd w:val="clear" w:color="auto" w:fill="FFFFFF"/>
            <w:noWrap/>
            <w:tcMar>
              <w:top w:w="15" w:type="dxa"/>
              <w:left w:w="15" w:type="dxa"/>
              <w:bottom w:w="0" w:type="dxa"/>
              <w:right w:w="15" w:type="dxa"/>
            </w:tcMar>
            <w:vAlign w:val="bottom"/>
            <w:hideMark/>
          </w:tcPr>
          <w:p w14:paraId="25B4F22B" w14:textId="12D0B89F" w:rsidR="00B91EDB" w:rsidRPr="002E2B5B" w:rsidRDefault="00B91EDB" w:rsidP="00B91EDB">
            <w:pPr>
              <w:jc w:val="right"/>
              <w:rPr>
                <w:rFonts w:ascii="Calibri" w:hAnsi="Calibri" w:cs="Calibri"/>
                <w:sz w:val="16"/>
                <w:szCs w:val="16"/>
              </w:rPr>
            </w:pPr>
            <w:r>
              <w:rPr>
                <w:rFonts w:ascii="Calibri" w:hAnsi="Calibri" w:cs="Calibri"/>
                <w:sz w:val="16"/>
                <w:szCs w:val="16"/>
              </w:rPr>
              <w:t>12.546.825</w:t>
            </w:r>
          </w:p>
        </w:tc>
      </w:tr>
      <w:tr w:rsidR="00B91EDB" w:rsidRPr="002E2B5B" w14:paraId="237FD0DD" w14:textId="77777777" w:rsidTr="00B23D01">
        <w:trPr>
          <w:trHeight w:hRule="exact" w:val="227"/>
        </w:trPr>
        <w:tc>
          <w:tcPr>
            <w:tcW w:w="1038" w:type="pct"/>
            <w:shd w:val="clear" w:color="auto" w:fill="FFFFFF"/>
            <w:noWrap/>
            <w:tcMar>
              <w:top w:w="15" w:type="dxa"/>
              <w:left w:w="15" w:type="dxa"/>
              <w:bottom w:w="0" w:type="dxa"/>
              <w:right w:w="15" w:type="dxa"/>
            </w:tcMar>
            <w:vAlign w:val="bottom"/>
          </w:tcPr>
          <w:p w14:paraId="0CD6AEDD" w14:textId="77777777" w:rsidR="00B91EDB" w:rsidRPr="002E2B5B" w:rsidRDefault="00B91EDB" w:rsidP="00B91EDB">
            <w:pPr>
              <w:jc w:val="center"/>
              <w:rPr>
                <w:rFonts w:ascii="Calibri" w:hAnsi="Calibri" w:cs="Calibri"/>
                <w:sz w:val="16"/>
                <w:szCs w:val="16"/>
              </w:rPr>
            </w:pPr>
            <w:r w:rsidRPr="002E2B5B">
              <w:rPr>
                <w:rFonts w:ascii="Calibri" w:hAnsi="Calibri" w:cs="Calibri"/>
                <w:sz w:val="16"/>
                <w:szCs w:val="16"/>
              </w:rPr>
              <w:t>002/2020</w:t>
            </w:r>
          </w:p>
        </w:tc>
        <w:tc>
          <w:tcPr>
            <w:tcW w:w="880" w:type="pct"/>
            <w:shd w:val="clear" w:color="auto" w:fill="FFFFFF"/>
            <w:noWrap/>
            <w:tcMar>
              <w:top w:w="15" w:type="dxa"/>
              <w:left w:w="15" w:type="dxa"/>
              <w:bottom w:w="0" w:type="dxa"/>
              <w:right w:w="15" w:type="dxa"/>
            </w:tcMar>
            <w:vAlign w:val="bottom"/>
          </w:tcPr>
          <w:p w14:paraId="22FF09C9" w14:textId="77777777" w:rsidR="00B91EDB" w:rsidRPr="002E2B5B" w:rsidRDefault="00B91EDB" w:rsidP="00B91EDB">
            <w:pPr>
              <w:jc w:val="center"/>
              <w:rPr>
                <w:rFonts w:ascii="Calibri" w:hAnsi="Calibri" w:cs="Calibri"/>
                <w:sz w:val="16"/>
                <w:szCs w:val="16"/>
              </w:rPr>
            </w:pPr>
            <w:r w:rsidRPr="002E2B5B">
              <w:rPr>
                <w:rFonts w:ascii="Calibri" w:hAnsi="Calibri" w:cs="Calibri"/>
                <w:sz w:val="16"/>
                <w:szCs w:val="16"/>
              </w:rPr>
              <w:t>1AADXR</w:t>
            </w:r>
          </w:p>
        </w:tc>
        <w:tc>
          <w:tcPr>
            <w:tcW w:w="1121" w:type="pct"/>
            <w:shd w:val="clear" w:color="auto" w:fill="FFFFFF"/>
            <w:noWrap/>
            <w:tcMar>
              <w:top w:w="15" w:type="dxa"/>
              <w:left w:w="15" w:type="dxa"/>
              <w:bottom w:w="0" w:type="dxa"/>
              <w:right w:w="15" w:type="dxa"/>
            </w:tcMar>
            <w:vAlign w:val="bottom"/>
          </w:tcPr>
          <w:p w14:paraId="2D273205" w14:textId="77777777" w:rsidR="00B91EDB" w:rsidRPr="002E2B5B" w:rsidRDefault="00B91EDB" w:rsidP="00B91EDB">
            <w:pPr>
              <w:jc w:val="center"/>
              <w:rPr>
                <w:rFonts w:ascii="Calibri" w:hAnsi="Calibri" w:cs="Calibri"/>
                <w:sz w:val="16"/>
                <w:szCs w:val="16"/>
              </w:rPr>
            </w:pPr>
            <w:r w:rsidRPr="002E2B5B">
              <w:rPr>
                <w:rFonts w:ascii="Calibri" w:hAnsi="Calibri" w:cs="Calibri"/>
                <w:sz w:val="16"/>
                <w:szCs w:val="16"/>
              </w:rPr>
              <w:t>UnB</w:t>
            </w:r>
          </w:p>
        </w:tc>
        <w:tc>
          <w:tcPr>
            <w:tcW w:w="981" w:type="pct"/>
            <w:shd w:val="clear" w:color="auto" w:fill="FFFFFF"/>
            <w:vAlign w:val="bottom"/>
          </w:tcPr>
          <w:p w14:paraId="53B6C707" w14:textId="77777777" w:rsidR="00B91EDB" w:rsidRPr="002E2B5B" w:rsidRDefault="00B91EDB" w:rsidP="00B91EDB">
            <w:pPr>
              <w:jc w:val="center"/>
              <w:rPr>
                <w:rFonts w:ascii="Calibri" w:hAnsi="Calibri" w:cs="Calibri"/>
                <w:sz w:val="16"/>
                <w:szCs w:val="16"/>
              </w:rPr>
            </w:pPr>
            <w:r w:rsidRPr="002E2B5B">
              <w:rPr>
                <w:rFonts w:ascii="Calibri" w:hAnsi="Calibri" w:cs="Calibri"/>
                <w:sz w:val="16"/>
                <w:szCs w:val="16"/>
              </w:rPr>
              <w:t>22.12.2021</w:t>
            </w:r>
          </w:p>
        </w:tc>
        <w:tc>
          <w:tcPr>
            <w:tcW w:w="980" w:type="pct"/>
            <w:shd w:val="clear" w:color="auto" w:fill="FFFFFF"/>
            <w:noWrap/>
            <w:tcMar>
              <w:top w:w="15" w:type="dxa"/>
              <w:left w:w="15" w:type="dxa"/>
              <w:bottom w:w="0" w:type="dxa"/>
              <w:right w:w="15" w:type="dxa"/>
            </w:tcMar>
            <w:vAlign w:val="bottom"/>
          </w:tcPr>
          <w:p w14:paraId="25FE2FE3" w14:textId="00537B51" w:rsidR="00B91EDB" w:rsidRPr="002E2B5B" w:rsidRDefault="00B91EDB" w:rsidP="00B91EDB">
            <w:pPr>
              <w:jc w:val="right"/>
              <w:rPr>
                <w:rFonts w:ascii="Calibri" w:hAnsi="Calibri" w:cs="Calibri"/>
                <w:sz w:val="16"/>
                <w:szCs w:val="16"/>
              </w:rPr>
            </w:pPr>
            <w:r>
              <w:rPr>
                <w:rFonts w:ascii="Calibri" w:hAnsi="Calibri" w:cs="Calibri"/>
                <w:sz w:val="16"/>
                <w:szCs w:val="16"/>
              </w:rPr>
              <w:t>267.978</w:t>
            </w:r>
          </w:p>
        </w:tc>
      </w:tr>
      <w:tr w:rsidR="00B91EDB" w:rsidRPr="002E2B5B" w14:paraId="6ED3B5B9" w14:textId="77777777" w:rsidTr="00AA3D29">
        <w:trPr>
          <w:trHeight w:hRule="exact" w:val="227"/>
        </w:trPr>
        <w:tc>
          <w:tcPr>
            <w:tcW w:w="1038" w:type="pct"/>
            <w:shd w:val="clear" w:color="auto" w:fill="FFFFFF"/>
            <w:noWrap/>
            <w:tcMar>
              <w:top w:w="15" w:type="dxa"/>
              <w:left w:w="15" w:type="dxa"/>
              <w:bottom w:w="0" w:type="dxa"/>
              <w:right w:w="15" w:type="dxa"/>
            </w:tcMar>
            <w:vAlign w:val="bottom"/>
          </w:tcPr>
          <w:p w14:paraId="797C6701" w14:textId="77777777" w:rsidR="00B91EDB" w:rsidRPr="002E2B5B" w:rsidRDefault="00B91EDB" w:rsidP="00B91EDB">
            <w:pPr>
              <w:jc w:val="center"/>
              <w:rPr>
                <w:rFonts w:ascii="Calibri" w:hAnsi="Calibri" w:cs="Calibri"/>
                <w:sz w:val="16"/>
                <w:szCs w:val="16"/>
              </w:rPr>
            </w:pPr>
            <w:r w:rsidRPr="002E2B5B">
              <w:rPr>
                <w:rFonts w:ascii="Calibri" w:hAnsi="Calibri" w:cs="Calibri"/>
                <w:sz w:val="16"/>
                <w:szCs w:val="16"/>
              </w:rPr>
              <w:t>003/2020</w:t>
            </w:r>
          </w:p>
        </w:tc>
        <w:tc>
          <w:tcPr>
            <w:tcW w:w="880" w:type="pct"/>
            <w:shd w:val="clear" w:color="auto" w:fill="FFFFFF"/>
            <w:noWrap/>
            <w:tcMar>
              <w:top w:w="15" w:type="dxa"/>
              <w:left w:w="15" w:type="dxa"/>
              <w:bottom w:w="0" w:type="dxa"/>
              <w:right w:w="15" w:type="dxa"/>
            </w:tcMar>
            <w:vAlign w:val="bottom"/>
          </w:tcPr>
          <w:p w14:paraId="34887E76" w14:textId="77777777" w:rsidR="00B91EDB" w:rsidRPr="002E2B5B" w:rsidRDefault="00B91EDB" w:rsidP="00B91EDB">
            <w:pPr>
              <w:jc w:val="center"/>
              <w:rPr>
                <w:rFonts w:ascii="Calibri" w:hAnsi="Calibri" w:cs="Calibri"/>
                <w:sz w:val="16"/>
                <w:szCs w:val="16"/>
              </w:rPr>
            </w:pPr>
            <w:r w:rsidRPr="002E2B5B">
              <w:rPr>
                <w:rFonts w:ascii="Calibri" w:hAnsi="Calibri" w:cs="Calibri"/>
                <w:sz w:val="16"/>
                <w:szCs w:val="16"/>
              </w:rPr>
              <w:t>1AADXS</w:t>
            </w:r>
          </w:p>
        </w:tc>
        <w:tc>
          <w:tcPr>
            <w:tcW w:w="1121" w:type="pct"/>
            <w:shd w:val="clear" w:color="auto" w:fill="FFFFFF"/>
            <w:noWrap/>
            <w:tcMar>
              <w:top w:w="15" w:type="dxa"/>
              <w:left w:w="15" w:type="dxa"/>
              <w:bottom w:w="0" w:type="dxa"/>
              <w:right w:w="15" w:type="dxa"/>
            </w:tcMar>
            <w:vAlign w:val="bottom"/>
          </w:tcPr>
          <w:p w14:paraId="73683A53" w14:textId="77777777" w:rsidR="00B91EDB" w:rsidRPr="002E2B5B" w:rsidRDefault="00B91EDB" w:rsidP="00B91EDB">
            <w:pPr>
              <w:jc w:val="center"/>
              <w:rPr>
                <w:rFonts w:ascii="Calibri" w:hAnsi="Calibri" w:cs="Calibri"/>
                <w:sz w:val="16"/>
                <w:szCs w:val="16"/>
              </w:rPr>
            </w:pPr>
            <w:r w:rsidRPr="002E2B5B">
              <w:rPr>
                <w:rFonts w:ascii="Calibri" w:hAnsi="Calibri" w:cs="Calibri"/>
                <w:sz w:val="16"/>
                <w:szCs w:val="16"/>
              </w:rPr>
              <w:t>UnB</w:t>
            </w:r>
          </w:p>
        </w:tc>
        <w:tc>
          <w:tcPr>
            <w:tcW w:w="981" w:type="pct"/>
            <w:shd w:val="clear" w:color="auto" w:fill="FFFFFF"/>
            <w:vAlign w:val="bottom"/>
          </w:tcPr>
          <w:p w14:paraId="00926A9B" w14:textId="77777777" w:rsidR="00B91EDB" w:rsidRPr="002E2B5B" w:rsidRDefault="00B91EDB" w:rsidP="00B91EDB">
            <w:pPr>
              <w:jc w:val="center"/>
              <w:rPr>
                <w:rFonts w:ascii="Calibri" w:hAnsi="Calibri" w:cs="Calibri"/>
                <w:sz w:val="16"/>
                <w:szCs w:val="16"/>
              </w:rPr>
            </w:pPr>
            <w:r w:rsidRPr="002E2B5B">
              <w:rPr>
                <w:rFonts w:ascii="Calibri" w:hAnsi="Calibri" w:cs="Calibri"/>
                <w:sz w:val="16"/>
                <w:szCs w:val="16"/>
              </w:rPr>
              <w:t>17.03.2022</w:t>
            </w:r>
          </w:p>
        </w:tc>
        <w:tc>
          <w:tcPr>
            <w:tcW w:w="980" w:type="pct"/>
            <w:shd w:val="clear" w:color="auto" w:fill="FFFFFF"/>
            <w:noWrap/>
            <w:tcMar>
              <w:top w:w="15" w:type="dxa"/>
              <w:left w:w="15" w:type="dxa"/>
              <w:bottom w:w="0" w:type="dxa"/>
              <w:right w:w="15" w:type="dxa"/>
            </w:tcMar>
            <w:vAlign w:val="bottom"/>
          </w:tcPr>
          <w:p w14:paraId="0C1077E1" w14:textId="4AF4B80E" w:rsidR="00B91EDB" w:rsidRPr="002E2B5B" w:rsidRDefault="00B91EDB" w:rsidP="00B91EDB">
            <w:pPr>
              <w:jc w:val="right"/>
              <w:rPr>
                <w:rFonts w:ascii="Calibri" w:hAnsi="Calibri" w:cs="Calibri"/>
                <w:sz w:val="16"/>
                <w:szCs w:val="16"/>
              </w:rPr>
            </w:pPr>
            <w:r>
              <w:rPr>
                <w:rFonts w:ascii="Calibri" w:hAnsi="Calibri" w:cs="Calibri"/>
                <w:sz w:val="16"/>
                <w:szCs w:val="16"/>
              </w:rPr>
              <w:t>300.000</w:t>
            </w:r>
          </w:p>
        </w:tc>
      </w:tr>
      <w:tr w:rsidR="00B91EDB" w:rsidRPr="002E2B5B" w14:paraId="7557F6AD" w14:textId="77777777" w:rsidTr="00AA3D29">
        <w:trPr>
          <w:trHeight w:hRule="exact" w:val="227"/>
        </w:trPr>
        <w:tc>
          <w:tcPr>
            <w:tcW w:w="1038" w:type="pct"/>
            <w:tcBorders>
              <w:bottom w:val="single" w:sz="4" w:space="0" w:color="auto"/>
            </w:tcBorders>
            <w:shd w:val="clear" w:color="auto" w:fill="FFFFFF"/>
            <w:noWrap/>
            <w:tcMar>
              <w:top w:w="15" w:type="dxa"/>
              <w:left w:w="15" w:type="dxa"/>
              <w:bottom w:w="0" w:type="dxa"/>
              <w:right w:w="15" w:type="dxa"/>
            </w:tcMar>
            <w:vAlign w:val="bottom"/>
          </w:tcPr>
          <w:p w14:paraId="2FEA0E1A" w14:textId="67AE4987" w:rsidR="00B91EDB" w:rsidRPr="002E2B5B" w:rsidRDefault="00B91EDB" w:rsidP="00B91EDB">
            <w:pPr>
              <w:jc w:val="center"/>
              <w:rPr>
                <w:rFonts w:ascii="Calibri" w:hAnsi="Calibri" w:cs="Calibri"/>
                <w:sz w:val="16"/>
                <w:szCs w:val="16"/>
              </w:rPr>
            </w:pPr>
            <w:r>
              <w:rPr>
                <w:rFonts w:ascii="Calibri" w:hAnsi="Calibri" w:cs="Calibri"/>
                <w:sz w:val="16"/>
                <w:szCs w:val="16"/>
              </w:rPr>
              <w:t>001/2021</w:t>
            </w:r>
          </w:p>
        </w:tc>
        <w:tc>
          <w:tcPr>
            <w:tcW w:w="880" w:type="pct"/>
            <w:tcBorders>
              <w:bottom w:val="single" w:sz="4" w:space="0" w:color="auto"/>
            </w:tcBorders>
            <w:shd w:val="clear" w:color="auto" w:fill="FFFFFF"/>
            <w:noWrap/>
            <w:tcMar>
              <w:top w:w="15" w:type="dxa"/>
              <w:left w:w="15" w:type="dxa"/>
              <w:bottom w:w="0" w:type="dxa"/>
              <w:right w:w="15" w:type="dxa"/>
            </w:tcMar>
            <w:vAlign w:val="bottom"/>
          </w:tcPr>
          <w:p w14:paraId="412BD07D" w14:textId="770EC374" w:rsidR="00B91EDB" w:rsidRPr="002E2B5B" w:rsidRDefault="00B91EDB" w:rsidP="00B91EDB">
            <w:pPr>
              <w:jc w:val="center"/>
              <w:rPr>
                <w:rFonts w:ascii="Calibri" w:hAnsi="Calibri" w:cs="Calibri"/>
                <w:sz w:val="16"/>
                <w:szCs w:val="16"/>
              </w:rPr>
            </w:pPr>
            <w:r>
              <w:rPr>
                <w:rFonts w:ascii="Calibri" w:hAnsi="Calibri" w:cs="Calibri"/>
                <w:sz w:val="16"/>
                <w:szCs w:val="16"/>
              </w:rPr>
              <w:t>1AAETV</w:t>
            </w:r>
          </w:p>
        </w:tc>
        <w:tc>
          <w:tcPr>
            <w:tcW w:w="1121" w:type="pct"/>
            <w:tcBorders>
              <w:bottom w:val="single" w:sz="4" w:space="0" w:color="auto"/>
            </w:tcBorders>
            <w:shd w:val="clear" w:color="auto" w:fill="FFFFFF"/>
            <w:noWrap/>
            <w:tcMar>
              <w:top w:w="15" w:type="dxa"/>
              <w:left w:w="15" w:type="dxa"/>
              <w:bottom w:w="0" w:type="dxa"/>
              <w:right w:w="15" w:type="dxa"/>
            </w:tcMar>
            <w:vAlign w:val="bottom"/>
          </w:tcPr>
          <w:p w14:paraId="48EA2B78" w14:textId="61D82F7D" w:rsidR="00B91EDB" w:rsidRPr="002E2B5B" w:rsidRDefault="00B91EDB" w:rsidP="00B91EDB">
            <w:pPr>
              <w:jc w:val="center"/>
              <w:rPr>
                <w:rFonts w:ascii="Calibri" w:hAnsi="Calibri" w:cs="Calibri"/>
                <w:sz w:val="16"/>
                <w:szCs w:val="16"/>
              </w:rPr>
            </w:pPr>
            <w:r>
              <w:rPr>
                <w:rFonts w:ascii="Calibri" w:hAnsi="Calibri" w:cs="Calibri"/>
                <w:sz w:val="16"/>
                <w:szCs w:val="16"/>
              </w:rPr>
              <w:t>MCTI</w:t>
            </w:r>
          </w:p>
        </w:tc>
        <w:tc>
          <w:tcPr>
            <w:tcW w:w="981" w:type="pct"/>
            <w:tcBorders>
              <w:bottom w:val="single" w:sz="4" w:space="0" w:color="auto"/>
            </w:tcBorders>
            <w:shd w:val="clear" w:color="auto" w:fill="FFFFFF"/>
            <w:vAlign w:val="bottom"/>
          </w:tcPr>
          <w:p w14:paraId="5A926F30" w14:textId="6E19501B" w:rsidR="00B91EDB" w:rsidRPr="002E2B5B" w:rsidRDefault="00B91EDB" w:rsidP="00B91EDB">
            <w:pPr>
              <w:jc w:val="center"/>
              <w:rPr>
                <w:rFonts w:ascii="Calibri" w:hAnsi="Calibri" w:cs="Calibri"/>
                <w:sz w:val="16"/>
                <w:szCs w:val="16"/>
              </w:rPr>
            </w:pPr>
            <w:r>
              <w:rPr>
                <w:rFonts w:ascii="Calibri" w:hAnsi="Calibri" w:cs="Calibri"/>
                <w:sz w:val="16"/>
                <w:szCs w:val="16"/>
              </w:rPr>
              <w:t>24.06.2022</w:t>
            </w:r>
          </w:p>
        </w:tc>
        <w:tc>
          <w:tcPr>
            <w:tcW w:w="980" w:type="pct"/>
            <w:tcBorders>
              <w:bottom w:val="single" w:sz="4" w:space="0" w:color="auto"/>
            </w:tcBorders>
            <w:shd w:val="clear" w:color="auto" w:fill="FFFFFF"/>
            <w:noWrap/>
            <w:tcMar>
              <w:top w:w="15" w:type="dxa"/>
              <w:left w:w="15" w:type="dxa"/>
              <w:bottom w:w="0" w:type="dxa"/>
              <w:right w:w="15" w:type="dxa"/>
            </w:tcMar>
            <w:vAlign w:val="bottom"/>
          </w:tcPr>
          <w:p w14:paraId="3EC0610D" w14:textId="1B346437" w:rsidR="00B91EDB" w:rsidRDefault="00B91EDB" w:rsidP="00B91EDB">
            <w:pPr>
              <w:jc w:val="right"/>
              <w:rPr>
                <w:rFonts w:ascii="Calibri" w:hAnsi="Calibri" w:cs="Calibri"/>
                <w:sz w:val="16"/>
                <w:szCs w:val="16"/>
              </w:rPr>
            </w:pPr>
            <w:r>
              <w:rPr>
                <w:rFonts w:ascii="Calibri" w:hAnsi="Calibri" w:cs="Calibri"/>
                <w:sz w:val="16"/>
                <w:szCs w:val="16"/>
              </w:rPr>
              <w:t>597.444</w:t>
            </w:r>
          </w:p>
        </w:tc>
      </w:tr>
      <w:tr w:rsidR="00B91EDB" w:rsidRPr="002E2B5B" w14:paraId="1D27B4C9" w14:textId="77777777" w:rsidTr="00AA3D29">
        <w:trPr>
          <w:trHeight w:hRule="exact" w:val="227"/>
        </w:trPr>
        <w:tc>
          <w:tcPr>
            <w:tcW w:w="1038" w:type="pct"/>
            <w:tcBorders>
              <w:top w:val="single" w:sz="4" w:space="0" w:color="auto"/>
              <w:bottom w:val="single" w:sz="8" w:space="0" w:color="000000"/>
            </w:tcBorders>
            <w:shd w:val="clear" w:color="auto" w:fill="FFFFFF"/>
            <w:noWrap/>
            <w:tcMar>
              <w:top w:w="15" w:type="dxa"/>
              <w:left w:w="15" w:type="dxa"/>
              <w:bottom w:w="0" w:type="dxa"/>
              <w:right w:w="15" w:type="dxa"/>
            </w:tcMar>
            <w:vAlign w:val="bottom"/>
          </w:tcPr>
          <w:p w14:paraId="4AEF6E62" w14:textId="6FD2209E" w:rsidR="00B91EDB" w:rsidRPr="002E2B5B" w:rsidRDefault="00B91EDB" w:rsidP="00B91EDB">
            <w:pPr>
              <w:jc w:val="center"/>
              <w:rPr>
                <w:rFonts w:ascii="Calibri" w:hAnsi="Calibri" w:cs="Calibri"/>
                <w:b/>
                <w:sz w:val="16"/>
                <w:szCs w:val="16"/>
              </w:rPr>
            </w:pPr>
            <w:r w:rsidRPr="002E2B5B">
              <w:rPr>
                <w:rFonts w:ascii="Calibri" w:hAnsi="Calibri" w:cs="Calibri"/>
                <w:b/>
                <w:sz w:val="16"/>
                <w:szCs w:val="16"/>
              </w:rPr>
              <w:t xml:space="preserve">TOTAL EM </w:t>
            </w:r>
            <w:r>
              <w:rPr>
                <w:rFonts w:ascii="Calibri" w:hAnsi="Calibri" w:cs="Calibri"/>
                <w:b/>
                <w:sz w:val="16"/>
                <w:szCs w:val="16"/>
              </w:rPr>
              <w:t>30/09/</w:t>
            </w:r>
            <w:r w:rsidRPr="002E2B5B">
              <w:rPr>
                <w:rFonts w:ascii="Calibri" w:hAnsi="Calibri" w:cs="Calibri"/>
                <w:b/>
                <w:sz w:val="16"/>
                <w:szCs w:val="16"/>
              </w:rPr>
              <w:t>202</w:t>
            </w:r>
            <w:r>
              <w:rPr>
                <w:rFonts w:ascii="Calibri" w:hAnsi="Calibri" w:cs="Calibri"/>
                <w:b/>
                <w:sz w:val="16"/>
                <w:szCs w:val="16"/>
              </w:rPr>
              <w:t>1</w:t>
            </w:r>
          </w:p>
        </w:tc>
        <w:tc>
          <w:tcPr>
            <w:tcW w:w="880" w:type="pct"/>
            <w:tcBorders>
              <w:top w:val="single" w:sz="4" w:space="0" w:color="auto"/>
              <w:bottom w:val="single" w:sz="8" w:space="0" w:color="000000"/>
            </w:tcBorders>
            <w:shd w:val="clear" w:color="auto" w:fill="FFFFFF"/>
            <w:noWrap/>
            <w:tcMar>
              <w:top w:w="15" w:type="dxa"/>
              <w:left w:w="15" w:type="dxa"/>
              <w:bottom w:w="0" w:type="dxa"/>
              <w:right w:w="15" w:type="dxa"/>
            </w:tcMar>
            <w:vAlign w:val="bottom"/>
          </w:tcPr>
          <w:p w14:paraId="5E6A84AF" w14:textId="77777777" w:rsidR="00B91EDB" w:rsidRPr="002E2B5B" w:rsidRDefault="00B91EDB" w:rsidP="00B91EDB">
            <w:pPr>
              <w:jc w:val="center"/>
              <w:rPr>
                <w:rFonts w:ascii="Calibri" w:hAnsi="Calibri" w:cs="Calibri"/>
                <w:b/>
                <w:sz w:val="16"/>
                <w:szCs w:val="16"/>
              </w:rPr>
            </w:pPr>
          </w:p>
        </w:tc>
        <w:tc>
          <w:tcPr>
            <w:tcW w:w="1121" w:type="pct"/>
            <w:tcBorders>
              <w:top w:val="single" w:sz="4" w:space="0" w:color="auto"/>
              <w:bottom w:val="single" w:sz="8" w:space="0" w:color="000000"/>
            </w:tcBorders>
            <w:shd w:val="clear" w:color="auto" w:fill="FFFFFF"/>
            <w:noWrap/>
            <w:tcMar>
              <w:top w:w="15" w:type="dxa"/>
              <w:left w:w="15" w:type="dxa"/>
              <w:bottom w:w="0" w:type="dxa"/>
              <w:right w:w="15" w:type="dxa"/>
            </w:tcMar>
            <w:vAlign w:val="bottom"/>
          </w:tcPr>
          <w:p w14:paraId="37711AAC" w14:textId="77777777" w:rsidR="00B91EDB" w:rsidRPr="002E2B5B" w:rsidRDefault="00B91EDB" w:rsidP="00B91EDB">
            <w:pPr>
              <w:jc w:val="center"/>
              <w:rPr>
                <w:rFonts w:ascii="Calibri" w:hAnsi="Calibri" w:cs="Calibri"/>
                <w:b/>
                <w:sz w:val="16"/>
                <w:szCs w:val="16"/>
              </w:rPr>
            </w:pPr>
          </w:p>
        </w:tc>
        <w:tc>
          <w:tcPr>
            <w:tcW w:w="981" w:type="pct"/>
            <w:tcBorders>
              <w:top w:val="single" w:sz="4" w:space="0" w:color="auto"/>
              <w:bottom w:val="single" w:sz="4" w:space="0" w:color="auto"/>
            </w:tcBorders>
            <w:shd w:val="clear" w:color="auto" w:fill="FFFFFF"/>
          </w:tcPr>
          <w:p w14:paraId="0918FDF2" w14:textId="77777777" w:rsidR="00B91EDB" w:rsidRPr="002E2B5B" w:rsidRDefault="00B91EDB" w:rsidP="00B91EDB">
            <w:pPr>
              <w:jc w:val="center"/>
              <w:rPr>
                <w:rFonts w:ascii="Calibri" w:hAnsi="Calibri" w:cs="Calibri"/>
                <w:b/>
                <w:sz w:val="16"/>
                <w:szCs w:val="16"/>
              </w:rPr>
            </w:pPr>
          </w:p>
        </w:tc>
        <w:tc>
          <w:tcPr>
            <w:tcW w:w="980" w:type="pct"/>
            <w:tcBorders>
              <w:top w:val="single" w:sz="4" w:space="0" w:color="auto"/>
              <w:bottom w:val="single" w:sz="4" w:space="0" w:color="auto"/>
            </w:tcBorders>
            <w:shd w:val="clear" w:color="auto" w:fill="FFFFFF"/>
            <w:noWrap/>
            <w:tcMar>
              <w:top w:w="15" w:type="dxa"/>
              <w:left w:w="15" w:type="dxa"/>
              <w:bottom w:w="0" w:type="dxa"/>
              <w:right w:w="15" w:type="dxa"/>
            </w:tcMar>
            <w:vAlign w:val="bottom"/>
          </w:tcPr>
          <w:p w14:paraId="1ED2EF01" w14:textId="6ACC5C8E" w:rsidR="00B91EDB" w:rsidRPr="002E2B5B" w:rsidRDefault="00B91EDB" w:rsidP="00B91EDB">
            <w:pPr>
              <w:jc w:val="right"/>
              <w:rPr>
                <w:rFonts w:ascii="Calibri" w:hAnsi="Calibri" w:cs="Calibri"/>
                <w:b/>
                <w:sz w:val="16"/>
                <w:szCs w:val="16"/>
              </w:rPr>
            </w:pPr>
            <w:r>
              <w:rPr>
                <w:rFonts w:ascii="Calibri" w:hAnsi="Calibri" w:cs="Calibri"/>
                <w:b/>
                <w:sz w:val="16"/>
                <w:szCs w:val="16"/>
              </w:rPr>
              <w:t>13.784.195</w:t>
            </w:r>
          </w:p>
        </w:tc>
      </w:tr>
    </w:tbl>
    <w:p w14:paraId="174F3812" w14:textId="77777777" w:rsidR="00D918FB" w:rsidRPr="002E2B5B" w:rsidRDefault="00FF1438" w:rsidP="002E2B5B">
      <w:pPr>
        <w:jc w:val="both"/>
        <w:rPr>
          <w:rFonts w:ascii="Calibri" w:hAnsi="Calibri" w:cs="Calibri"/>
          <w:bCs/>
          <w:color w:val="FF0000"/>
          <w:sz w:val="22"/>
          <w:szCs w:val="22"/>
        </w:rPr>
      </w:pPr>
      <w:r w:rsidRPr="002E2B5B">
        <w:rPr>
          <w:rFonts w:ascii="Calibri" w:hAnsi="Calibri" w:cs="Calibri"/>
          <w:bCs/>
          <w:color w:val="FF0000"/>
          <w:sz w:val="22"/>
          <w:szCs w:val="22"/>
        </w:rPr>
        <w:t xml:space="preserve"> </w:t>
      </w:r>
    </w:p>
    <w:p w14:paraId="5526D517" w14:textId="24C34AB2" w:rsidR="00FF00FD" w:rsidRPr="00214011" w:rsidRDefault="00FF00FD" w:rsidP="002E2B5B">
      <w:pPr>
        <w:pStyle w:val="PargrafodaLista"/>
        <w:widowControl w:val="0"/>
        <w:numPr>
          <w:ilvl w:val="0"/>
          <w:numId w:val="33"/>
        </w:numPr>
        <w:tabs>
          <w:tab w:val="left" w:pos="709"/>
        </w:tabs>
        <w:spacing w:after="120" w:line="276" w:lineRule="auto"/>
        <w:ind w:left="714" w:hanging="357"/>
        <w:jc w:val="both"/>
        <w:rPr>
          <w:rFonts w:ascii="Calibri" w:hAnsi="Calibri" w:cs="Calibri"/>
          <w:color w:val="201F1E"/>
          <w:sz w:val="22"/>
          <w:szCs w:val="22"/>
        </w:rPr>
      </w:pPr>
      <w:r w:rsidRPr="002E2B5B">
        <w:rPr>
          <w:rFonts w:ascii="Calibri" w:hAnsi="Calibri" w:cs="Calibri"/>
          <w:color w:val="201F1E"/>
          <w:sz w:val="22"/>
          <w:szCs w:val="22"/>
        </w:rPr>
        <w:t>Termo de Execução Descentralizada n°. 002/2013, celebrado entre a VALEC e a Universidade Federal do Recôncavo da Bahia - UFRB, cujo objeto é a prospecção e salvamento de fósseis e educação patrimonial na área de influência da Ferrovia de Integração Oeste-Leste (FIOL). </w:t>
      </w:r>
      <w:r w:rsidR="00790DCE">
        <w:rPr>
          <w:rFonts w:ascii="Calibri" w:hAnsi="Calibri" w:cs="Calibri"/>
          <w:color w:val="201F1E"/>
          <w:sz w:val="22"/>
          <w:szCs w:val="22"/>
        </w:rPr>
        <w:t xml:space="preserve">No 1º trimestre de 2021, houve a prestação </w:t>
      </w:r>
      <w:r w:rsidR="00790DCE" w:rsidRPr="00214011">
        <w:rPr>
          <w:rFonts w:ascii="Calibri" w:hAnsi="Calibri" w:cs="Calibri"/>
          <w:color w:val="201F1E"/>
          <w:sz w:val="22"/>
          <w:szCs w:val="22"/>
        </w:rPr>
        <w:t>de contas, no valor de R$ 570 mil. O TED foi devidamente</w:t>
      </w:r>
      <w:r w:rsidR="001E42E9" w:rsidRPr="00214011">
        <w:rPr>
          <w:rFonts w:ascii="Calibri" w:hAnsi="Calibri" w:cs="Calibri"/>
          <w:color w:val="201F1E"/>
          <w:sz w:val="22"/>
          <w:szCs w:val="22"/>
        </w:rPr>
        <w:t xml:space="preserve"> concluído</w:t>
      </w:r>
      <w:r w:rsidR="006912C4" w:rsidRPr="00214011">
        <w:rPr>
          <w:rFonts w:ascii="Calibri" w:hAnsi="Calibri" w:cs="Calibri"/>
          <w:color w:val="201F1E"/>
          <w:sz w:val="22"/>
          <w:szCs w:val="22"/>
        </w:rPr>
        <w:t>;</w:t>
      </w:r>
      <w:r w:rsidRPr="00214011">
        <w:rPr>
          <w:rFonts w:ascii="Calibri" w:hAnsi="Calibri" w:cs="Calibri"/>
          <w:color w:val="201F1E"/>
          <w:sz w:val="22"/>
          <w:szCs w:val="22"/>
        </w:rPr>
        <w:t> </w:t>
      </w:r>
    </w:p>
    <w:p w14:paraId="4DC9C94B" w14:textId="6F6618A1" w:rsidR="00FF00FD" w:rsidRPr="00214011" w:rsidRDefault="00FF00FD" w:rsidP="002E2B5B">
      <w:pPr>
        <w:pStyle w:val="PargrafodaLista"/>
        <w:widowControl w:val="0"/>
        <w:numPr>
          <w:ilvl w:val="0"/>
          <w:numId w:val="33"/>
        </w:numPr>
        <w:tabs>
          <w:tab w:val="left" w:pos="709"/>
        </w:tabs>
        <w:spacing w:after="120" w:line="276" w:lineRule="auto"/>
        <w:ind w:left="714" w:hanging="357"/>
        <w:jc w:val="both"/>
        <w:rPr>
          <w:rFonts w:ascii="Calibri" w:hAnsi="Calibri" w:cs="Calibri"/>
          <w:color w:val="201F1E"/>
          <w:sz w:val="22"/>
          <w:szCs w:val="22"/>
        </w:rPr>
      </w:pPr>
      <w:r w:rsidRPr="00214011">
        <w:rPr>
          <w:rFonts w:ascii="Calibri" w:hAnsi="Calibri" w:cs="Calibri"/>
          <w:color w:val="201F1E"/>
          <w:sz w:val="22"/>
          <w:szCs w:val="22"/>
        </w:rPr>
        <w:t>Termo de Execução Descentralizada n°. 003/2013, celebrado entre a VALEC e a CIA Brasileira de Trens Urbanos-CBTU, cujo objeto é o disciplinamento do uso compartilhado das áreas de uso comum voltadas à administração, segurança, controle e fiscalização do Edifício Renato Azevedo Feio, situado na praça Procópio Ferreira-RJ, bem como o rateio das correlatas despesas. Compartilha</w:t>
      </w:r>
      <w:r w:rsidR="00E70FA9" w:rsidRPr="00214011">
        <w:rPr>
          <w:rFonts w:ascii="Calibri" w:hAnsi="Calibri" w:cs="Calibri"/>
          <w:color w:val="201F1E"/>
          <w:sz w:val="22"/>
          <w:szCs w:val="22"/>
        </w:rPr>
        <w:t>m</w:t>
      </w:r>
      <w:r w:rsidRPr="00214011">
        <w:rPr>
          <w:rFonts w:ascii="Calibri" w:hAnsi="Calibri" w:cs="Calibri"/>
          <w:color w:val="201F1E"/>
          <w:sz w:val="22"/>
          <w:szCs w:val="22"/>
        </w:rPr>
        <w:t xml:space="preserve"> o uso das dependências os seguintes órgãos e entidades partícipes: Inventariança-RFFSA, CBTU, VALEC e AGU, que são representados, oportunamente, nas assembleias por servidores formalmente nomeados pelas respectivas direções. </w:t>
      </w:r>
      <w:r w:rsidR="00AA3D29">
        <w:rPr>
          <w:rFonts w:ascii="Calibri" w:hAnsi="Calibri" w:cs="Calibri"/>
          <w:color w:val="201F1E"/>
          <w:sz w:val="22"/>
          <w:szCs w:val="22"/>
        </w:rPr>
        <w:t xml:space="preserve">Teve a </w:t>
      </w:r>
      <w:r w:rsidRPr="00214011">
        <w:rPr>
          <w:rFonts w:ascii="Calibri" w:hAnsi="Calibri" w:cs="Calibri"/>
          <w:color w:val="201F1E"/>
          <w:sz w:val="22"/>
          <w:szCs w:val="22"/>
        </w:rPr>
        <w:t>vigência até 28 de março de 2021</w:t>
      </w:r>
      <w:r w:rsidR="00214011" w:rsidRPr="00214011">
        <w:rPr>
          <w:rFonts w:ascii="Calibri" w:hAnsi="Calibri" w:cs="Calibri"/>
          <w:color w:val="201F1E"/>
          <w:sz w:val="22"/>
          <w:szCs w:val="22"/>
        </w:rPr>
        <w:t>, e</w:t>
      </w:r>
      <w:r w:rsidR="00AA3D29">
        <w:rPr>
          <w:rFonts w:ascii="Calibri" w:hAnsi="Calibri" w:cs="Calibri"/>
          <w:color w:val="201F1E"/>
          <w:sz w:val="22"/>
          <w:szCs w:val="22"/>
        </w:rPr>
        <w:t xml:space="preserve"> encontra-se com a </w:t>
      </w:r>
      <w:r w:rsidR="00214011" w:rsidRPr="00214011">
        <w:rPr>
          <w:rFonts w:ascii="Calibri" w:hAnsi="Calibri" w:cs="Calibri"/>
          <w:color w:val="201F1E"/>
          <w:sz w:val="22"/>
          <w:szCs w:val="22"/>
        </w:rPr>
        <w:t>prestação de contas em andamento;</w:t>
      </w:r>
    </w:p>
    <w:p w14:paraId="513C1857" w14:textId="0650AC7C" w:rsidR="00FF00FD" w:rsidRPr="002E2B5B" w:rsidRDefault="00FF00FD" w:rsidP="002E2B5B">
      <w:pPr>
        <w:pStyle w:val="PargrafodaLista"/>
        <w:widowControl w:val="0"/>
        <w:numPr>
          <w:ilvl w:val="0"/>
          <w:numId w:val="33"/>
        </w:numPr>
        <w:tabs>
          <w:tab w:val="left" w:pos="709"/>
        </w:tabs>
        <w:spacing w:after="120" w:line="276" w:lineRule="auto"/>
        <w:ind w:left="714" w:hanging="357"/>
        <w:jc w:val="both"/>
        <w:rPr>
          <w:rFonts w:ascii="Calibri" w:hAnsi="Calibri" w:cs="Calibri"/>
          <w:color w:val="201F1E"/>
          <w:sz w:val="22"/>
          <w:szCs w:val="22"/>
        </w:rPr>
      </w:pPr>
      <w:r w:rsidRPr="00214011">
        <w:rPr>
          <w:rFonts w:ascii="Calibri" w:hAnsi="Calibri" w:cs="Calibri"/>
          <w:color w:val="201F1E"/>
          <w:sz w:val="22"/>
          <w:szCs w:val="22"/>
        </w:rPr>
        <w:t>Termo de Execução Descentralizada n°. 001/2014, celebrado entre a VALEC e a Universidade</w:t>
      </w:r>
      <w:r w:rsidRPr="002E2B5B">
        <w:rPr>
          <w:rFonts w:ascii="Calibri" w:hAnsi="Calibri" w:cs="Calibri"/>
          <w:color w:val="201F1E"/>
          <w:sz w:val="22"/>
          <w:szCs w:val="22"/>
        </w:rPr>
        <w:t xml:space="preserve"> Federal do Rio Grande do Sul -UFRGS, cujo objeto é executar a avaliação mecânico metalúrgica de 242.490 (duzentos e quarenta e dois mil, quatrocentos e noventa) toneladas de trilhos ferroviários a serem adquiridos pela V</w:t>
      </w:r>
      <w:r w:rsidR="009705E6" w:rsidRPr="002E2B5B">
        <w:rPr>
          <w:rFonts w:ascii="Calibri" w:hAnsi="Calibri" w:cs="Calibri"/>
          <w:color w:val="201F1E"/>
          <w:sz w:val="22"/>
          <w:szCs w:val="22"/>
        </w:rPr>
        <w:t>ALEC</w:t>
      </w:r>
      <w:r w:rsidRPr="002E2B5B">
        <w:rPr>
          <w:rFonts w:ascii="Calibri" w:hAnsi="Calibri" w:cs="Calibri"/>
          <w:color w:val="201F1E"/>
          <w:sz w:val="22"/>
          <w:szCs w:val="22"/>
        </w:rPr>
        <w:t xml:space="preserve"> Engenharia, Construções e Ferrovias s.a. A VALEC requereu junto à Advocacia Geral da União, em dezembro de 2019, a instauração do procedimento conciliatório com a finalidade de dirimir a controvérsia com a Universidade do Rio Grande do Sul- UFRS, no que diz respeito à prestação de contas O processo de conciliação na Câmara de Conciliação e Arbitragem da Administração Federal – CCAF</w:t>
      </w:r>
      <w:r w:rsidR="001E42E9">
        <w:rPr>
          <w:rFonts w:ascii="Calibri" w:hAnsi="Calibri" w:cs="Calibri"/>
          <w:color w:val="201F1E"/>
          <w:sz w:val="22"/>
          <w:szCs w:val="22"/>
        </w:rPr>
        <w:t xml:space="preserve"> </w:t>
      </w:r>
      <w:r w:rsidR="00AA3D29" w:rsidRPr="00AA3D29">
        <w:rPr>
          <w:rFonts w:ascii="Calibri" w:hAnsi="Calibri" w:cs="Calibri"/>
          <w:color w:val="201F1E"/>
          <w:sz w:val="22"/>
          <w:szCs w:val="22"/>
        </w:rPr>
        <w:t>e em junho/2021 houve a prestação de contas e o seu encerramento, conforme consta no processo SEI 51402.001857/2020. e os gastos foram comprovados no 2º trimestre de 2021</w:t>
      </w:r>
      <w:r w:rsidR="006912C4" w:rsidRPr="002E2B5B">
        <w:rPr>
          <w:rFonts w:ascii="Calibri" w:hAnsi="Calibri" w:cs="Calibri"/>
          <w:color w:val="201F1E"/>
          <w:sz w:val="22"/>
          <w:szCs w:val="22"/>
        </w:rPr>
        <w:t>;</w:t>
      </w:r>
      <w:r w:rsidRPr="002E2B5B">
        <w:rPr>
          <w:rFonts w:ascii="Calibri" w:hAnsi="Calibri" w:cs="Calibri"/>
          <w:color w:val="201F1E"/>
          <w:sz w:val="22"/>
          <w:szCs w:val="22"/>
        </w:rPr>
        <w:t xml:space="preserve">  </w:t>
      </w:r>
    </w:p>
    <w:p w14:paraId="576C299D" w14:textId="51E46CE0" w:rsidR="00FF00FD" w:rsidRPr="002E2B5B" w:rsidRDefault="00FF00FD" w:rsidP="002E2B5B">
      <w:pPr>
        <w:pStyle w:val="PargrafodaLista"/>
        <w:widowControl w:val="0"/>
        <w:numPr>
          <w:ilvl w:val="0"/>
          <w:numId w:val="33"/>
        </w:numPr>
        <w:tabs>
          <w:tab w:val="left" w:pos="709"/>
        </w:tabs>
        <w:spacing w:after="120" w:line="276" w:lineRule="auto"/>
        <w:ind w:left="714" w:hanging="357"/>
        <w:jc w:val="both"/>
        <w:rPr>
          <w:rFonts w:ascii="Calibri" w:hAnsi="Calibri" w:cs="Calibri"/>
          <w:color w:val="201F1E"/>
          <w:sz w:val="22"/>
          <w:szCs w:val="22"/>
        </w:rPr>
      </w:pPr>
      <w:r w:rsidRPr="002E2B5B">
        <w:rPr>
          <w:rFonts w:ascii="Calibri" w:hAnsi="Calibri" w:cs="Calibri"/>
          <w:color w:val="201F1E"/>
          <w:sz w:val="22"/>
          <w:szCs w:val="22"/>
        </w:rPr>
        <w:t>Termo de Execução Descentralizada n°. 002/2017, celebrado entre a VALEC e a Universidade Federal do Pará – UFPA, cujo objeto é mapear as competências institucionais e individuais da VALEC</w:t>
      </w:r>
      <w:r w:rsidR="00F04A10" w:rsidRPr="002E2B5B">
        <w:rPr>
          <w:rFonts w:ascii="Calibri" w:hAnsi="Calibri" w:cs="Calibri"/>
          <w:color w:val="201F1E"/>
          <w:sz w:val="22"/>
          <w:szCs w:val="22"/>
        </w:rPr>
        <w:t>,</w:t>
      </w:r>
      <w:r w:rsidRPr="002E2B5B">
        <w:rPr>
          <w:rFonts w:ascii="Calibri" w:hAnsi="Calibri" w:cs="Calibri"/>
          <w:color w:val="201F1E"/>
          <w:sz w:val="22"/>
          <w:szCs w:val="22"/>
        </w:rPr>
        <w:t xml:space="preserve"> com vistas a desenvolver as competências qualitativas e quantitativas no âmbito da perspectiva da gestão de pessoas, prevista no mapa estratégico institucional. Com vigência até 12 de dezembro de 2020, </w:t>
      </w:r>
      <w:r w:rsidR="001E42E9">
        <w:rPr>
          <w:rFonts w:ascii="Calibri" w:hAnsi="Calibri" w:cs="Calibri"/>
          <w:color w:val="201F1E"/>
          <w:sz w:val="22"/>
          <w:szCs w:val="22"/>
        </w:rPr>
        <w:t>o</w:t>
      </w:r>
      <w:r w:rsidRPr="002E2B5B">
        <w:rPr>
          <w:rFonts w:ascii="Calibri" w:hAnsi="Calibri" w:cs="Calibri"/>
          <w:color w:val="201F1E"/>
          <w:sz w:val="22"/>
          <w:szCs w:val="22"/>
        </w:rPr>
        <w:t xml:space="preserve"> processo de prestação de contas</w:t>
      </w:r>
      <w:r w:rsidR="001E42E9">
        <w:rPr>
          <w:rFonts w:ascii="Calibri" w:hAnsi="Calibri" w:cs="Calibri"/>
          <w:color w:val="201F1E"/>
          <w:sz w:val="22"/>
          <w:szCs w:val="22"/>
        </w:rPr>
        <w:t xml:space="preserve"> foi concluído em abril de 2021</w:t>
      </w:r>
      <w:r w:rsidR="006912C4" w:rsidRPr="002E2B5B">
        <w:rPr>
          <w:rFonts w:ascii="Calibri" w:hAnsi="Calibri" w:cs="Calibri"/>
          <w:color w:val="201F1E"/>
          <w:sz w:val="22"/>
          <w:szCs w:val="22"/>
        </w:rPr>
        <w:t>;</w:t>
      </w:r>
    </w:p>
    <w:p w14:paraId="6B854DE4" w14:textId="51BBB4CD" w:rsidR="00FF00FD" w:rsidRPr="00790DCE" w:rsidRDefault="00FF00FD" w:rsidP="002E2B5B">
      <w:pPr>
        <w:pStyle w:val="PargrafodaLista"/>
        <w:widowControl w:val="0"/>
        <w:numPr>
          <w:ilvl w:val="0"/>
          <w:numId w:val="33"/>
        </w:numPr>
        <w:tabs>
          <w:tab w:val="left" w:pos="709"/>
        </w:tabs>
        <w:spacing w:after="120" w:line="276" w:lineRule="auto"/>
        <w:ind w:left="714" w:hanging="357"/>
        <w:jc w:val="both"/>
        <w:rPr>
          <w:rFonts w:ascii="Calibri" w:hAnsi="Calibri" w:cs="Calibri"/>
          <w:color w:val="201F1E"/>
          <w:sz w:val="22"/>
          <w:szCs w:val="22"/>
        </w:rPr>
      </w:pPr>
      <w:r w:rsidRPr="00790DCE">
        <w:rPr>
          <w:rFonts w:ascii="Calibri" w:hAnsi="Calibri" w:cs="Calibri"/>
          <w:color w:val="201F1E"/>
          <w:sz w:val="22"/>
          <w:szCs w:val="22"/>
        </w:rPr>
        <w:t>Termo de Execução Descentralizada n°. 001/2019, celebrado entre a VALEC e Superintendência Regional Administrativa do Ministério da Economia</w:t>
      </w:r>
      <w:r w:rsidR="00951F84">
        <w:rPr>
          <w:rFonts w:ascii="Calibri" w:hAnsi="Calibri" w:cs="Calibri"/>
          <w:color w:val="201F1E"/>
          <w:sz w:val="22"/>
          <w:szCs w:val="22"/>
        </w:rPr>
        <w:t xml:space="preserve"> </w:t>
      </w:r>
      <w:r w:rsidRPr="00790DCE">
        <w:rPr>
          <w:rFonts w:ascii="Calibri" w:hAnsi="Calibri" w:cs="Calibri"/>
          <w:color w:val="201F1E"/>
          <w:sz w:val="22"/>
          <w:szCs w:val="22"/>
        </w:rPr>
        <w:t>-</w:t>
      </w:r>
      <w:r w:rsidR="00951F84">
        <w:rPr>
          <w:rFonts w:ascii="Calibri" w:hAnsi="Calibri" w:cs="Calibri"/>
          <w:color w:val="201F1E"/>
          <w:sz w:val="22"/>
          <w:szCs w:val="22"/>
        </w:rPr>
        <w:t xml:space="preserve"> </w:t>
      </w:r>
      <w:r w:rsidRPr="00790DCE">
        <w:rPr>
          <w:rFonts w:ascii="Calibri" w:hAnsi="Calibri" w:cs="Calibri"/>
          <w:color w:val="201F1E"/>
          <w:sz w:val="22"/>
          <w:szCs w:val="22"/>
        </w:rPr>
        <w:t xml:space="preserve">Rio de Janeiro, cujo objeto é rateio de despesas administrativas relativas </w:t>
      </w:r>
      <w:r w:rsidR="00731BB6" w:rsidRPr="00790DCE">
        <w:rPr>
          <w:rFonts w:ascii="Calibri" w:hAnsi="Calibri" w:cs="Calibri"/>
          <w:color w:val="201F1E"/>
          <w:sz w:val="22"/>
          <w:szCs w:val="22"/>
        </w:rPr>
        <w:t>à</w:t>
      </w:r>
      <w:r w:rsidRPr="00790DCE">
        <w:rPr>
          <w:rFonts w:ascii="Calibri" w:hAnsi="Calibri" w:cs="Calibri"/>
          <w:color w:val="201F1E"/>
          <w:sz w:val="22"/>
          <w:szCs w:val="22"/>
        </w:rPr>
        <w:t xml:space="preserve"> área ocupada pela V</w:t>
      </w:r>
      <w:r w:rsidR="009705E6" w:rsidRPr="00790DCE">
        <w:rPr>
          <w:rFonts w:ascii="Calibri" w:hAnsi="Calibri" w:cs="Calibri"/>
          <w:color w:val="201F1E"/>
          <w:sz w:val="22"/>
          <w:szCs w:val="22"/>
        </w:rPr>
        <w:t>ALEC</w:t>
      </w:r>
      <w:r w:rsidRPr="00790DCE">
        <w:rPr>
          <w:rFonts w:ascii="Calibri" w:hAnsi="Calibri" w:cs="Calibri"/>
          <w:color w:val="201F1E"/>
          <w:sz w:val="22"/>
          <w:szCs w:val="22"/>
        </w:rPr>
        <w:t xml:space="preserve"> situada a sala 1.112 do Palácio da Fazenda/RJ, bem como ajustar forma de ressarcimento ao Ministério da Economia das despesas proporcionais correspondentes a área ocupada. Com vigência até 09 de dezembro de 2020, </w:t>
      </w:r>
      <w:r w:rsidR="001E42E9">
        <w:rPr>
          <w:rFonts w:ascii="Calibri" w:hAnsi="Calibri" w:cs="Calibri"/>
          <w:color w:val="201F1E"/>
          <w:sz w:val="22"/>
          <w:szCs w:val="22"/>
        </w:rPr>
        <w:t>a</w:t>
      </w:r>
      <w:r w:rsidRPr="00790DCE">
        <w:rPr>
          <w:rFonts w:ascii="Calibri" w:hAnsi="Calibri" w:cs="Calibri"/>
          <w:color w:val="201F1E"/>
          <w:sz w:val="22"/>
          <w:szCs w:val="22"/>
        </w:rPr>
        <w:t xml:space="preserve"> prestação de contas</w:t>
      </w:r>
      <w:r w:rsidR="001E42E9">
        <w:rPr>
          <w:rFonts w:ascii="Calibri" w:hAnsi="Calibri" w:cs="Calibri"/>
          <w:color w:val="201F1E"/>
          <w:sz w:val="22"/>
          <w:szCs w:val="22"/>
        </w:rPr>
        <w:t xml:space="preserve"> foi concluída em abril de 2021</w:t>
      </w:r>
      <w:r w:rsidR="006912C4" w:rsidRPr="00790DCE">
        <w:rPr>
          <w:rFonts w:ascii="Calibri" w:hAnsi="Calibri" w:cs="Calibri"/>
          <w:color w:val="201F1E"/>
          <w:sz w:val="22"/>
          <w:szCs w:val="22"/>
        </w:rPr>
        <w:t>;</w:t>
      </w:r>
    </w:p>
    <w:p w14:paraId="740A0635" w14:textId="02BB1E3D" w:rsidR="00FF00FD" w:rsidRPr="002E2B5B" w:rsidRDefault="00FF00FD" w:rsidP="002E2B5B">
      <w:pPr>
        <w:pStyle w:val="PargrafodaLista"/>
        <w:widowControl w:val="0"/>
        <w:numPr>
          <w:ilvl w:val="0"/>
          <w:numId w:val="33"/>
        </w:numPr>
        <w:tabs>
          <w:tab w:val="left" w:pos="709"/>
        </w:tabs>
        <w:spacing w:after="120" w:line="276" w:lineRule="auto"/>
        <w:ind w:left="714" w:hanging="357"/>
        <w:jc w:val="both"/>
        <w:rPr>
          <w:rFonts w:ascii="Calibri" w:hAnsi="Calibri" w:cs="Calibri"/>
          <w:color w:val="201F1E"/>
          <w:sz w:val="22"/>
          <w:szCs w:val="22"/>
        </w:rPr>
      </w:pPr>
      <w:r w:rsidRPr="002E2B5B">
        <w:rPr>
          <w:rFonts w:ascii="Calibri" w:hAnsi="Calibri" w:cs="Calibri"/>
          <w:color w:val="201F1E"/>
          <w:sz w:val="22"/>
          <w:szCs w:val="22"/>
        </w:rPr>
        <w:t>Termo de Execução Descentralizada n°. 001/2020 celebrado entre a V</w:t>
      </w:r>
      <w:r w:rsidR="009705E6" w:rsidRPr="002E2B5B">
        <w:rPr>
          <w:rFonts w:ascii="Calibri" w:hAnsi="Calibri" w:cs="Calibri"/>
          <w:color w:val="201F1E"/>
          <w:sz w:val="22"/>
          <w:szCs w:val="22"/>
        </w:rPr>
        <w:t>ALEC</w:t>
      </w:r>
      <w:r w:rsidRPr="002E2B5B">
        <w:rPr>
          <w:rFonts w:ascii="Calibri" w:hAnsi="Calibri" w:cs="Calibri"/>
          <w:color w:val="201F1E"/>
          <w:sz w:val="22"/>
          <w:szCs w:val="22"/>
        </w:rPr>
        <w:t xml:space="preserve"> e o Exército Brasileiro, cujo objeto é a execução de obras remanescentes do </w:t>
      </w:r>
      <w:proofErr w:type="spellStart"/>
      <w:r w:rsidRPr="002E2B5B">
        <w:rPr>
          <w:rFonts w:ascii="Calibri" w:hAnsi="Calibri" w:cs="Calibri"/>
          <w:color w:val="201F1E"/>
          <w:sz w:val="22"/>
          <w:szCs w:val="22"/>
        </w:rPr>
        <w:t>sub-trecho</w:t>
      </w:r>
      <w:proofErr w:type="spellEnd"/>
      <w:r w:rsidRPr="002E2B5B">
        <w:rPr>
          <w:rFonts w:ascii="Calibri" w:hAnsi="Calibri" w:cs="Calibri"/>
          <w:color w:val="201F1E"/>
          <w:sz w:val="22"/>
          <w:szCs w:val="22"/>
        </w:rPr>
        <w:t xml:space="preserve"> da Ferrovia de Integração Oeste Leste - FIOL, compreendido entre Ilhéus/BA a Barreiras/BA </w:t>
      </w:r>
      <w:proofErr w:type="spellStart"/>
      <w:r w:rsidRPr="002E2B5B">
        <w:rPr>
          <w:rFonts w:ascii="Calibri" w:hAnsi="Calibri" w:cs="Calibri"/>
          <w:color w:val="201F1E"/>
          <w:sz w:val="22"/>
          <w:szCs w:val="22"/>
        </w:rPr>
        <w:t>sub-trecho</w:t>
      </w:r>
      <w:proofErr w:type="spellEnd"/>
      <w:r w:rsidRPr="002E2B5B">
        <w:rPr>
          <w:rFonts w:ascii="Calibri" w:hAnsi="Calibri" w:cs="Calibri"/>
          <w:color w:val="201F1E"/>
          <w:sz w:val="22"/>
          <w:szCs w:val="22"/>
        </w:rPr>
        <w:t xml:space="preserve"> Caetité/BA e Barreiras-BA, referente ao lote 06f - </w:t>
      </w:r>
      <w:r w:rsidRPr="002E2B5B">
        <w:rPr>
          <w:rFonts w:ascii="Calibri" w:hAnsi="Calibri" w:cs="Calibri"/>
          <w:color w:val="201F1E"/>
          <w:sz w:val="22"/>
          <w:szCs w:val="22"/>
        </w:rPr>
        <w:lastRenderedPageBreak/>
        <w:t>até o início da ponte sobre o rio São Francisco, numa extensão de 18,34km. Com vigência até 08 de setembro de 2023</w:t>
      </w:r>
      <w:r w:rsidR="006912C4" w:rsidRPr="002E2B5B">
        <w:rPr>
          <w:rFonts w:ascii="Calibri" w:hAnsi="Calibri" w:cs="Calibri"/>
          <w:color w:val="201F1E"/>
          <w:sz w:val="22"/>
          <w:szCs w:val="22"/>
        </w:rPr>
        <w:t>;</w:t>
      </w:r>
    </w:p>
    <w:p w14:paraId="3F9D0C20" w14:textId="03142A08" w:rsidR="00FF00FD" w:rsidRPr="002E2B5B" w:rsidRDefault="00FF00FD" w:rsidP="002E2B5B">
      <w:pPr>
        <w:pStyle w:val="PargrafodaLista"/>
        <w:widowControl w:val="0"/>
        <w:numPr>
          <w:ilvl w:val="0"/>
          <w:numId w:val="33"/>
        </w:numPr>
        <w:tabs>
          <w:tab w:val="left" w:pos="709"/>
        </w:tabs>
        <w:spacing w:after="120" w:line="276" w:lineRule="auto"/>
        <w:ind w:left="714" w:hanging="357"/>
        <w:jc w:val="both"/>
        <w:rPr>
          <w:rFonts w:ascii="Calibri" w:hAnsi="Calibri" w:cs="Calibri"/>
          <w:color w:val="201F1E"/>
          <w:sz w:val="22"/>
          <w:szCs w:val="22"/>
        </w:rPr>
      </w:pPr>
      <w:r w:rsidRPr="002E2B5B">
        <w:rPr>
          <w:rFonts w:ascii="Calibri" w:hAnsi="Calibri" w:cs="Calibri"/>
          <w:color w:val="201F1E"/>
          <w:sz w:val="22"/>
          <w:szCs w:val="22"/>
        </w:rPr>
        <w:t>Termo de Execução Descentralizada n°. 002/2020, celebrado entre a VALEC e a Universidade de Brasília, cujo objeto é a avaliação de metodologias desenvolvidas pela VALEC por meio das Notas técnicas Nº 57/2019 (Metodologia de Ensaio de Deformação Permanente do Lastro do Lote 5S da Ferrovia Norte Sul Extensão Sul) e Nº58/2019 (Metodologia de Ensaio de Deformação Permanente do Lastro do Lote 4S da Ferrovia Norte Sul Extensão Sul), bem como, estudar e compreender a vida útil de britas de lastros por meio de ensaios e por avaliações mediante métodos numéricos avançados. Com vigência até 22 de dezembro de 2021</w:t>
      </w:r>
      <w:r w:rsidR="006912C4" w:rsidRPr="002E2B5B">
        <w:rPr>
          <w:rFonts w:ascii="Calibri" w:hAnsi="Calibri" w:cs="Calibri"/>
          <w:color w:val="201F1E"/>
          <w:sz w:val="22"/>
          <w:szCs w:val="22"/>
        </w:rPr>
        <w:t xml:space="preserve">; </w:t>
      </w:r>
    </w:p>
    <w:p w14:paraId="038D1693" w14:textId="3653178B" w:rsidR="00374FB9" w:rsidRDefault="00FF00FD" w:rsidP="002E2B5B">
      <w:pPr>
        <w:pStyle w:val="PargrafodaLista"/>
        <w:widowControl w:val="0"/>
        <w:numPr>
          <w:ilvl w:val="0"/>
          <w:numId w:val="33"/>
        </w:numPr>
        <w:tabs>
          <w:tab w:val="left" w:pos="709"/>
        </w:tabs>
        <w:spacing w:line="276" w:lineRule="auto"/>
        <w:ind w:left="714" w:hanging="357"/>
        <w:jc w:val="both"/>
        <w:rPr>
          <w:rFonts w:ascii="Calibri" w:hAnsi="Calibri" w:cs="Calibri"/>
          <w:color w:val="201F1E"/>
          <w:sz w:val="22"/>
          <w:szCs w:val="22"/>
        </w:rPr>
      </w:pPr>
      <w:r w:rsidRPr="002E2B5B">
        <w:rPr>
          <w:rFonts w:ascii="Calibri" w:hAnsi="Calibri" w:cs="Calibri"/>
          <w:color w:val="201F1E"/>
          <w:sz w:val="22"/>
          <w:szCs w:val="22"/>
        </w:rPr>
        <w:t>Termo de Execução Descentralizada n°. 003/2020, celebrado entre a VALEC e a Universidade de Brasília, cujo objeto é o desenvolvimento do modelo mental BIM de forma que os profissionais e pessoas fiquem preparadas para trabalharem de maneira integrada junto com tecnologias GIS, onde todos interagem ao mesmo tempo, conectados, com a possibilidade de falar com qualquer membro da equipe quando necessário, trocando informações e compartilhando de forma ostensiva informações, com o desenvolvimento de novas metodologias de integração de softwares. Com vigência até 17 de março de 2022</w:t>
      </w:r>
      <w:r w:rsidR="00D87A20">
        <w:rPr>
          <w:rFonts w:ascii="Calibri" w:hAnsi="Calibri" w:cs="Calibri"/>
          <w:color w:val="201F1E"/>
          <w:sz w:val="22"/>
          <w:szCs w:val="22"/>
        </w:rPr>
        <w:t>; e</w:t>
      </w:r>
    </w:p>
    <w:p w14:paraId="4B11500E" w14:textId="74C8FD9B" w:rsidR="00790DCE" w:rsidRDefault="00B1211B" w:rsidP="005544D6">
      <w:pPr>
        <w:pStyle w:val="PargrafodaLista"/>
        <w:widowControl w:val="0"/>
        <w:numPr>
          <w:ilvl w:val="0"/>
          <w:numId w:val="33"/>
        </w:numPr>
        <w:tabs>
          <w:tab w:val="left" w:pos="709"/>
        </w:tabs>
        <w:spacing w:line="276" w:lineRule="auto"/>
        <w:ind w:left="714" w:hanging="357"/>
        <w:jc w:val="both"/>
        <w:rPr>
          <w:rFonts w:ascii="Calibri" w:hAnsi="Calibri" w:cs="Calibri"/>
          <w:color w:val="201F1E"/>
          <w:sz w:val="22"/>
          <w:szCs w:val="22"/>
        </w:rPr>
      </w:pPr>
      <w:r w:rsidRPr="00B1211B">
        <w:rPr>
          <w:rFonts w:ascii="Calibri" w:hAnsi="Calibri" w:cs="Calibri"/>
          <w:color w:val="201F1E"/>
          <w:sz w:val="22"/>
          <w:szCs w:val="22"/>
        </w:rPr>
        <w:t>Termo de Execução Descentralizada nº 001/2021</w:t>
      </w:r>
      <w:r>
        <w:rPr>
          <w:rFonts w:ascii="Calibri" w:hAnsi="Calibri" w:cs="Calibri"/>
          <w:color w:val="201F1E"/>
          <w:sz w:val="22"/>
          <w:szCs w:val="22"/>
        </w:rPr>
        <w:t>,</w:t>
      </w:r>
      <w:r w:rsidRPr="00B1211B">
        <w:rPr>
          <w:rFonts w:ascii="Calibri" w:hAnsi="Calibri" w:cs="Calibri"/>
          <w:color w:val="201F1E"/>
          <w:sz w:val="22"/>
          <w:szCs w:val="22"/>
        </w:rPr>
        <w:t xml:space="preserve"> celebrado entre a VALEC e o Ministério da Ciência, Tecnologia e Inovações, cujo objeto é a </w:t>
      </w:r>
      <w:r>
        <w:rPr>
          <w:rFonts w:ascii="Calibri" w:hAnsi="Calibri" w:cs="Calibri"/>
          <w:color w:val="201F1E"/>
          <w:sz w:val="22"/>
          <w:szCs w:val="22"/>
        </w:rPr>
        <w:t>e</w:t>
      </w:r>
      <w:r w:rsidRPr="00B1211B">
        <w:rPr>
          <w:rFonts w:ascii="Calibri" w:hAnsi="Calibri" w:cs="Calibri"/>
          <w:color w:val="201F1E"/>
          <w:sz w:val="22"/>
          <w:szCs w:val="22"/>
        </w:rPr>
        <w:t>xecução de produtos e serviços de comunicação corporativa, no que trata de produção de conteúdo jornalístico, audiovisual e fotográfico, atendimento às demandas de imprensa, monitoramento de veículos online e mídias sociais</w:t>
      </w:r>
      <w:r>
        <w:rPr>
          <w:rFonts w:ascii="Calibri" w:hAnsi="Calibri" w:cs="Calibri"/>
          <w:color w:val="201F1E"/>
          <w:sz w:val="22"/>
          <w:szCs w:val="22"/>
        </w:rPr>
        <w:t>.</w:t>
      </w:r>
      <w:r w:rsidRPr="00B1211B">
        <w:rPr>
          <w:rFonts w:ascii="Calibri" w:hAnsi="Calibri" w:cs="Calibri"/>
          <w:color w:val="201F1E"/>
          <w:sz w:val="22"/>
          <w:szCs w:val="22"/>
        </w:rPr>
        <w:t xml:space="preserve"> Com vigência até </w:t>
      </w:r>
      <w:r>
        <w:rPr>
          <w:rFonts w:ascii="Calibri" w:hAnsi="Calibri" w:cs="Calibri"/>
          <w:color w:val="201F1E"/>
          <w:sz w:val="22"/>
          <w:szCs w:val="22"/>
        </w:rPr>
        <w:t xml:space="preserve">24 de junho de </w:t>
      </w:r>
      <w:r w:rsidRPr="00B1211B">
        <w:rPr>
          <w:rFonts w:ascii="Calibri" w:hAnsi="Calibri" w:cs="Calibri"/>
          <w:color w:val="201F1E"/>
          <w:sz w:val="22"/>
          <w:szCs w:val="22"/>
        </w:rPr>
        <w:t>2022</w:t>
      </w:r>
      <w:r>
        <w:rPr>
          <w:rFonts w:ascii="Calibri" w:hAnsi="Calibri" w:cs="Calibri"/>
          <w:color w:val="201F1E"/>
          <w:sz w:val="22"/>
          <w:szCs w:val="22"/>
        </w:rPr>
        <w:t>.</w:t>
      </w:r>
    </w:p>
    <w:p w14:paraId="363FF38D" w14:textId="77777777" w:rsidR="00B1211B" w:rsidRPr="00B1211B" w:rsidRDefault="00B1211B" w:rsidP="00B1211B">
      <w:pPr>
        <w:pStyle w:val="PargrafodaLista"/>
        <w:widowControl w:val="0"/>
        <w:tabs>
          <w:tab w:val="left" w:pos="709"/>
        </w:tabs>
        <w:spacing w:line="276" w:lineRule="auto"/>
        <w:ind w:left="714"/>
        <w:jc w:val="both"/>
        <w:rPr>
          <w:rFonts w:ascii="Calibri" w:hAnsi="Calibri" w:cs="Calibri"/>
          <w:color w:val="201F1E"/>
          <w:sz w:val="22"/>
          <w:szCs w:val="22"/>
        </w:rPr>
      </w:pPr>
    </w:p>
    <w:p w14:paraId="3D965338" w14:textId="7F4EAE99" w:rsidR="00F30406" w:rsidRPr="002E2B5B" w:rsidRDefault="002339ED" w:rsidP="002E2B5B">
      <w:pPr>
        <w:jc w:val="both"/>
        <w:rPr>
          <w:rFonts w:ascii="Calibri" w:hAnsi="Calibri" w:cs="Calibri"/>
          <w:b/>
          <w:sz w:val="22"/>
          <w:szCs w:val="22"/>
        </w:rPr>
      </w:pPr>
      <w:r w:rsidRPr="002E2B5B">
        <w:rPr>
          <w:rFonts w:ascii="Calibri" w:hAnsi="Calibri" w:cs="Calibri"/>
          <w:b/>
          <w:sz w:val="22"/>
          <w:szCs w:val="22"/>
        </w:rPr>
        <w:t>c</w:t>
      </w:r>
      <w:r w:rsidR="0002316D" w:rsidRPr="002E2B5B">
        <w:rPr>
          <w:rFonts w:ascii="Calibri" w:hAnsi="Calibri" w:cs="Calibri"/>
          <w:b/>
          <w:sz w:val="22"/>
          <w:szCs w:val="22"/>
        </w:rPr>
        <w:t>.2</w:t>
      </w:r>
      <w:r w:rsidR="005D27D4" w:rsidRPr="002E2B5B">
        <w:rPr>
          <w:rFonts w:ascii="Calibri" w:hAnsi="Calibri" w:cs="Calibri"/>
          <w:b/>
          <w:sz w:val="22"/>
          <w:szCs w:val="22"/>
        </w:rPr>
        <w:t>)</w:t>
      </w:r>
      <w:r w:rsidR="005D27D4" w:rsidRPr="002E2B5B">
        <w:rPr>
          <w:rFonts w:ascii="Calibri" w:hAnsi="Calibri" w:cs="Calibri"/>
          <w:sz w:val="22"/>
          <w:szCs w:val="22"/>
        </w:rPr>
        <w:t xml:space="preserve"> </w:t>
      </w:r>
      <w:r w:rsidR="005D27D4" w:rsidRPr="002E2B5B">
        <w:rPr>
          <w:rFonts w:ascii="Calibri" w:hAnsi="Calibri" w:cs="Calibri"/>
          <w:b/>
          <w:sz w:val="22"/>
          <w:szCs w:val="22"/>
        </w:rPr>
        <w:t xml:space="preserve">Créditos </w:t>
      </w:r>
      <w:r w:rsidR="0002316D" w:rsidRPr="002E2B5B">
        <w:rPr>
          <w:rFonts w:ascii="Calibri" w:hAnsi="Calibri" w:cs="Calibri"/>
          <w:b/>
          <w:sz w:val="22"/>
          <w:szCs w:val="22"/>
        </w:rPr>
        <w:t>a Receber</w:t>
      </w:r>
    </w:p>
    <w:p w14:paraId="098F9600" w14:textId="74D4F8C7" w:rsidR="00BF485B" w:rsidRPr="002E2B5B" w:rsidRDefault="00F30406" w:rsidP="002E2B5B">
      <w:pPr>
        <w:jc w:val="both"/>
        <w:rPr>
          <w:rFonts w:ascii="Calibri" w:hAnsi="Calibri" w:cs="Calibri"/>
          <w:sz w:val="22"/>
          <w:szCs w:val="22"/>
        </w:rPr>
      </w:pPr>
      <w:bookmarkStart w:id="0" w:name="_Hlk34327011"/>
      <w:r w:rsidRPr="002E2B5B">
        <w:rPr>
          <w:rFonts w:ascii="Calibri" w:hAnsi="Calibri" w:cs="Calibri"/>
          <w:sz w:val="22"/>
          <w:szCs w:val="22"/>
        </w:rPr>
        <w:t>Os créditos a receber referem-se à</w:t>
      </w:r>
      <w:r w:rsidR="00DD5B67" w:rsidRPr="002E2B5B">
        <w:rPr>
          <w:rFonts w:ascii="Calibri" w:hAnsi="Calibri" w:cs="Calibri"/>
          <w:sz w:val="22"/>
          <w:szCs w:val="22"/>
        </w:rPr>
        <w:t>s multas compensatórias previstas em contratos, as quais a V</w:t>
      </w:r>
      <w:r w:rsidR="00920ED9" w:rsidRPr="002E2B5B">
        <w:rPr>
          <w:rFonts w:ascii="Calibri" w:hAnsi="Calibri" w:cs="Calibri"/>
          <w:sz w:val="22"/>
          <w:szCs w:val="22"/>
        </w:rPr>
        <w:t>ALEC</w:t>
      </w:r>
      <w:r w:rsidR="00DD5B67" w:rsidRPr="002E2B5B">
        <w:rPr>
          <w:rFonts w:ascii="Calibri" w:hAnsi="Calibri" w:cs="Calibri"/>
          <w:sz w:val="22"/>
          <w:szCs w:val="22"/>
        </w:rPr>
        <w:t xml:space="preserve"> aplicou a contratos de fornecedores e que estão sendo cobradas por meio </w:t>
      </w:r>
      <w:r w:rsidRPr="002E2B5B">
        <w:rPr>
          <w:rFonts w:ascii="Calibri" w:hAnsi="Calibri" w:cs="Calibri"/>
          <w:sz w:val="22"/>
          <w:szCs w:val="22"/>
        </w:rPr>
        <w:t>de processos administrativos,</w:t>
      </w:r>
      <w:r w:rsidR="00475112" w:rsidRPr="002E2B5B">
        <w:rPr>
          <w:rFonts w:ascii="Calibri" w:hAnsi="Calibri" w:cs="Calibri"/>
          <w:sz w:val="22"/>
          <w:szCs w:val="22"/>
        </w:rPr>
        <w:t xml:space="preserve"> em decisões </w:t>
      </w:r>
      <w:r w:rsidR="001743C1" w:rsidRPr="002E2B5B">
        <w:rPr>
          <w:rFonts w:ascii="Calibri" w:hAnsi="Calibri" w:cs="Calibri"/>
          <w:sz w:val="22"/>
          <w:szCs w:val="22"/>
        </w:rPr>
        <w:t>originárias</w:t>
      </w:r>
      <w:r w:rsidR="00475112" w:rsidRPr="002E2B5B">
        <w:rPr>
          <w:rFonts w:ascii="Calibri" w:hAnsi="Calibri" w:cs="Calibri"/>
          <w:sz w:val="22"/>
          <w:szCs w:val="22"/>
        </w:rPr>
        <w:t xml:space="preserve"> das Diretoria</w:t>
      </w:r>
      <w:bookmarkEnd w:id="0"/>
      <w:r w:rsidR="00024A86" w:rsidRPr="002E2B5B">
        <w:rPr>
          <w:rFonts w:ascii="Calibri" w:hAnsi="Calibri" w:cs="Calibri"/>
          <w:sz w:val="22"/>
          <w:szCs w:val="22"/>
        </w:rPr>
        <w:t>.</w:t>
      </w:r>
    </w:p>
    <w:tbl>
      <w:tblPr>
        <w:tblW w:w="5140" w:type="pct"/>
        <w:tblCellMar>
          <w:left w:w="70" w:type="dxa"/>
          <w:right w:w="70" w:type="dxa"/>
        </w:tblCellMar>
        <w:tblLook w:val="04A0" w:firstRow="1" w:lastRow="0" w:firstColumn="1" w:lastColumn="0" w:noHBand="0" w:noVBand="1"/>
      </w:tblPr>
      <w:tblGrid>
        <w:gridCol w:w="4452"/>
        <w:gridCol w:w="773"/>
        <w:gridCol w:w="183"/>
        <w:gridCol w:w="325"/>
        <w:gridCol w:w="1463"/>
        <w:gridCol w:w="2081"/>
        <w:gridCol w:w="224"/>
        <w:gridCol w:w="1039"/>
        <w:gridCol w:w="220"/>
      </w:tblGrid>
      <w:tr w:rsidR="005D27D4" w:rsidRPr="00C34E8D" w14:paraId="355B2A1A" w14:textId="77777777" w:rsidTr="00B23D01">
        <w:trPr>
          <w:gridAfter w:val="1"/>
          <w:wAfter w:w="102" w:type="pct"/>
          <w:trHeight w:hRule="exact" w:val="227"/>
        </w:trPr>
        <w:tc>
          <w:tcPr>
            <w:tcW w:w="2069" w:type="pct"/>
            <w:tcBorders>
              <w:top w:val="nil"/>
              <w:left w:val="nil"/>
              <w:bottom w:val="single" w:sz="4" w:space="0" w:color="auto"/>
              <w:right w:val="nil"/>
            </w:tcBorders>
            <w:shd w:val="clear" w:color="auto" w:fill="auto"/>
            <w:noWrap/>
            <w:vAlign w:val="bottom"/>
            <w:hideMark/>
          </w:tcPr>
          <w:p w14:paraId="5CFFC5BA" w14:textId="77777777" w:rsidR="005D27D4" w:rsidRPr="00C34E8D" w:rsidRDefault="005D27D4" w:rsidP="002E2B5B">
            <w:pPr>
              <w:rPr>
                <w:rFonts w:ascii="Calibri" w:hAnsi="Calibri" w:cs="Calibri"/>
                <w:b/>
                <w:bCs/>
                <w:sz w:val="16"/>
                <w:szCs w:val="16"/>
              </w:rPr>
            </w:pPr>
            <w:r w:rsidRPr="00C34E8D">
              <w:rPr>
                <w:rFonts w:ascii="Calibri" w:hAnsi="Calibri" w:cs="Calibri"/>
                <w:b/>
                <w:bCs/>
                <w:sz w:val="16"/>
                <w:szCs w:val="16"/>
              </w:rPr>
              <w:t>OUTROS CRÉDITOS A RECEBER</w:t>
            </w:r>
          </w:p>
        </w:tc>
        <w:tc>
          <w:tcPr>
            <w:tcW w:w="359" w:type="pct"/>
            <w:tcBorders>
              <w:top w:val="nil"/>
              <w:left w:val="nil"/>
              <w:bottom w:val="single" w:sz="4" w:space="0" w:color="auto"/>
              <w:right w:val="nil"/>
            </w:tcBorders>
            <w:shd w:val="clear" w:color="auto" w:fill="auto"/>
            <w:noWrap/>
            <w:vAlign w:val="bottom"/>
            <w:hideMark/>
          </w:tcPr>
          <w:p w14:paraId="5B5156FF" w14:textId="77777777" w:rsidR="005D27D4" w:rsidRPr="00C34E8D" w:rsidRDefault="005D27D4" w:rsidP="002E2B5B">
            <w:pPr>
              <w:jc w:val="center"/>
              <w:rPr>
                <w:rFonts w:ascii="Calibri" w:hAnsi="Calibri" w:cs="Calibri"/>
                <w:b/>
                <w:bCs/>
                <w:sz w:val="16"/>
                <w:szCs w:val="16"/>
              </w:rPr>
            </w:pPr>
          </w:p>
        </w:tc>
        <w:tc>
          <w:tcPr>
            <w:tcW w:w="85" w:type="pct"/>
            <w:tcBorders>
              <w:top w:val="nil"/>
              <w:left w:val="nil"/>
              <w:bottom w:val="single" w:sz="4" w:space="0" w:color="auto"/>
              <w:right w:val="nil"/>
            </w:tcBorders>
            <w:shd w:val="clear" w:color="auto" w:fill="auto"/>
            <w:noWrap/>
            <w:vAlign w:val="bottom"/>
            <w:hideMark/>
          </w:tcPr>
          <w:p w14:paraId="5A835A17" w14:textId="77777777" w:rsidR="005D27D4" w:rsidRPr="00C34E8D" w:rsidRDefault="005D27D4" w:rsidP="002E2B5B">
            <w:pPr>
              <w:jc w:val="center"/>
              <w:rPr>
                <w:rFonts w:ascii="Calibri" w:hAnsi="Calibri" w:cs="Calibri"/>
                <w:b/>
                <w:bCs/>
                <w:sz w:val="16"/>
                <w:szCs w:val="16"/>
              </w:rPr>
            </w:pPr>
          </w:p>
        </w:tc>
        <w:tc>
          <w:tcPr>
            <w:tcW w:w="151" w:type="pct"/>
            <w:tcBorders>
              <w:top w:val="nil"/>
              <w:left w:val="nil"/>
              <w:bottom w:val="single" w:sz="4" w:space="0" w:color="auto"/>
              <w:right w:val="nil"/>
            </w:tcBorders>
          </w:tcPr>
          <w:p w14:paraId="7C23FBF1" w14:textId="77777777" w:rsidR="005D27D4" w:rsidRPr="00C34E8D" w:rsidRDefault="005D27D4" w:rsidP="002E2B5B">
            <w:pPr>
              <w:jc w:val="right"/>
              <w:rPr>
                <w:rFonts w:ascii="Calibri" w:hAnsi="Calibri" w:cs="Calibri"/>
                <w:b/>
                <w:bCs/>
                <w:sz w:val="16"/>
                <w:szCs w:val="16"/>
              </w:rPr>
            </w:pPr>
          </w:p>
        </w:tc>
        <w:tc>
          <w:tcPr>
            <w:tcW w:w="680" w:type="pct"/>
            <w:tcBorders>
              <w:top w:val="nil"/>
              <w:left w:val="nil"/>
              <w:bottom w:val="single" w:sz="4" w:space="0" w:color="auto"/>
              <w:right w:val="nil"/>
            </w:tcBorders>
            <w:shd w:val="clear" w:color="auto" w:fill="auto"/>
            <w:noWrap/>
            <w:vAlign w:val="bottom"/>
          </w:tcPr>
          <w:p w14:paraId="0B8559B8" w14:textId="77777777" w:rsidR="005D27D4" w:rsidRPr="00C34E8D" w:rsidRDefault="005D27D4" w:rsidP="002E2B5B">
            <w:pPr>
              <w:jc w:val="right"/>
              <w:rPr>
                <w:rFonts w:ascii="Calibri" w:hAnsi="Calibri" w:cs="Calibri"/>
                <w:b/>
                <w:bCs/>
                <w:sz w:val="16"/>
                <w:szCs w:val="16"/>
              </w:rPr>
            </w:pPr>
            <w:r w:rsidRPr="00C34E8D">
              <w:rPr>
                <w:rFonts w:ascii="Calibri" w:hAnsi="Calibri" w:cs="Calibri"/>
                <w:b/>
                <w:bCs/>
                <w:sz w:val="16"/>
                <w:szCs w:val="16"/>
              </w:rPr>
              <w:t>CONTRATO</w:t>
            </w:r>
          </w:p>
        </w:tc>
        <w:tc>
          <w:tcPr>
            <w:tcW w:w="967" w:type="pct"/>
            <w:tcBorders>
              <w:top w:val="nil"/>
              <w:left w:val="nil"/>
              <w:bottom w:val="single" w:sz="4" w:space="0" w:color="auto"/>
              <w:right w:val="nil"/>
            </w:tcBorders>
          </w:tcPr>
          <w:p w14:paraId="547FA332" w14:textId="77777777" w:rsidR="00B23D01" w:rsidRPr="00C34E8D" w:rsidRDefault="00B23D01" w:rsidP="002E2B5B">
            <w:pPr>
              <w:jc w:val="center"/>
              <w:rPr>
                <w:rFonts w:ascii="Calibri" w:hAnsi="Calibri" w:cs="Calibri"/>
                <w:b/>
                <w:bCs/>
                <w:sz w:val="16"/>
                <w:szCs w:val="16"/>
              </w:rPr>
            </w:pPr>
          </w:p>
          <w:p w14:paraId="15CFA36A" w14:textId="7FBB6E33" w:rsidR="005D27D4" w:rsidRPr="00C34E8D" w:rsidRDefault="005D27D4" w:rsidP="002E2B5B">
            <w:pPr>
              <w:jc w:val="center"/>
              <w:rPr>
                <w:rFonts w:ascii="Calibri" w:hAnsi="Calibri" w:cs="Calibri"/>
                <w:b/>
                <w:bCs/>
                <w:sz w:val="16"/>
                <w:szCs w:val="16"/>
              </w:rPr>
            </w:pPr>
            <w:r w:rsidRPr="00C34E8D">
              <w:rPr>
                <w:rFonts w:ascii="Calibri" w:hAnsi="Calibri" w:cs="Calibri"/>
                <w:b/>
                <w:bCs/>
                <w:sz w:val="16"/>
                <w:szCs w:val="16"/>
              </w:rPr>
              <w:t>PROCESSO ADMINISTRATIVO</w:t>
            </w:r>
          </w:p>
        </w:tc>
        <w:tc>
          <w:tcPr>
            <w:tcW w:w="104" w:type="pct"/>
            <w:tcBorders>
              <w:top w:val="nil"/>
              <w:left w:val="nil"/>
              <w:bottom w:val="single" w:sz="4" w:space="0" w:color="auto"/>
              <w:right w:val="nil"/>
            </w:tcBorders>
            <w:shd w:val="clear" w:color="auto" w:fill="auto"/>
            <w:noWrap/>
            <w:vAlign w:val="bottom"/>
            <w:hideMark/>
          </w:tcPr>
          <w:p w14:paraId="59BCDC7E" w14:textId="77777777" w:rsidR="005D27D4" w:rsidRPr="00C34E8D" w:rsidRDefault="005D27D4" w:rsidP="002E2B5B">
            <w:pPr>
              <w:jc w:val="center"/>
              <w:rPr>
                <w:rFonts w:ascii="Calibri" w:hAnsi="Calibri" w:cs="Calibri"/>
                <w:b/>
                <w:bCs/>
                <w:sz w:val="16"/>
                <w:szCs w:val="16"/>
              </w:rPr>
            </w:pPr>
          </w:p>
        </w:tc>
        <w:tc>
          <w:tcPr>
            <w:tcW w:w="483" w:type="pct"/>
            <w:tcBorders>
              <w:top w:val="nil"/>
              <w:left w:val="nil"/>
              <w:bottom w:val="single" w:sz="4" w:space="0" w:color="auto"/>
              <w:right w:val="nil"/>
            </w:tcBorders>
            <w:shd w:val="clear" w:color="auto" w:fill="auto"/>
            <w:noWrap/>
            <w:vAlign w:val="bottom"/>
            <w:hideMark/>
          </w:tcPr>
          <w:p w14:paraId="3D63B673" w14:textId="77777777" w:rsidR="005D27D4" w:rsidRPr="00C34E8D" w:rsidRDefault="005D27D4" w:rsidP="002E2B5B">
            <w:pPr>
              <w:jc w:val="right"/>
              <w:rPr>
                <w:rFonts w:ascii="Calibri" w:hAnsi="Calibri" w:cs="Calibri"/>
                <w:b/>
                <w:bCs/>
                <w:sz w:val="16"/>
                <w:szCs w:val="16"/>
              </w:rPr>
            </w:pPr>
            <w:r w:rsidRPr="00C34E8D">
              <w:rPr>
                <w:rFonts w:ascii="Calibri" w:hAnsi="Calibri" w:cs="Calibri"/>
                <w:b/>
                <w:bCs/>
                <w:sz w:val="16"/>
                <w:szCs w:val="16"/>
              </w:rPr>
              <w:t>VALOR</w:t>
            </w:r>
          </w:p>
        </w:tc>
      </w:tr>
      <w:tr w:rsidR="00913899" w:rsidRPr="00C34E8D" w14:paraId="39DC4BFF" w14:textId="77777777" w:rsidTr="00B23D01">
        <w:trPr>
          <w:trHeight w:hRule="exact" w:val="227"/>
        </w:trPr>
        <w:tc>
          <w:tcPr>
            <w:tcW w:w="2069" w:type="pct"/>
            <w:tcBorders>
              <w:top w:val="single" w:sz="4" w:space="0" w:color="auto"/>
              <w:left w:val="nil"/>
              <w:right w:val="nil"/>
            </w:tcBorders>
            <w:shd w:val="clear" w:color="auto" w:fill="auto"/>
            <w:noWrap/>
            <w:vAlign w:val="center"/>
          </w:tcPr>
          <w:p w14:paraId="056AF680" w14:textId="77777777" w:rsidR="00913899" w:rsidRPr="00C34E8D" w:rsidRDefault="00913899" w:rsidP="002E2B5B">
            <w:pPr>
              <w:rPr>
                <w:rFonts w:ascii="Calibri" w:hAnsi="Calibri" w:cs="Calibri"/>
                <w:b/>
                <w:sz w:val="16"/>
                <w:szCs w:val="16"/>
              </w:rPr>
            </w:pPr>
            <w:r w:rsidRPr="00C34E8D">
              <w:rPr>
                <w:rFonts w:ascii="Calibri" w:hAnsi="Calibri" w:cs="Calibri"/>
                <w:b/>
                <w:sz w:val="16"/>
                <w:szCs w:val="16"/>
              </w:rPr>
              <w:t xml:space="preserve">Multas Compensatórias </w:t>
            </w:r>
          </w:p>
        </w:tc>
        <w:tc>
          <w:tcPr>
            <w:tcW w:w="359" w:type="pct"/>
            <w:tcBorders>
              <w:top w:val="single" w:sz="4" w:space="0" w:color="auto"/>
              <w:left w:val="nil"/>
              <w:right w:val="nil"/>
            </w:tcBorders>
            <w:shd w:val="clear" w:color="auto" w:fill="auto"/>
            <w:noWrap/>
            <w:vAlign w:val="bottom"/>
          </w:tcPr>
          <w:p w14:paraId="737F31D0" w14:textId="77777777" w:rsidR="00913899" w:rsidRPr="00C34E8D" w:rsidRDefault="00913899" w:rsidP="002E2B5B">
            <w:pPr>
              <w:rPr>
                <w:rFonts w:ascii="Calibri" w:hAnsi="Calibri" w:cs="Calibri"/>
                <w:b/>
                <w:sz w:val="16"/>
                <w:szCs w:val="16"/>
              </w:rPr>
            </w:pPr>
          </w:p>
        </w:tc>
        <w:tc>
          <w:tcPr>
            <w:tcW w:w="85" w:type="pct"/>
            <w:tcBorders>
              <w:top w:val="single" w:sz="4" w:space="0" w:color="auto"/>
              <w:left w:val="nil"/>
              <w:right w:val="nil"/>
            </w:tcBorders>
            <w:shd w:val="clear" w:color="auto" w:fill="auto"/>
            <w:noWrap/>
            <w:vAlign w:val="bottom"/>
          </w:tcPr>
          <w:p w14:paraId="71A6E3EF" w14:textId="77777777" w:rsidR="00913899" w:rsidRPr="00C34E8D" w:rsidRDefault="00913899" w:rsidP="002E2B5B">
            <w:pPr>
              <w:rPr>
                <w:rFonts w:ascii="Calibri" w:hAnsi="Calibri" w:cs="Calibri"/>
                <w:b/>
                <w:sz w:val="16"/>
                <w:szCs w:val="16"/>
              </w:rPr>
            </w:pPr>
          </w:p>
        </w:tc>
        <w:tc>
          <w:tcPr>
            <w:tcW w:w="151" w:type="pct"/>
            <w:tcBorders>
              <w:top w:val="single" w:sz="4" w:space="0" w:color="auto"/>
              <w:left w:val="nil"/>
              <w:right w:val="nil"/>
            </w:tcBorders>
            <w:vAlign w:val="bottom"/>
          </w:tcPr>
          <w:p w14:paraId="2A832CE7" w14:textId="77777777" w:rsidR="00913899" w:rsidRPr="00C34E8D" w:rsidRDefault="00913899" w:rsidP="002E2B5B">
            <w:pPr>
              <w:jc w:val="right"/>
              <w:rPr>
                <w:rFonts w:ascii="Calibri" w:hAnsi="Calibri" w:cs="Calibri"/>
                <w:b/>
                <w:sz w:val="16"/>
                <w:szCs w:val="16"/>
              </w:rPr>
            </w:pPr>
          </w:p>
        </w:tc>
        <w:tc>
          <w:tcPr>
            <w:tcW w:w="680" w:type="pct"/>
            <w:tcBorders>
              <w:top w:val="single" w:sz="4" w:space="0" w:color="auto"/>
              <w:left w:val="nil"/>
              <w:right w:val="nil"/>
            </w:tcBorders>
            <w:shd w:val="clear" w:color="auto" w:fill="auto"/>
            <w:noWrap/>
            <w:vAlign w:val="bottom"/>
          </w:tcPr>
          <w:p w14:paraId="055E751C" w14:textId="77777777" w:rsidR="00913899" w:rsidRPr="00C34E8D" w:rsidRDefault="00913899" w:rsidP="002E2B5B">
            <w:pPr>
              <w:jc w:val="right"/>
              <w:rPr>
                <w:rFonts w:ascii="Calibri" w:hAnsi="Calibri" w:cs="Calibri"/>
                <w:sz w:val="16"/>
                <w:szCs w:val="16"/>
              </w:rPr>
            </w:pPr>
          </w:p>
        </w:tc>
        <w:tc>
          <w:tcPr>
            <w:tcW w:w="967" w:type="pct"/>
            <w:tcBorders>
              <w:top w:val="single" w:sz="4" w:space="0" w:color="auto"/>
              <w:left w:val="nil"/>
              <w:right w:val="nil"/>
            </w:tcBorders>
          </w:tcPr>
          <w:p w14:paraId="13BF68D3" w14:textId="77777777" w:rsidR="00913899" w:rsidRPr="00C34E8D" w:rsidRDefault="00913899" w:rsidP="002E2B5B">
            <w:pPr>
              <w:rPr>
                <w:rFonts w:ascii="Calibri" w:hAnsi="Calibri" w:cs="Calibri"/>
                <w:sz w:val="16"/>
                <w:szCs w:val="16"/>
              </w:rPr>
            </w:pPr>
          </w:p>
        </w:tc>
        <w:tc>
          <w:tcPr>
            <w:tcW w:w="104" w:type="pct"/>
            <w:tcBorders>
              <w:top w:val="single" w:sz="4" w:space="0" w:color="auto"/>
              <w:left w:val="nil"/>
              <w:right w:val="nil"/>
            </w:tcBorders>
            <w:shd w:val="clear" w:color="auto" w:fill="auto"/>
            <w:noWrap/>
            <w:vAlign w:val="bottom"/>
          </w:tcPr>
          <w:p w14:paraId="31251C3A" w14:textId="77777777" w:rsidR="00913899" w:rsidRPr="00C34E8D" w:rsidRDefault="00913899" w:rsidP="002E2B5B">
            <w:pPr>
              <w:rPr>
                <w:rFonts w:ascii="Calibri" w:hAnsi="Calibri" w:cs="Calibri"/>
                <w:b/>
                <w:sz w:val="16"/>
                <w:szCs w:val="16"/>
              </w:rPr>
            </w:pPr>
          </w:p>
        </w:tc>
        <w:tc>
          <w:tcPr>
            <w:tcW w:w="483" w:type="pct"/>
            <w:tcBorders>
              <w:top w:val="single" w:sz="4" w:space="0" w:color="auto"/>
              <w:left w:val="nil"/>
              <w:right w:val="nil"/>
            </w:tcBorders>
            <w:shd w:val="clear" w:color="auto" w:fill="auto"/>
            <w:noWrap/>
            <w:vAlign w:val="center"/>
          </w:tcPr>
          <w:p w14:paraId="77B8B209" w14:textId="77777777" w:rsidR="00913899" w:rsidRPr="00C34E8D" w:rsidRDefault="00913899" w:rsidP="002E2B5B">
            <w:pPr>
              <w:jc w:val="right"/>
              <w:rPr>
                <w:rFonts w:ascii="Calibri" w:hAnsi="Calibri" w:cs="Calibri"/>
                <w:sz w:val="16"/>
                <w:szCs w:val="16"/>
              </w:rPr>
            </w:pPr>
          </w:p>
        </w:tc>
        <w:tc>
          <w:tcPr>
            <w:tcW w:w="102" w:type="pct"/>
            <w:vAlign w:val="bottom"/>
          </w:tcPr>
          <w:p w14:paraId="039302BA" w14:textId="77777777" w:rsidR="00913899" w:rsidRPr="00C34E8D" w:rsidRDefault="00913899" w:rsidP="002E2B5B">
            <w:pPr>
              <w:rPr>
                <w:rFonts w:ascii="Calibri" w:hAnsi="Calibri" w:cs="Calibri"/>
                <w:sz w:val="16"/>
                <w:szCs w:val="16"/>
              </w:rPr>
            </w:pPr>
          </w:p>
        </w:tc>
      </w:tr>
      <w:tr w:rsidR="00913899" w:rsidRPr="00C34E8D" w14:paraId="327984F3" w14:textId="77777777" w:rsidTr="00B23D01">
        <w:trPr>
          <w:trHeight w:hRule="exact" w:val="227"/>
        </w:trPr>
        <w:tc>
          <w:tcPr>
            <w:tcW w:w="2069" w:type="pct"/>
            <w:tcBorders>
              <w:left w:val="nil"/>
              <w:right w:val="nil"/>
            </w:tcBorders>
            <w:shd w:val="clear" w:color="auto" w:fill="auto"/>
            <w:noWrap/>
            <w:vAlign w:val="center"/>
          </w:tcPr>
          <w:p w14:paraId="535C58D7" w14:textId="77777777" w:rsidR="00913899" w:rsidRPr="00C34E8D" w:rsidRDefault="00913899" w:rsidP="002E2B5B">
            <w:pPr>
              <w:rPr>
                <w:rFonts w:ascii="Calibri" w:hAnsi="Calibri" w:cs="Calibri"/>
                <w:sz w:val="16"/>
                <w:szCs w:val="16"/>
              </w:rPr>
            </w:pPr>
            <w:r w:rsidRPr="00C34E8D">
              <w:rPr>
                <w:rFonts w:ascii="Calibri" w:hAnsi="Calibri" w:cs="Calibri"/>
                <w:sz w:val="16"/>
                <w:szCs w:val="16"/>
              </w:rPr>
              <w:t>A C CORREA CIA LTDA</w:t>
            </w:r>
          </w:p>
        </w:tc>
        <w:tc>
          <w:tcPr>
            <w:tcW w:w="359" w:type="pct"/>
            <w:tcBorders>
              <w:left w:val="nil"/>
              <w:right w:val="nil"/>
            </w:tcBorders>
            <w:shd w:val="clear" w:color="auto" w:fill="auto"/>
            <w:noWrap/>
            <w:vAlign w:val="bottom"/>
          </w:tcPr>
          <w:p w14:paraId="18C91CD4" w14:textId="77777777" w:rsidR="00913899" w:rsidRPr="00C34E8D" w:rsidRDefault="00913899" w:rsidP="002E2B5B">
            <w:pPr>
              <w:rPr>
                <w:rFonts w:ascii="Calibri" w:hAnsi="Calibri" w:cs="Calibri"/>
                <w:b/>
                <w:sz w:val="16"/>
                <w:szCs w:val="16"/>
              </w:rPr>
            </w:pPr>
          </w:p>
        </w:tc>
        <w:tc>
          <w:tcPr>
            <w:tcW w:w="85" w:type="pct"/>
            <w:tcBorders>
              <w:left w:val="nil"/>
              <w:right w:val="nil"/>
            </w:tcBorders>
            <w:shd w:val="clear" w:color="auto" w:fill="auto"/>
            <w:noWrap/>
            <w:vAlign w:val="bottom"/>
          </w:tcPr>
          <w:p w14:paraId="7663B9FE" w14:textId="77777777" w:rsidR="00913899" w:rsidRPr="00C34E8D" w:rsidRDefault="00913899" w:rsidP="002E2B5B">
            <w:pPr>
              <w:rPr>
                <w:rFonts w:ascii="Calibri" w:hAnsi="Calibri" w:cs="Calibri"/>
                <w:b/>
                <w:sz w:val="16"/>
                <w:szCs w:val="16"/>
              </w:rPr>
            </w:pPr>
          </w:p>
        </w:tc>
        <w:tc>
          <w:tcPr>
            <w:tcW w:w="151" w:type="pct"/>
            <w:tcBorders>
              <w:left w:val="nil"/>
              <w:right w:val="nil"/>
            </w:tcBorders>
            <w:vAlign w:val="bottom"/>
          </w:tcPr>
          <w:p w14:paraId="6AE34254" w14:textId="77777777" w:rsidR="00913899" w:rsidRPr="00C34E8D" w:rsidRDefault="00913899" w:rsidP="002E2B5B">
            <w:pPr>
              <w:jc w:val="right"/>
              <w:rPr>
                <w:rFonts w:ascii="Calibri" w:hAnsi="Calibri" w:cs="Calibri"/>
                <w:b/>
                <w:sz w:val="16"/>
                <w:szCs w:val="16"/>
              </w:rPr>
            </w:pPr>
          </w:p>
        </w:tc>
        <w:tc>
          <w:tcPr>
            <w:tcW w:w="680" w:type="pct"/>
            <w:tcBorders>
              <w:left w:val="nil"/>
              <w:right w:val="nil"/>
            </w:tcBorders>
            <w:shd w:val="clear" w:color="auto" w:fill="auto"/>
            <w:noWrap/>
            <w:vAlign w:val="center"/>
          </w:tcPr>
          <w:p w14:paraId="2B747080" w14:textId="77777777" w:rsidR="00913899" w:rsidRPr="00C34E8D" w:rsidRDefault="00913899" w:rsidP="002E2B5B">
            <w:pPr>
              <w:jc w:val="right"/>
              <w:rPr>
                <w:rFonts w:ascii="Calibri" w:hAnsi="Calibri" w:cs="Calibri"/>
                <w:sz w:val="16"/>
                <w:szCs w:val="16"/>
              </w:rPr>
            </w:pPr>
            <w:r w:rsidRPr="00C34E8D">
              <w:rPr>
                <w:rFonts w:ascii="Calibri" w:hAnsi="Calibri" w:cs="Calibri"/>
                <w:sz w:val="16"/>
                <w:szCs w:val="16"/>
              </w:rPr>
              <w:t>004/2017</w:t>
            </w:r>
          </w:p>
        </w:tc>
        <w:tc>
          <w:tcPr>
            <w:tcW w:w="967" w:type="pct"/>
            <w:tcBorders>
              <w:left w:val="nil"/>
              <w:right w:val="nil"/>
            </w:tcBorders>
            <w:vAlign w:val="center"/>
          </w:tcPr>
          <w:p w14:paraId="2D0CAC34" w14:textId="77777777" w:rsidR="00913899" w:rsidRPr="00C34E8D" w:rsidRDefault="00913899" w:rsidP="002E2B5B">
            <w:pPr>
              <w:rPr>
                <w:rFonts w:ascii="Calibri" w:hAnsi="Calibri" w:cs="Calibri"/>
                <w:sz w:val="16"/>
                <w:szCs w:val="16"/>
              </w:rPr>
            </w:pPr>
            <w:r w:rsidRPr="00C34E8D">
              <w:rPr>
                <w:rFonts w:ascii="Calibri" w:hAnsi="Calibri" w:cs="Calibri"/>
                <w:sz w:val="16"/>
                <w:szCs w:val="16"/>
              </w:rPr>
              <w:t xml:space="preserve">   51402.190111/2017-63</w:t>
            </w:r>
          </w:p>
        </w:tc>
        <w:tc>
          <w:tcPr>
            <w:tcW w:w="104" w:type="pct"/>
            <w:tcBorders>
              <w:left w:val="nil"/>
              <w:right w:val="nil"/>
            </w:tcBorders>
            <w:shd w:val="clear" w:color="auto" w:fill="auto"/>
            <w:noWrap/>
            <w:vAlign w:val="center"/>
          </w:tcPr>
          <w:p w14:paraId="5A37083A" w14:textId="77777777" w:rsidR="00913899" w:rsidRPr="00C34E8D" w:rsidRDefault="00913899" w:rsidP="002E2B5B">
            <w:pPr>
              <w:rPr>
                <w:rFonts w:ascii="Calibri" w:hAnsi="Calibri" w:cs="Calibri"/>
                <w:b/>
                <w:sz w:val="16"/>
                <w:szCs w:val="16"/>
              </w:rPr>
            </w:pPr>
          </w:p>
        </w:tc>
        <w:tc>
          <w:tcPr>
            <w:tcW w:w="483" w:type="pct"/>
            <w:tcBorders>
              <w:left w:val="nil"/>
              <w:right w:val="nil"/>
            </w:tcBorders>
            <w:shd w:val="clear" w:color="auto" w:fill="auto"/>
            <w:noWrap/>
            <w:vAlign w:val="center"/>
          </w:tcPr>
          <w:p w14:paraId="0C4381E6" w14:textId="77777777" w:rsidR="00913899" w:rsidRPr="00C34E8D" w:rsidRDefault="00913899" w:rsidP="002E2B5B">
            <w:pPr>
              <w:jc w:val="right"/>
              <w:rPr>
                <w:rFonts w:ascii="Calibri" w:hAnsi="Calibri" w:cs="Calibri"/>
                <w:sz w:val="16"/>
                <w:szCs w:val="16"/>
              </w:rPr>
            </w:pPr>
            <w:r w:rsidRPr="00C34E8D">
              <w:rPr>
                <w:rFonts w:ascii="Calibri" w:hAnsi="Calibri" w:cs="Calibri"/>
                <w:sz w:val="16"/>
                <w:szCs w:val="16"/>
              </w:rPr>
              <w:t>177.44</w:t>
            </w:r>
            <w:r w:rsidR="004036AB" w:rsidRPr="00C34E8D">
              <w:rPr>
                <w:rFonts w:ascii="Calibri" w:hAnsi="Calibri" w:cs="Calibri"/>
                <w:sz w:val="16"/>
                <w:szCs w:val="16"/>
              </w:rPr>
              <w:t>2</w:t>
            </w:r>
          </w:p>
        </w:tc>
        <w:tc>
          <w:tcPr>
            <w:tcW w:w="102" w:type="pct"/>
            <w:vAlign w:val="bottom"/>
          </w:tcPr>
          <w:p w14:paraId="14DB0C74" w14:textId="77777777" w:rsidR="00913899" w:rsidRPr="00C34E8D" w:rsidRDefault="00913899" w:rsidP="002E2B5B">
            <w:pPr>
              <w:rPr>
                <w:rFonts w:ascii="Calibri" w:hAnsi="Calibri" w:cs="Calibri"/>
                <w:sz w:val="16"/>
                <w:szCs w:val="16"/>
              </w:rPr>
            </w:pPr>
          </w:p>
        </w:tc>
      </w:tr>
      <w:tr w:rsidR="00913899" w:rsidRPr="00C34E8D" w14:paraId="0BEB3F27" w14:textId="77777777" w:rsidTr="00B23D01">
        <w:trPr>
          <w:trHeight w:hRule="exact" w:val="227"/>
        </w:trPr>
        <w:tc>
          <w:tcPr>
            <w:tcW w:w="2069" w:type="pct"/>
            <w:tcBorders>
              <w:left w:val="nil"/>
              <w:right w:val="nil"/>
            </w:tcBorders>
            <w:shd w:val="clear" w:color="auto" w:fill="auto"/>
            <w:noWrap/>
            <w:vAlign w:val="center"/>
          </w:tcPr>
          <w:p w14:paraId="7AEE2AB3" w14:textId="77777777" w:rsidR="00913899" w:rsidRPr="00C34E8D" w:rsidRDefault="00913899" w:rsidP="002E2B5B">
            <w:pPr>
              <w:rPr>
                <w:rFonts w:ascii="Calibri" w:hAnsi="Calibri" w:cs="Calibri"/>
                <w:sz w:val="16"/>
                <w:szCs w:val="16"/>
              </w:rPr>
            </w:pPr>
            <w:r w:rsidRPr="00C34E8D">
              <w:rPr>
                <w:rFonts w:ascii="Calibri" w:hAnsi="Calibri" w:cs="Calibri"/>
                <w:sz w:val="16"/>
                <w:szCs w:val="16"/>
              </w:rPr>
              <w:t>AZVI S.A DO BRASIL</w:t>
            </w:r>
          </w:p>
        </w:tc>
        <w:tc>
          <w:tcPr>
            <w:tcW w:w="359" w:type="pct"/>
            <w:tcBorders>
              <w:left w:val="nil"/>
              <w:right w:val="nil"/>
            </w:tcBorders>
            <w:shd w:val="clear" w:color="auto" w:fill="auto"/>
            <w:noWrap/>
            <w:vAlign w:val="bottom"/>
          </w:tcPr>
          <w:p w14:paraId="1DE91FB9" w14:textId="77777777" w:rsidR="00913899" w:rsidRPr="00C34E8D" w:rsidRDefault="00913899" w:rsidP="002E2B5B">
            <w:pPr>
              <w:rPr>
                <w:rFonts w:ascii="Calibri" w:hAnsi="Calibri" w:cs="Calibri"/>
                <w:b/>
                <w:sz w:val="16"/>
                <w:szCs w:val="16"/>
              </w:rPr>
            </w:pPr>
          </w:p>
        </w:tc>
        <w:tc>
          <w:tcPr>
            <w:tcW w:w="85" w:type="pct"/>
            <w:tcBorders>
              <w:left w:val="nil"/>
              <w:right w:val="nil"/>
            </w:tcBorders>
            <w:shd w:val="clear" w:color="auto" w:fill="auto"/>
            <w:noWrap/>
            <w:vAlign w:val="bottom"/>
          </w:tcPr>
          <w:p w14:paraId="1372B814" w14:textId="77777777" w:rsidR="00913899" w:rsidRPr="00C34E8D" w:rsidRDefault="00913899" w:rsidP="002E2B5B">
            <w:pPr>
              <w:rPr>
                <w:rFonts w:ascii="Calibri" w:hAnsi="Calibri" w:cs="Calibri"/>
                <w:b/>
                <w:sz w:val="16"/>
                <w:szCs w:val="16"/>
              </w:rPr>
            </w:pPr>
          </w:p>
        </w:tc>
        <w:tc>
          <w:tcPr>
            <w:tcW w:w="151" w:type="pct"/>
            <w:tcBorders>
              <w:left w:val="nil"/>
              <w:right w:val="nil"/>
            </w:tcBorders>
            <w:vAlign w:val="bottom"/>
          </w:tcPr>
          <w:p w14:paraId="330C8FC3" w14:textId="77777777" w:rsidR="00913899" w:rsidRPr="00C34E8D" w:rsidRDefault="00913899" w:rsidP="002E2B5B">
            <w:pPr>
              <w:jc w:val="right"/>
              <w:rPr>
                <w:rFonts w:ascii="Calibri" w:hAnsi="Calibri" w:cs="Calibri"/>
                <w:b/>
                <w:sz w:val="16"/>
                <w:szCs w:val="16"/>
              </w:rPr>
            </w:pPr>
          </w:p>
        </w:tc>
        <w:tc>
          <w:tcPr>
            <w:tcW w:w="680" w:type="pct"/>
            <w:tcBorders>
              <w:left w:val="nil"/>
              <w:right w:val="nil"/>
            </w:tcBorders>
            <w:shd w:val="clear" w:color="auto" w:fill="auto"/>
            <w:noWrap/>
            <w:vAlign w:val="center"/>
          </w:tcPr>
          <w:p w14:paraId="03F40409" w14:textId="77777777" w:rsidR="00913899" w:rsidRPr="00C34E8D" w:rsidRDefault="00913899" w:rsidP="002E2B5B">
            <w:pPr>
              <w:jc w:val="right"/>
              <w:rPr>
                <w:rFonts w:ascii="Calibri" w:hAnsi="Calibri" w:cs="Calibri"/>
                <w:sz w:val="16"/>
                <w:szCs w:val="16"/>
              </w:rPr>
            </w:pPr>
            <w:r w:rsidRPr="00C34E8D">
              <w:rPr>
                <w:rFonts w:ascii="Calibri" w:hAnsi="Calibri" w:cs="Calibri"/>
                <w:sz w:val="16"/>
                <w:szCs w:val="16"/>
              </w:rPr>
              <w:t>016/2017</w:t>
            </w:r>
          </w:p>
        </w:tc>
        <w:tc>
          <w:tcPr>
            <w:tcW w:w="967" w:type="pct"/>
            <w:tcBorders>
              <w:left w:val="nil"/>
              <w:right w:val="nil"/>
            </w:tcBorders>
            <w:vAlign w:val="center"/>
          </w:tcPr>
          <w:p w14:paraId="434B78BA" w14:textId="77777777" w:rsidR="00913899" w:rsidRPr="00C34E8D" w:rsidRDefault="00913899" w:rsidP="002E2B5B">
            <w:pPr>
              <w:rPr>
                <w:rFonts w:ascii="Calibri" w:hAnsi="Calibri" w:cs="Calibri"/>
                <w:sz w:val="16"/>
                <w:szCs w:val="16"/>
              </w:rPr>
            </w:pPr>
            <w:r w:rsidRPr="00C34E8D">
              <w:rPr>
                <w:rFonts w:ascii="Calibri" w:hAnsi="Calibri" w:cs="Calibri"/>
                <w:sz w:val="16"/>
                <w:szCs w:val="16"/>
              </w:rPr>
              <w:t xml:space="preserve">   51402.200534/2018-81</w:t>
            </w:r>
          </w:p>
        </w:tc>
        <w:tc>
          <w:tcPr>
            <w:tcW w:w="104" w:type="pct"/>
            <w:tcBorders>
              <w:left w:val="nil"/>
              <w:right w:val="nil"/>
            </w:tcBorders>
            <w:shd w:val="clear" w:color="auto" w:fill="auto"/>
            <w:noWrap/>
            <w:vAlign w:val="center"/>
          </w:tcPr>
          <w:p w14:paraId="41635EE6" w14:textId="77777777" w:rsidR="00913899" w:rsidRPr="00C34E8D" w:rsidRDefault="00913899" w:rsidP="002E2B5B">
            <w:pPr>
              <w:rPr>
                <w:rFonts w:ascii="Calibri" w:hAnsi="Calibri" w:cs="Calibri"/>
                <w:b/>
                <w:sz w:val="16"/>
                <w:szCs w:val="16"/>
              </w:rPr>
            </w:pPr>
          </w:p>
        </w:tc>
        <w:tc>
          <w:tcPr>
            <w:tcW w:w="483" w:type="pct"/>
            <w:tcBorders>
              <w:left w:val="nil"/>
              <w:right w:val="nil"/>
            </w:tcBorders>
            <w:shd w:val="clear" w:color="auto" w:fill="auto"/>
            <w:noWrap/>
            <w:vAlign w:val="center"/>
          </w:tcPr>
          <w:p w14:paraId="1C3C638A" w14:textId="77777777" w:rsidR="00913899" w:rsidRPr="00C34E8D" w:rsidRDefault="00913899" w:rsidP="002E2B5B">
            <w:pPr>
              <w:jc w:val="right"/>
              <w:rPr>
                <w:rFonts w:ascii="Calibri" w:hAnsi="Calibri" w:cs="Calibri"/>
                <w:sz w:val="16"/>
                <w:szCs w:val="16"/>
              </w:rPr>
            </w:pPr>
            <w:r w:rsidRPr="00C34E8D">
              <w:rPr>
                <w:rFonts w:ascii="Calibri" w:hAnsi="Calibri" w:cs="Calibri"/>
                <w:sz w:val="16"/>
                <w:szCs w:val="16"/>
              </w:rPr>
              <w:t>9.739.968</w:t>
            </w:r>
          </w:p>
        </w:tc>
        <w:tc>
          <w:tcPr>
            <w:tcW w:w="102" w:type="pct"/>
            <w:vAlign w:val="bottom"/>
          </w:tcPr>
          <w:p w14:paraId="53C371A2" w14:textId="77777777" w:rsidR="00913899" w:rsidRPr="00C34E8D" w:rsidRDefault="00913899" w:rsidP="002E2B5B">
            <w:pPr>
              <w:rPr>
                <w:rFonts w:ascii="Calibri" w:hAnsi="Calibri" w:cs="Calibri"/>
                <w:sz w:val="16"/>
                <w:szCs w:val="16"/>
              </w:rPr>
            </w:pPr>
          </w:p>
        </w:tc>
      </w:tr>
      <w:tr w:rsidR="00913899" w:rsidRPr="00C34E8D" w14:paraId="032E93A4" w14:textId="77777777" w:rsidTr="00B23D01">
        <w:trPr>
          <w:trHeight w:hRule="exact" w:val="227"/>
        </w:trPr>
        <w:tc>
          <w:tcPr>
            <w:tcW w:w="2069" w:type="pct"/>
            <w:tcBorders>
              <w:left w:val="nil"/>
              <w:right w:val="nil"/>
            </w:tcBorders>
            <w:shd w:val="clear" w:color="auto" w:fill="auto"/>
            <w:noWrap/>
            <w:vAlign w:val="center"/>
          </w:tcPr>
          <w:p w14:paraId="5AE272D7" w14:textId="77777777" w:rsidR="00913899" w:rsidRPr="00C34E8D" w:rsidRDefault="00913899" w:rsidP="002E2B5B">
            <w:pPr>
              <w:rPr>
                <w:rFonts w:ascii="Calibri" w:hAnsi="Calibri" w:cs="Calibri"/>
                <w:sz w:val="16"/>
                <w:szCs w:val="16"/>
              </w:rPr>
            </w:pPr>
            <w:r w:rsidRPr="00C34E8D">
              <w:rPr>
                <w:rFonts w:ascii="Calibri" w:hAnsi="Calibri" w:cs="Calibri"/>
                <w:sz w:val="16"/>
                <w:szCs w:val="16"/>
              </w:rPr>
              <w:t>SPAVIAS ENGENHARIA LTDA</w:t>
            </w:r>
          </w:p>
        </w:tc>
        <w:tc>
          <w:tcPr>
            <w:tcW w:w="359" w:type="pct"/>
            <w:tcBorders>
              <w:left w:val="nil"/>
              <w:right w:val="nil"/>
            </w:tcBorders>
            <w:shd w:val="clear" w:color="auto" w:fill="auto"/>
            <w:noWrap/>
            <w:vAlign w:val="bottom"/>
          </w:tcPr>
          <w:p w14:paraId="3C5C7A5F" w14:textId="77777777" w:rsidR="00913899" w:rsidRPr="00C34E8D" w:rsidRDefault="00913899" w:rsidP="002E2B5B">
            <w:pPr>
              <w:rPr>
                <w:rFonts w:ascii="Calibri" w:hAnsi="Calibri" w:cs="Calibri"/>
                <w:b/>
                <w:sz w:val="16"/>
                <w:szCs w:val="16"/>
              </w:rPr>
            </w:pPr>
          </w:p>
        </w:tc>
        <w:tc>
          <w:tcPr>
            <w:tcW w:w="85" w:type="pct"/>
            <w:tcBorders>
              <w:left w:val="nil"/>
              <w:right w:val="nil"/>
            </w:tcBorders>
            <w:shd w:val="clear" w:color="auto" w:fill="auto"/>
            <w:noWrap/>
            <w:vAlign w:val="bottom"/>
          </w:tcPr>
          <w:p w14:paraId="42CF674D" w14:textId="77777777" w:rsidR="00913899" w:rsidRPr="00C34E8D" w:rsidRDefault="00913899" w:rsidP="002E2B5B">
            <w:pPr>
              <w:rPr>
                <w:rFonts w:ascii="Calibri" w:hAnsi="Calibri" w:cs="Calibri"/>
                <w:b/>
                <w:sz w:val="16"/>
                <w:szCs w:val="16"/>
              </w:rPr>
            </w:pPr>
          </w:p>
        </w:tc>
        <w:tc>
          <w:tcPr>
            <w:tcW w:w="151" w:type="pct"/>
            <w:tcBorders>
              <w:left w:val="nil"/>
              <w:right w:val="nil"/>
            </w:tcBorders>
            <w:vAlign w:val="bottom"/>
          </w:tcPr>
          <w:p w14:paraId="29BAD82E" w14:textId="77777777" w:rsidR="00913899" w:rsidRPr="00C34E8D" w:rsidRDefault="00913899" w:rsidP="002E2B5B">
            <w:pPr>
              <w:jc w:val="right"/>
              <w:rPr>
                <w:rFonts w:ascii="Calibri" w:hAnsi="Calibri" w:cs="Calibri"/>
                <w:b/>
                <w:sz w:val="16"/>
                <w:szCs w:val="16"/>
              </w:rPr>
            </w:pPr>
          </w:p>
        </w:tc>
        <w:tc>
          <w:tcPr>
            <w:tcW w:w="680" w:type="pct"/>
            <w:tcBorders>
              <w:left w:val="nil"/>
              <w:right w:val="nil"/>
            </w:tcBorders>
            <w:shd w:val="clear" w:color="auto" w:fill="auto"/>
            <w:noWrap/>
            <w:vAlign w:val="center"/>
          </w:tcPr>
          <w:p w14:paraId="00042313" w14:textId="77777777" w:rsidR="00913899" w:rsidRPr="00C34E8D" w:rsidRDefault="00913899" w:rsidP="002E2B5B">
            <w:pPr>
              <w:jc w:val="right"/>
              <w:rPr>
                <w:rFonts w:ascii="Calibri" w:hAnsi="Calibri" w:cs="Calibri"/>
                <w:sz w:val="16"/>
                <w:szCs w:val="16"/>
              </w:rPr>
            </w:pPr>
            <w:r w:rsidRPr="00C34E8D">
              <w:rPr>
                <w:rFonts w:ascii="Calibri" w:hAnsi="Calibri" w:cs="Calibri"/>
                <w:sz w:val="16"/>
                <w:szCs w:val="16"/>
              </w:rPr>
              <w:t>036/2014</w:t>
            </w:r>
          </w:p>
        </w:tc>
        <w:tc>
          <w:tcPr>
            <w:tcW w:w="967" w:type="pct"/>
            <w:tcBorders>
              <w:left w:val="nil"/>
              <w:right w:val="nil"/>
            </w:tcBorders>
            <w:vAlign w:val="center"/>
          </w:tcPr>
          <w:p w14:paraId="39C23285" w14:textId="77777777" w:rsidR="00913899" w:rsidRPr="00C34E8D" w:rsidRDefault="00913899" w:rsidP="002E2B5B">
            <w:pPr>
              <w:rPr>
                <w:rFonts w:ascii="Calibri" w:hAnsi="Calibri" w:cs="Calibri"/>
                <w:b/>
                <w:sz w:val="16"/>
                <w:szCs w:val="16"/>
              </w:rPr>
            </w:pPr>
            <w:r w:rsidRPr="00C34E8D">
              <w:rPr>
                <w:rFonts w:ascii="Calibri" w:hAnsi="Calibri" w:cs="Calibri"/>
                <w:sz w:val="16"/>
                <w:szCs w:val="16"/>
              </w:rPr>
              <w:t xml:space="preserve">   51402.198131/2018-63</w:t>
            </w:r>
          </w:p>
        </w:tc>
        <w:tc>
          <w:tcPr>
            <w:tcW w:w="104" w:type="pct"/>
            <w:tcBorders>
              <w:left w:val="nil"/>
              <w:right w:val="nil"/>
            </w:tcBorders>
            <w:shd w:val="clear" w:color="auto" w:fill="auto"/>
            <w:noWrap/>
            <w:vAlign w:val="center"/>
          </w:tcPr>
          <w:p w14:paraId="6A18EF02" w14:textId="77777777" w:rsidR="00913899" w:rsidRPr="00C34E8D" w:rsidRDefault="00913899" w:rsidP="002E2B5B">
            <w:pPr>
              <w:rPr>
                <w:rFonts w:ascii="Calibri" w:hAnsi="Calibri" w:cs="Calibri"/>
                <w:b/>
                <w:sz w:val="16"/>
                <w:szCs w:val="16"/>
              </w:rPr>
            </w:pPr>
          </w:p>
        </w:tc>
        <w:tc>
          <w:tcPr>
            <w:tcW w:w="483" w:type="pct"/>
            <w:tcBorders>
              <w:left w:val="nil"/>
              <w:right w:val="nil"/>
            </w:tcBorders>
            <w:shd w:val="clear" w:color="auto" w:fill="auto"/>
            <w:noWrap/>
            <w:vAlign w:val="center"/>
          </w:tcPr>
          <w:p w14:paraId="59960D7F" w14:textId="77777777" w:rsidR="00913899" w:rsidRPr="00C34E8D" w:rsidRDefault="00913899" w:rsidP="002E2B5B">
            <w:pPr>
              <w:jc w:val="right"/>
              <w:rPr>
                <w:rFonts w:ascii="Calibri" w:hAnsi="Calibri" w:cs="Calibri"/>
                <w:sz w:val="16"/>
                <w:szCs w:val="16"/>
              </w:rPr>
            </w:pPr>
            <w:r w:rsidRPr="00C34E8D">
              <w:rPr>
                <w:rFonts w:ascii="Calibri" w:hAnsi="Calibri" w:cs="Calibri"/>
                <w:sz w:val="16"/>
                <w:szCs w:val="16"/>
              </w:rPr>
              <w:t>2.465.411</w:t>
            </w:r>
          </w:p>
        </w:tc>
        <w:tc>
          <w:tcPr>
            <w:tcW w:w="102" w:type="pct"/>
            <w:vAlign w:val="bottom"/>
          </w:tcPr>
          <w:p w14:paraId="6C909EF2" w14:textId="77777777" w:rsidR="00913899" w:rsidRPr="00C34E8D" w:rsidRDefault="00913899" w:rsidP="002E2B5B">
            <w:pPr>
              <w:rPr>
                <w:rFonts w:ascii="Calibri" w:hAnsi="Calibri" w:cs="Calibri"/>
                <w:sz w:val="16"/>
                <w:szCs w:val="16"/>
              </w:rPr>
            </w:pPr>
          </w:p>
        </w:tc>
      </w:tr>
      <w:tr w:rsidR="00951F84" w:rsidRPr="00C34E8D" w14:paraId="308E285E" w14:textId="77777777" w:rsidTr="00B23D01">
        <w:trPr>
          <w:trHeight w:hRule="exact" w:val="227"/>
        </w:trPr>
        <w:tc>
          <w:tcPr>
            <w:tcW w:w="2069" w:type="pct"/>
            <w:tcBorders>
              <w:left w:val="nil"/>
              <w:bottom w:val="single" w:sz="4" w:space="0" w:color="auto"/>
              <w:right w:val="nil"/>
            </w:tcBorders>
            <w:shd w:val="clear" w:color="auto" w:fill="auto"/>
            <w:noWrap/>
            <w:vAlign w:val="center"/>
          </w:tcPr>
          <w:p w14:paraId="1741B1A2" w14:textId="15828EF2" w:rsidR="00951F84" w:rsidRPr="00C34E8D" w:rsidRDefault="00951F84" w:rsidP="002E2B5B">
            <w:pPr>
              <w:rPr>
                <w:rFonts w:ascii="Calibri" w:hAnsi="Calibri" w:cs="Calibri"/>
                <w:sz w:val="16"/>
                <w:szCs w:val="16"/>
              </w:rPr>
            </w:pPr>
            <w:r w:rsidRPr="00C34E8D">
              <w:rPr>
                <w:rFonts w:ascii="Calibri" w:hAnsi="Calibri" w:cs="Calibri"/>
                <w:sz w:val="16"/>
                <w:szCs w:val="16"/>
              </w:rPr>
              <w:t>ALTA ENGENHARIA DE INFRAESTRUTURA LTDA</w:t>
            </w:r>
          </w:p>
        </w:tc>
        <w:tc>
          <w:tcPr>
            <w:tcW w:w="359" w:type="pct"/>
            <w:tcBorders>
              <w:left w:val="nil"/>
              <w:bottom w:val="single" w:sz="4" w:space="0" w:color="auto"/>
              <w:right w:val="nil"/>
            </w:tcBorders>
            <w:shd w:val="clear" w:color="auto" w:fill="auto"/>
            <w:noWrap/>
            <w:vAlign w:val="bottom"/>
          </w:tcPr>
          <w:p w14:paraId="4E485F01" w14:textId="77777777" w:rsidR="00951F84" w:rsidRPr="00C34E8D" w:rsidRDefault="00951F84" w:rsidP="002E2B5B">
            <w:pPr>
              <w:rPr>
                <w:rFonts w:ascii="Calibri" w:hAnsi="Calibri" w:cs="Calibri"/>
                <w:b/>
                <w:sz w:val="16"/>
                <w:szCs w:val="16"/>
              </w:rPr>
            </w:pPr>
          </w:p>
        </w:tc>
        <w:tc>
          <w:tcPr>
            <w:tcW w:w="85" w:type="pct"/>
            <w:tcBorders>
              <w:left w:val="nil"/>
              <w:bottom w:val="single" w:sz="4" w:space="0" w:color="auto"/>
              <w:right w:val="nil"/>
            </w:tcBorders>
            <w:shd w:val="clear" w:color="auto" w:fill="auto"/>
            <w:noWrap/>
            <w:vAlign w:val="bottom"/>
          </w:tcPr>
          <w:p w14:paraId="49718A52" w14:textId="77777777" w:rsidR="00951F84" w:rsidRPr="00C34E8D" w:rsidRDefault="00951F84" w:rsidP="002E2B5B">
            <w:pPr>
              <w:rPr>
                <w:rFonts w:ascii="Calibri" w:hAnsi="Calibri" w:cs="Calibri"/>
                <w:b/>
                <w:sz w:val="16"/>
                <w:szCs w:val="16"/>
              </w:rPr>
            </w:pPr>
          </w:p>
        </w:tc>
        <w:tc>
          <w:tcPr>
            <w:tcW w:w="151" w:type="pct"/>
            <w:tcBorders>
              <w:left w:val="nil"/>
              <w:bottom w:val="single" w:sz="4" w:space="0" w:color="auto"/>
              <w:right w:val="nil"/>
            </w:tcBorders>
            <w:vAlign w:val="bottom"/>
          </w:tcPr>
          <w:p w14:paraId="23D44747" w14:textId="77777777" w:rsidR="00951F84" w:rsidRPr="00C34E8D" w:rsidRDefault="00951F84" w:rsidP="002E2B5B">
            <w:pPr>
              <w:jc w:val="right"/>
              <w:rPr>
                <w:rFonts w:ascii="Calibri" w:hAnsi="Calibri" w:cs="Calibri"/>
                <w:b/>
                <w:sz w:val="16"/>
                <w:szCs w:val="16"/>
              </w:rPr>
            </w:pPr>
          </w:p>
        </w:tc>
        <w:tc>
          <w:tcPr>
            <w:tcW w:w="680" w:type="pct"/>
            <w:tcBorders>
              <w:left w:val="nil"/>
              <w:bottom w:val="single" w:sz="4" w:space="0" w:color="auto"/>
              <w:right w:val="nil"/>
            </w:tcBorders>
            <w:shd w:val="clear" w:color="auto" w:fill="auto"/>
            <w:noWrap/>
            <w:vAlign w:val="center"/>
          </w:tcPr>
          <w:p w14:paraId="21BF4051" w14:textId="17468196" w:rsidR="00951F84" w:rsidRPr="00C34E8D" w:rsidRDefault="00613EA2" w:rsidP="002E2B5B">
            <w:pPr>
              <w:jc w:val="right"/>
              <w:rPr>
                <w:rFonts w:ascii="Calibri" w:hAnsi="Calibri" w:cs="Calibri"/>
                <w:sz w:val="16"/>
                <w:szCs w:val="16"/>
              </w:rPr>
            </w:pPr>
            <w:r w:rsidRPr="00C34E8D">
              <w:rPr>
                <w:rFonts w:ascii="Calibri" w:hAnsi="Calibri" w:cs="Calibri"/>
                <w:sz w:val="16"/>
                <w:szCs w:val="16"/>
              </w:rPr>
              <w:t>036/2014</w:t>
            </w:r>
          </w:p>
        </w:tc>
        <w:tc>
          <w:tcPr>
            <w:tcW w:w="967" w:type="pct"/>
            <w:tcBorders>
              <w:left w:val="nil"/>
              <w:bottom w:val="single" w:sz="4" w:space="0" w:color="auto"/>
              <w:right w:val="nil"/>
            </w:tcBorders>
            <w:vAlign w:val="center"/>
          </w:tcPr>
          <w:p w14:paraId="41132EE1" w14:textId="02402208" w:rsidR="00951F84" w:rsidRPr="00C34E8D" w:rsidRDefault="00613EA2" w:rsidP="002E2B5B">
            <w:pPr>
              <w:rPr>
                <w:rFonts w:ascii="Calibri" w:hAnsi="Calibri" w:cs="Calibri"/>
                <w:sz w:val="16"/>
                <w:szCs w:val="16"/>
              </w:rPr>
            </w:pPr>
            <w:r w:rsidRPr="00C34E8D">
              <w:rPr>
                <w:rFonts w:ascii="Calibri" w:hAnsi="Calibri" w:cs="Calibri"/>
                <w:sz w:val="16"/>
                <w:szCs w:val="16"/>
              </w:rPr>
              <w:t xml:space="preserve">   51402.232530/2019-41</w:t>
            </w:r>
          </w:p>
        </w:tc>
        <w:tc>
          <w:tcPr>
            <w:tcW w:w="104" w:type="pct"/>
            <w:tcBorders>
              <w:left w:val="nil"/>
              <w:bottom w:val="single" w:sz="4" w:space="0" w:color="auto"/>
              <w:right w:val="nil"/>
            </w:tcBorders>
            <w:shd w:val="clear" w:color="auto" w:fill="auto"/>
            <w:noWrap/>
            <w:vAlign w:val="center"/>
          </w:tcPr>
          <w:p w14:paraId="17FA4435" w14:textId="77777777" w:rsidR="00951F84" w:rsidRPr="00C34E8D" w:rsidRDefault="00951F84" w:rsidP="002E2B5B">
            <w:pPr>
              <w:rPr>
                <w:rFonts w:ascii="Calibri" w:hAnsi="Calibri" w:cs="Calibri"/>
                <w:b/>
                <w:sz w:val="16"/>
                <w:szCs w:val="16"/>
              </w:rPr>
            </w:pPr>
          </w:p>
        </w:tc>
        <w:tc>
          <w:tcPr>
            <w:tcW w:w="483" w:type="pct"/>
            <w:tcBorders>
              <w:left w:val="nil"/>
              <w:bottom w:val="single" w:sz="4" w:space="0" w:color="auto"/>
              <w:right w:val="nil"/>
            </w:tcBorders>
            <w:shd w:val="clear" w:color="auto" w:fill="auto"/>
            <w:noWrap/>
            <w:vAlign w:val="center"/>
          </w:tcPr>
          <w:p w14:paraId="77177041" w14:textId="6C650F22" w:rsidR="00951F84" w:rsidRPr="00C34E8D" w:rsidRDefault="00613EA2" w:rsidP="002E2B5B">
            <w:pPr>
              <w:jc w:val="right"/>
              <w:rPr>
                <w:rFonts w:ascii="Calibri" w:hAnsi="Calibri" w:cs="Calibri"/>
                <w:sz w:val="16"/>
                <w:szCs w:val="16"/>
              </w:rPr>
            </w:pPr>
            <w:r w:rsidRPr="00C34E8D">
              <w:rPr>
                <w:rFonts w:ascii="Calibri" w:hAnsi="Calibri" w:cs="Calibri"/>
                <w:sz w:val="16"/>
                <w:szCs w:val="16"/>
              </w:rPr>
              <w:t>34.30</w:t>
            </w:r>
            <w:r w:rsidR="00D81237">
              <w:rPr>
                <w:rFonts w:ascii="Calibri" w:hAnsi="Calibri" w:cs="Calibri"/>
                <w:sz w:val="16"/>
                <w:szCs w:val="16"/>
              </w:rPr>
              <w:t>8</w:t>
            </w:r>
          </w:p>
        </w:tc>
        <w:tc>
          <w:tcPr>
            <w:tcW w:w="102" w:type="pct"/>
            <w:vAlign w:val="bottom"/>
          </w:tcPr>
          <w:p w14:paraId="593A66FF" w14:textId="77777777" w:rsidR="00951F84" w:rsidRPr="00C34E8D" w:rsidRDefault="00951F84" w:rsidP="002E2B5B">
            <w:pPr>
              <w:rPr>
                <w:rFonts w:ascii="Calibri" w:hAnsi="Calibri" w:cs="Calibri"/>
                <w:sz w:val="16"/>
                <w:szCs w:val="16"/>
              </w:rPr>
            </w:pPr>
          </w:p>
        </w:tc>
      </w:tr>
      <w:tr w:rsidR="00913899" w:rsidRPr="00C34E8D" w14:paraId="218D692B" w14:textId="77777777" w:rsidTr="00B23D01">
        <w:trPr>
          <w:trHeight w:hRule="exact" w:val="227"/>
        </w:trPr>
        <w:tc>
          <w:tcPr>
            <w:tcW w:w="2069" w:type="pct"/>
            <w:tcBorders>
              <w:top w:val="single" w:sz="4" w:space="0" w:color="auto"/>
              <w:left w:val="nil"/>
              <w:bottom w:val="single" w:sz="4" w:space="0" w:color="auto"/>
              <w:right w:val="nil"/>
            </w:tcBorders>
            <w:shd w:val="clear" w:color="auto" w:fill="auto"/>
            <w:noWrap/>
            <w:vAlign w:val="bottom"/>
            <w:hideMark/>
          </w:tcPr>
          <w:p w14:paraId="2CE2B972" w14:textId="77777777" w:rsidR="00913899" w:rsidRPr="00C34E8D" w:rsidRDefault="00913899" w:rsidP="002E2B5B">
            <w:pPr>
              <w:rPr>
                <w:rFonts w:ascii="Calibri" w:hAnsi="Calibri" w:cs="Calibri"/>
                <w:b/>
                <w:sz w:val="16"/>
                <w:szCs w:val="16"/>
              </w:rPr>
            </w:pPr>
            <w:r w:rsidRPr="00C34E8D">
              <w:rPr>
                <w:rFonts w:ascii="Calibri" w:hAnsi="Calibri" w:cs="Calibri"/>
                <w:b/>
                <w:sz w:val="16"/>
                <w:szCs w:val="16"/>
              </w:rPr>
              <w:t>TOTAL DE CRÉDITOS A RECEBER</w:t>
            </w:r>
          </w:p>
        </w:tc>
        <w:tc>
          <w:tcPr>
            <w:tcW w:w="359" w:type="pct"/>
            <w:tcBorders>
              <w:top w:val="single" w:sz="4" w:space="0" w:color="auto"/>
              <w:left w:val="nil"/>
              <w:bottom w:val="single" w:sz="4" w:space="0" w:color="auto"/>
              <w:right w:val="nil"/>
            </w:tcBorders>
            <w:shd w:val="clear" w:color="auto" w:fill="auto"/>
            <w:noWrap/>
            <w:vAlign w:val="bottom"/>
            <w:hideMark/>
          </w:tcPr>
          <w:p w14:paraId="10F10D1B" w14:textId="77777777" w:rsidR="00913899" w:rsidRPr="00C34E8D" w:rsidRDefault="00913899" w:rsidP="002E2B5B">
            <w:pPr>
              <w:rPr>
                <w:rFonts w:ascii="Calibri" w:hAnsi="Calibri" w:cs="Calibri"/>
                <w:b/>
                <w:sz w:val="16"/>
                <w:szCs w:val="16"/>
              </w:rPr>
            </w:pPr>
          </w:p>
        </w:tc>
        <w:tc>
          <w:tcPr>
            <w:tcW w:w="85" w:type="pct"/>
            <w:tcBorders>
              <w:top w:val="single" w:sz="4" w:space="0" w:color="auto"/>
              <w:left w:val="nil"/>
              <w:bottom w:val="single" w:sz="4" w:space="0" w:color="auto"/>
              <w:right w:val="nil"/>
            </w:tcBorders>
            <w:shd w:val="clear" w:color="auto" w:fill="auto"/>
            <w:noWrap/>
            <w:vAlign w:val="bottom"/>
            <w:hideMark/>
          </w:tcPr>
          <w:p w14:paraId="0A908241" w14:textId="77777777" w:rsidR="00913899" w:rsidRPr="00C34E8D" w:rsidRDefault="00913899" w:rsidP="002E2B5B">
            <w:pPr>
              <w:rPr>
                <w:rFonts w:ascii="Calibri" w:hAnsi="Calibri" w:cs="Calibri"/>
                <w:b/>
                <w:sz w:val="16"/>
                <w:szCs w:val="16"/>
              </w:rPr>
            </w:pPr>
          </w:p>
        </w:tc>
        <w:tc>
          <w:tcPr>
            <w:tcW w:w="151" w:type="pct"/>
            <w:tcBorders>
              <w:top w:val="single" w:sz="4" w:space="0" w:color="auto"/>
              <w:left w:val="nil"/>
              <w:bottom w:val="single" w:sz="4" w:space="0" w:color="auto"/>
              <w:right w:val="nil"/>
            </w:tcBorders>
            <w:vAlign w:val="bottom"/>
          </w:tcPr>
          <w:p w14:paraId="64E1A8FD" w14:textId="77777777" w:rsidR="00913899" w:rsidRPr="00C34E8D" w:rsidRDefault="00913899" w:rsidP="002E2B5B">
            <w:pPr>
              <w:jc w:val="right"/>
              <w:rPr>
                <w:rFonts w:ascii="Calibri" w:hAnsi="Calibri" w:cs="Calibri"/>
                <w:b/>
                <w:sz w:val="16"/>
                <w:szCs w:val="16"/>
              </w:rPr>
            </w:pPr>
          </w:p>
        </w:tc>
        <w:tc>
          <w:tcPr>
            <w:tcW w:w="680" w:type="pct"/>
            <w:tcBorders>
              <w:top w:val="single" w:sz="4" w:space="0" w:color="auto"/>
              <w:left w:val="nil"/>
              <w:bottom w:val="single" w:sz="4" w:space="0" w:color="auto"/>
              <w:right w:val="nil"/>
            </w:tcBorders>
            <w:shd w:val="clear" w:color="auto" w:fill="auto"/>
            <w:noWrap/>
            <w:vAlign w:val="bottom"/>
          </w:tcPr>
          <w:p w14:paraId="401CE6A6" w14:textId="77777777" w:rsidR="00913899" w:rsidRPr="00C34E8D" w:rsidRDefault="00913899" w:rsidP="002E2B5B">
            <w:pPr>
              <w:jc w:val="right"/>
              <w:rPr>
                <w:rFonts w:ascii="Calibri" w:hAnsi="Calibri" w:cs="Calibri"/>
                <w:b/>
                <w:sz w:val="16"/>
                <w:szCs w:val="16"/>
              </w:rPr>
            </w:pPr>
          </w:p>
        </w:tc>
        <w:tc>
          <w:tcPr>
            <w:tcW w:w="967" w:type="pct"/>
            <w:tcBorders>
              <w:top w:val="single" w:sz="4" w:space="0" w:color="auto"/>
              <w:left w:val="nil"/>
              <w:bottom w:val="single" w:sz="4" w:space="0" w:color="auto"/>
              <w:right w:val="nil"/>
            </w:tcBorders>
          </w:tcPr>
          <w:p w14:paraId="2FC947FF" w14:textId="77777777" w:rsidR="00913899" w:rsidRPr="00C34E8D" w:rsidRDefault="00913899" w:rsidP="002E2B5B">
            <w:pPr>
              <w:rPr>
                <w:rFonts w:ascii="Calibri" w:hAnsi="Calibri" w:cs="Calibri"/>
                <w:b/>
                <w:sz w:val="16"/>
                <w:szCs w:val="16"/>
              </w:rPr>
            </w:pPr>
          </w:p>
        </w:tc>
        <w:tc>
          <w:tcPr>
            <w:tcW w:w="104" w:type="pct"/>
            <w:tcBorders>
              <w:top w:val="single" w:sz="4" w:space="0" w:color="auto"/>
              <w:left w:val="nil"/>
              <w:bottom w:val="single" w:sz="4" w:space="0" w:color="auto"/>
              <w:right w:val="nil"/>
            </w:tcBorders>
            <w:shd w:val="clear" w:color="auto" w:fill="auto"/>
            <w:noWrap/>
            <w:vAlign w:val="bottom"/>
            <w:hideMark/>
          </w:tcPr>
          <w:p w14:paraId="57DBC55F" w14:textId="77777777" w:rsidR="00913899" w:rsidRPr="00C34E8D" w:rsidRDefault="00913899" w:rsidP="002E2B5B">
            <w:pPr>
              <w:rPr>
                <w:rFonts w:ascii="Calibri" w:hAnsi="Calibri" w:cs="Calibri"/>
                <w:b/>
                <w:sz w:val="16"/>
                <w:szCs w:val="16"/>
              </w:rPr>
            </w:pPr>
          </w:p>
        </w:tc>
        <w:tc>
          <w:tcPr>
            <w:tcW w:w="483" w:type="pct"/>
            <w:tcBorders>
              <w:top w:val="single" w:sz="4" w:space="0" w:color="auto"/>
              <w:left w:val="nil"/>
              <w:bottom w:val="single" w:sz="4" w:space="0" w:color="auto"/>
              <w:right w:val="nil"/>
            </w:tcBorders>
            <w:shd w:val="clear" w:color="auto" w:fill="auto"/>
            <w:noWrap/>
            <w:vAlign w:val="bottom"/>
            <w:hideMark/>
          </w:tcPr>
          <w:p w14:paraId="252FAF25" w14:textId="09250310" w:rsidR="00913899" w:rsidRPr="00C34E8D" w:rsidRDefault="00613EA2" w:rsidP="002E2B5B">
            <w:pPr>
              <w:jc w:val="right"/>
              <w:rPr>
                <w:rFonts w:ascii="Calibri" w:hAnsi="Calibri" w:cs="Calibri"/>
                <w:b/>
                <w:sz w:val="16"/>
                <w:szCs w:val="16"/>
              </w:rPr>
            </w:pPr>
            <w:r w:rsidRPr="00C34E8D">
              <w:rPr>
                <w:rFonts w:ascii="Calibri" w:hAnsi="Calibri" w:cs="Calibri"/>
                <w:b/>
                <w:sz w:val="16"/>
                <w:szCs w:val="16"/>
              </w:rPr>
              <w:t>12.417.12</w:t>
            </w:r>
            <w:r w:rsidR="00D81237">
              <w:rPr>
                <w:rFonts w:ascii="Calibri" w:hAnsi="Calibri" w:cs="Calibri"/>
                <w:b/>
                <w:sz w:val="16"/>
                <w:szCs w:val="16"/>
              </w:rPr>
              <w:t>9</w:t>
            </w:r>
          </w:p>
        </w:tc>
        <w:tc>
          <w:tcPr>
            <w:tcW w:w="102" w:type="pct"/>
            <w:vAlign w:val="bottom"/>
          </w:tcPr>
          <w:p w14:paraId="315EEBEB" w14:textId="77777777" w:rsidR="00913899" w:rsidRPr="00C34E8D" w:rsidRDefault="00913899" w:rsidP="002E2B5B">
            <w:pPr>
              <w:rPr>
                <w:rFonts w:ascii="Calibri" w:hAnsi="Calibri" w:cs="Calibri"/>
                <w:b/>
                <w:sz w:val="16"/>
                <w:szCs w:val="16"/>
              </w:rPr>
            </w:pPr>
          </w:p>
        </w:tc>
      </w:tr>
      <w:tr w:rsidR="00F30406" w:rsidRPr="00C34E8D" w14:paraId="3889AB86" w14:textId="77777777" w:rsidTr="00B23D01">
        <w:trPr>
          <w:trHeight w:hRule="exact" w:val="227"/>
        </w:trPr>
        <w:tc>
          <w:tcPr>
            <w:tcW w:w="2069" w:type="pct"/>
            <w:tcBorders>
              <w:top w:val="single" w:sz="4" w:space="0" w:color="auto"/>
              <w:left w:val="nil"/>
              <w:right w:val="nil"/>
            </w:tcBorders>
            <w:shd w:val="clear" w:color="auto" w:fill="auto"/>
            <w:noWrap/>
            <w:vAlign w:val="bottom"/>
          </w:tcPr>
          <w:p w14:paraId="49086572" w14:textId="77777777" w:rsidR="00F30406" w:rsidRPr="00C34E8D" w:rsidRDefault="00F30406" w:rsidP="002E2B5B">
            <w:pPr>
              <w:rPr>
                <w:rFonts w:ascii="Calibri" w:hAnsi="Calibri" w:cs="Calibri"/>
                <w:b/>
                <w:sz w:val="16"/>
                <w:szCs w:val="16"/>
              </w:rPr>
            </w:pPr>
            <w:r w:rsidRPr="00C34E8D">
              <w:rPr>
                <w:rFonts w:ascii="Calibri" w:hAnsi="Calibri" w:cs="Calibri"/>
                <w:b/>
                <w:sz w:val="16"/>
                <w:szCs w:val="16"/>
              </w:rPr>
              <w:t>Ajustes para Perdas com crédito de liquidação duvidosa</w:t>
            </w:r>
          </w:p>
        </w:tc>
        <w:tc>
          <w:tcPr>
            <w:tcW w:w="359" w:type="pct"/>
            <w:tcBorders>
              <w:top w:val="single" w:sz="4" w:space="0" w:color="auto"/>
              <w:left w:val="nil"/>
              <w:right w:val="nil"/>
            </w:tcBorders>
            <w:shd w:val="clear" w:color="auto" w:fill="auto"/>
            <w:noWrap/>
            <w:vAlign w:val="bottom"/>
          </w:tcPr>
          <w:p w14:paraId="6228A38C" w14:textId="77777777" w:rsidR="00F30406" w:rsidRPr="00C34E8D" w:rsidRDefault="00F30406" w:rsidP="002E2B5B">
            <w:pPr>
              <w:rPr>
                <w:rFonts w:ascii="Calibri" w:hAnsi="Calibri" w:cs="Calibri"/>
                <w:b/>
                <w:sz w:val="16"/>
                <w:szCs w:val="16"/>
              </w:rPr>
            </w:pPr>
          </w:p>
        </w:tc>
        <w:tc>
          <w:tcPr>
            <w:tcW w:w="85" w:type="pct"/>
            <w:tcBorders>
              <w:top w:val="single" w:sz="4" w:space="0" w:color="auto"/>
              <w:left w:val="nil"/>
              <w:right w:val="nil"/>
            </w:tcBorders>
            <w:shd w:val="clear" w:color="auto" w:fill="auto"/>
            <w:noWrap/>
            <w:vAlign w:val="bottom"/>
          </w:tcPr>
          <w:p w14:paraId="4C172998" w14:textId="77777777" w:rsidR="00F30406" w:rsidRPr="00C34E8D" w:rsidRDefault="00F30406" w:rsidP="002E2B5B">
            <w:pPr>
              <w:rPr>
                <w:rFonts w:ascii="Calibri" w:hAnsi="Calibri" w:cs="Calibri"/>
                <w:b/>
                <w:sz w:val="16"/>
                <w:szCs w:val="16"/>
              </w:rPr>
            </w:pPr>
          </w:p>
        </w:tc>
        <w:tc>
          <w:tcPr>
            <w:tcW w:w="151" w:type="pct"/>
            <w:tcBorders>
              <w:top w:val="single" w:sz="4" w:space="0" w:color="auto"/>
              <w:left w:val="nil"/>
              <w:right w:val="nil"/>
            </w:tcBorders>
            <w:vAlign w:val="bottom"/>
          </w:tcPr>
          <w:p w14:paraId="2FA39019" w14:textId="77777777" w:rsidR="00F30406" w:rsidRPr="00C34E8D" w:rsidRDefault="00F30406" w:rsidP="002E2B5B">
            <w:pPr>
              <w:jc w:val="right"/>
              <w:rPr>
                <w:rFonts w:ascii="Calibri" w:hAnsi="Calibri" w:cs="Calibri"/>
                <w:b/>
                <w:sz w:val="16"/>
                <w:szCs w:val="16"/>
              </w:rPr>
            </w:pPr>
          </w:p>
        </w:tc>
        <w:tc>
          <w:tcPr>
            <w:tcW w:w="680" w:type="pct"/>
            <w:tcBorders>
              <w:top w:val="single" w:sz="4" w:space="0" w:color="auto"/>
              <w:left w:val="nil"/>
              <w:right w:val="nil"/>
            </w:tcBorders>
            <w:shd w:val="clear" w:color="auto" w:fill="auto"/>
            <w:noWrap/>
            <w:vAlign w:val="bottom"/>
          </w:tcPr>
          <w:p w14:paraId="30DBEDCB" w14:textId="77777777" w:rsidR="00F30406" w:rsidRPr="00C34E8D" w:rsidRDefault="00F30406" w:rsidP="002E2B5B">
            <w:pPr>
              <w:jc w:val="right"/>
              <w:rPr>
                <w:rFonts w:ascii="Calibri" w:hAnsi="Calibri" w:cs="Calibri"/>
                <w:b/>
                <w:sz w:val="16"/>
                <w:szCs w:val="16"/>
              </w:rPr>
            </w:pPr>
          </w:p>
        </w:tc>
        <w:tc>
          <w:tcPr>
            <w:tcW w:w="967" w:type="pct"/>
            <w:tcBorders>
              <w:top w:val="single" w:sz="4" w:space="0" w:color="auto"/>
              <w:left w:val="nil"/>
              <w:right w:val="nil"/>
            </w:tcBorders>
          </w:tcPr>
          <w:p w14:paraId="003E4F01" w14:textId="77777777" w:rsidR="00F30406" w:rsidRPr="00C34E8D" w:rsidRDefault="00F30406" w:rsidP="002E2B5B">
            <w:pPr>
              <w:rPr>
                <w:rFonts w:ascii="Calibri" w:hAnsi="Calibri" w:cs="Calibri"/>
                <w:b/>
                <w:sz w:val="16"/>
                <w:szCs w:val="16"/>
              </w:rPr>
            </w:pPr>
          </w:p>
        </w:tc>
        <w:tc>
          <w:tcPr>
            <w:tcW w:w="104" w:type="pct"/>
            <w:tcBorders>
              <w:top w:val="single" w:sz="4" w:space="0" w:color="auto"/>
              <w:left w:val="nil"/>
              <w:right w:val="nil"/>
            </w:tcBorders>
            <w:shd w:val="clear" w:color="auto" w:fill="auto"/>
            <w:noWrap/>
            <w:vAlign w:val="bottom"/>
          </w:tcPr>
          <w:p w14:paraId="71698D10" w14:textId="77777777" w:rsidR="00F30406" w:rsidRPr="00C34E8D" w:rsidRDefault="00F30406" w:rsidP="002E2B5B">
            <w:pPr>
              <w:rPr>
                <w:rFonts w:ascii="Calibri" w:hAnsi="Calibri" w:cs="Calibri"/>
                <w:b/>
                <w:sz w:val="16"/>
                <w:szCs w:val="16"/>
              </w:rPr>
            </w:pPr>
          </w:p>
        </w:tc>
        <w:tc>
          <w:tcPr>
            <w:tcW w:w="483" w:type="pct"/>
            <w:tcBorders>
              <w:top w:val="single" w:sz="4" w:space="0" w:color="auto"/>
              <w:left w:val="nil"/>
              <w:right w:val="nil"/>
            </w:tcBorders>
            <w:shd w:val="clear" w:color="auto" w:fill="auto"/>
            <w:noWrap/>
            <w:vAlign w:val="bottom"/>
          </w:tcPr>
          <w:p w14:paraId="79558563" w14:textId="77777777" w:rsidR="00F30406" w:rsidRPr="00C34E8D" w:rsidRDefault="00F30406" w:rsidP="002E2B5B">
            <w:pPr>
              <w:jc w:val="right"/>
              <w:rPr>
                <w:rFonts w:ascii="Calibri" w:hAnsi="Calibri" w:cs="Calibri"/>
                <w:b/>
                <w:sz w:val="16"/>
                <w:szCs w:val="16"/>
              </w:rPr>
            </w:pPr>
          </w:p>
        </w:tc>
        <w:tc>
          <w:tcPr>
            <w:tcW w:w="102" w:type="pct"/>
            <w:vAlign w:val="bottom"/>
          </w:tcPr>
          <w:p w14:paraId="60EB28D0" w14:textId="77777777" w:rsidR="00F30406" w:rsidRPr="00C34E8D" w:rsidRDefault="00F30406" w:rsidP="002E2B5B">
            <w:pPr>
              <w:rPr>
                <w:rFonts w:ascii="Calibri" w:hAnsi="Calibri" w:cs="Calibri"/>
                <w:b/>
                <w:sz w:val="16"/>
                <w:szCs w:val="16"/>
              </w:rPr>
            </w:pPr>
          </w:p>
        </w:tc>
      </w:tr>
      <w:tr w:rsidR="00F30406" w:rsidRPr="00C34E8D" w14:paraId="01A096C6" w14:textId="77777777" w:rsidTr="00B23D01">
        <w:trPr>
          <w:trHeight w:hRule="exact" w:val="227"/>
        </w:trPr>
        <w:tc>
          <w:tcPr>
            <w:tcW w:w="2069" w:type="pct"/>
            <w:tcBorders>
              <w:left w:val="nil"/>
              <w:right w:val="nil"/>
            </w:tcBorders>
            <w:shd w:val="clear" w:color="auto" w:fill="auto"/>
            <w:noWrap/>
            <w:vAlign w:val="bottom"/>
          </w:tcPr>
          <w:p w14:paraId="1486061B" w14:textId="77777777" w:rsidR="00F30406" w:rsidRPr="00C34E8D" w:rsidRDefault="00F7773E" w:rsidP="002E2B5B">
            <w:pPr>
              <w:rPr>
                <w:rFonts w:ascii="Calibri" w:hAnsi="Calibri" w:cs="Calibri"/>
                <w:sz w:val="16"/>
                <w:szCs w:val="16"/>
              </w:rPr>
            </w:pPr>
            <w:r w:rsidRPr="00C34E8D">
              <w:rPr>
                <w:rFonts w:ascii="Calibri" w:hAnsi="Calibri" w:cs="Calibri"/>
                <w:sz w:val="16"/>
                <w:szCs w:val="16"/>
              </w:rPr>
              <w:t>A C CORREA CIA LTDA</w:t>
            </w:r>
          </w:p>
        </w:tc>
        <w:tc>
          <w:tcPr>
            <w:tcW w:w="359" w:type="pct"/>
            <w:tcBorders>
              <w:left w:val="nil"/>
              <w:right w:val="nil"/>
            </w:tcBorders>
            <w:shd w:val="clear" w:color="auto" w:fill="auto"/>
            <w:noWrap/>
            <w:vAlign w:val="bottom"/>
          </w:tcPr>
          <w:p w14:paraId="74A4E5CA" w14:textId="77777777" w:rsidR="00F30406" w:rsidRPr="00C34E8D" w:rsidRDefault="00F30406" w:rsidP="002E2B5B">
            <w:pPr>
              <w:rPr>
                <w:rFonts w:ascii="Calibri" w:hAnsi="Calibri" w:cs="Calibri"/>
                <w:sz w:val="16"/>
                <w:szCs w:val="16"/>
              </w:rPr>
            </w:pPr>
          </w:p>
        </w:tc>
        <w:tc>
          <w:tcPr>
            <w:tcW w:w="85" w:type="pct"/>
            <w:tcBorders>
              <w:left w:val="nil"/>
              <w:right w:val="nil"/>
            </w:tcBorders>
            <w:shd w:val="clear" w:color="auto" w:fill="auto"/>
            <w:noWrap/>
            <w:vAlign w:val="bottom"/>
          </w:tcPr>
          <w:p w14:paraId="7510681F" w14:textId="77777777" w:rsidR="00F30406" w:rsidRPr="00C34E8D" w:rsidRDefault="00F30406" w:rsidP="002E2B5B">
            <w:pPr>
              <w:rPr>
                <w:rFonts w:ascii="Calibri" w:hAnsi="Calibri" w:cs="Calibri"/>
                <w:b/>
                <w:bCs/>
                <w:sz w:val="16"/>
                <w:szCs w:val="16"/>
              </w:rPr>
            </w:pPr>
          </w:p>
        </w:tc>
        <w:tc>
          <w:tcPr>
            <w:tcW w:w="151" w:type="pct"/>
            <w:tcBorders>
              <w:left w:val="nil"/>
              <w:right w:val="nil"/>
            </w:tcBorders>
          </w:tcPr>
          <w:p w14:paraId="11776347" w14:textId="77777777" w:rsidR="00F30406" w:rsidRPr="00C34E8D" w:rsidRDefault="00F30406" w:rsidP="002E2B5B">
            <w:pPr>
              <w:jc w:val="right"/>
              <w:rPr>
                <w:rFonts w:ascii="Calibri" w:hAnsi="Calibri" w:cs="Calibri"/>
                <w:sz w:val="16"/>
                <w:szCs w:val="16"/>
              </w:rPr>
            </w:pPr>
          </w:p>
        </w:tc>
        <w:tc>
          <w:tcPr>
            <w:tcW w:w="680" w:type="pct"/>
            <w:tcBorders>
              <w:left w:val="nil"/>
              <w:right w:val="nil"/>
            </w:tcBorders>
            <w:shd w:val="clear" w:color="auto" w:fill="auto"/>
            <w:noWrap/>
            <w:vAlign w:val="center"/>
          </w:tcPr>
          <w:p w14:paraId="2C285191" w14:textId="77777777" w:rsidR="00F30406" w:rsidRPr="00C34E8D" w:rsidRDefault="00F7773E" w:rsidP="002E2B5B">
            <w:pPr>
              <w:jc w:val="right"/>
              <w:rPr>
                <w:rFonts w:ascii="Calibri" w:hAnsi="Calibri" w:cs="Calibri"/>
                <w:sz w:val="16"/>
                <w:szCs w:val="16"/>
              </w:rPr>
            </w:pPr>
            <w:r w:rsidRPr="00C34E8D">
              <w:rPr>
                <w:rFonts w:ascii="Calibri" w:hAnsi="Calibri" w:cs="Calibri"/>
                <w:sz w:val="16"/>
                <w:szCs w:val="16"/>
              </w:rPr>
              <w:t>004/2017</w:t>
            </w:r>
          </w:p>
        </w:tc>
        <w:tc>
          <w:tcPr>
            <w:tcW w:w="967" w:type="pct"/>
            <w:tcBorders>
              <w:left w:val="nil"/>
              <w:right w:val="nil"/>
            </w:tcBorders>
            <w:vAlign w:val="center"/>
          </w:tcPr>
          <w:p w14:paraId="21CDF90D" w14:textId="77777777" w:rsidR="00F30406" w:rsidRPr="00C34E8D" w:rsidRDefault="00F7773E" w:rsidP="002E2B5B">
            <w:pPr>
              <w:jc w:val="center"/>
              <w:rPr>
                <w:rFonts w:ascii="Calibri" w:hAnsi="Calibri" w:cs="Calibri"/>
                <w:sz w:val="16"/>
                <w:szCs w:val="16"/>
              </w:rPr>
            </w:pPr>
            <w:r w:rsidRPr="00C34E8D">
              <w:rPr>
                <w:rFonts w:ascii="Calibri" w:hAnsi="Calibri" w:cs="Calibri"/>
                <w:sz w:val="16"/>
                <w:szCs w:val="16"/>
              </w:rPr>
              <w:t>51402.190111/2017-63</w:t>
            </w:r>
          </w:p>
        </w:tc>
        <w:tc>
          <w:tcPr>
            <w:tcW w:w="104" w:type="pct"/>
            <w:tcBorders>
              <w:left w:val="nil"/>
              <w:right w:val="nil"/>
            </w:tcBorders>
            <w:shd w:val="clear" w:color="auto" w:fill="auto"/>
            <w:noWrap/>
            <w:vAlign w:val="center"/>
          </w:tcPr>
          <w:p w14:paraId="75D8253C" w14:textId="77777777" w:rsidR="00F30406" w:rsidRPr="00C34E8D" w:rsidRDefault="00F30406" w:rsidP="002E2B5B">
            <w:pPr>
              <w:rPr>
                <w:rFonts w:ascii="Calibri" w:hAnsi="Calibri" w:cs="Calibri"/>
                <w:sz w:val="16"/>
                <w:szCs w:val="16"/>
              </w:rPr>
            </w:pPr>
          </w:p>
        </w:tc>
        <w:tc>
          <w:tcPr>
            <w:tcW w:w="483" w:type="pct"/>
            <w:tcBorders>
              <w:left w:val="nil"/>
              <w:right w:val="nil"/>
            </w:tcBorders>
            <w:shd w:val="clear" w:color="auto" w:fill="auto"/>
            <w:noWrap/>
            <w:vAlign w:val="center"/>
          </w:tcPr>
          <w:p w14:paraId="001973E0" w14:textId="77777777" w:rsidR="00F30406" w:rsidRPr="00C34E8D" w:rsidRDefault="00F30406" w:rsidP="002E2B5B">
            <w:pPr>
              <w:jc w:val="right"/>
              <w:rPr>
                <w:rFonts w:ascii="Calibri" w:hAnsi="Calibri" w:cs="Calibri"/>
                <w:sz w:val="16"/>
                <w:szCs w:val="16"/>
              </w:rPr>
            </w:pPr>
            <w:r w:rsidRPr="00C34E8D">
              <w:rPr>
                <w:rFonts w:ascii="Calibri" w:hAnsi="Calibri" w:cs="Calibri"/>
                <w:sz w:val="16"/>
                <w:szCs w:val="16"/>
              </w:rPr>
              <w:t>(</w:t>
            </w:r>
            <w:r w:rsidR="00F7773E" w:rsidRPr="00C34E8D">
              <w:rPr>
                <w:rFonts w:ascii="Calibri" w:hAnsi="Calibri" w:cs="Calibri"/>
                <w:sz w:val="16"/>
                <w:szCs w:val="16"/>
              </w:rPr>
              <w:t>177.442</w:t>
            </w:r>
            <w:r w:rsidRPr="00C34E8D">
              <w:rPr>
                <w:rFonts w:ascii="Calibri" w:hAnsi="Calibri" w:cs="Calibri"/>
                <w:sz w:val="16"/>
                <w:szCs w:val="16"/>
              </w:rPr>
              <w:t xml:space="preserve">) </w:t>
            </w:r>
          </w:p>
        </w:tc>
        <w:tc>
          <w:tcPr>
            <w:tcW w:w="102" w:type="pct"/>
            <w:vAlign w:val="bottom"/>
          </w:tcPr>
          <w:p w14:paraId="6B7EFC43" w14:textId="77777777" w:rsidR="00F30406" w:rsidRPr="00C34E8D" w:rsidRDefault="00F30406" w:rsidP="002E2B5B">
            <w:pPr>
              <w:rPr>
                <w:rFonts w:ascii="Calibri" w:hAnsi="Calibri" w:cs="Calibri"/>
                <w:b/>
                <w:sz w:val="16"/>
                <w:szCs w:val="16"/>
              </w:rPr>
            </w:pPr>
          </w:p>
        </w:tc>
      </w:tr>
      <w:tr w:rsidR="00F7773E" w:rsidRPr="00C34E8D" w14:paraId="79481F1B" w14:textId="77777777" w:rsidTr="00B23D01">
        <w:trPr>
          <w:trHeight w:hRule="exact" w:val="227"/>
        </w:trPr>
        <w:tc>
          <w:tcPr>
            <w:tcW w:w="2069" w:type="pct"/>
            <w:tcBorders>
              <w:left w:val="nil"/>
              <w:right w:val="nil"/>
            </w:tcBorders>
            <w:shd w:val="clear" w:color="auto" w:fill="auto"/>
            <w:noWrap/>
            <w:vAlign w:val="bottom"/>
          </w:tcPr>
          <w:p w14:paraId="08C4D192" w14:textId="77777777" w:rsidR="00F7773E" w:rsidRPr="00C34E8D" w:rsidRDefault="00F7773E" w:rsidP="002E2B5B">
            <w:pPr>
              <w:rPr>
                <w:rFonts w:ascii="Calibri" w:hAnsi="Calibri" w:cs="Calibri"/>
                <w:sz w:val="16"/>
                <w:szCs w:val="16"/>
              </w:rPr>
            </w:pPr>
            <w:r w:rsidRPr="00C34E8D">
              <w:rPr>
                <w:rFonts w:ascii="Calibri" w:hAnsi="Calibri" w:cs="Calibri"/>
                <w:sz w:val="16"/>
                <w:szCs w:val="16"/>
              </w:rPr>
              <w:t>AZVI S.A DO BRASIL</w:t>
            </w:r>
          </w:p>
        </w:tc>
        <w:tc>
          <w:tcPr>
            <w:tcW w:w="359" w:type="pct"/>
            <w:tcBorders>
              <w:left w:val="nil"/>
              <w:right w:val="nil"/>
            </w:tcBorders>
            <w:shd w:val="clear" w:color="auto" w:fill="auto"/>
            <w:noWrap/>
            <w:vAlign w:val="bottom"/>
          </w:tcPr>
          <w:p w14:paraId="01A884E4" w14:textId="77777777" w:rsidR="00F7773E" w:rsidRPr="00C34E8D" w:rsidRDefault="00F7773E" w:rsidP="002E2B5B">
            <w:pPr>
              <w:rPr>
                <w:rFonts w:ascii="Calibri" w:hAnsi="Calibri" w:cs="Calibri"/>
                <w:sz w:val="16"/>
                <w:szCs w:val="16"/>
              </w:rPr>
            </w:pPr>
          </w:p>
        </w:tc>
        <w:tc>
          <w:tcPr>
            <w:tcW w:w="85" w:type="pct"/>
            <w:tcBorders>
              <w:left w:val="nil"/>
              <w:right w:val="nil"/>
            </w:tcBorders>
            <w:shd w:val="clear" w:color="auto" w:fill="auto"/>
            <w:noWrap/>
            <w:vAlign w:val="bottom"/>
          </w:tcPr>
          <w:p w14:paraId="38FEDC4F" w14:textId="77777777" w:rsidR="00F7773E" w:rsidRPr="00C34E8D" w:rsidRDefault="00F7773E" w:rsidP="002E2B5B">
            <w:pPr>
              <w:rPr>
                <w:rFonts w:ascii="Calibri" w:hAnsi="Calibri" w:cs="Calibri"/>
                <w:b/>
                <w:bCs/>
                <w:sz w:val="16"/>
                <w:szCs w:val="16"/>
              </w:rPr>
            </w:pPr>
          </w:p>
        </w:tc>
        <w:tc>
          <w:tcPr>
            <w:tcW w:w="151" w:type="pct"/>
            <w:tcBorders>
              <w:left w:val="nil"/>
              <w:right w:val="nil"/>
            </w:tcBorders>
          </w:tcPr>
          <w:p w14:paraId="24568ABF" w14:textId="77777777" w:rsidR="00F7773E" w:rsidRPr="00C34E8D" w:rsidRDefault="00F7773E" w:rsidP="002E2B5B">
            <w:pPr>
              <w:jc w:val="right"/>
              <w:rPr>
                <w:rFonts w:ascii="Calibri" w:hAnsi="Calibri" w:cs="Calibri"/>
                <w:sz w:val="16"/>
                <w:szCs w:val="16"/>
              </w:rPr>
            </w:pPr>
          </w:p>
        </w:tc>
        <w:tc>
          <w:tcPr>
            <w:tcW w:w="680" w:type="pct"/>
            <w:tcBorders>
              <w:left w:val="nil"/>
              <w:right w:val="nil"/>
            </w:tcBorders>
            <w:shd w:val="clear" w:color="auto" w:fill="auto"/>
            <w:noWrap/>
            <w:vAlign w:val="center"/>
          </w:tcPr>
          <w:p w14:paraId="27158606" w14:textId="77777777" w:rsidR="00F7773E" w:rsidRPr="00C34E8D" w:rsidRDefault="00F7773E" w:rsidP="002E2B5B">
            <w:pPr>
              <w:jc w:val="right"/>
              <w:rPr>
                <w:rFonts w:ascii="Calibri" w:hAnsi="Calibri" w:cs="Calibri"/>
                <w:sz w:val="16"/>
                <w:szCs w:val="16"/>
              </w:rPr>
            </w:pPr>
            <w:r w:rsidRPr="00C34E8D">
              <w:rPr>
                <w:rFonts w:ascii="Calibri" w:hAnsi="Calibri" w:cs="Calibri"/>
                <w:sz w:val="16"/>
                <w:szCs w:val="16"/>
              </w:rPr>
              <w:t>016/2017</w:t>
            </w:r>
          </w:p>
        </w:tc>
        <w:tc>
          <w:tcPr>
            <w:tcW w:w="967" w:type="pct"/>
            <w:tcBorders>
              <w:left w:val="nil"/>
              <w:right w:val="nil"/>
            </w:tcBorders>
            <w:vAlign w:val="center"/>
          </w:tcPr>
          <w:p w14:paraId="7FC35656" w14:textId="77777777" w:rsidR="00F7773E" w:rsidRPr="00C34E8D" w:rsidRDefault="00F7773E" w:rsidP="002E2B5B">
            <w:pPr>
              <w:jc w:val="center"/>
              <w:rPr>
                <w:rFonts w:ascii="Calibri" w:hAnsi="Calibri" w:cs="Calibri"/>
                <w:sz w:val="16"/>
                <w:szCs w:val="16"/>
              </w:rPr>
            </w:pPr>
            <w:r w:rsidRPr="00C34E8D">
              <w:rPr>
                <w:rFonts w:ascii="Calibri" w:hAnsi="Calibri" w:cs="Calibri"/>
                <w:sz w:val="16"/>
                <w:szCs w:val="16"/>
              </w:rPr>
              <w:t>51402.200534/2018-81</w:t>
            </w:r>
          </w:p>
        </w:tc>
        <w:tc>
          <w:tcPr>
            <w:tcW w:w="104" w:type="pct"/>
            <w:tcBorders>
              <w:left w:val="nil"/>
              <w:right w:val="nil"/>
            </w:tcBorders>
            <w:shd w:val="clear" w:color="auto" w:fill="auto"/>
            <w:noWrap/>
            <w:vAlign w:val="center"/>
          </w:tcPr>
          <w:p w14:paraId="03D4305C" w14:textId="77777777" w:rsidR="00F7773E" w:rsidRPr="00C34E8D" w:rsidRDefault="00F7773E" w:rsidP="002E2B5B">
            <w:pPr>
              <w:rPr>
                <w:rFonts w:ascii="Calibri" w:hAnsi="Calibri" w:cs="Calibri"/>
                <w:sz w:val="16"/>
                <w:szCs w:val="16"/>
              </w:rPr>
            </w:pPr>
          </w:p>
        </w:tc>
        <w:tc>
          <w:tcPr>
            <w:tcW w:w="483" w:type="pct"/>
            <w:tcBorders>
              <w:left w:val="nil"/>
              <w:right w:val="nil"/>
            </w:tcBorders>
            <w:shd w:val="clear" w:color="auto" w:fill="auto"/>
            <w:noWrap/>
            <w:vAlign w:val="center"/>
          </w:tcPr>
          <w:p w14:paraId="7E4FEA7F" w14:textId="77777777" w:rsidR="00F7773E" w:rsidRPr="00C34E8D" w:rsidRDefault="00F7773E" w:rsidP="002E2B5B">
            <w:pPr>
              <w:jc w:val="right"/>
              <w:rPr>
                <w:rFonts w:ascii="Calibri" w:hAnsi="Calibri" w:cs="Calibri"/>
                <w:sz w:val="16"/>
                <w:szCs w:val="16"/>
              </w:rPr>
            </w:pPr>
            <w:r w:rsidRPr="00C34E8D">
              <w:rPr>
                <w:rFonts w:ascii="Calibri" w:hAnsi="Calibri" w:cs="Calibri"/>
                <w:sz w:val="16"/>
                <w:szCs w:val="16"/>
              </w:rPr>
              <w:t>(9.739.968)</w:t>
            </w:r>
          </w:p>
        </w:tc>
        <w:tc>
          <w:tcPr>
            <w:tcW w:w="102" w:type="pct"/>
            <w:vAlign w:val="bottom"/>
          </w:tcPr>
          <w:p w14:paraId="5AE4095D" w14:textId="77777777" w:rsidR="00F7773E" w:rsidRPr="00C34E8D" w:rsidRDefault="00F7773E" w:rsidP="002E2B5B">
            <w:pPr>
              <w:rPr>
                <w:rFonts w:ascii="Calibri" w:hAnsi="Calibri" w:cs="Calibri"/>
                <w:b/>
                <w:sz w:val="16"/>
                <w:szCs w:val="16"/>
              </w:rPr>
            </w:pPr>
          </w:p>
        </w:tc>
      </w:tr>
      <w:tr w:rsidR="00F30406" w:rsidRPr="00C34E8D" w14:paraId="4D7A4730" w14:textId="77777777" w:rsidTr="00B23D01">
        <w:trPr>
          <w:trHeight w:hRule="exact" w:val="227"/>
        </w:trPr>
        <w:tc>
          <w:tcPr>
            <w:tcW w:w="2069" w:type="pct"/>
            <w:tcBorders>
              <w:left w:val="nil"/>
              <w:bottom w:val="single" w:sz="4" w:space="0" w:color="auto"/>
              <w:right w:val="nil"/>
            </w:tcBorders>
            <w:shd w:val="clear" w:color="auto" w:fill="auto"/>
            <w:noWrap/>
            <w:vAlign w:val="center"/>
          </w:tcPr>
          <w:p w14:paraId="5EDE4558" w14:textId="77777777" w:rsidR="00F30406" w:rsidRPr="00C34E8D" w:rsidRDefault="00F30406" w:rsidP="002E2B5B">
            <w:pPr>
              <w:rPr>
                <w:rFonts w:ascii="Calibri" w:hAnsi="Calibri" w:cs="Calibri"/>
                <w:sz w:val="16"/>
                <w:szCs w:val="16"/>
              </w:rPr>
            </w:pPr>
            <w:r w:rsidRPr="00C34E8D">
              <w:rPr>
                <w:rFonts w:ascii="Calibri" w:hAnsi="Calibri" w:cs="Calibri"/>
                <w:sz w:val="16"/>
                <w:szCs w:val="16"/>
              </w:rPr>
              <w:t>SPAVIAS ENGENHARIA LTDA</w:t>
            </w:r>
          </w:p>
        </w:tc>
        <w:tc>
          <w:tcPr>
            <w:tcW w:w="359" w:type="pct"/>
            <w:tcBorders>
              <w:left w:val="nil"/>
              <w:bottom w:val="single" w:sz="4" w:space="0" w:color="auto"/>
              <w:right w:val="nil"/>
            </w:tcBorders>
            <w:shd w:val="clear" w:color="auto" w:fill="auto"/>
            <w:noWrap/>
            <w:vAlign w:val="bottom"/>
          </w:tcPr>
          <w:p w14:paraId="10172899" w14:textId="77777777" w:rsidR="00F30406" w:rsidRPr="00C34E8D" w:rsidRDefault="00F30406" w:rsidP="002E2B5B">
            <w:pPr>
              <w:rPr>
                <w:rFonts w:ascii="Calibri" w:hAnsi="Calibri" w:cs="Calibri"/>
                <w:b/>
                <w:sz w:val="16"/>
                <w:szCs w:val="16"/>
              </w:rPr>
            </w:pPr>
          </w:p>
        </w:tc>
        <w:tc>
          <w:tcPr>
            <w:tcW w:w="85" w:type="pct"/>
            <w:tcBorders>
              <w:left w:val="nil"/>
              <w:bottom w:val="single" w:sz="4" w:space="0" w:color="auto"/>
              <w:right w:val="nil"/>
            </w:tcBorders>
            <w:shd w:val="clear" w:color="auto" w:fill="auto"/>
            <w:noWrap/>
            <w:vAlign w:val="bottom"/>
          </w:tcPr>
          <w:p w14:paraId="637D3113" w14:textId="77777777" w:rsidR="00F30406" w:rsidRPr="00C34E8D" w:rsidRDefault="00F30406" w:rsidP="002E2B5B">
            <w:pPr>
              <w:rPr>
                <w:rFonts w:ascii="Calibri" w:hAnsi="Calibri" w:cs="Calibri"/>
                <w:b/>
                <w:sz w:val="16"/>
                <w:szCs w:val="16"/>
              </w:rPr>
            </w:pPr>
          </w:p>
        </w:tc>
        <w:tc>
          <w:tcPr>
            <w:tcW w:w="151" w:type="pct"/>
            <w:tcBorders>
              <w:left w:val="nil"/>
              <w:bottom w:val="single" w:sz="4" w:space="0" w:color="auto"/>
              <w:right w:val="nil"/>
            </w:tcBorders>
            <w:vAlign w:val="bottom"/>
          </w:tcPr>
          <w:p w14:paraId="54D08848" w14:textId="77777777" w:rsidR="00F30406" w:rsidRPr="00C34E8D" w:rsidRDefault="00F30406" w:rsidP="002E2B5B">
            <w:pPr>
              <w:jc w:val="right"/>
              <w:rPr>
                <w:rFonts w:ascii="Calibri" w:hAnsi="Calibri" w:cs="Calibri"/>
                <w:b/>
                <w:sz w:val="16"/>
                <w:szCs w:val="16"/>
              </w:rPr>
            </w:pPr>
          </w:p>
        </w:tc>
        <w:tc>
          <w:tcPr>
            <w:tcW w:w="680" w:type="pct"/>
            <w:tcBorders>
              <w:left w:val="nil"/>
              <w:bottom w:val="single" w:sz="4" w:space="0" w:color="auto"/>
              <w:right w:val="nil"/>
            </w:tcBorders>
            <w:shd w:val="clear" w:color="auto" w:fill="auto"/>
            <w:noWrap/>
            <w:vAlign w:val="center"/>
          </w:tcPr>
          <w:p w14:paraId="5F091EF3" w14:textId="77777777" w:rsidR="00F30406" w:rsidRPr="00C34E8D" w:rsidRDefault="00F30406" w:rsidP="002E2B5B">
            <w:pPr>
              <w:jc w:val="right"/>
              <w:rPr>
                <w:rFonts w:ascii="Calibri" w:hAnsi="Calibri" w:cs="Calibri"/>
                <w:sz w:val="16"/>
                <w:szCs w:val="16"/>
              </w:rPr>
            </w:pPr>
            <w:r w:rsidRPr="00C34E8D">
              <w:rPr>
                <w:rFonts w:ascii="Calibri" w:hAnsi="Calibri" w:cs="Calibri"/>
                <w:sz w:val="16"/>
                <w:szCs w:val="16"/>
              </w:rPr>
              <w:t>036/2014</w:t>
            </w:r>
          </w:p>
        </w:tc>
        <w:tc>
          <w:tcPr>
            <w:tcW w:w="967" w:type="pct"/>
            <w:tcBorders>
              <w:left w:val="nil"/>
              <w:bottom w:val="single" w:sz="4" w:space="0" w:color="auto"/>
              <w:right w:val="nil"/>
            </w:tcBorders>
            <w:vAlign w:val="center"/>
          </w:tcPr>
          <w:p w14:paraId="7BF54696" w14:textId="77777777" w:rsidR="00F30406" w:rsidRPr="00C34E8D" w:rsidRDefault="00F30406" w:rsidP="002E2B5B">
            <w:pPr>
              <w:rPr>
                <w:rFonts w:ascii="Calibri" w:hAnsi="Calibri" w:cs="Calibri"/>
                <w:b/>
                <w:sz w:val="16"/>
                <w:szCs w:val="16"/>
              </w:rPr>
            </w:pPr>
            <w:r w:rsidRPr="00C34E8D">
              <w:rPr>
                <w:rFonts w:ascii="Calibri" w:hAnsi="Calibri" w:cs="Calibri"/>
                <w:sz w:val="16"/>
                <w:szCs w:val="16"/>
              </w:rPr>
              <w:t xml:space="preserve">   51402.198131/2018-63</w:t>
            </w:r>
          </w:p>
        </w:tc>
        <w:tc>
          <w:tcPr>
            <w:tcW w:w="104" w:type="pct"/>
            <w:tcBorders>
              <w:left w:val="nil"/>
              <w:bottom w:val="single" w:sz="4" w:space="0" w:color="auto"/>
              <w:right w:val="nil"/>
            </w:tcBorders>
            <w:shd w:val="clear" w:color="auto" w:fill="auto"/>
            <w:noWrap/>
            <w:vAlign w:val="center"/>
          </w:tcPr>
          <w:p w14:paraId="0BA1E16E" w14:textId="77777777" w:rsidR="00F30406" w:rsidRPr="00C34E8D" w:rsidRDefault="00F30406" w:rsidP="002E2B5B">
            <w:pPr>
              <w:rPr>
                <w:rFonts w:ascii="Calibri" w:hAnsi="Calibri" w:cs="Calibri"/>
                <w:b/>
                <w:sz w:val="16"/>
                <w:szCs w:val="16"/>
              </w:rPr>
            </w:pPr>
          </w:p>
        </w:tc>
        <w:tc>
          <w:tcPr>
            <w:tcW w:w="483" w:type="pct"/>
            <w:tcBorders>
              <w:left w:val="nil"/>
              <w:bottom w:val="single" w:sz="4" w:space="0" w:color="auto"/>
              <w:right w:val="nil"/>
            </w:tcBorders>
            <w:shd w:val="clear" w:color="auto" w:fill="auto"/>
            <w:noWrap/>
            <w:vAlign w:val="center"/>
          </w:tcPr>
          <w:p w14:paraId="5C51F307" w14:textId="77777777" w:rsidR="00F30406" w:rsidRPr="00C34E8D" w:rsidRDefault="00F30406" w:rsidP="002E2B5B">
            <w:pPr>
              <w:jc w:val="right"/>
              <w:rPr>
                <w:rFonts w:ascii="Calibri" w:hAnsi="Calibri" w:cs="Calibri"/>
                <w:sz w:val="16"/>
                <w:szCs w:val="16"/>
              </w:rPr>
            </w:pPr>
            <w:r w:rsidRPr="00C34E8D">
              <w:rPr>
                <w:rFonts w:ascii="Calibri" w:hAnsi="Calibri" w:cs="Calibri"/>
                <w:sz w:val="16"/>
                <w:szCs w:val="16"/>
              </w:rPr>
              <w:t>(2.465.411)</w:t>
            </w:r>
          </w:p>
        </w:tc>
        <w:tc>
          <w:tcPr>
            <w:tcW w:w="102" w:type="pct"/>
            <w:vAlign w:val="bottom"/>
          </w:tcPr>
          <w:p w14:paraId="4EE54AFA" w14:textId="77777777" w:rsidR="00F30406" w:rsidRPr="00C34E8D" w:rsidRDefault="00F30406" w:rsidP="002E2B5B">
            <w:pPr>
              <w:rPr>
                <w:rFonts w:ascii="Calibri" w:hAnsi="Calibri" w:cs="Calibri"/>
                <w:b/>
                <w:sz w:val="16"/>
                <w:szCs w:val="16"/>
              </w:rPr>
            </w:pPr>
          </w:p>
        </w:tc>
      </w:tr>
      <w:tr w:rsidR="00F30406" w:rsidRPr="00C34E8D" w14:paraId="4D6C1ABA" w14:textId="77777777" w:rsidTr="00B23D01">
        <w:trPr>
          <w:trHeight w:hRule="exact" w:val="227"/>
        </w:trPr>
        <w:tc>
          <w:tcPr>
            <w:tcW w:w="2069" w:type="pct"/>
            <w:tcBorders>
              <w:top w:val="single" w:sz="4" w:space="0" w:color="auto"/>
              <w:left w:val="nil"/>
              <w:bottom w:val="single" w:sz="4" w:space="0" w:color="auto"/>
              <w:right w:val="nil"/>
            </w:tcBorders>
            <w:shd w:val="clear" w:color="auto" w:fill="auto"/>
            <w:noWrap/>
            <w:vAlign w:val="center"/>
          </w:tcPr>
          <w:p w14:paraId="6709EBA1" w14:textId="602A8993" w:rsidR="00F30406" w:rsidRPr="00C34E8D" w:rsidRDefault="00F30406" w:rsidP="002E2B5B">
            <w:pPr>
              <w:rPr>
                <w:rFonts w:ascii="Calibri" w:hAnsi="Calibri" w:cs="Calibri"/>
                <w:b/>
                <w:bCs/>
                <w:sz w:val="16"/>
                <w:szCs w:val="16"/>
              </w:rPr>
            </w:pPr>
            <w:r w:rsidRPr="00C34E8D">
              <w:rPr>
                <w:rFonts w:ascii="Calibri" w:hAnsi="Calibri" w:cs="Calibri"/>
                <w:b/>
                <w:bCs/>
                <w:sz w:val="16"/>
                <w:szCs w:val="16"/>
              </w:rPr>
              <w:t>TOTAL LÍQUIDO DOS CRÉDITOS A RECEBER</w:t>
            </w:r>
            <w:r w:rsidR="00214011" w:rsidRPr="00C34E8D">
              <w:rPr>
                <w:rFonts w:ascii="Calibri" w:hAnsi="Calibri" w:cs="Calibri"/>
                <w:b/>
                <w:bCs/>
                <w:sz w:val="16"/>
                <w:szCs w:val="16"/>
              </w:rPr>
              <w:t xml:space="preserve"> em </w:t>
            </w:r>
            <w:r w:rsidR="00613EA2" w:rsidRPr="00C34E8D">
              <w:rPr>
                <w:rFonts w:ascii="Calibri" w:hAnsi="Calibri" w:cs="Calibri"/>
                <w:b/>
                <w:bCs/>
                <w:sz w:val="16"/>
                <w:szCs w:val="16"/>
              </w:rPr>
              <w:t>30/0</w:t>
            </w:r>
            <w:r w:rsidR="007359A9">
              <w:rPr>
                <w:rFonts w:ascii="Calibri" w:hAnsi="Calibri" w:cs="Calibri"/>
                <w:b/>
                <w:bCs/>
                <w:sz w:val="16"/>
                <w:szCs w:val="16"/>
              </w:rPr>
              <w:t>9</w:t>
            </w:r>
            <w:r w:rsidR="00613EA2" w:rsidRPr="00C34E8D">
              <w:rPr>
                <w:rFonts w:ascii="Calibri" w:hAnsi="Calibri" w:cs="Calibri"/>
                <w:b/>
                <w:bCs/>
                <w:sz w:val="16"/>
                <w:szCs w:val="16"/>
              </w:rPr>
              <w:t>/2021</w:t>
            </w:r>
          </w:p>
        </w:tc>
        <w:tc>
          <w:tcPr>
            <w:tcW w:w="359" w:type="pct"/>
            <w:tcBorders>
              <w:top w:val="single" w:sz="4" w:space="0" w:color="auto"/>
              <w:left w:val="nil"/>
              <w:bottom w:val="single" w:sz="4" w:space="0" w:color="auto"/>
              <w:right w:val="nil"/>
            </w:tcBorders>
            <w:shd w:val="clear" w:color="auto" w:fill="auto"/>
            <w:noWrap/>
            <w:vAlign w:val="bottom"/>
          </w:tcPr>
          <w:p w14:paraId="02A16E9C" w14:textId="77777777" w:rsidR="00F30406" w:rsidRPr="00C34E8D" w:rsidRDefault="00F30406" w:rsidP="002E2B5B">
            <w:pPr>
              <w:rPr>
                <w:rFonts w:ascii="Calibri" w:hAnsi="Calibri" w:cs="Calibri"/>
                <w:b/>
                <w:bCs/>
                <w:sz w:val="16"/>
                <w:szCs w:val="16"/>
              </w:rPr>
            </w:pPr>
          </w:p>
        </w:tc>
        <w:tc>
          <w:tcPr>
            <w:tcW w:w="85" w:type="pct"/>
            <w:tcBorders>
              <w:top w:val="single" w:sz="4" w:space="0" w:color="auto"/>
              <w:left w:val="nil"/>
              <w:bottom w:val="single" w:sz="4" w:space="0" w:color="auto"/>
              <w:right w:val="nil"/>
            </w:tcBorders>
            <w:shd w:val="clear" w:color="auto" w:fill="auto"/>
            <w:noWrap/>
            <w:vAlign w:val="bottom"/>
          </w:tcPr>
          <w:p w14:paraId="061D1876" w14:textId="77777777" w:rsidR="00F30406" w:rsidRPr="00C34E8D" w:rsidRDefault="00F30406" w:rsidP="002E2B5B">
            <w:pPr>
              <w:rPr>
                <w:rFonts w:ascii="Calibri" w:hAnsi="Calibri" w:cs="Calibri"/>
                <w:b/>
                <w:bCs/>
                <w:sz w:val="16"/>
                <w:szCs w:val="16"/>
              </w:rPr>
            </w:pPr>
          </w:p>
        </w:tc>
        <w:tc>
          <w:tcPr>
            <w:tcW w:w="151" w:type="pct"/>
            <w:tcBorders>
              <w:top w:val="single" w:sz="4" w:space="0" w:color="auto"/>
              <w:left w:val="nil"/>
              <w:bottom w:val="single" w:sz="4" w:space="0" w:color="auto"/>
              <w:right w:val="nil"/>
            </w:tcBorders>
            <w:vAlign w:val="bottom"/>
          </w:tcPr>
          <w:p w14:paraId="25402CC8" w14:textId="77777777" w:rsidR="00F30406" w:rsidRPr="00C34E8D" w:rsidRDefault="00F30406" w:rsidP="002E2B5B">
            <w:pPr>
              <w:jc w:val="right"/>
              <w:rPr>
                <w:rFonts w:ascii="Calibri" w:hAnsi="Calibri" w:cs="Calibri"/>
                <w:b/>
                <w:bCs/>
                <w:sz w:val="16"/>
                <w:szCs w:val="16"/>
              </w:rPr>
            </w:pPr>
          </w:p>
        </w:tc>
        <w:tc>
          <w:tcPr>
            <w:tcW w:w="680" w:type="pct"/>
            <w:tcBorders>
              <w:top w:val="single" w:sz="4" w:space="0" w:color="auto"/>
              <w:left w:val="nil"/>
              <w:bottom w:val="single" w:sz="4" w:space="0" w:color="auto"/>
              <w:right w:val="nil"/>
            </w:tcBorders>
            <w:shd w:val="clear" w:color="auto" w:fill="auto"/>
            <w:noWrap/>
            <w:vAlign w:val="bottom"/>
          </w:tcPr>
          <w:p w14:paraId="2A02AAD2" w14:textId="77777777" w:rsidR="00F30406" w:rsidRPr="00C34E8D" w:rsidRDefault="00F30406" w:rsidP="002E2B5B">
            <w:pPr>
              <w:jc w:val="right"/>
              <w:rPr>
                <w:rFonts w:ascii="Calibri" w:hAnsi="Calibri" w:cs="Calibri"/>
                <w:b/>
                <w:bCs/>
                <w:sz w:val="16"/>
                <w:szCs w:val="16"/>
              </w:rPr>
            </w:pPr>
          </w:p>
        </w:tc>
        <w:tc>
          <w:tcPr>
            <w:tcW w:w="967" w:type="pct"/>
            <w:tcBorders>
              <w:top w:val="single" w:sz="4" w:space="0" w:color="auto"/>
              <w:left w:val="nil"/>
              <w:bottom w:val="single" w:sz="4" w:space="0" w:color="auto"/>
              <w:right w:val="nil"/>
            </w:tcBorders>
          </w:tcPr>
          <w:p w14:paraId="43601165" w14:textId="77777777" w:rsidR="00F30406" w:rsidRPr="00C34E8D" w:rsidRDefault="00F30406" w:rsidP="002E2B5B">
            <w:pPr>
              <w:rPr>
                <w:rFonts w:ascii="Calibri" w:hAnsi="Calibri" w:cs="Calibri"/>
                <w:b/>
                <w:bCs/>
                <w:sz w:val="16"/>
                <w:szCs w:val="16"/>
              </w:rPr>
            </w:pPr>
          </w:p>
        </w:tc>
        <w:tc>
          <w:tcPr>
            <w:tcW w:w="104" w:type="pct"/>
            <w:tcBorders>
              <w:top w:val="single" w:sz="4" w:space="0" w:color="auto"/>
              <w:left w:val="nil"/>
              <w:bottom w:val="single" w:sz="4" w:space="0" w:color="auto"/>
              <w:right w:val="nil"/>
            </w:tcBorders>
            <w:shd w:val="clear" w:color="auto" w:fill="auto"/>
            <w:noWrap/>
            <w:vAlign w:val="bottom"/>
          </w:tcPr>
          <w:p w14:paraId="57881C61" w14:textId="77777777" w:rsidR="00F30406" w:rsidRPr="00C34E8D" w:rsidRDefault="00F30406" w:rsidP="002E2B5B">
            <w:pPr>
              <w:rPr>
                <w:rFonts w:ascii="Calibri" w:hAnsi="Calibri" w:cs="Calibri"/>
                <w:b/>
                <w:bCs/>
                <w:sz w:val="16"/>
                <w:szCs w:val="16"/>
              </w:rPr>
            </w:pPr>
          </w:p>
        </w:tc>
        <w:tc>
          <w:tcPr>
            <w:tcW w:w="483" w:type="pct"/>
            <w:tcBorders>
              <w:top w:val="single" w:sz="4" w:space="0" w:color="auto"/>
              <w:left w:val="nil"/>
              <w:bottom w:val="single" w:sz="4" w:space="0" w:color="auto"/>
              <w:right w:val="nil"/>
            </w:tcBorders>
            <w:shd w:val="clear" w:color="auto" w:fill="auto"/>
            <w:noWrap/>
            <w:vAlign w:val="center"/>
          </w:tcPr>
          <w:p w14:paraId="1BB59EBD" w14:textId="6A03AA66" w:rsidR="00F30406" w:rsidRPr="00C34E8D" w:rsidRDefault="00613EA2" w:rsidP="002E2B5B">
            <w:pPr>
              <w:jc w:val="right"/>
              <w:rPr>
                <w:rFonts w:ascii="Calibri" w:hAnsi="Calibri" w:cs="Calibri"/>
                <w:b/>
                <w:bCs/>
                <w:sz w:val="16"/>
                <w:szCs w:val="16"/>
              </w:rPr>
            </w:pPr>
            <w:r w:rsidRPr="00C34E8D">
              <w:rPr>
                <w:rFonts w:ascii="Calibri" w:hAnsi="Calibri" w:cs="Calibri"/>
                <w:b/>
                <w:bCs/>
                <w:sz w:val="16"/>
                <w:szCs w:val="16"/>
              </w:rPr>
              <w:t>34.30</w:t>
            </w:r>
            <w:r w:rsidR="00D81237">
              <w:rPr>
                <w:rFonts w:ascii="Calibri" w:hAnsi="Calibri" w:cs="Calibri"/>
                <w:b/>
                <w:bCs/>
                <w:sz w:val="16"/>
                <w:szCs w:val="16"/>
              </w:rPr>
              <w:t>8</w:t>
            </w:r>
          </w:p>
        </w:tc>
        <w:tc>
          <w:tcPr>
            <w:tcW w:w="102" w:type="pct"/>
            <w:vAlign w:val="bottom"/>
          </w:tcPr>
          <w:p w14:paraId="219788E9" w14:textId="77777777" w:rsidR="00F30406" w:rsidRPr="00C34E8D" w:rsidRDefault="00F30406" w:rsidP="002E2B5B">
            <w:pPr>
              <w:rPr>
                <w:rFonts w:ascii="Calibri" w:hAnsi="Calibri" w:cs="Calibri"/>
                <w:b/>
                <w:sz w:val="16"/>
                <w:szCs w:val="16"/>
              </w:rPr>
            </w:pPr>
          </w:p>
        </w:tc>
      </w:tr>
    </w:tbl>
    <w:p w14:paraId="474A215E" w14:textId="77777777" w:rsidR="005D27D4" w:rsidRPr="002E2B5B" w:rsidRDefault="005D27D4" w:rsidP="002E2B5B">
      <w:pPr>
        <w:jc w:val="both"/>
        <w:rPr>
          <w:rFonts w:ascii="Calibri" w:hAnsi="Calibri" w:cs="Calibri"/>
          <w:sz w:val="22"/>
          <w:szCs w:val="22"/>
        </w:rPr>
      </w:pPr>
    </w:p>
    <w:p w14:paraId="01EEFE26" w14:textId="7E8B8C4D" w:rsidR="00AC06B8" w:rsidRPr="002E2B5B" w:rsidRDefault="00A000CB" w:rsidP="002E2B5B">
      <w:pPr>
        <w:jc w:val="both"/>
        <w:rPr>
          <w:rFonts w:ascii="Calibri" w:hAnsi="Calibri" w:cs="Calibri"/>
          <w:sz w:val="22"/>
          <w:szCs w:val="22"/>
        </w:rPr>
      </w:pPr>
      <w:r w:rsidRPr="002E2B5B">
        <w:rPr>
          <w:rFonts w:ascii="Calibri" w:hAnsi="Calibri" w:cs="Calibri"/>
          <w:sz w:val="22"/>
          <w:szCs w:val="22"/>
        </w:rPr>
        <w:t>Após a judicialização dos processos de cobranças, foram efetuados ajustes para perdas com crédito de liquidação duvidosa no</w:t>
      </w:r>
      <w:r w:rsidR="0032609E" w:rsidRPr="002E2B5B">
        <w:rPr>
          <w:rFonts w:ascii="Calibri" w:hAnsi="Calibri" w:cs="Calibri"/>
          <w:sz w:val="22"/>
          <w:szCs w:val="22"/>
        </w:rPr>
        <w:t xml:space="preserve"> valor</w:t>
      </w:r>
      <w:r w:rsidRPr="002E2B5B">
        <w:rPr>
          <w:rFonts w:ascii="Calibri" w:hAnsi="Calibri" w:cs="Calibri"/>
          <w:sz w:val="22"/>
          <w:szCs w:val="22"/>
        </w:rPr>
        <w:t xml:space="preserve"> total de R$ </w:t>
      </w:r>
      <w:r w:rsidR="00F7773E" w:rsidRPr="002E2B5B">
        <w:rPr>
          <w:rFonts w:ascii="Calibri" w:hAnsi="Calibri" w:cs="Calibri"/>
          <w:sz w:val="22"/>
          <w:szCs w:val="22"/>
        </w:rPr>
        <w:t>12</w:t>
      </w:r>
      <w:r w:rsidR="00B23D01">
        <w:rPr>
          <w:rFonts w:ascii="Calibri" w:hAnsi="Calibri" w:cs="Calibri"/>
          <w:sz w:val="22"/>
          <w:szCs w:val="22"/>
        </w:rPr>
        <w:t xml:space="preserve"> milhões</w:t>
      </w:r>
      <w:r w:rsidRPr="002E2B5B">
        <w:rPr>
          <w:rFonts w:ascii="Calibri" w:hAnsi="Calibri" w:cs="Calibri"/>
          <w:sz w:val="22"/>
          <w:szCs w:val="22"/>
        </w:rPr>
        <w:t>.</w:t>
      </w:r>
    </w:p>
    <w:p w14:paraId="78493D3E" w14:textId="77777777" w:rsidR="00D52821" w:rsidRPr="002E2B5B" w:rsidRDefault="00D52821" w:rsidP="002E2B5B">
      <w:pPr>
        <w:jc w:val="both"/>
        <w:rPr>
          <w:rFonts w:ascii="Calibri" w:hAnsi="Calibri" w:cs="Calibri"/>
          <w:sz w:val="22"/>
          <w:szCs w:val="22"/>
        </w:rPr>
      </w:pPr>
    </w:p>
    <w:p w14:paraId="2623217C" w14:textId="26A63E5F" w:rsidR="009C6473" w:rsidRPr="002E2B5B" w:rsidRDefault="00D22F5E" w:rsidP="002E2B5B">
      <w:pPr>
        <w:jc w:val="both"/>
        <w:rPr>
          <w:rFonts w:ascii="Calibri" w:hAnsi="Calibri" w:cs="Calibri"/>
          <w:b/>
          <w:sz w:val="22"/>
          <w:szCs w:val="22"/>
        </w:rPr>
      </w:pPr>
      <w:r w:rsidRPr="002E2B5B">
        <w:rPr>
          <w:rFonts w:ascii="Calibri" w:hAnsi="Calibri" w:cs="Calibri"/>
          <w:b/>
          <w:bCs/>
          <w:sz w:val="22"/>
          <w:szCs w:val="22"/>
        </w:rPr>
        <w:t xml:space="preserve">NOTA </w:t>
      </w:r>
      <w:r w:rsidR="00BB1EC8">
        <w:rPr>
          <w:rFonts w:ascii="Calibri" w:hAnsi="Calibri" w:cs="Calibri"/>
          <w:b/>
          <w:bCs/>
          <w:sz w:val="22"/>
          <w:szCs w:val="22"/>
        </w:rPr>
        <w:t>5</w:t>
      </w:r>
      <w:r w:rsidR="00E957DE" w:rsidRPr="002E2B5B">
        <w:rPr>
          <w:rFonts w:ascii="Calibri" w:hAnsi="Calibri" w:cs="Calibri"/>
          <w:b/>
          <w:bCs/>
          <w:sz w:val="22"/>
          <w:szCs w:val="22"/>
        </w:rPr>
        <w:t xml:space="preserve"> </w:t>
      </w:r>
      <w:r w:rsidR="007D7BA1" w:rsidRPr="002E2B5B">
        <w:rPr>
          <w:rFonts w:ascii="Calibri" w:hAnsi="Calibri" w:cs="Calibri"/>
          <w:b/>
          <w:bCs/>
          <w:sz w:val="22"/>
          <w:szCs w:val="22"/>
        </w:rPr>
        <w:t>- REALIZÁVEL A LONGO PRAZO</w:t>
      </w:r>
      <w:r w:rsidR="0055378D" w:rsidRPr="002E2B5B">
        <w:rPr>
          <w:rFonts w:ascii="Calibri" w:hAnsi="Calibri" w:cs="Calibri"/>
          <w:b/>
          <w:bCs/>
          <w:sz w:val="22"/>
          <w:szCs w:val="22"/>
        </w:rPr>
        <w:t xml:space="preserve"> </w:t>
      </w:r>
    </w:p>
    <w:p w14:paraId="2CC859FB" w14:textId="77777777" w:rsidR="00393341" w:rsidRPr="002E2B5B" w:rsidRDefault="00393341" w:rsidP="002E2B5B">
      <w:pPr>
        <w:rPr>
          <w:rFonts w:ascii="Calibri" w:hAnsi="Calibri" w:cs="Calibri"/>
          <w:sz w:val="22"/>
          <w:szCs w:val="22"/>
        </w:rPr>
      </w:pPr>
    </w:p>
    <w:p w14:paraId="1D30B40C" w14:textId="77777777" w:rsidR="0008330B" w:rsidRPr="002E2B5B" w:rsidRDefault="00660339" w:rsidP="002E2B5B">
      <w:pPr>
        <w:numPr>
          <w:ilvl w:val="0"/>
          <w:numId w:val="6"/>
        </w:numPr>
        <w:ind w:left="284" w:hanging="284"/>
        <w:rPr>
          <w:rFonts w:ascii="Calibri" w:hAnsi="Calibri" w:cs="Calibri"/>
          <w:b/>
          <w:sz w:val="22"/>
          <w:szCs w:val="22"/>
        </w:rPr>
      </w:pPr>
      <w:r w:rsidRPr="002E2B5B">
        <w:rPr>
          <w:rFonts w:ascii="Calibri" w:hAnsi="Calibri" w:cs="Calibri"/>
          <w:b/>
          <w:sz w:val="22"/>
          <w:szCs w:val="22"/>
        </w:rPr>
        <w:t>Depósitos de Cauções</w:t>
      </w:r>
    </w:p>
    <w:tbl>
      <w:tblPr>
        <w:tblW w:w="5000" w:type="pct"/>
        <w:tblCellMar>
          <w:left w:w="70" w:type="dxa"/>
          <w:right w:w="70" w:type="dxa"/>
        </w:tblCellMar>
        <w:tblLook w:val="04A0" w:firstRow="1" w:lastRow="0" w:firstColumn="1" w:lastColumn="0" w:noHBand="0" w:noVBand="1"/>
      </w:tblPr>
      <w:tblGrid>
        <w:gridCol w:w="1495"/>
        <w:gridCol w:w="1495"/>
        <w:gridCol w:w="1497"/>
        <w:gridCol w:w="1191"/>
        <w:gridCol w:w="1597"/>
        <w:gridCol w:w="1597"/>
        <w:gridCol w:w="1595"/>
      </w:tblGrid>
      <w:tr w:rsidR="0008330B" w:rsidRPr="002E2B5B" w14:paraId="723D27CC" w14:textId="77777777" w:rsidTr="00D261A4">
        <w:trPr>
          <w:trHeight w:val="300"/>
        </w:trPr>
        <w:tc>
          <w:tcPr>
            <w:tcW w:w="714" w:type="pct"/>
            <w:tcBorders>
              <w:top w:val="nil"/>
              <w:left w:val="nil"/>
              <w:bottom w:val="nil"/>
              <w:right w:val="nil"/>
            </w:tcBorders>
            <w:shd w:val="clear" w:color="auto" w:fill="auto"/>
            <w:noWrap/>
            <w:vAlign w:val="center"/>
            <w:hideMark/>
          </w:tcPr>
          <w:p w14:paraId="7077FD3C" w14:textId="77777777" w:rsidR="0008330B" w:rsidRPr="002E2B5B" w:rsidRDefault="0008330B" w:rsidP="002E2B5B">
            <w:pPr>
              <w:rPr>
                <w:rFonts w:ascii="Calibri" w:hAnsi="Calibri" w:cs="Calibri"/>
                <w:sz w:val="16"/>
                <w:szCs w:val="16"/>
              </w:rPr>
            </w:pPr>
          </w:p>
        </w:tc>
        <w:tc>
          <w:tcPr>
            <w:tcW w:w="714" w:type="pct"/>
            <w:tcBorders>
              <w:top w:val="nil"/>
              <w:left w:val="nil"/>
              <w:bottom w:val="nil"/>
              <w:right w:val="nil"/>
            </w:tcBorders>
            <w:shd w:val="clear" w:color="auto" w:fill="auto"/>
            <w:noWrap/>
            <w:vAlign w:val="bottom"/>
            <w:hideMark/>
          </w:tcPr>
          <w:p w14:paraId="463ACE93" w14:textId="77777777" w:rsidR="0008330B" w:rsidRPr="002E2B5B" w:rsidRDefault="0008330B" w:rsidP="002E2B5B">
            <w:pPr>
              <w:rPr>
                <w:rFonts w:ascii="Calibri" w:hAnsi="Calibri" w:cs="Calibri"/>
                <w:sz w:val="16"/>
                <w:szCs w:val="16"/>
              </w:rPr>
            </w:pPr>
          </w:p>
        </w:tc>
        <w:tc>
          <w:tcPr>
            <w:tcW w:w="715" w:type="pct"/>
            <w:tcBorders>
              <w:top w:val="nil"/>
              <w:left w:val="nil"/>
              <w:bottom w:val="nil"/>
              <w:right w:val="nil"/>
            </w:tcBorders>
            <w:shd w:val="clear" w:color="auto" w:fill="auto"/>
            <w:noWrap/>
            <w:vAlign w:val="bottom"/>
            <w:hideMark/>
          </w:tcPr>
          <w:p w14:paraId="5913A6E8" w14:textId="77777777" w:rsidR="0008330B" w:rsidRPr="002E2B5B" w:rsidRDefault="0008330B" w:rsidP="002E2B5B">
            <w:pPr>
              <w:rPr>
                <w:rFonts w:ascii="Calibri" w:hAnsi="Calibri" w:cs="Calibri"/>
                <w:sz w:val="16"/>
                <w:szCs w:val="16"/>
              </w:rPr>
            </w:pPr>
          </w:p>
        </w:tc>
        <w:tc>
          <w:tcPr>
            <w:tcW w:w="569" w:type="pct"/>
            <w:tcBorders>
              <w:top w:val="nil"/>
              <w:left w:val="nil"/>
              <w:bottom w:val="nil"/>
              <w:right w:val="nil"/>
            </w:tcBorders>
            <w:shd w:val="clear" w:color="auto" w:fill="auto"/>
            <w:vAlign w:val="center"/>
            <w:hideMark/>
          </w:tcPr>
          <w:p w14:paraId="61F6F363" w14:textId="77777777" w:rsidR="0008330B" w:rsidRPr="002E2B5B" w:rsidRDefault="0008330B" w:rsidP="002E2B5B">
            <w:pPr>
              <w:rPr>
                <w:rFonts w:ascii="Calibri" w:hAnsi="Calibri" w:cs="Calibri"/>
                <w:sz w:val="16"/>
                <w:szCs w:val="16"/>
              </w:rPr>
            </w:pPr>
          </w:p>
        </w:tc>
        <w:tc>
          <w:tcPr>
            <w:tcW w:w="763" w:type="pct"/>
            <w:tcBorders>
              <w:top w:val="nil"/>
              <w:left w:val="nil"/>
              <w:bottom w:val="nil"/>
              <w:right w:val="nil"/>
            </w:tcBorders>
            <w:shd w:val="clear" w:color="auto" w:fill="auto"/>
            <w:noWrap/>
            <w:vAlign w:val="bottom"/>
            <w:hideMark/>
          </w:tcPr>
          <w:p w14:paraId="59E40663" w14:textId="77777777" w:rsidR="0008330B" w:rsidRPr="002E2B5B" w:rsidRDefault="0008330B" w:rsidP="002E2B5B">
            <w:pPr>
              <w:rPr>
                <w:rFonts w:ascii="Calibri" w:hAnsi="Calibri" w:cs="Calibri"/>
                <w:sz w:val="16"/>
                <w:szCs w:val="16"/>
              </w:rPr>
            </w:pPr>
          </w:p>
        </w:tc>
        <w:tc>
          <w:tcPr>
            <w:tcW w:w="763" w:type="pct"/>
            <w:tcBorders>
              <w:top w:val="nil"/>
              <w:left w:val="nil"/>
              <w:bottom w:val="nil"/>
              <w:right w:val="nil"/>
            </w:tcBorders>
            <w:shd w:val="clear" w:color="auto" w:fill="auto"/>
            <w:noWrap/>
            <w:vAlign w:val="bottom"/>
            <w:hideMark/>
          </w:tcPr>
          <w:p w14:paraId="1BD5F39C" w14:textId="77777777" w:rsidR="0008330B" w:rsidRPr="002E2B5B" w:rsidRDefault="0008330B" w:rsidP="002E2B5B">
            <w:pPr>
              <w:rPr>
                <w:rFonts w:ascii="Calibri" w:hAnsi="Calibri" w:cs="Calibri"/>
                <w:sz w:val="16"/>
                <w:szCs w:val="16"/>
              </w:rPr>
            </w:pPr>
          </w:p>
        </w:tc>
        <w:tc>
          <w:tcPr>
            <w:tcW w:w="762" w:type="pct"/>
            <w:tcBorders>
              <w:top w:val="nil"/>
              <w:left w:val="nil"/>
              <w:bottom w:val="nil"/>
              <w:right w:val="nil"/>
            </w:tcBorders>
            <w:shd w:val="clear" w:color="auto" w:fill="auto"/>
            <w:noWrap/>
            <w:vAlign w:val="bottom"/>
            <w:hideMark/>
          </w:tcPr>
          <w:p w14:paraId="79EF73DF" w14:textId="77777777" w:rsidR="0008330B" w:rsidRPr="002E2B5B" w:rsidRDefault="0008330B" w:rsidP="002E2B5B">
            <w:pPr>
              <w:rPr>
                <w:rFonts w:ascii="Calibri" w:hAnsi="Calibri" w:cs="Calibri"/>
                <w:sz w:val="16"/>
                <w:szCs w:val="16"/>
              </w:rPr>
            </w:pPr>
          </w:p>
        </w:tc>
      </w:tr>
      <w:tr w:rsidR="00112A99" w:rsidRPr="002E2B5B" w14:paraId="29892185" w14:textId="77777777" w:rsidTr="00112A99">
        <w:trPr>
          <w:trHeight w:val="315"/>
        </w:trPr>
        <w:tc>
          <w:tcPr>
            <w:tcW w:w="2143" w:type="pct"/>
            <w:gridSpan w:val="3"/>
            <w:tcBorders>
              <w:top w:val="nil"/>
              <w:left w:val="nil"/>
              <w:bottom w:val="single" w:sz="8" w:space="0" w:color="auto"/>
              <w:right w:val="nil"/>
            </w:tcBorders>
            <w:shd w:val="clear" w:color="auto" w:fill="auto"/>
            <w:noWrap/>
            <w:vAlign w:val="center"/>
            <w:hideMark/>
          </w:tcPr>
          <w:p w14:paraId="2F2CABA1" w14:textId="77777777" w:rsidR="00112A99" w:rsidRPr="002E2B5B" w:rsidRDefault="00112A99" w:rsidP="002E2B5B">
            <w:pPr>
              <w:rPr>
                <w:rFonts w:ascii="Calibri" w:hAnsi="Calibri" w:cs="Calibri"/>
                <w:b/>
                <w:bCs/>
                <w:color w:val="000000"/>
                <w:sz w:val="16"/>
                <w:szCs w:val="16"/>
              </w:rPr>
            </w:pPr>
            <w:r w:rsidRPr="002E2B5B">
              <w:rPr>
                <w:rFonts w:ascii="Calibri" w:hAnsi="Calibri" w:cs="Calibri"/>
                <w:b/>
                <w:bCs/>
                <w:color w:val="000000"/>
                <w:sz w:val="16"/>
                <w:szCs w:val="16"/>
              </w:rPr>
              <w:t>DEPÓSITOS DE CAUÇÕES</w:t>
            </w:r>
          </w:p>
        </w:tc>
        <w:tc>
          <w:tcPr>
            <w:tcW w:w="569" w:type="pct"/>
            <w:tcBorders>
              <w:top w:val="nil"/>
              <w:left w:val="nil"/>
              <w:bottom w:val="single" w:sz="8" w:space="0" w:color="auto"/>
              <w:right w:val="nil"/>
            </w:tcBorders>
            <w:shd w:val="clear" w:color="auto" w:fill="auto"/>
            <w:vAlign w:val="center"/>
            <w:hideMark/>
          </w:tcPr>
          <w:p w14:paraId="5FC11654" w14:textId="77777777" w:rsidR="00112A99" w:rsidRPr="002E2B5B" w:rsidRDefault="00112A99" w:rsidP="002E2B5B">
            <w:pPr>
              <w:rPr>
                <w:rFonts w:ascii="Calibri" w:hAnsi="Calibri" w:cs="Calibri"/>
                <w:b/>
                <w:bCs/>
                <w:color w:val="000000"/>
                <w:sz w:val="16"/>
                <w:szCs w:val="16"/>
              </w:rPr>
            </w:pPr>
            <w:r w:rsidRPr="002E2B5B">
              <w:rPr>
                <w:rFonts w:ascii="Calibri" w:hAnsi="Calibri" w:cs="Calibri"/>
                <w:b/>
                <w:bCs/>
                <w:color w:val="000000"/>
                <w:sz w:val="16"/>
                <w:szCs w:val="16"/>
              </w:rPr>
              <w:t> </w:t>
            </w:r>
          </w:p>
        </w:tc>
        <w:tc>
          <w:tcPr>
            <w:tcW w:w="763" w:type="pct"/>
            <w:tcBorders>
              <w:top w:val="nil"/>
              <w:left w:val="nil"/>
              <w:bottom w:val="single" w:sz="8" w:space="0" w:color="auto"/>
              <w:right w:val="nil"/>
            </w:tcBorders>
            <w:shd w:val="clear" w:color="auto" w:fill="auto"/>
            <w:noWrap/>
            <w:vAlign w:val="bottom"/>
          </w:tcPr>
          <w:p w14:paraId="0D82825D" w14:textId="77777777" w:rsidR="00112A99" w:rsidRPr="002E2B5B" w:rsidRDefault="00112A99" w:rsidP="002E2B5B">
            <w:pPr>
              <w:jc w:val="right"/>
              <w:rPr>
                <w:rFonts w:ascii="Calibri" w:hAnsi="Calibri" w:cs="Calibri"/>
                <w:b/>
                <w:bCs/>
                <w:color w:val="000000"/>
                <w:sz w:val="16"/>
                <w:szCs w:val="16"/>
              </w:rPr>
            </w:pPr>
          </w:p>
        </w:tc>
        <w:tc>
          <w:tcPr>
            <w:tcW w:w="763" w:type="pct"/>
            <w:tcBorders>
              <w:top w:val="nil"/>
              <w:left w:val="nil"/>
              <w:bottom w:val="single" w:sz="8" w:space="0" w:color="auto"/>
              <w:right w:val="nil"/>
            </w:tcBorders>
            <w:shd w:val="clear" w:color="auto" w:fill="auto"/>
            <w:noWrap/>
            <w:vAlign w:val="bottom"/>
            <w:hideMark/>
          </w:tcPr>
          <w:p w14:paraId="62CFE833" w14:textId="43E627DE" w:rsidR="00112A99" w:rsidRPr="002E2B5B" w:rsidRDefault="00FB23F1" w:rsidP="002E2B5B">
            <w:pPr>
              <w:jc w:val="right"/>
              <w:rPr>
                <w:rFonts w:ascii="Calibri" w:hAnsi="Calibri" w:cs="Calibri"/>
                <w:b/>
                <w:bCs/>
                <w:color w:val="000000"/>
                <w:sz w:val="16"/>
                <w:szCs w:val="16"/>
              </w:rPr>
            </w:pPr>
            <w:r>
              <w:rPr>
                <w:rFonts w:ascii="Calibri" w:hAnsi="Calibri" w:cs="Calibri"/>
                <w:b/>
                <w:bCs/>
                <w:color w:val="000000"/>
                <w:sz w:val="16"/>
                <w:szCs w:val="16"/>
              </w:rPr>
              <w:t>30/0</w:t>
            </w:r>
            <w:r w:rsidR="007359A9">
              <w:rPr>
                <w:rFonts w:ascii="Calibri" w:hAnsi="Calibri" w:cs="Calibri"/>
                <w:b/>
                <w:bCs/>
                <w:color w:val="000000"/>
                <w:sz w:val="16"/>
                <w:szCs w:val="16"/>
              </w:rPr>
              <w:t>9</w:t>
            </w:r>
            <w:r w:rsidR="00973582">
              <w:rPr>
                <w:rFonts w:ascii="Calibri" w:hAnsi="Calibri" w:cs="Calibri"/>
                <w:b/>
                <w:bCs/>
                <w:color w:val="000000"/>
                <w:sz w:val="16"/>
                <w:szCs w:val="16"/>
              </w:rPr>
              <w:t>/</w:t>
            </w:r>
            <w:r w:rsidR="00112A99" w:rsidRPr="002E2B5B">
              <w:rPr>
                <w:rFonts w:ascii="Calibri" w:hAnsi="Calibri" w:cs="Calibri"/>
                <w:b/>
                <w:bCs/>
                <w:color w:val="000000"/>
                <w:sz w:val="16"/>
                <w:szCs w:val="16"/>
              </w:rPr>
              <w:t>202</w:t>
            </w:r>
            <w:r w:rsidR="00973582">
              <w:rPr>
                <w:rFonts w:ascii="Calibri" w:hAnsi="Calibri" w:cs="Calibri"/>
                <w:b/>
                <w:bCs/>
                <w:color w:val="000000"/>
                <w:sz w:val="16"/>
                <w:szCs w:val="16"/>
              </w:rPr>
              <w:t>1</w:t>
            </w:r>
          </w:p>
        </w:tc>
        <w:tc>
          <w:tcPr>
            <w:tcW w:w="762" w:type="pct"/>
            <w:tcBorders>
              <w:top w:val="nil"/>
              <w:left w:val="nil"/>
              <w:bottom w:val="single" w:sz="8" w:space="0" w:color="auto"/>
              <w:right w:val="nil"/>
            </w:tcBorders>
            <w:shd w:val="clear" w:color="auto" w:fill="auto"/>
            <w:noWrap/>
            <w:vAlign w:val="bottom"/>
          </w:tcPr>
          <w:p w14:paraId="5D0BD221" w14:textId="4877F17E" w:rsidR="00112A99" w:rsidRPr="002E2B5B" w:rsidRDefault="00112A99"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w:t>
            </w:r>
            <w:r w:rsidR="00973582">
              <w:rPr>
                <w:rFonts w:ascii="Calibri" w:hAnsi="Calibri" w:cs="Calibri"/>
                <w:b/>
                <w:bCs/>
                <w:color w:val="000000"/>
                <w:sz w:val="16"/>
                <w:szCs w:val="16"/>
              </w:rPr>
              <w:t>20</w:t>
            </w:r>
          </w:p>
        </w:tc>
      </w:tr>
      <w:tr w:rsidR="00112A99" w:rsidRPr="002E2B5B" w14:paraId="63BB820B" w14:textId="77777777" w:rsidTr="00112A99">
        <w:trPr>
          <w:trHeight w:val="300"/>
        </w:trPr>
        <w:tc>
          <w:tcPr>
            <w:tcW w:w="2143" w:type="pct"/>
            <w:gridSpan w:val="3"/>
            <w:tcBorders>
              <w:top w:val="nil"/>
              <w:left w:val="nil"/>
              <w:bottom w:val="nil"/>
              <w:right w:val="nil"/>
            </w:tcBorders>
            <w:shd w:val="clear" w:color="auto" w:fill="auto"/>
            <w:noWrap/>
            <w:vAlign w:val="center"/>
            <w:hideMark/>
          </w:tcPr>
          <w:p w14:paraId="0CD7A384" w14:textId="77777777" w:rsidR="00112A99" w:rsidRPr="002E2B5B" w:rsidRDefault="00112A99" w:rsidP="002E2B5B">
            <w:pPr>
              <w:rPr>
                <w:rFonts w:ascii="Calibri" w:hAnsi="Calibri" w:cs="Calibri"/>
                <w:color w:val="000000"/>
                <w:sz w:val="16"/>
                <w:szCs w:val="16"/>
              </w:rPr>
            </w:pPr>
            <w:r w:rsidRPr="002E2B5B">
              <w:rPr>
                <w:rFonts w:ascii="Calibri" w:hAnsi="Calibri" w:cs="Calibri"/>
                <w:color w:val="000000"/>
                <w:sz w:val="16"/>
                <w:szCs w:val="16"/>
              </w:rPr>
              <w:t>Saldo do exercício anterior</w:t>
            </w:r>
          </w:p>
        </w:tc>
        <w:tc>
          <w:tcPr>
            <w:tcW w:w="569" w:type="pct"/>
            <w:tcBorders>
              <w:top w:val="nil"/>
              <w:left w:val="nil"/>
              <w:bottom w:val="nil"/>
              <w:right w:val="nil"/>
            </w:tcBorders>
            <w:shd w:val="clear" w:color="auto" w:fill="auto"/>
            <w:vAlign w:val="center"/>
            <w:hideMark/>
          </w:tcPr>
          <w:p w14:paraId="47A8BB45" w14:textId="77777777" w:rsidR="00112A99" w:rsidRPr="002E2B5B" w:rsidRDefault="00112A99" w:rsidP="002E2B5B">
            <w:pPr>
              <w:rPr>
                <w:rFonts w:ascii="Calibri" w:hAnsi="Calibri" w:cs="Calibri"/>
                <w:color w:val="000000"/>
                <w:sz w:val="16"/>
                <w:szCs w:val="16"/>
              </w:rPr>
            </w:pPr>
          </w:p>
        </w:tc>
        <w:tc>
          <w:tcPr>
            <w:tcW w:w="763" w:type="pct"/>
            <w:tcBorders>
              <w:top w:val="nil"/>
              <w:left w:val="nil"/>
              <w:bottom w:val="nil"/>
              <w:right w:val="nil"/>
            </w:tcBorders>
            <w:shd w:val="clear" w:color="auto" w:fill="auto"/>
            <w:noWrap/>
            <w:vAlign w:val="center"/>
          </w:tcPr>
          <w:p w14:paraId="2F252860" w14:textId="77777777" w:rsidR="00112A99" w:rsidRPr="002E2B5B" w:rsidRDefault="00112A99" w:rsidP="002E2B5B">
            <w:pPr>
              <w:jc w:val="right"/>
              <w:rPr>
                <w:rFonts w:ascii="Calibri" w:hAnsi="Calibri" w:cs="Calibri"/>
                <w:color w:val="000000"/>
                <w:sz w:val="16"/>
                <w:szCs w:val="16"/>
              </w:rPr>
            </w:pPr>
          </w:p>
        </w:tc>
        <w:tc>
          <w:tcPr>
            <w:tcW w:w="763" w:type="pct"/>
            <w:tcBorders>
              <w:top w:val="nil"/>
              <w:left w:val="nil"/>
              <w:bottom w:val="nil"/>
              <w:right w:val="nil"/>
            </w:tcBorders>
            <w:shd w:val="clear" w:color="auto" w:fill="auto"/>
            <w:noWrap/>
            <w:vAlign w:val="center"/>
            <w:hideMark/>
          </w:tcPr>
          <w:p w14:paraId="3F8AAA57" w14:textId="77777777" w:rsidR="00112A99" w:rsidRPr="002E2B5B" w:rsidRDefault="00112A99" w:rsidP="002E2B5B">
            <w:pPr>
              <w:jc w:val="right"/>
              <w:rPr>
                <w:rFonts w:ascii="Calibri" w:hAnsi="Calibri" w:cs="Calibri"/>
                <w:color w:val="000000"/>
                <w:sz w:val="16"/>
                <w:szCs w:val="16"/>
              </w:rPr>
            </w:pPr>
            <w:r w:rsidRPr="002E2B5B">
              <w:rPr>
                <w:rFonts w:ascii="Calibri" w:hAnsi="Calibri" w:cs="Calibri"/>
                <w:color w:val="000000"/>
                <w:sz w:val="16"/>
                <w:szCs w:val="16"/>
              </w:rPr>
              <w:t>233.338</w:t>
            </w:r>
          </w:p>
        </w:tc>
        <w:tc>
          <w:tcPr>
            <w:tcW w:w="762" w:type="pct"/>
            <w:tcBorders>
              <w:top w:val="nil"/>
              <w:left w:val="nil"/>
              <w:bottom w:val="nil"/>
              <w:right w:val="nil"/>
            </w:tcBorders>
            <w:shd w:val="clear" w:color="auto" w:fill="auto"/>
            <w:noWrap/>
            <w:vAlign w:val="center"/>
          </w:tcPr>
          <w:p w14:paraId="45B59FAD" w14:textId="5B26F57B" w:rsidR="00112A99" w:rsidRPr="002E2B5B" w:rsidRDefault="00112A99" w:rsidP="002E2B5B">
            <w:pPr>
              <w:jc w:val="right"/>
              <w:rPr>
                <w:rFonts w:ascii="Calibri" w:hAnsi="Calibri" w:cs="Calibri"/>
                <w:color w:val="000000"/>
                <w:sz w:val="16"/>
                <w:szCs w:val="16"/>
              </w:rPr>
            </w:pPr>
            <w:r w:rsidRPr="002E2B5B">
              <w:rPr>
                <w:rFonts w:ascii="Calibri" w:hAnsi="Calibri" w:cs="Calibri"/>
                <w:color w:val="000000"/>
                <w:sz w:val="16"/>
                <w:szCs w:val="16"/>
              </w:rPr>
              <w:t>233.</w:t>
            </w:r>
            <w:r w:rsidR="00973582">
              <w:rPr>
                <w:rFonts w:ascii="Calibri" w:hAnsi="Calibri" w:cs="Calibri"/>
                <w:color w:val="000000"/>
                <w:sz w:val="16"/>
                <w:szCs w:val="16"/>
              </w:rPr>
              <w:t>338</w:t>
            </w:r>
          </w:p>
        </w:tc>
      </w:tr>
      <w:tr w:rsidR="00112A99" w:rsidRPr="002E2B5B" w14:paraId="5C554CBB" w14:textId="77777777" w:rsidTr="00112A99">
        <w:trPr>
          <w:trHeight w:val="300"/>
        </w:trPr>
        <w:tc>
          <w:tcPr>
            <w:tcW w:w="714" w:type="pct"/>
            <w:tcBorders>
              <w:top w:val="nil"/>
              <w:left w:val="nil"/>
              <w:bottom w:val="nil"/>
              <w:right w:val="nil"/>
            </w:tcBorders>
            <w:shd w:val="clear" w:color="auto" w:fill="auto"/>
            <w:noWrap/>
            <w:vAlign w:val="center"/>
            <w:hideMark/>
          </w:tcPr>
          <w:p w14:paraId="2B78C3CD" w14:textId="77777777" w:rsidR="00112A99" w:rsidRPr="002E2B5B" w:rsidRDefault="00112A99" w:rsidP="002E2B5B">
            <w:pPr>
              <w:rPr>
                <w:rFonts w:ascii="Calibri" w:hAnsi="Calibri" w:cs="Calibri"/>
                <w:color w:val="000000"/>
                <w:sz w:val="16"/>
                <w:szCs w:val="16"/>
              </w:rPr>
            </w:pPr>
            <w:r w:rsidRPr="002E2B5B">
              <w:rPr>
                <w:rFonts w:ascii="Calibri" w:hAnsi="Calibri" w:cs="Calibri"/>
                <w:color w:val="000000"/>
                <w:sz w:val="16"/>
                <w:szCs w:val="16"/>
              </w:rPr>
              <w:t>Ingressos</w:t>
            </w:r>
          </w:p>
        </w:tc>
        <w:tc>
          <w:tcPr>
            <w:tcW w:w="714" w:type="pct"/>
            <w:tcBorders>
              <w:top w:val="nil"/>
              <w:left w:val="nil"/>
              <w:bottom w:val="nil"/>
              <w:right w:val="nil"/>
            </w:tcBorders>
            <w:shd w:val="clear" w:color="auto" w:fill="auto"/>
            <w:noWrap/>
            <w:vAlign w:val="bottom"/>
            <w:hideMark/>
          </w:tcPr>
          <w:p w14:paraId="52FC6736" w14:textId="77777777" w:rsidR="00112A99" w:rsidRPr="002E2B5B" w:rsidRDefault="00112A99" w:rsidP="002E2B5B">
            <w:pPr>
              <w:rPr>
                <w:rFonts w:ascii="Calibri" w:hAnsi="Calibri" w:cs="Calibri"/>
                <w:color w:val="000000"/>
                <w:sz w:val="16"/>
                <w:szCs w:val="16"/>
              </w:rPr>
            </w:pPr>
          </w:p>
        </w:tc>
        <w:tc>
          <w:tcPr>
            <w:tcW w:w="715" w:type="pct"/>
            <w:tcBorders>
              <w:top w:val="nil"/>
              <w:left w:val="nil"/>
              <w:bottom w:val="nil"/>
              <w:right w:val="nil"/>
            </w:tcBorders>
            <w:shd w:val="clear" w:color="auto" w:fill="auto"/>
            <w:noWrap/>
            <w:vAlign w:val="bottom"/>
            <w:hideMark/>
          </w:tcPr>
          <w:p w14:paraId="3810775B" w14:textId="77777777" w:rsidR="00112A99" w:rsidRPr="002E2B5B" w:rsidRDefault="00112A99" w:rsidP="002E2B5B">
            <w:pPr>
              <w:rPr>
                <w:rFonts w:ascii="Calibri" w:hAnsi="Calibri" w:cs="Calibri"/>
                <w:sz w:val="16"/>
                <w:szCs w:val="16"/>
              </w:rPr>
            </w:pPr>
          </w:p>
        </w:tc>
        <w:tc>
          <w:tcPr>
            <w:tcW w:w="569" w:type="pct"/>
            <w:tcBorders>
              <w:top w:val="nil"/>
              <w:left w:val="nil"/>
              <w:bottom w:val="nil"/>
              <w:right w:val="nil"/>
            </w:tcBorders>
            <w:shd w:val="clear" w:color="auto" w:fill="auto"/>
            <w:vAlign w:val="center"/>
            <w:hideMark/>
          </w:tcPr>
          <w:p w14:paraId="6ABFB7BF" w14:textId="77777777" w:rsidR="00112A99" w:rsidRPr="002E2B5B" w:rsidRDefault="00112A99" w:rsidP="002E2B5B">
            <w:pPr>
              <w:rPr>
                <w:rFonts w:ascii="Calibri" w:hAnsi="Calibri" w:cs="Calibri"/>
                <w:sz w:val="16"/>
                <w:szCs w:val="16"/>
              </w:rPr>
            </w:pPr>
          </w:p>
        </w:tc>
        <w:tc>
          <w:tcPr>
            <w:tcW w:w="763" w:type="pct"/>
            <w:tcBorders>
              <w:top w:val="nil"/>
              <w:left w:val="nil"/>
              <w:bottom w:val="nil"/>
              <w:right w:val="nil"/>
            </w:tcBorders>
            <w:shd w:val="clear" w:color="auto" w:fill="auto"/>
            <w:noWrap/>
            <w:vAlign w:val="center"/>
          </w:tcPr>
          <w:p w14:paraId="57F9047C" w14:textId="77777777" w:rsidR="00112A99" w:rsidRPr="002E2B5B" w:rsidRDefault="00112A99" w:rsidP="002E2B5B">
            <w:pPr>
              <w:jc w:val="right"/>
              <w:rPr>
                <w:rFonts w:ascii="Calibri" w:hAnsi="Calibri" w:cs="Calibri"/>
                <w:color w:val="000000"/>
                <w:sz w:val="16"/>
                <w:szCs w:val="16"/>
              </w:rPr>
            </w:pPr>
          </w:p>
        </w:tc>
        <w:tc>
          <w:tcPr>
            <w:tcW w:w="763" w:type="pct"/>
            <w:tcBorders>
              <w:top w:val="nil"/>
              <w:left w:val="nil"/>
              <w:bottom w:val="nil"/>
              <w:right w:val="nil"/>
            </w:tcBorders>
            <w:shd w:val="clear" w:color="auto" w:fill="auto"/>
            <w:noWrap/>
            <w:vAlign w:val="center"/>
            <w:hideMark/>
          </w:tcPr>
          <w:p w14:paraId="072DEAAF" w14:textId="3B890CB2" w:rsidR="00112A99" w:rsidRPr="002E2B5B" w:rsidRDefault="00973582" w:rsidP="002E2B5B">
            <w:pPr>
              <w:jc w:val="right"/>
              <w:rPr>
                <w:rFonts w:ascii="Calibri" w:hAnsi="Calibri" w:cs="Calibri"/>
                <w:color w:val="000000"/>
                <w:sz w:val="16"/>
                <w:szCs w:val="16"/>
              </w:rPr>
            </w:pPr>
            <w:r w:rsidRPr="00973582">
              <w:rPr>
                <w:rFonts w:ascii="Calibri" w:hAnsi="Calibri" w:cs="Calibri"/>
                <w:color w:val="000000"/>
                <w:sz w:val="16"/>
                <w:szCs w:val="16"/>
              </w:rPr>
              <w:t>58</w:t>
            </w:r>
            <w:r>
              <w:rPr>
                <w:rFonts w:ascii="Calibri" w:hAnsi="Calibri" w:cs="Calibri"/>
                <w:color w:val="000000"/>
                <w:sz w:val="16"/>
                <w:szCs w:val="16"/>
              </w:rPr>
              <w:t>.</w:t>
            </w:r>
            <w:r w:rsidRPr="00973582">
              <w:rPr>
                <w:rFonts w:ascii="Calibri" w:hAnsi="Calibri" w:cs="Calibri"/>
                <w:color w:val="000000"/>
                <w:sz w:val="16"/>
                <w:szCs w:val="16"/>
              </w:rPr>
              <w:t>320</w:t>
            </w:r>
          </w:p>
        </w:tc>
        <w:tc>
          <w:tcPr>
            <w:tcW w:w="762" w:type="pct"/>
            <w:tcBorders>
              <w:top w:val="nil"/>
              <w:left w:val="nil"/>
              <w:bottom w:val="nil"/>
              <w:right w:val="nil"/>
            </w:tcBorders>
            <w:shd w:val="clear" w:color="auto" w:fill="auto"/>
            <w:noWrap/>
            <w:vAlign w:val="center"/>
          </w:tcPr>
          <w:p w14:paraId="0790E2B1" w14:textId="77777777" w:rsidR="00112A99" w:rsidRPr="002E2B5B" w:rsidRDefault="00112A99" w:rsidP="002E2B5B">
            <w:pPr>
              <w:jc w:val="right"/>
              <w:rPr>
                <w:rFonts w:ascii="Calibri" w:hAnsi="Calibri" w:cs="Calibri"/>
                <w:color w:val="000000"/>
                <w:sz w:val="16"/>
                <w:szCs w:val="16"/>
              </w:rPr>
            </w:pPr>
            <w:r w:rsidRPr="002E2B5B">
              <w:rPr>
                <w:rFonts w:ascii="Calibri" w:hAnsi="Calibri" w:cs="Calibri"/>
                <w:color w:val="000000"/>
                <w:sz w:val="16"/>
                <w:szCs w:val="16"/>
              </w:rPr>
              <w:t>0</w:t>
            </w:r>
          </w:p>
        </w:tc>
      </w:tr>
      <w:tr w:rsidR="00112A99" w:rsidRPr="002E2B5B" w14:paraId="3709B5AD" w14:textId="77777777" w:rsidTr="00112A99">
        <w:trPr>
          <w:trHeight w:val="300"/>
        </w:trPr>
        <w:tc>
          <w:tcPr>
            <w:tcW w:w="714" w:type="pct"/>
            <w:tcBorders>
              <w:top w:val="nil"/>
              <w:left w:val="nil"/>
              <w:bottom w:val="nil"/>
              <w:right w:val="nil"/>
            </w:tcBorders>
            <w:shd w:val="clear" w:color="auto" w:fill="auto"/>
            <w:noWrap/>
            <w:vAlign w:val="center"/>
            <w:hideMark/>
          </w:tcPr>
          <w:p w14:paraId="4F6D971F" w14:textId="77777777" w:rsidR="00112A99" w:rsidRPr="002E2B5B" w:rsidRDefault="00112A99" w:rsidP="002E2B5B">
            <w:pPr>
              <w:rPr>
                <w:rFonts w:ascii="Calibri" w:hAnsi="Calibri" w:cs="Calibri"/>
                <w:color w:val="000000"/>
                <w:sz w:val="16"/>
                <w:szCs w:val="16"/>
              </w:rPr>
            </w:pPr>
            <w:r w:rsidRPr="002E2B5B">
              <w:rPr>
                <w:rFonts w:ascii="Calibri" w:hAnsi="Calibri" w:cs="Calibri"/>
                <w:color w:val="000000"/>
                <w:sz w:val="16"/>
                <w:szCs w:val="16"/>
              </w:rPr>
              <w:t>Baixas</w:t>
            </w:r>
          </w:p>
        </w:tc>
        <w:tc>
          <w:tcPr>
            <w:tcW w:w="714" w:type="pct"/>
            <w:tcBorders>
              <w:top w:val="nil"/>
              <w:left w:val="nil"/>
              <w:bottom w:val="nil"/>
              <w:right w:val="nil"/>
            </w:tcBorders>
            <w:shd w:val="clear" w:color="auto" w:fill="auto"/>
            <w:noWrap/>
            <w:vAlign w:val="center"/>
            <w:hideMark/>
          </w:tcPr>
          <w:p w14:paraId="3A4B5D66" w14:textId="77777777" w:rsidR="00112A99" w:rsidRPr="002E2B5B" w:rsidRDefault="00112A99" w:rsidP="002E2B5B">
            <w:pPr>
              <w:rPr>
                <w:rFonts w:ascii="Calibri" w:hAnsi="Calibri" w:cs="Calibri"/>
                <w:color w:val="000000"/>
                <w:sz w:val="16"/>
                <w:szCs w:val="16"/>
              </w:rPr>
            </w:pPr>
          </w:p>
        </w:tc>
        <w:tc>
          <w:tcPr>
            <w:tcW w:w="715" w:type="pct"/>
            <w:tcBorders>
              <w:top w:val="nil"/>
              <w:left w:val="nil"/>
              <w:bottom w:val="nil"/>
              <w:right w:val="nil"/>
            </w:tcBorders>
            <w:shd w:val="clear" w:color="auto" w:fill="auto"/>
            <w:noWrap/>
            <w:vAlign w:val="center"/>
            <w:hideMark/>
          </w:tcPr>
          <w:p w14:paraId="784AE36C" w14:textId="77777777" w:rsidR="00112A99" w:rsidRPr="002E2B5B" w:rsidRDefault="00112A99" w:rsidP="002E2B5B">
            <w:pPr>
              <w:rPr>
                <w:rFonts w:ascii="Calibri" w:hAnsi="Calibri" w:cs="Calibri"/>
                <w:sz w:val="16"/>
                <w:szCs w:val="16"/>
              </w:rPr>
            </w:pPr>
          </w:p>
        </w:tc>
        <w:tc>
          <w:tcPr>
            <w:tcW w:w="569" w:type="pct"/>
            <w:tcBorders>
              <w:top w:val="nil"/>
              <w:left w:val="nil"/>
              <w:bottom w:val="nil"/>
              <w:right w:val="nil"/>
            </w:tcBorders>
            <w:shd w:val="clear" w:color="auto" w:fill="auto"/>
            <w:vAlign w:val="center"/>
            <w:hideMark/>
          </w:tcPr>
          <w:p w14:paraId="6C03B07A" w14:textId="77777777" w:rsidR="00112A99" w:rsidRPr="002E2B5B" w:rsidRDefault="00112A99" w:rsidP="002E2B5B">
            <w:pPr>
              <w:rPr>
                <w:rFonts w:ascii="Calibri" w:hAnsi="Calibri" w:cs="Calibri"/>
                <w:sz w:val="16"/>
                <w:szCs w:val="16"/>
              </w:rPr>
            </w:pPr>
          </w:p>
        </w:tc>
        <w:tc>
          <w:tcPr>
            <w:tcW w:w="763" w:type="pct"/>
            <w:tcBorders>
              <w:top w:val="nil"/>
              <w:left w:val="nil"/>
              <w:bottom w:val="nil"/>
              <w:right w:val="nil"/>
            </w:tcBorders>
            <w:shd w:val="clear" w:color="auto" w:fill="auto"/>
            <w:noWrap/>
            <w:vAlign w:val="center"/>
          </w:tcPr>
          <w:p w14:paraId="6496171A" w14:textId="77777777" w:rsidR="00112A99" w:rsidRPr="002E2B5B" w:rsidRDefault="00112A99" w:rsidP="002E2B5B">
            <w:pPr>
              <w:jc w:val="right"/>
              <w:rPr>
                <w:rFonts w:ascii="Calibri" w:hAnsi="Calibri" w:cs="Calibri"/>
                <w:color w:val="000000"/>
                <w:sz w:val="16"/>
                <w:szCs w:val="16"/>
              </w:rPr>
            </w:pPr>
          </w:p>
        </w:tc>
        <w:tc>
          <w:tcPr>
            <w:tcW w:w="763" w:type="pct"/>
            <w:tcBorders>
              <w:top w:val="nil"/>
              <w:left w:val="nil"/>
              <w:bottom w:val="nil"/>
              <w:right w:val="nil"/>
            </w:tcBorders>
            <w:shd w:val="clear" w:color="auto" w:fill="auto"/>
            <w:noWrap/>
            <w:vAlign w:val="center"/>
            <w:hideMark/>
          </w:tcPr>
          <w:p w14:paraId="6D01381A" w14:textId="079C3A9A" w:rsidR="00112A99" w:rsidRPr="002E2B5B" w:rsidRDefault="00973582" w:rsidP="002E2B5B">
            <w:pPr>
              <w:jc w:val="right"/>
              <w:rPr>
                <w:rFonts w:ascii="Calibri" w:hAnsi="Calibri" w:cs="Calibri"/>
                <w:color w:val="000000"/>
                <w:sz w:val="16"/>
                <w:szCs w:val="16"/>
              </w:rPr>
            </w:pPr>
            <w:r>
              <w:rPr>
                <w:rFonts w:ascii="Calibri" w:hAnsi="Calibri" w:cs="Calibri"/>
                <w:color w:val="000000"/>
                <w:sz w:val="16"/>
                <w:szCs w:val="16"/>
              </w:rPr>
              <w:t>(</w:t>
            </w:r>
            <w:r w:rsidRPr="00973582">
              <w:rPr>
                <w:rFonts w:ascii="Calibri" w:hAnsi="Calibri" w:cs="Calibri"/>
                <w:color w:val="000000"/>
                <w:sz w:val="16"/>
                <w:szCs w:val="16"/>
              </w:rPr>
              <w:t>33</w:t>
            </w:r>
            <w:r>
              <w:rPr>
                <w:rFonts w:ascii="Calibri" w:hAnsi="Calibri" w:cs="Calibri"/>
                <w:color w:val="000000"/>
                <w:sz w:val="16"/>
                <w:szCs w:val="16"/>
              </w:rPr>
              <w:t>.</w:t>
            </w:r>
            <w:r w:rsidRPr="00973582">
              <w:rPr>
                <w:rFonts w:ascii="Calibri" w:hAnsi="Calibri" w:cs="Calibri"/>
                <w:color w:val="000000"/>
                <w:sz w:val="16"/>
                <w:szCs w:val="16"/>
              </w:rPr>
              <w:t>77</w:t>
            </w:r>
            <w:r>
              <w:rPr>
                <w:rFonts w:ascii="Calibri" w:hAnsi="Calibri" w:cs="Calibri"/>
                <w:color w:val="000000"/>
                <w:sz w:val="16"/>
                <w:szCs w:val="16"/>
              </w:rPr>
              <w:t>9)</w:t>
            </w:r>
          </w:p>
        </w:tc>
        <w:tc>
          <w:tcPr>
            <w:tcW w:w="762" w:type="pct"/>
            <w:tcBorders>
              <w:top w:val="nil"/>
              <w:left w:val="nil"/>
              <w:bottom w:val="nil"/>
              <w:right w:val="nil"/>
            </w:tcBorders>
            <w:shd w:val="clear" w:color="auto" w:fill="auto"/>
            <w:noWrap/>
            <w:vAlign w:val="center"/>
          </w:tcPr>
          <w:p w14:paraId="62D240B8" w14:textId="2E601407" w:rsidR="00112A99" w:rsidRPr="002E2B5B" w:rsidRDefault="00973582" w:rsidP="002E2B5B">
            <w:pPr>
              <w:jc w:val="right"/>
              <w:rPr>
                <w:rFonts w:ascii="Calibri" w:hAnsi="Calibri" w:cs="Calibri"/>
                <w:color w:val="000000"/>
                <w:sz w:val="16"/>
                <w:szCs w:val="16"/>
              </w:rPr>
            </w:pPr>
            <w:r>
              <w:rPr>
                <w:rFonts w:ascii="Calibri" w:hAnsi="Calibri" w:cs="Calibri"/>
                <w:color w:val="000000"/>
                <w:sz w:val="16"/>
                <w:szCs w:val="16"/>
              </w:rPr>
              <w:t>0</w:t>
            </w:r>
          </w:p>
        </w:tc>
      </w:tr>
      <w:tr w:rsidR="00112A99" w:rsidRPr="002E2B5B" w14:paraId="44B827DF" w14:textId="77777777" w:rsidTr="00112A99">
        <w:trPr>
          <w:trHeight w:val="315"/>
        </w:trPr>
        <w:tc>
          <w:tcPr>
            <w:tcW w:w="2143" w:type="pct"/>
            <w:gridSpan w:val="3"/>
            <w:tcBorders>
              <w:top w:val="nil"/>
              <w:left w:val="nil"/>
              <w:bottom w:val="single" w:sz="8" w:space="0" w:color="auto"/>
              <w:right w:val="nil"/>
            </w:tcBorders>
            <w:shd w:val="clear" w:color="auto" w:fill="auto"/>
            <w:noWrap/>
            <w:vAlign w:val="center"/>
            <w:hideMark/>
          </w:tcPr>
          <w:p w14:paraId="0A8B77BB" w14:textId="77777777" w:rsidR="00112A99" w:rsidRPr="002E2B5B" w:rsidRDefault="00112A99" w:rsidP="002E2B5B">
            <w:pPr>
              <w:rPr>
                <w:rFonts w:ascii="Calibri" w:hAnsi="Calibri" w:cs="Calibri"/>
                <w:b/>
                <w:bCs/>
                <w:color w:val="000000"/>
                <w:sz w:val="16"/>
                <w:szCs w:val="16"/>
              </w:rPr>
            </w:pPr>
            <w:r w:rsidRPr="002E2B5B">
              <w:rPr>
                <w:rFonts w:ascii="Calibri" w:hAnsi="Calibri" w:cs="Calibri"/>
                <w:b/>
                <w:bCs/>
                <w:color w:val="000000"/>
                <w:sz w:val="16"/>
                <w:szCs w:val="16"/>
              </w:rPr>
              <w:t>TOTAL DOS DEPÓSITOS DE CAUÇÕES</w:t>
            </w:r>
          </w:p>
        </w:tc>
        <w:tc>
          <w:tcPr>
            <w:tcW w:w="569" w:type="pct"/>
            <w:tcBorders>
              <w:top w:val="nil"/>
              <w:left w:val="nil"/>
              <w:bottom w:val="single" w:sz="8" w:space="0" w:color="auto"/>
              <w:right w:val="nil"/>
            </w:tcBorders>
            <w:shd w:val="clear" w:color="auto" w:fill="auto"/>
            <w:vAlign w:val="center"/>
            <w:hideMark/>
          </w:tcPr>
          <w:p w14:paraId="237CF828" w14:textId="77777777" w:rsidR="00112A99" w:rsidRPr="002E2B5B" w:rsidRDefault="00112A99" w:rsidP="002E2B5B">
            <w:pPr>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763" w:type="pct"/>
            <w:tcBorders>
              <w:top w:val="nil"/>
              <w:left w:val="nil"/>
              <w:bottom w:val="single" w:sz="8" w:space="0" w:color="auto"/>
              <w:right w:val="nil"/>
            </w:tcBorders>
            <w:shd w:val="clear" w:color="auto" w:fill="auto"/>
            <w:noWrap/>
            <w:vAlign w:val="center"/>
          </w:tcPr>
          <w:p w14:paraId="0C48EB5B" w14:textId="77777777" w:rsidR="00112A99" w:rsidRPr="002E2B5B" w:rsidRDefault="00112A99" w:rsidP="002E2B5B">
            <w:pPr>
              <w:jc w:val="right"/>
              <w:rPr>
                <w:rFonts w:ascii="Calibri" w:hAnsi="Calibri" w:cs="Calibri"/>
                <w:b/>
                <w:bCs/>
                <w:color w:val="000000"/>
                <w:sz w:val="16"/>
                <w:szCs w:val="16"/>
              </w:rPr>
            </w:pPr>
          </w:p>
        </w:tc>
        <w:tc>
          <w:tcPr>
            <w:tcW w:w="763" w:type="pct"/>
            <w:tcBorders>
              <w:top w:val="nil"/>
              <w:left w:val="nil"/>
              <w:bottom w:val="single" w:sz="8" w:space="0" w:color="auto"/>
              <w:right w:val="nil"/>
            </w:tcBorders>
            <w:shd w:val="clear" w:color="auto" w:fill="auto"/>
            <w:noWrap/>
            <w:vAlign w:val="center"/>
            <w:hideMark/>
          </w:tcPr>
          <w:p w14:paraId="6479A6D9" w14:textId="0C424C56" w:rsidR="00112A99" w:rsidRPr="002E2B5B" w:rsidRDefault="00973582" w:rsidP="002E2B5B">
            <w:pPr>
              <w:jc w:val="right"/>
              <w:rPr>
                <w:rFonts w:ascii="Calibri" w:hAnsi="Calibri" w:cs="Calibri"/>
                <w:b/>
                <w:bCs/>
                <w:color w:val="000000"/>
                <w:sz w:val="16"/>
                <w:szCs w:val="16"/>
              </w:rPr>
            </w:pPr>
            <w:r>
              <w:rPr>
                <w:rFonts w:ascii="Calibri" w:hAnsi="Calibri" w:cs="Calibri"/>
                <w:b/>
                <w:bCs/>
                <w:color w:val="000000"/>
                <w:sz w:val="16"/>
                <w:szCs w:val="16"/>
              </w:rPr>
              <w:t>257.879</w:t>
            </w:r>
          </w:p>
        </w:tc>
        <w:tc>
          <w:tcPr>
            <w:tcW w:w="762" w:type="pct"/>
            <w:tcBorders>
              <w:top w:val="nil"/>
              <w:left w:val="nil"/>
              <w:bottom w:val="single" w:sz="8" w:space="0" w:color="auto"/>
              <w:right w:val="nil"/>
            </w:tcBorders>
            <w:shd w:val="clear" w:color="auto" w:fill="auto"/>
            <w:noWrap/>
            <w:vAlign w:val="center"/>
          </w:tcPr>
          <w:p w14:paraId="2A02B3CA" w14:textId="77777777" w:rsidR="00112A99" w:rsidRPr="002E2B5B" w:rsidRDefault="00112A99" w:rsidP="002E2B5B">
            <w:pPr>
              <w:jc w:val="right"/>
              <w:rPr>
                <w:rFonts w:ascii="Calibri" w:hAnsi="Calibri" w:cs="Calibri"/>
                <w:b/>
                <w:bCs/>
                <w:color w:val="000000"/>
                <w:sz w:val="16"/>
                <w:szCs w:val="16"/>
              </w:rPr>
            </w:pPr>
            <w:r w:rsidRPr="002E2B5B">
              <w:rPr>
                <w:rFonts w:ascii="Calibri" w:hAnsi="Calibri" w:cs="Calibri"/>
                <w:b/>
                <w:bCs/>
                <w:color w:val="000000"/>
                <w:sz w:val="16"/>
                <w:szCs w:val="16"/>
              </w:rPr>
              <w:t>233.338</w:t>
            </w:r>
          </w:p>
        </w:tc>
      </w:tr>
    </w:tbl>
    <w:p w14:paraId="67DE6788" w14:textId="77777777" w:rsidR="0008330B" w:rsidRPr="002E2B5B" w:rsidRDefault="0008330B" w:rsidP="002E2B5B">
      <w:pPr>
        <w:rPr>
          <w:rFonts w:ascii="Calibri" w:hAnsi="Calibri" w:cs="Calibri"/>
          <w:b/>
          <w:sz w:val="22"/>
          <w:szCs w:val="22"/>
        </w:rPr>
      </w:pPr>
    </w:p>
    <w:p w14:paraId="012C672E" w14:textId="332A6789" w:rsidR="0087543E" w:rsidRDefault="00AC1AD6" w:rsidP="002E2B5B">
      <w:pPr>
        <w:jc w:val="both"/>
        <w:rPr>
          <w:rFonts w:ascii="Calibri" w:hAnsi="Calibri" w:cs="Calibri"/>
          <w:sz w:val="22"/>
          <w:szCs w:val="22"/>
        </w:rPr>
      </w:pPr>
      <w:r w:rsidRPr="002E2B5B">
        <w:rPr>
          <w:rFonts w:ascii="Calibri" w:hAnsi="Calibri" w:cs="Calibri"/>
          <w:sz w:val="22"/>
          <w:szCs w:val="22"/>
        </w:rPr>
        <w:t xml:space="preserve">Os depósitos de cauções </w:t>
      </w:r>
      <w:r w:rsidR="00AA5748" w:rsidRPr="002E2B5B">
        <w:rPr>
          <w:rFonts w:ascii="Calibri" w:hAnsi="Calibri" w:cs="Calibri"/>
          <w:sz w:val="22"/>
          <w:szCs w:val="22"/>
        </w:rPr>
        <w:t xml:space="preserve">decorrem das garantias </w:t>
      </w:r>
      <w:r w:rsidR="00440D37" w:rsidRPr="002E2B5B">
        <w:rPr>
          <w:rFonts w:ascii="Calibri" w:hAnsi="Calibri" w:cs="Calibri"/>
          <w:sz w:val="22"/>
          <w:szCs w:val="22"/>
        </w:rPr>
        <w:t xml:space="preserve">caucionadas </w:t>
      </w:r>
      <w:r w:rsidR="00AA5748" w:rsidRPr="002E2B5B">
        <w:rPr>
          <w:rFonts w:ascii="Calibri" w:hAnsi="Calibri" w:cs="Calibri"/>
          <w:sz w:val="22"/>
          <w:szCs w:val="22"/>
        </w:rPr>
        <w:t>propostas, em licitação, do contratante ao contratado, conforme cláusula contratual</w:t>
      </w:r>
      <w:r w:rsidR="008C766E" w:rsidRPr="002E2B5B">
        <w:rPr>
          <w:rFonts w:ascii="Calibri" w:hAnsi="Calibri" w:cs="Calibri"/>
          <w:sz w:val="22"/>
          <w:szCs w:val="22"/>
        </w:rPr>
        <w:t>, os quais são contabilizados em contrapartida ao passivo não circulante</w:t>
      </w:r>
      <w:r w:rsidR="00AA5748" w:rsidRPr="002E2B5B">
        <w:rPr>
          <w:rFonts w:ascii="Calibri" w:hAnsi="Calibri" w:cs="Calibri"/>
          <w:sz w:val="22"/>
          <w:szCs w:val="22"/>
        </w:rPr>
        <w:t xml:space="preserve">. Financeiramente, esses </w:t>
      </w:r>
      <w:r w:rsidR="00440D37" w:rsidRPr="002E2B5B">
        <w:rPr>
          <w:rFonts w:ascii="Calibri" w:hAnsi="Calibri" w:cs="Calibri"/>
          <w:sz w:val="22"/>
          <w:szCs w:val="22"/>
        </w:rPr>
        <w:t>valores</w:t>
      </w:r>
      <w:r w:rsidR="00AA5748" w:rsidRPr="002E2B5B">
        <w:rPr>
          <w:rFonts w:ascii="Calibri" w:hAnsi="Calibri" w:cs="Calibri"/>
          <w:sz w:val="22"/>
          <w:szCs w:val="22"/>
        </w:rPr>
        <w:t xml:space="preserve"> encontram-se disponibilizados em conta</w:t>
      </w:r>
      <w:r w:rsidR="008C257A" w:rsidRPr="002E2B5B">
        <w:rPr>
          <w:rFonts w:ascii="Calibri" w:hAnsi="Calibri" w:cs="Calibri"/>
          <w:sz w:val="22"/>
          <w:szCs w:val="22"/>
        </w:rPr>
        <w:t>s</w:t>
      </w:r>
      <w:r w:rsidR="00AA5748" w:rsidRPr="002E2B5B">
        <w:rPr>
          <w:rFonts w:ascii="Calibri" w:hAnsi="Calibri" w:cs="Calibri"/>
          <w:sz w:val="22"/>
          <w:szCs w:val="22"/>
        </w:rPr>
        <w:t xml:space="preserve"> específica</w:t>
      </w:r>
      <w:r w:rsidR="008C257A" w:rsidRPr="002E2B5B">
        <w:rPr>
          <w:rFonts w:ascii="Calibri" w:hAnsi="Calibri" w:cs="Calibri"/>
          <w:sz w:val="22"/>
          <w:szCs w:val="22"/>
        </w:rPr>
        <w:t>s</w:t>
      </w:r>
      <w:r w:rsidR="00AA5748" w:rsidRPr="002E2B5B">
        <w:rPr>
          <w:rFonts w:ascii="Calibri" w:hAnsi="Calibri" w:cs="Calibri"/>
          <w:sz w:val="22"/>
          <w:szCs w:val="22"/>
        </w:rPr>
        <w:t xml:space="preserve"> </w:t>
      </w:r>
      <w:r w:rsidR="008C257A" w:rsidRPr="002E2B5B">
        <w:rPr>
          <w:rFonts w:ascii="Calibri" w:hAnsi="Calibri" w:cs="Calibri"/>
          <w:sz w:val="22"/>
          <w:szCs w:val="22"/>
        </w:rPr>
        <w:t>individualizadas</w:t>
      </w:r>
      <w:r w:rsidR="00000BCA" w:rsidRPr="002E2B5B">
        <w:rPr>
          <w:rFonts w:ascii="Calibri" w:hAnsi="Calibri" w:cs="Calibri"/>
          <w:sz w:val="22"/>
          <w:szCs w:val="22"/>
        </w:rPr>
        <w:t xml:space="preserve"> </w:t>
      </w:r>
      <w:r w:rsidR="00AA5748" w:rsidRPr="002E2B5B">
        <w:rPr>
          <w:rFonts w:ascii="Calibri" w:hAnsi="Calibri" w:cs="Calibri"/>
          <w:sz w:val="22"/>
          <w:szCs w:val="22"/>
        </w:rPr>
        <w:t>sob a custódia da Caixa Econômica Fede</w:t>
      </w:r>
      <w:r w:rsidR="002726DB" w:rsidRPr="002E2B5B">
        <w:rPr>
          <w:rFonts w:ascii="Calibri" w:hAnsi="Calibri" w:cs="Calibri"/>
          <w:sz w:val="22"/>
          <w:szCs w:val="22"/>
        </w:rPr>
        <w:t>ral – C</w:t>
      </w:r>
      <w:r w:rsidR="0046500A" w:rsidRPr="002E2B5B">
        <w:rPr>
          <w:rFonts w:ascii="Calibri" w:hAnsi="Calibri" w:cs="Calibri"/>
          <w:sz w:val="22"/>
          <w:szCs w:val="22"/>
        </w:rPr>
        <w:t>AIXA</w:t>
      </w:r>
      <w:r w:rsidR="0081089E" w:rsidRPr="002E2B5B">
        <w:rPr>
          <w:rFonts w:ascii="Calibri" w:hAnsi="Calibri" w:cs="Calibri"/>
          <w:sz w:val="22"/>
          <w:szCs w:val="22"/>
        </w:rPr>
        <w:t>.</w:t>
      </w:r>
      <w:r w:rsidR="00301062" w:rsidRPr="002E2B5B">
        <w:rPr>
          <w:rFonts w:ascii="Calibri" w:hAnsi="Calibri" w:cs="Calibri"/>
          <w:sz w:val="22"/>
          <w:szCs w:val="22"/>
        </w:rPr>
        <w:t xml:space="preserve"> </w:t>
      </w:r>
      <w:r w:rsidR="00112A99" w:rsidRPr="002E2B5B">
        <w:rPr>
          <w:rFonts w:ascii="Calibri" w:hAnsi="Calibri" w:cs="Calibri"/>
          <w:sz w:val="22"/>
          <w:szCs w:val="22"/>
        </w:rPr>
        <w:t>Desde</w:t>
      </w:r>
      <w:r w:rsidR="001F3868" w:rsidRPr="002E2B5B">
        <w:rPr>
          <w:rFonts w:ascii="Calibri" w:hAnsi="Calibri" w:cs="Calibri"/>
          <w:sz w:val="22"/>
          <w:szCs w:val="22"/>
        </w:rPr>
        <w:t xml:space="preserve"> 2019 esses depósitos não sofrem atualizações monetárias</w:t>
      </w:r>
      <w:r w:rsidR="00E9733B" w:rsidRPr="002E2B5B">
        <w:rPr>
          <w:rFonts w:ascii="Calibri" w:hAnsi="Calibri" w:cs="Calibri"/>
          <w:sz w:val="22"/>
          <w:szCs w:val="22"/>
        </w:rPr>
        <w:t>.</w:t>
      </w:r>
    </w:p>
    <w:p w14:paraId="7CD2C8C9" w14:textId="3D6DB4F1" w:rsidR="00C34E8D" w:rsidRDefault="00C34E8D" w:rsidP="002E2B5B">
      <w:pPr>
        <w:jc w:val="both"/>
        <w:rPr>
          <w:rFonts w:ascii="Calibri" w:hAnsi="Calibri" w:cs="Calibri"/>
          <w:sz w:val="22"/>
          <w:szCs w:val="22"/>
        </w:rPr>
      </w:pPr>
    </w:p>
    <w:p w14:paraId="1F7EF45A" w14:textId="77777777" w:rsidR="00552191" w:rsidRPr="002E2B5B" w:rsidRDefault="00660339" w:rsidP="002E2B5B">
      <w:pPr>
        <w:numPr>
          <w:ilvl w:val="0"/>
          <w:numId w:val="6"/>
        </w:numPr>
        <w:spacing w:after="240"/>
        <w:ind w:left="284" w:right="-142" w:hanging="284"/>
        <w:jc w:val="both"/>
        <w:rPr>
          <w:rFonts w:ascii="Calibri" w:hAnsi="Calibri" w:cs="Calibri"/>
          <w:b/>
          <w:bCs/>
          <w:sz w:val="22"/>
          <w:szCs w:val="22"/>
        </w:rPr>
      </w:pPr>
      <w:r w:rsidRPr="002E2B5B">
        <w:rPr>
          <w:rFonts w:ascii="Calibri" w:hAnsi="Calibri" w:cs="Calibri"/>
          <w:b/>
          <w:bCs/>
          <w:sz w:val="22"/>
          <w:szCs w:val="22"/>
        </w:rPr>
        <w:t>Depósitos Judiciais</w:t>
      </w:r>
      <w:r w:rsidR="0055378D" w:rsidRPr="002E2B5B">
        <w:rPr>
          <w:rFonts w:ascii="Calibri" w:hAnsi="Calibri" w:cs="Calibri"/>
          <w:b/>
          <w:bCs/>
          <w:sz w:val="22"/>
          <w:szCs w:val="22"/>
        </w:rPr>
        <w:t xml:space="preserve"> </w:t>
      </w:r>
      <w:r w:rsidR="000C076B" w:rsidRPr="002E2B5B">
        <w:rPr>
          <w:rFonts w:ascii="Calibri" w:hAnsi="Calibri" w:cs="Calibri"/>
          <w:b/>
          <w:bCs/>
          <w:sz w:val="22"/>
          <w:szCs w:val="22"/>
        </w:rPr>
        <w:t xml:space="preserve"> </w:t>
      </w:r>
    </w:p>
    <w:tbl>
      <w:tblPr>
        <w:tblW w:w="5000" w:type="pct"/>
        <w:tblCellMar>
          <w:left w:w="70" w:type="dxa"/>
          <w:right w:w="70" w:type="dxa"/>
        </w:tblCellMar>
        <w:tblLook w:val="04A0" w:firstRow="1" w:lastRow="0" w:firstColumn="1" w:lastColumn="0" w:noHBand="0" w:noVBand="1"/>
      </w:tblPr>
      <w:tblGrid>
        <w:gridCol w:w="1556"/>
        <w:gridCol w:w="2148"/>
        <w:gridCol w:w="1304"/>
        <w:gridCol w:w="1463"/>
        <w:gridCol w:w="1999"/>
        <w:gridCol w:w="1997"/>
      </w:tblGrid>
      <w:tr w:rsidR="00706813" w:rsidRPr="002E2B5B" w14:paraId="47D90B64" w14:textId="77777777" w:rsidTr="00C34E8D">
        <w:trPr>
          <w:trHeight w:hRule="exact" w:val="227"/>
        </w:trPr>
        <w:tc>
          <w:tcPr>
            <w:tcW w:w="743" w:type="pct"/>
            <w:tcBorders>
              <w:top w:val="nil"/>
              <w:left w:val="nil"/>
              <w:bottom w:val="single" w:sz="4" w:space="0" w:color="auto"/>
              <w:right w:val="nil"/>
            </w:tcBorders>
            <w:shd w:val="clear" w:color="auto" w:fill="auto"/>
            <w:noWrap/>
            <w:vAlign w:val="bottom"/>
            <w:hideMark/>
          </w:tcPr>
          <w:p w14:paraId="6470F3B7" w14:textId="77777777" w:rsidR="00706813" w:rsidRPr="002E2B5B" w:rsidRDefault="00706813" w:rsidP="002E2B5B">
            <w:pPr>
              <w:rPr>
                <w:rFonts w:ascii="Calibri" w:hAnsi="Calibri" w:cs="Calibri"/>
                <w:b/>
                <w:bCs/>
                <w:sz w:val="16"/>
                <w:szCs w:val="16"/>
              </w:rPr>
            </w:pPr>
            <w:r w:rsidRPr="002E2B5B">
              <w:rPr>
                <w:rFonts w:ascii="Calibri" w:hAnsi="Calibri" w:cs="Calibri"/>
                <w:b/>
                <w:bCs/>
                <w:sz w:val="16"/>
                <w:szCs w:val="16"/>
              </w:rPr>
              <w:t>AÇÕES</w:t>
            </w:r>
          </w:p>
        </w:tc>
        <w:tc>
          <w:tcPr>
            <w:tcW w:w="1026" w:type="pct"/>
            <w:tcBorders>
              <w:top w:val="nil"/>
              <w:left w:val="nil"/>
              <w:bottom w:val="single" w:sz="4" w:space="0" w:color="auto"/>
              <w:right w:val="nil"/>
            </w:tcBorders>
            <w:shd w:val="clear" w:color="auto" w:fill="auto"/>
            <w:vAlign w:val="bottom"/>
            <w:hideMark/>
          </w:tcPr>
          <w:p w14:paraId="5C42A2B6" w14:textId="404995E2" w:rsidR="00706813" w:rsidRPr="002E2B5B" w:rsidRDefault="00706813" w:rsidP="002E2B5B">
            <w:pPr>
              <w:jc w:val="center"/>
              <w:rPr>
                <w:rFonts w:ascii="Calibri" w:hAnsi="Calibri" w:cs="Calibri"/>
                <w:b/>
                <w:bCs/>
                <w:sz w:val="16"/>
                <w:szCs w:val="16"/>
              </w:rPr>
            </w:pPr>
            <w:r w:rsidRPr="002E2B5B">
              <w:rPr>
                <w:rFonts w:ascii="Calibri" w:hAnsi="Calibri" w:cs="Calibri"/>
                <w:b/>
                <w:bCs/>
                <w:sz w:val="16"/>
                <w:szCs w:val="16"/>
              </w:rPr>
              <w:t>SALDO EM 31/12/20</w:t>
            </w:r>
            <w:r>
              <w:rPr>
                <w:rFonts w:ascii="Calibri" w:hAnsi="Calibri" w:cs="Calibri"/>
                <w:b/>
                <w:bCs/>
                <w:sz w:val="16"/>
                <w:szCs w:val="16"/>
              </w:rPr>
              <w:t>20</w:t>
            </w:r>
            <w:r w:rsidRPr="002E2B5B">
              <w:rPr>
                <w:rFonts w:ascii="Calibri" w:hAnsi="Calibri" w:cs="Calibri"/>
                <w:b/>
                <w:bCs/>
                <w:sz w:val="16"/>
                <w:szCs w:val="16"/>
              </w:rPr>
              <w:t xml:space="preserve"> </w:t>
            </w:r>
          </w:p>
        </w:tc>
        <w:tc>
          <w:tcPr>
            <w:tcW w:w="623" w:type="pct"/>
            <w:tcBorders>
              <w:top w:val="nil"/>
              <w:left w:val="nil"/>
              <w:bottom w:val="single" w:sz="4" w:space="0" w:color="auto"/>
              <w:right w:val="nil"/>
            </w:tcBorders>
            <w:shd w:val="clear" w:color="auto" w:fill="auto"/>
            <w:vAlign w:val="bottom"/>
            <w:hideMark/>
          </w:tcPr>
          <w:p w14:paraId="0368FF94" w14:textId="77777777" w:rsidR="00706813" w:rsidRPr="002E2B5B" w:rsidRDefault="00706813" w:rsidP="002E2B5B">
            <w:pPr>
              <w:jc w:val="center"/>
              <w:rPr>
                <w:rFonts w:ascii="Calibri" w:hAnsi="Calibri" w:cs="Calibri"/>
                <w:b/>
                <w:bCs/>
                <w:sz w:val="16"/>
                <w:szCs w:val="16"/>
              </w:rPr>
            </w:pPr>
            <w:r w:rsidRPr="002E2B5B">
              <w:rPr>
                <w:rFonts w:ascii="Calibri" w:hAnsi="Calibri" w:cs="Calibri"/>
                <w:b/>
                <w:bCs/>
                <w:sz w:val="16"/>
                <w:szCs w:val="16"/>
              </w:rPr>
              <w:t>INGRESSO</w:t>
            </w:r>
          </w:p>
        </w:tc>
        <w:tc>
          <w:tcPr>
            <w:tcW w:w="699" w:type="pct"/>
            <w:tcBorders>
              <w:top w:val="nil"/>
              <w:left w:val="nil"/>
              <w:bottom w:val="single" w:sz="4" w:space="0" w:color="auto"/>
              <w:right w:val="nil"/>
            </w:tcBorders>
            <w:shd w:val="clear" w:color="auto" w:fill="auto"/>
            <w:vAlign w:val="bottom"/>
            <w:hideMark/>
          </w:tcPr>
          <w:p w14:paraId="6E2193F9" w14:textId="6B881797" w:rsidR="00706813" w:rsidRPr="002E2B5B" w:rsidRDefault="00706813" w:rsidP="002E2B5B">
            <w:pPr>
              <w:jc w:val="center"/>
              <w:rPr>
                <w:rFonts w:ascii="Calibri" w:hAnsi="Calibri" w:cs="Calibri"/>
                <w:b/>
                <w:bCs/>
                <w:sz w:val="16"/>
                <w:szCs w:val="16"/>
              </w:rPr>
            </w:pPr>
            <w:r w:rsidRPr="002E2B5B">
              <w:rPr>
                <w:rFonts w:ascii="Calibri" w:hAnsi="Calibri" w:cs="Calibri"/>
                <w:b/>
                <w:bCs/>
                <w:sz w:val="16"/>
                <w:szCs w:val="16"/>
              </w:rPr>
              <w:t>BAIXA</w:t>
            </w:r>
          </w:p>
        </w:tc>
        <w:tc>
          <w:tcPr>
            <w:tcW w:w="955" w:type="pct"/>
            <w:tcBorders>
              <w:top w:val="nil"/>
              <w:left w:val="nil"/>
              <w:right w:val="nil"/>
            </w:tcBorders>
            <w:vAlign w:val="bottom"/>
          </w:tcPr>
          <w:p w14:paraId="1936B50A" w14:textId="77777777" w:rsidR="00706813" w:rsidRPr="002E2B5B" w:rsidRDefault="00706813" w:rsidP="002E2B5B">
            <w:pPr>
              <w:jc w:val="center"/>
              <w:rPr>
                <w:rFonts w:ascii="Calibri" w:hAnsi="Calibri" w:cs="Calibri"/>
                <w:b/>
                <w:bCs/>
                <w:sz w:val="16"/>
                <w:szCs w:val="16"/>
              </w:rPr>
            </w:pPr>
            <w:r w:rsidRPr="002E2B5B">
              <w:rPr>
                <w:rFonts w:ascii="Calibri" w:hAnsi="Calibri" w:cs="Calibri"/>
                <w:b/>
                <w:bCs/>
                <w:sz w:val="16"/>
                <w:szCs w:val="16"/>
              </w:rPr>
              <w:t>BAIXA ATUAL.  MONET</w:t>
            </w:r>
          </w:p>
        </w:tc>
        <w:tc>
          <w:tcPr>
            <w:tcW w:w="954" w:type="pct"/>
            <w:tcBorders>
              <w:top w:val="nil"/>
              <w:left w:val="nil"/>
              <w:bottom w:val="single" w:sz="4" w:space="0" w:color="auto"/>
              <w:right w:val="nil"/>
            </w:tcBorders>
            <w:shd w:val="clear" w:color="auto" w:fill="auto"/>
            <w:vAlign w:val="bottom"/>
            <w:hideMark/>
          </w:tcPr>
          <w:p w14:paraId="62CC0497" w14:textId="27248E76" w:rsidR="00706813" w:rsidRPr="002E2B5B" w:rsidRDefault="00706813" w:rsidP="002E2B5B">
            <w:pPr>
              <w:jc w:val="center"/>
              <w:rPr>
                <w:rFonts w:ascii="Calibri" w:hAnsi="Calibri" w:cs="Calibri"/>
                <w:b/>
                <w:bCs/>
                <w:sz w:val="16"/>
                <w:szCs w:val="16"/>
              </w:rPr>
            </w:pPr>
            <w:r w:rsidRPr="002E2B5B">
              <w:rPr>
                <w:rFonts w:ascii="Calibri" w:hAnsi="Calibri" w:cs="Calibri"/>
                <w:b/>
                <w:bCs/>
                <w:sz w:val="16"/>
                <w:szCs w:val="16"/>
              </w:rPr>
              <w:t xml:space="preserve">SALDO EM </w:t>
            </w:r>
            <w:r w:rsidR="000027B2">
              <w:rPr>
                <w:rFonts w:ascii="Calibri" w:hAnsi="Calibri" w:cs="Calibri"/>
                <w:b/>
                <w:bCs/>
                <w:sz w:val="16"/>
                <w:szCs w:val="16"/>
              </w:rPr>
              <w:t>30/0</w:t>
            </w:r>
            <w:r w:rsidR="007359A9">
              <w:rPr>
                <w:rFonts w:ascii="Calibri" w:hAnsi="Calibri" w:cs="Calibri"/>
                <w:b/>
                <w:bCs/>
                <w:sz w:val="16"/>
                <w:szCs w:val="16"/>
              </w:rPr>
              <w:t>9</w:t>
            </w:r>
            <w:r w:rsidRPr="002E2B5B">
              <w:rPr>
                <w:rFonts w:ascii="Calibri" w:hAnsi="Calibri" w:cs="Calibri"/>
                <w:b/>
                <w:bCs/>
                <w:sz w:val="16"/>
                <w:szCs w:val="16"/>
              </w:rPr>
              <w:t>/202</w:t>
            </w:r>
            <w:r>
              <w:rPr>
                <w:rFonts w:ascii="Calibri" w:hAnsi="Calibri" w:cs="Calibri"/>
                <w:b/>
                <w:bCs/>
                <w:sz w:val="16"/>
                <w:szCs w:val="16"/>
              </w:rPr>
              <w:t>1</w:t>
            </w:r>
          </w:p>
        </w:tc>
      </w:tr>
      <w:tr w:rsidR="00706813" w:rsidRPr="002E2B5B" w14:paraId="5B24B5D5" w14:textId="77777777" w:rsidTr="00C34E8D">
        <w:trPr>
          <w:trHeight w:hRule="exact" w:val="227"/>
        </w:trPr>
        <w:tc>
          <w:tcPr>
            <w:tcW w:w="743" w:type="pct"/>
            <w:tcBorders>
              <w:top w:val="single" w:sz="4" w:space="0" w:color="auto"/>
              <w:left w:val="nil"/>
              <w:bottom w:val="nil"/>
              <w:right w:val="nil"/>
            </w:tcBorders>
            <w:shd w:val="clear" w:color="auto" w:fill="auto"/>
            <w:noWrap/>
            <w:vAlign w:val="center"/>
            <w:hideMark/>
          </w:tcPr>
          <w:p w14:paraId="6C96E2CD" w14:textId="77777777" w:rsidR="00706813" w:rsidRPr="002E2B5B" w:rsidRDefault="00706813" w:rsidP="002E2B5B">
            <w:pPr>
              <w:rPr>
                <w:rFonts w:ascii="Calibri" w:hAnsi="Calibri" w:cs="Calibri"/>
                <w:sz w:val="16"/>
                <w:szCs w:val="16"/>
              </w:rPr>
            </w:pPr>
            <w:r w:rsidRPr="002E2B5B">
              <w:rPr>
                <w:rFonts w:ascii="Calibri" w:hAnsi="Calibri" w:cs="Calibri"/>
                <w:sz w:val="16"/>
                <w:szCs w:val="16"/>
              </w:rPr>
              <w:t>Cíveis</w:t>
            </w:r>
          </w:p>
        </w:tc>
        <w:tc>
          <w:tcPr>
            <w:tcW w:w="1026" w:type="pct"/>
            <w:tcBorders>
              <w:top w:val="single" w:sz="4" w:space="0" w:color="auto"/>
              <w:left w:val="nil"/>
              <w:bottom w:val="nil"/>
              <w:right w:val="nil"/>
            </w:tcBorders>
            <w:shd w:val="clear" w:color="auto" w:fill="auto"/>
            <w:noWrap/>
            <w:vAlign w:val="center"/>
            <w:hideMark/>
          </w:tcPr>
          <w:p w14:paraId="7387CCC1" w14:textId="362BD49C" w:rsidR="00706813" w:rsidRPr="002E2B5B" w:rsidRDefault="00706813" w:rsidP="002E2B5B">
            <w:pPr>
              <w:jc w:val="center"/>
              <w:rPr>
                <w:rFonts w:ascii="Calibri" w:hAnsi="Calibri" w:cs="Calibri"/>
                <w:sz w:val="16"/>
                <w:szCs w:val="16"/>
              </w:rPr>
            </w:pPr>
            <w:r w:rsidRPr="002E2B5B">
              <w:rPr>
                <w:rFonts w:ascii="Calibri" w:hAnsi="Calibri" w:cs="Calibri"/>
                <w:sz w:val="16"/>
                <w:szCs w:val="16"/>
              </w:rPr>
              <w:t>51.641.802</w:t>
            </w:r>
          </w:p>
        </w:tc>
        <w:tc>
          <w:tcPr>
            <w:tcW w:w="623" w:type="pct"/>
            <w:tcBorders>
              <w:top w:val="single" w:sz="4" w:space="0" w:color="auto"/>
              <w:left w:val="nil"/>
              <w:bottom w:val="nil"/>
              <w:right w:val="nil"/>
            </w:tcBorders>
            <w:shd w:val="clear" w:color="auto" w:fill="auto"/>
            <w:noWrap/>
            <w:vAlign w:val="center"/>
          </w:tcPr>
          <w:p w14:paraId="3BC6F2BD" w14:textId="27E96DF3" w:rsidR="00706813" w:rsidRPr="002E2B5B" w:rsidRDefault="00706813" w:rsidP="002E2B5B">
            <w:pPr>
              <w:jc w:val="center"/>
              <w:rPr>
                <w:rFonts w:ascii="Calibri" w:hAnsi="Calibri" w:cs="Calibri"/>
                <w:sz w:val="16"/>
                <w:szCs w:val="16"/>
              </w:rPr>
            </w:pPr>
            <w:r>
              <w:rPr>
                <w:rFonts w:ascii="Calibri" w:hAnsi="Calibri" w:cs="Calibri"/>
                <w:sz w:val="16"/>
                <w:szCs w:val="16"/>
              </w:rPr>
              <w:t>0</w:t>
            </w:r>
          </w:p>
        </w:tc>
        <w:tc>
          <w:tcPr>
            <w:tcW w:w="699" w:type="pct"/>
            <w:tcBorders>
              <w:top w:val="single" w:sz="4" w:space="0" w:color="auto"/>
              <w:left w:val="nil"/>
              <w:bottom w:val="nil"/>
              <w:right w:val="nil"/>
            </w:tcBorders>
            <w:shd w:val="clear" w:color="auto" w:fill="auto"/>
            <w:noWrap/>
            <w:vAlign w:val="center"/>
          </w:tcPr>
          <w:p w14:paraId="5A5B026B" w14:textId="4DE73DC9" w:rsidR="00706813" w:rsidRPr="002E2B5B" w:rsidRDefault="00706813" w:rsidP="002E2B5B">
            <w:pPr>
              <w:jc w:val="center"/>
              <w:rPr>
                <w:rFonts w:ascii="Calibri" w:hAnsi="Calibri" w:cs="Calibri"/>
                <w:sz w:val="16"/>
                <w:szCs w:val="16"/>
              </w:rPr>
            </w:pPr>
            <w:r w:rsidRPr="002E2B5B">
              <w:rPr>
                <w:rFonts w:ascii="Calibri" w:hAnsi="Calibri" w:cs="Calibri"/>
                <w:sz w:val="16"/>
                <w:szCs w:val="16"/>
              </w:rPr>
              <w:t>0</w:t>
            </w:r>
          </w:p>
        </w:tc>
        <w:tc>
          <w:tcPr>
            <w:tcW w:w="955" w:type="pct"/>
            <w:tcBorders>
              <w:top w:val="single" w:sz="4" w:space="0" w:color="auto"/>
              <w:left w:val="nil"/>
              <w:bottom w:val="nil"/>
              <w:right w:val="nil"/>
            </w:tcBorders>
            <w:vAlign w:val="center"/>
          </w:tcPr>
          <w:p w14:paraId="7078A0D4" w14:textId="4029312C" w:rsidR="00706813" w:rsidRPr="009C6659" w:rsidRDefault="006F3D61" w:rsidP="002E2B5B">
            <w:pPr>
              <w:jc w:val="center"/>
              <w:rPr>
                <w:rFonts w:ascii="Calibri" w:hAnsi="Calibri" w:cs="Calibri"/>
                <w:sz w:val="16"/>
                <w:szCs w:val="16"/>
                <w:highlight w:val="yellow"/>
              </w:rPr>
            </w:pPr>
            <w:r w:rsidRPr="006F3D61">
              <w:rPr>
                <w:rFonts w:ascii="Calibri" w:hAnsi="Calibri" w:cs="Calibri"/>
                <w:sz w:val="16"/>
                <w:szCs w:val="16"/>
              </w:rPr>
              <w:t>0</w:t>
            </w:r>
          </w:p>
        </w:tc>
        <w:tc>
          <w:tcPr>
            <w:tcW w:w="954" w:type="pct"/>
            <w:tcBorders>
              <w:top w:val="single" w:sz="4" w:space="0" w:color="auto"/>
              <w:left w:val="nil"/>
              <w:bottom w:val="nil"/>
              <w:right w:val="nil"/>
            </w:tcBorders>
            <w:shd w:val="clear" w:color="auto" w:fill="auto"/>
            <w:noWrap/>
            <w:vAlign w:val="center"/>
          </w:tcPr>
          <w:p w14:paraId="5EBEDCAD" w14:textId="77777777" w:rsidR="00706813" w:rsidRPr="002E2B5B" w:rsidRDefault="00706813" w:rsidP="002E2B5B">
            <w:pPr>
              <w:jc w:val="center"/>
              <w:rPr>
                <w:rFonts w:ascii="Calibri" w:hAnsi="Calibri" w:cs="Calibri"/>
                <w:sz w:val="16"/>
                <w:szCs w:val="16"/>
              </w:rPr>
            </w:pPr>
            <w:r w:rsidRPr="002E2B5B">
              <w:rPr>
                <w:rFonts w:ascii="Calibri" w:hAnsi="Calibri" w:cs="Calibri"/>
                <w:sz w:val="16"/>
                <w:szCs w:val="16"/>
              </w:rPr>
              <w:t>51.641.802</w:t>
            </w:r>
          </w:p>
        </w:tc>
      </w:tr>
      <w:tr w:rsidR="00706813" w:rsidRPr="002E2B5B" w14:paraId="7FA9849C" w14:textId="77777777" w:rsidTr="00C34E8D">
        <w:trPr>
          <w:trHeight w:hRule="exact" w:val="227"/>
        </w:trPr>
        <w:tc>
          <w:tcPr>
            <w:tcW w:w="743" w:type="pct"/>
            <w:tcBorders>
              <w:top w:val="nil"/>
              <w:left w:val="nil"/>
              <w:bottom w:val="nil"/>
              <w:right w:val="nil"/>
            </w:tcBorders>
            <w:shd w:val="clear" w:color="auto" w:fill="auto"/>
            <w:noWrap/>
            <w:vAlign w:val="center"/>
            <w:hideMark/>
          </w:tcPr>
          <w:p w14:paraId="2A60962E" w14:textId="77777777" w:rsidR="00706813" w:rsidRPr="002E2B5B" w:rsidRDefault="00706813" w:rsidP="002E2B5B">
            <w:pPr>
              <w:rPr>
                <w:rFonts w:ascii="Calibri" w:hAnsi="Calibri" w:cs="Calibri"/>
                <w:sz w:val="16"/>
                <w:szCs w:val="16"/>
              </w:rPr>
            </w:pPr>
            <w:r w:rsidRPr="002E2B5B">
              <w:rPr>
                <w:rFonts w:ascii="Calibri" w:hAnsi="Calibri" w:cs="Calibri"/>
                <w:sz w:val="16"/>
                <w:szCs w:val="16"/>
              </w:rPr>
              <w:t>Trabalhistas</w:t>
            </w:r>
          </w:p>
        </w:tc>
        <w:tc>
          <w:tcPr>
            <w:tcW w:w="1026" w:type="pct"/>
            <w:tcBorders>
              <w:top w:val="nil"/>
              <w:left w:val="nil"/>
              <w:bottom w:val="nil"/>
              <w:right w:val="nil"/>
            </w:tcBorders>
            <w:shd w:val="clear" w:color="auto" w:fill="auto"/>
            <w:noWrap/>
            <w:vAlign w:val="center"/>
            <w:hideMark/>
          </w:tcPr>
          <w:p w14:paraId="566E2878" w14:textId="3C062957" w:rsidR="00706813" w:rsidRPr="002E2B5B" w:rsidRDefault="00706813" w:rsidP="002E2B5B">
            <w:pPr>
              <w:jc w:val="center"/>
              <w:rPr>
                <w:rFonts w:ascii="Calibri" w:hAnsi="Calibri" w:cs="Calibri"/>
                <w:sz w:val="16"/>
                <w:szCs w:val="16"/>
              </w:rPr>
            </w:pPr>
            <w:r w:rsidRPr="002E2B5B">
              <w:rPr>
                <w:rFonts w:ascii="Calibri" w:hAnsi="Calibri" w:cs="Calibri"/>
                <w:sz w:val="16"/>
                <w:szCs w:val="16"/>
              </w:rPr>
              <w:t>38.513.185</w:t>
            </w:r>
          </w:p>
        </w:tc>
        <w:tc>
          <w:tcPr>
            <w:tcW w:w="623" w:type="pct"/>
            <w:tcBorders>
              <w:top w:val="nil"/>
              <w:left w:val="nil"/>
              <w:bottom w:val="nil"/>
              <w:right w:val="nil"/>
            </w:tcBorders>
            <w:shd w:val="clear" w:color="auto" w:fill="auto"/>
            <w:noWrap/>
            <w:vAlign w:val="center"/>
          </w:tcPr>
          <w:p w14:paraId="5B13618D" w14:textId="6A081103" w:rsidR="00706813" w:rsidRPr="002E2B5B" w:rsidRDefault="00C3381D" w:rsidP="002E2B5B">
            <w:pPr>
              <w:jc w:val="center"/>
              <w:rPr>
                <w:rFonts w:ascii="Calibri" w:hAnsi="Calibri" w:cs="Calibri"/>
                <w:sz w:val="16"/>
                <w:szCs w:val="16"/>
              </w:rPr>
            </w:pPr>
            <w:r>
              <w:rPr>
                <w:rFonts w:ascii="Calibri" w:hAnsi="Calibri" w:cs="Calibri"/>
                <w:sz w:val="16"/>
                <w:szCs w:val="16"/>
              </w:rPr>
              <w:t>310.123</w:t>
            </w:r>
          </w:p>
        </w:tc>
        <w:tc>
          <w:tcPr>
            <w:tcW w:w="699" w:type="pct"/>
            <w:tcBorders>
              <w:top w:val="nil"/>
              <w:left w:val="nil"/>
              <w:bottom w:val="nil"/>
              <w:right w:val="nil"/>
            </w:tcBorders>
            <w:shd w:val="clear" w:color="auto" w:fill="auto"/>
            <w:noWrap/>
            <w:vAlign w:val="center"/>
          </w:tcPr>
          <w:p w14:paraId="119255E3" w14:textId="683533F5" w:rsidR="00706813" w:rsidRPr="002E2B5B" w:rsidRDefault="00706813" w:rsidP="002E2B5B">
            <w:pPr>
              <w:jc w:val="center"/>
              <w:rPr>
                <w:rFonts w:ascii="Calibri" w:hAnsi="Calibri" w:cs="Calibri"/>
                <w:sz w:val="16"/>
                <w:szCs w:val="16"/>
              </w:rPr>
            </w:pPr>
            <w:r w:rsidRPr="002E2B5B">
              <w:rPr>
                <w:rFonts w:ascii="Calibri" w:hAnsi="Calibri" w:cs="Calibri"/>
                <w:sz w:val="16"/>
                <w:szCs w:val="16"/>
              </w:rPr>
              <w:t>(</w:t>
            </w:r>
            <w:r w:rsidR="00C3381D">
              <w:rPr>
                <w:rFonts w:ascii="Calibri" w:hAnsi="Calibri" w:cs="Calibri"/>
                <w:sz w:val="16"/>
                <w:szCs w:val="16"/>
              </w:rPr>
              <w:t>671.666</w:t>
            </w:r>
            <w:r w:rsidRPr="002E2B5B">
              <w:rPr>
                <w:rFonts w:ascii="Calibri" w:hAnsi="Calibri" w:cs="Calibri"/>
                <w:sz w:val="16"/>
                <w:szCs w:val="16"/>
              </w:rPr>
              <w:t>)</w:t>
            </w:r>
          </w:p>
        </w:tc>
        <w:tc>
          <w:tcPr>
            <w:tcW w:w="955" w:type="pct"/>
            <w:tcBorders>
              <w:top w:val="nil"/>
              <w:left w:val="nil"/>
              <w:bottom w:val="nil"/>
              <w:right w:val="nil"/>
            </w:tcBorders>
            <w:vAlign w:val="center"/>
          </w:tcPr>
          <w:p w14:paraId="35F59C03" w14:textId="2E93C852" w:rsidR="00706813" w:rsidRPr="00706813" w:rsidRDefault="00706813" w:rsidP="002E2B5B">
            <w:pPr>
              <w:jc w:val="center"/>
              <w:rPr>
                <w:rFonts w:ascii="Calibri" w:hAnsi="Calibri" w:cs="Calibri"/>
                <w:sz w:val="16"/>
                <w:szCs w:val="16"/>
              </w:rPr>
            </w:pPr>
            <w:r w:rsidRPr="00706813">
              <w:rPr>
                <w:rFonts w:ascii="Calibri" w:hAnsi="Calibri" w:cs="Calibri"/>
                <w:sz w:val="16"/>
                <w:szCs w:val="16"/>
              </w:rPr>
              <w:t>(</w:t>
            </w:r>
            <w:r w:rsidR="00C3381D">
              <w:rPr>
                <w:rFonts w:ascii="Calibri" w:hAnsi="Calibri" w:cs="Calibri"/>
                <w:sz w:val="16"/>
                <w:szCs w:val="16"/>
              </w:rPr>
              <w:t>82.819</w:t>
            </w:r>
            <w:r w:rsidRPr="00706813">
              <w:rPr>
                <w:rFonts w:ascii="Calibri" w:hAnsi="Calibri" w:cs="Calibri"/>
                <w:sz w:val="16"/>
                <w:szCs w:val="16"/>
              </w:rPr>
              <w:t>)</w:t>
            </w:r>
          </w:p>
        </w:tc>
        <w:tc>
          <w:tcPr>
            <w:tcW w:w="954" w:type="pct"/>
            <w:tcBorders>
              <w:top w:val="nil"/>
              <w:left w:val="nil"/>
              <w:bottom w:val="nil"/>
              <w:right w:val="nil"/>
            </w:tcBorders>
            <w:shd w:val="clear" w:color="auto" w:fill="auto"/>
            <w:noWrap/>
            <w:vAlign w:val="center"/>
          </w:tcPr>
          <w:p w14:paraId="2A6F01EC" w14:textId="374D7A4E" w:rsidR="00706813" w:rsidRPr="002E2B5B" w:rsidRDefault="00C3381D" w:rsidP="002E2B5B">
            <w:pPr>
              <w:jc w:val="center"/>
              <w:rPr>
                <w:rFonts w:ascii="Calibri" w:hAnsi="Calibri" w:cs="Calibri"/>
                <w:sz w:val="16"/>
                <w:szCs w:val="16"/>
              </w:rPr>
            </w:pPr>
            <w:r>
              <w:rPr>
                <w:rFonts w:ascii="Calibri" w:hAnsi="Calibri" w:cs="Calibri"/>
                <w:sz w:val="16"/>
                <w:szCs w:val="16"/>
              </w:rPr>
              <w:t>38.068.823</w:t>
            </w:r>
          </w:p>
        </w:tc>
      </w:tr>
      <w:tr w:rsidR="00706813" w:rsidRPr="002E2B5B" w14:paraId="3ED486A4" w14:textId="77777777" w:rsidTr="00C34E8D">
        <w:trPr>
          <w:trHeight w:hRule="exact" w:val="227"/>
        </w:trPr>
        <w:tc>
          <w:tcPr>
            <w:tcW w:w="743" w:type="pct"/>
            <w:tcBorders>
              <w:top w:val="single" w:sz="4" w:space="0" w:color="auto"/>
              <w:left w:val="nil"/>
              <w:bottom w:val="single" w:sz="4" w:space="0" w:color="auto"/>
              <w:right w:val="nil"/>
            </w:tcBorders>
            <w:shd w:val="clear" w:color="auto" w:fill="auto"/>
            <w:noWrap/>
            <w:vAlign w:val="center"/>
            <w:hideMark/>
          </w:tcPr>
          <w:p w14:paraId="2551589F" w14:textId="77777777" w:rsidR="00706813" w:rsidRPr="002E2B5B" w:rsidRDefault="00706813" w:rsidP="002E2B5B">
            <w:pPr>
              <w:rPr>
                <w:rFonts w:ascii="Calibri" w:hAnsi="Calibri" w:cs="Calibri"/>
                <w:b/>
                <w:bCs/>
                <w:sz w:val="16"/>
                <w:szCs w:val="16"/>
              </w:rPr>
            </w:pPr>
            <w:r w:rsidRPr="002E2B5B">
              <w:rPr>
                <w:rFonts w:ascii="Calibri" w:hAnsi="Calibri" w:cs="Calibri"/>
                <w:b/>
                <w:bCs/>
                <w:sz w:val="16"/>
                <w:szCs w:val="16"/>
              </w:rPr>
              <w:t>TOTAL</w:t>
            </w:r>
          </w:p>
        </w:tc>
        <w:tc>
          <w:tcPr>
            <w:tcW w:w="1026" w:type="pct"/>
            <w:tcBorders>
              <w:top w:val="single" w:sz="4" w:space="0" w:color="auto"/>
              <w:left w:val="nil"/>
              <w:bottom w:val="single" w:sz="4" w:space="0" w:color="auto"/>
              <w:right w:val="nil"/>
            </w:tcBorders>
            <w:shd w:val="clear" w:color="auto" w:fill="auto"/>
            <w:noWrap/>
            <w:vAlign w:val="center"/>
            <w:hideMark/>
          </w:tcPr>
          <w:p w14:paraId="3CC1A0A8" w14:textId="4DE2A327" w:rsidR="00706813" w:rsidRPr="002E2B5B" w:rsidRDefault="00706813" w:rsidP="002E2B5B">
            <w:pPr>
              <w:jc w:val="center"/>
              <w:rPr>
                <w:rFonts w:ascii="Calibri" w:hAnsi="Calibri" w:cs="Calibri"/>
                <w:b/>
                <w:bCs/>
                <w:sz w:val="16"/>
                <w:szCs w:val="16"/>
              </w:rPr>
            </w:pPr>
            <w:r w:rsidRPr="002E2B5B">
              <w:rPr>
                <w:rFonts w:ascii="Calibri" w:hAnsi="Calibri" w:cs="Calibri"/>
                <w:b/>
                <w:bCs/>
                <w:sz w:val="16"/>
                <w:szCs w:val="16"/>
              </w:rPr>
              <w:t>90.154.987</w:t>
            </w:r>
          </w:p>
        </w:tc>
        <w:tc>
          <w:tcPr>
            <w:tcW w:w="623" w:type="pct"/>
            <w:tcBorders>
              <w:top w:val="single" w:sz="4" w:space="0" w:color="auto"/>
              <w:left w:val="nil"/>
              <w:bottom w:val="single" w:sz="4" w:space="0" w:color="auto"/>
              <w:right w:val="nil"/>
            </w:tcBorders>
            <w:shd w:val="clear" w:color="auto" w:fill="auto"/>
            <w:noWrap/>
            <w:vAlign w:val="center"/>
          </w:tcPr>
          <w:p w14:paraId="6B3D1F26" w14:textId="5285499B" w:rsidR="00706813" w:rsidRPr="002E2B5B" w:rsidRDefault="00C3381D" w:rsidP="002E2B5B">
            <w:pPr>
              <w:jc w:val="center"/>
              <w:rPr>
                <w:rFonts w:ascii="Calibri" w:hAnsi="Calibri" w:cs="Calibri"/>
                <w:b/>
                <w:bCs/>
                <w:sz w:val="16"/>
                <w:szCs w:val="16"/>
              </w:rPr>
            </w:pPr>
            <w:r>
              <w:rPr>
                <w:rFonts w:ascii="Calibri" w:hAnsi="Calibri" w:cs="Calibri"/>
                <w:b/>
                <w:bCs/>
                <w:sz w:val="16"/>
                <w:szCs w:val="16"/>
              </w:rPr>
              <w:t>3</w:t>
            </w:r>
            <w:r w:rsidR="000027B2">
              <w:rPr>
                <w:rFonts w:ascii="Calibri" w:hAnsi="Calibri" w:cs="Calibri"/>
                <w:b/>
                <w:bCs/>
                <w:sz w:val="16"/>
                <w:szCs w:val="16"/>
              </w:rPr>
              <w:t>1</w:t>
            </w:r>
            <w:r>
              <w:rPr>
                <w:rFonts w:ascii="Calibri" w:hAnsi="Calibri" w:cs="Calibri"/>
                <w:b/>
                <w:bCs/>
                <w:sz w:val="16"/>
                <w:szCs w:val="16"/>
              </w:rPr>
              <w:t>0</w:t>
            </w:r>
            <w:r w:rsidR="000027B2">
              <w:rPr>
                <w:rFonts w:ascii="Calibri" w:hAnsi="Calibri" w:cs="Calibri"/>
                <w:b/>
                <w:bCs/>
                <w:sz w:val="16"/>
                <w:szCs w:val="16"/>
              </w:rPr>
              <w:t>.</w:t>
            </w:r>
            <w:r>
              <w:rPr>
                <w:rFonts w:ascii="Calibri" w:hAnsi="Calibri" w:cs="Calibri"/>
                <w:b/>
                <w:bCs/>
                <w:sz w:val="16"/>
                <w:szCs w:val="16"/>
              </w:rPr>
              <w:t>1</w:t>
            </w:r>
            <w:r w:rsidR="000027B2">
              <w:rPr>
                <w:rFonts w:ascii="Calibri" w:hAnsi="Calibri" w:cs="Calibri"/>
                <w:b/>
                <w:bCs/>
                <w:sz w:val="16"/>
                <w:szCs w:val="16"/>
              </w:rPr>
              <w:t>2</w:t>
            </w:r>
            <w:r>
              <w:rPr>
                <w:rFonts w:ascii="Calibri" w:hAnsi="Calibri" w:cs="Calibri"/>
                <w:b/>
                <w:bCs/>
                <w:sz w:val="16"/>
                <w:szCs w:val="16"/>
              </w:rPr>
              <w:t>3</w:t>
            </w:r>
          </w:p>
        </w:tc>
        <w:tc>
          <w:tcPr>
            <w:tcW w:w="699" w:type="pct"/>
            <w:tcBorders>
              <w:top w:val="single" w:sz="4" w:space="0" w:color="auto"/>
              <w:left w:val="nil"/>
              <w:bottom w:val="single" w:sz="4" w:space="0" w:color="auto"/>
              <w:right w:val="nil"/>
            </w:tcBorders>
            <w:shd w:val="clear" w:color="auto" w:fill="auto"/>
            <w:noWrap/>
            <w:vAlign w:val="center"/>
          </w:tcPr>
          <w:p w14:paraId="22E0F802" w14:textId="1A441532" w:rsidR="00706813" w:rsidRPr="002E2B5B" w:rsidRDefault="00706813" w:rsidP="002E2B5B">
            <w:pPr>
              <w:jc w:val="center"/>
              <w:rPr>
                <w:rFonts w:ascii="Calibri" w:hAnsi="Calibri" w:cs="Calibri"/>
                <w:b/>
                <w:bCs/>
                <w:sz w:val="16"/>
                <w:szCs w:val="16"/>
              </w:rPr>
            </w:pPr>
            <w:r w:rsidRPr="002E2B5B">
              <w:rPr>
                <w:rFonts w:ascii="Calibri" w:hAnsi="Calibri" w:cs="Calibri"/>
                <w:b/>
                <w:bCs/>
                <w:sz w:val="16"/>
                <w:szCs w:val="16"/>
              </w:rPr>
              <w:t>(</w:t>
            </w:r>
            <w:r w:rsidR="00C3381D">
              <w:rPr>
                <w:rFonts w:ascii="Calibri" w:hAnsi="Calibri" w:cs="Calibri"/>
                <w:b/>
                <w:bCs/>
                <w:sz w:val="16"/>
                <w:szCs w:val="16"/>
              </w:rPr>
              <w:t>671.666</w:t>
            </w:r>
            <w:r w:rsidRPr="002E2B5B">
              <w:rPr>
                <w:rFonts w:ascii="Calibri" w:hAnsi="Calibri" w:cs="Calibri"/>
                <w:b/>
                <w:bCs/>
                <w:sz w:val="16"/>
                <w:szCs w:val="16"/>
              </w:rPr>
              <w:t>)</w:t>
            </w:r>
          </w:p>
        </w:tc>
        <w:tc>
          <w:tcPr>
            <w:tcW w:w="955" w:type="pct"/>
            <w:tcBorders>
              <w:top w:val="single" w:sz="4" w:space="0" w:color="auto"/>
              <w:left w:val="nil"/>
              <w:bottom w:val="single" w:sz="4" w:space="0" w:color="auto"/>
              <w:right w:val="nil"/>
            </w:tcBorders>
            <w:vAlign w:val="center"/>
          </w:tcPr>
          <w:p w14:paraId="2B971A4D" w14:textId="4A3186E5" w:rsidR="00706813" w:rsidRPr="00706813" w:rsidRDefault="00706813" w:rsidP="002E2B5B">
            <w:pPr>
              <w:jc w:val="center"/>
              <w:rPr>
                <w:rFonts w:ascii="Calibri" w:hAnsi="Calibri" w:cs="Calibri"/>
                <w:b/>
                <w:bCs/>
                <w:sz w:val="16"/>
                <w:szCs w:val="16"/>
              </w:rPr>
            </w:pPr>
            <w:r w:rsidRPr="00706813">
              <w:rPr>
                <w:rFonts w:ascii="Calibri" w:hAnsi="Calibri" w:cs="Calibri"/>
                <w:b/>
                <w:bCs/>
                <w:sz w:val="16"/>
                <w:szCs w:val="16"/>
              </w:rPr>
              <w:t>(</w:t>
            </w:r>
            <w:r w:rsidR="00C3381D">
              <w:rPr>
                <w:rFonts w:ascii="Calibri" w:hAnsi="Calibri" w:cs="Calibri"/>
                <w:b/>
                <w:bCs/>
                <w:sz w:val="16"/>
                <w:szCs w:val="16"/>
              </w:rPr>
              <w:t>82.819</w:t>
            </w:r>
            <w:r w:rsidRPr="00706813">
              <w:rPr>
                <w:rFonts w:ascii="Calibri" w:hAnsi="Calibri" w:cs="Calibri"/>
                <w:b/>
                <w:bCs/>
                <w:sz w:val="16"/>
                <w:szCs w:val="16"/>
              </w:rPr>
              <w:t>)</w:t>
            </w:r>
          </w:p>
        </w:tc>
        <w:tc>
          <w:tcPr>
            <w:tcW w:w="954" w:type="pct"/>
            <w:tcBorders>
              <w:top w:val="single" w:sz="4" w:space="0" w:color="auto"/>
              <w:left w:val="nil"/>
              <w:bottom w:val="single" w:sz="4" w:space="0" w:color="auto"/>
              <w:right w:val="nil"/>
            </w:tcBorders>
            <w:shd w:val="clear" w:color="auto" w:fill="auto"/>
            <w:noWrap/>
            <w:vAlign w:val="center"/>
          </w:tcPr>
          <w:p w14:paraId="5ED8D0F1" w14:textId="52D74A94" w:rsidR="00706813" w:rsidRPr="002E2B5B" w:rsidRDefault="00C3381D" w:rsidP="002E2B5B">
            <w:pPr>
              <w:jc w:val="center"/>
              <w:rPr>
                <w:rFonts w:ascii="Calibri" w:hAnsi="Calibri" w:cs="Calibri"/>
                <w:b/>
                <w:bCs/>
                <w:sz w:val="16"/>
                <w:szCs w:val="16"/>
              </w:rPr>
            </w:pPr>
            <w:r>
              <w:rPr>
                <w:rFonts w:ascii="Calibri" w:hAnsi="Calibri" w:cs="Calibri"/>
                <w:b/>
                <w:bCs/>
                <w:sz w:val="16"/>
                <w:szCs w:val="16"/>
              </w:rPr>
              <w:t>89.710.625</w:t>
            </w:r>
          </w:p>
        </w:tc>
      </w:tr>
    </w:tbl>
    <w:p w14:paraId="7A3E1A4A" w14:textId="77777777" w:rsidR="00552191" w:rsidRPr="002E2B5B" w:rsidRDefault="00552191" w:rsidP="002E2B5B">
      <w:pPr>
        <w:ind w:right="-85"/>
        <w:jc w:val="center"/>
        <w:rPr>
          <w:rFonts w:ascii="Calibri" w:hAnsi="Calibri" w:cs="Calibri"/>
          <w:color w:val="FF0000"/>
          <w:sz w:val="22"/>
          <w:szCs w:val="22"/>
        </w:rPr>
      </w:pPr>
    </w:p>
    <w:p w14:paraId="3B838B7C" w14:textId="47EFAC43" w:rsidR="00E9733B" w:rsidRPr="002E2B5B" w:rsidRDefault="00174649" w:rsidP="002E2B5B">
      <w:pPr>
        <w:spacing w:after="120"/>
        <w:jc w:val="both"/>
        <w:rPr>
          <w:rFonts w:ascii="Calibri" w:hAnsi="Calibri" w:cs="Calibri"/>
          <w:sz w:val="22"/>
          <w:szCs w:val="22"/>
        </w:rPr>
      </w:pPr>
      <w:r w:rsidRPr="002E2B5B">
        <w:rPr>
          <w:rFonts w:ascii="Calibri" w:hAnsi="Calibri" w:cs="Calibri"/>
          <w:sz w:val="22"/>
          <w:szCs w:val="22"/>
        </w:rPr>
        <w:t xml:space="preserve">O montante </w:t>
      </w:r>
      <w:r w:rsidR="00E35139" w:rsidRPr="002E2B5B">
        <w:rPr>
          <w:rFonts w:ascii="Calibri" w:hAnsi="Calibri" w:cs="Calibri"/>
          <w:sz w:val="22"/>
          <w:szCs w:val="22"/>
        </w:rPr>
        <w:t xml:space="preserve">de R$ </w:t>
      </w:r>
      <w:r w:rsidR="000027B2">
        <w:rPr>
          <w:rFonts w:ascii="Calibri" w:hAnsi="Calibri" w:cs="Calibri"/>
          <w:sz w:val="22"/>
          <w:szCs w:val="22"/>
        </w:rPr>
        <w:t>89,</w:t>
      </w:r>
      <w:r w:rsidR="00C3381D">
        <w:rPr>
          <w:rFonts w:ascii="Calibri" w:hAnsi="Calibri" w:cs="Calibri"/>
          <w:sz w:val="22"/>
          <w:szCs w:val="22"/>
        </w:rPr>
        <w:t>7</w:t>
      </w:r>
      <w:r w:rsidR="00706813">
        <w:rPr>
          <w:rFonts w:ascii="Calibri" w:hAnsi="Calibri" w:cs="Calibri"/>
          <w:sz w:val="22"/>
          <w:szCs w:val="22"/>
        </w:rPr>
        <w:t xml:space="preserve"> milhões</w:t>
      </w:r>
      <w:r w:rsidRPr="002E2B5B">
        <w:rPr>
          <w:rFonts w:ascii="Calibri" w:hAnsi="Calibri" w:cs="Calibri"/>
          <w:sz w:val="22"/>
          <w:szCs w:val="22"/>
        </w:rPr>
        <w:t xml:space="preserve"> compreende </w:t>
      </w:r>
      <w:r w:rsidR="00300ECC" w:rsidRPr="002E2B5B">
        <w:rPr>
          <w:rFonts w:ascii="Calibri" w:hAnsi="Calibri" w:cs="Calibri"/>
          <w:sz w:val="22"/>
          <w:szCs w:val="22"/>
        </w:rPr>
        <w:t>os</w:t>
      </w:r>
      <w:r w:rsidRPr="002E2B5B">
        <w:rPr>
          <w:rFonts w:ascii="Calibri" w:hAnsi="Calibri" w:cs="Calibri"/>
          <w:sz w:val="22"/>
          <w:szCs w:val="22"/>
        </w:rPr>
        <w:t xml:space="preserve"> </w:t>
      </w:r>
      <w:r w:rsidR="00D33D2A" w:rsidRPr="002E2B5B">
        <w:rPr>
          <w:rFonts w:ascii="Calibri" w:hAnsi="Calibri" w:cs="Calibri"/>
          <w:sz w:val="22"/>
          <w:szCs w:val="22"/>
        </w:rPr>
        <w:t xml:space="preserve">valores depositados em juízo referentes a </w:t>
      </w:r>
      <w:r w:rsidRPr="002E2B5B">
        <w:rPr>
          <w:rFonts w:ascii="Calibri" w:hAnsi="Calibri" w:cs="Calibri"/>
          <w:sz w:val="22"/>
          <w:szCs w:val="22"/>
        </w:rPr>
        <w:t xml:space="preserve">depósitos </w:t>
      </w:r>
      <w:r w:rsidR="00D33D2A" w:rsidRPr="002E2B5B">
        <w:rPr>
          <w:rFonts w:ascii="Calibri" w:hAnsi="Calibri" w:cs="Calibri"/>
          <w:sz w:val="22"/>
          <w:szCs w:val="22"/>
        </w:rPr>
        <w:t xml:space="preserve">recursais, </w:t>
      </w:r>
      <w:r w:rsidRPr="002E2B5B">
        <w:rPr>
          <w:rFonts w:ascii="Calibri" w:hAnsi="Calibri" w:cs="Calibri"/>
          <w:sz w:val="22"/>
          <w:szCs w:val="22"/>
        </w:rPr>
        <w:t>provenientes das ações trabalhistas e cíveis impetradas pelas partes autoras contra</w:t>
      </w:r>
      <w:r w:rsidR="004F4203" w:rsidRPr="002E2B5B">
        <w:rPr>
          <w:rFonts w:ascii="Calibri" w:hAnsi="Calibri" w:cs="Calibri"/>
          <w:sz w:val="22"/>
          <w:szCs w:val="22"/>
        </w:rPr>
        <w:t xml:space="preserve"> a VALEC e </w:t>
      </w:r>
      <w:r w:rsidRPr="002E2B5B">
        <w:rPr>
          <w:rFonts w:ascii="Calibri" w:hAnsi="Calibri" w:cs="Calibri"/>
          <w:sz w:val="22"/>
          <w:szCs w:val="22"/>
        </w:rPr>
        <w:t>as extintas empresas Rede Ferroviária Federal S/A – RFFSA e Empresa Brasileira de Plane</w:t>
      </w:r>
      <w:r w:rsidR="004F4203" w:rsidRPr="002E2B5B">
        <w:rPr>
          <w:rFonts w:ascii="Calibri" w:hAnsi="Calibri" w:cs="Calibri"/>
          <w:sz w:val="22"/>
          <w:szCs w:val="22"/>
        </w:rPr>
        <w:t>jamento de Transportes – GEIPOT</w:t>
      </w:r>
      <w:r w:rsidR="00526964" w:rsidRPr="002E2B5B">
        <w:rPr>
          <w:rFonts w:ascii="Calibri" w:hAnsi="Calibri" w:cs="Calibri"/>
          <w:sz w:val="22"/>
          <w:szCs w:val="22"/>
        </w:rPr>
        <w:t>, atualizados monetariamente pela</w:t>
      </w:r>
      <w:r w:rsidR="00D33D2A" w:rsidRPr="002E2B5B">
        <w:rPr>
          <w:rFonts w:ascii="Calibri" w:hAnsi="Calibri" w:cs="Calibri"/>
          <w:sz w:val="22"/>
          <w:szCs w:val="22"/>
        </w:rPr>
        <w:t xml:space="preserve"> taxa JAM-FGTS (ações trabalhistas) ou pela taxa Selic (ações cíveis)</w:t>
      </w:r>
      <w:r w:rsidR="00526964" w:rsidRPr="002E2B5B">
        <w:rPr>
          <w:rFonts w:ascii="Calibri" w:hAnsi="Calibri" w:cs="Calibri"/>
          <w:sz w:val="22"/>
          <w:szCs w:val="22"/>
        </w:rPr>
        <w:t xml:space="preserve"> até 31</w:t>
      </w:r>
      <w:r w:rsidR="00706813">
        <w:rPr>
          <w:rFonts w:ascii="Calibri" w:hAnsi="Calibri" w:cs="Calibri"/>
          <w:sz w:val="22"/>
          <w:szCs w:val="22"/>
        </w:rPr>
        <w:t xml:space="preserve"> de dezembro de 2018</w:t>
      </w:r>
      <w:r w:rsidR="00526964" w:rsidRPr="002E2B5B">
        <w:rPr>
          <w:rFonts w:ascii="Calibri" w:hAnsi="Calibri" w:cs="Calibri"/>
          <w:sz w:val="22"/>
          <w:szCs w:val="22"/>
        </w:rPr>
        <w:t>.</w:t>
      </w:r>
    </w:p>
    <w:p w14:paraId="408ADE9A" w14:textId="47F34D28" w:rsidR="0049735C" w:rsidRPr="002E2B5B" w:rsidRDefault="004A592B" w:rsidP="002E2B5B">
      <w:pPr>
        <w:spacing w:after="120"/>
        <w:jc w:val="both"/>
        <w:rPr>
          <w:rFonts w:ascii="Calibri" w:hAnsi="Calibri" w:cs="Calibri"/>
          <w:sz w:val="22"/>
          <w:szCs w:val="22"/>
        </w:rPr>
      </w:pPr>
      <w:r w:rsidRPr="00706813">
        <w:rPr>
          <w:rFonts w:ascii="Calibri" w:hAnsi="Calibri" w:cs="Calibri"/>
          <w:sz w:val="22"/>
          <w:szCs w:val="22"/>
        </w:rPr>
        <w:t xml:space="preserve">Trimestralmente, é realizada a conciliação contábil dos depósitos judiciais junto à Procuradoria Jurídica da VALEC, o que justifica a baixa de R$ </w:t>
      </w:r>
      <w:r w:rsidR="00C3381D">
        <w:rPr>
          <w:rFonts w:ascii="Calibri" w:hAnsi="Calibri" w:cs="Calibri"/>
          <w:sz w:val="22"/>
          <w:szCs w:val="22"/>
        </w:rPr>
        <w:t>671,6</w:t>
      </w:r>
      <w:r w:rsidRPr="00706813">
        <w:rPr>
          <w:rFonts w:ascii="Calibri" w:hAnsi="Calibri" w:cs="Calibri"/>
          <w:sz w:val="22"/>
          <w:szCs w:val="22"/>
        </w:rPr>
        <w:t xml:space="preserve"> mil em depósitos trabalhistas e a baixa de R$ </w:t>
      </w:r>
      <w:r w:rsidR="00C3381D">
        <w:rPr>
          <w:rFonts w:ascii="Calibri" w:hAnsi="Calibri" w:cs="Calibri"/>
          <w:sz w:val="22"/>
          <w:szCs w:val="22"/>
        </w:rPr>
        <w:t>82,8</w:t>
      </w:r>
      <w:r w:rsidRPr="00706813">
        <w:rPr>
          <w:rFonts w:ascii="Calibri" w:hAnsi="Calibri" w:cs="Calibri"/>
          <w:sz w:val="22"/>
          <w:szCs w:val="22"/>
        </w:rPr>
        <w:t xml:space="preserve"> mil referente à atualização monetária até 2018.</w:t>
      </w:r>
    </w:p>
    <w:p w14:paraId="2A8A8985" w14:textId="32BE0A32" w:rsidR="009203C8" w:rsidRPr="002E2B5B" w:rsidRDefault="004A592B" w:rsidP="002E2B5B">
      <w:pPr>
        <w:jc w:val="both"/>
        <w:rPr>
          <w:rFonts w:ascii="Calibri" w:hAnsi="Calibri" w:cs="Calibri"/>
          <w:sz w:val="22"/>
          <w:szCs w:val="22"/>
        </w:rPr>
      </w:pPr>
      <w:r w:rsidRPr="002E2B5B">
        <w:rPr>
          <w:rFonts w:ascii="Calibri" w:hAnsi="Calibri" w:cs="Calibri"/>
          <w:sz w:val="22"/>
          <w:szCs w:val="22"/>
        </w:rPr>
        <w:t>A VALEC está providenciando junto ao Banco do Brasil e à Caixa Econômica Federal convênios para o recebimento dos extratos referentes aos depósitos judiciais, tempestivamente. Assim, mediante extratos a efetiva atualização monetária poderá ser registrada contabilmente.</w:t>
      </w:r>
    </w:p>
    <w:p w14:paraId="07A00DC6" w14:textId="77777777" w:rsidR="0046778D" w:rsidRPr="002E2B5B" w:rsidRDefault="0046778D" w:rsidP="002E2B5B">
      <w:pPr>
        <w:jc w:val="both"/>
        <w:rPr>
          <w:rFonts w:ascii="Calibri" w:hAnsi="Calibri" w:cs="Calibri"/>
          <w:sz w:val="22"/>
          <w:szCs w:val="22"/>
        </w:rPr>
      </w:pPr>
    </w:p>
    <w:p w14:paraId="1FCA8969" w14:textId="77777777" w:rsidR="00A502E5" w:rsidRPr="002E2B5B" w:rsidRDefault="00660339" w:rsidP="002E2B5B">
      <w:pPr>
        <w:numPr>
          <w:ilvl w:val="0"/>
          <w:numId w:val="4"/>
        </w:numPr>
        <w:ind w:left="284" w:right="-142" w:hanging="284"/>
        <w:jc w:val="both"/>
        <w:rPr>
          <w:rFonts w:ascii="Calibri" w:hAnsi="Calibri" w:cs="Calibri"/>
          <w:sz w:val="22"/>
          <w:szCs w:val="22"/>
        </w:rPr>
      </w:pPr>
      <w:r w:rsidRPr="002E2B5B">
        <w:rPr>
          <w:rFonts w:ascii="Calibri" w:hAnsi="Calibri" w:cs="Calibri"/>
          <w:b/>
          <w:sz w:val="22"/>
          <w:szCs w:val="22"/>
        </w:rPr>
        <w:t>Valores a Receber</w:t>
      </w:r>
      <w:r w:rsidR="00E848F6" w:rsidRPr="002E2B5B">
        <w:rPr>
          <w:rFonts w:ascii="Calibri" w:hAnsi="Calibri" w:cs="Calibri"/>
          <w:b/>
          <w:sz w:val="22"/>
          <w:szCs w:val="22"/>
        </w:rPr>
        <w:t xml:space="preserve">  </w:t>
      </w:r>
    </w:p>
    <w:p w14:paraId="38064FAC" w14:textId="77777777" w:rsidR="00B31412" w:rsidRPr="002E2B5B" w:rsidRDefault="00B31412" w:rsidP="002E2B5B">
      <w:pPr>
        <w:ind w:left="284" w:right="-142"/>
        <w:jc w:val="both"/>
        <w:rPr>
          <w:rFonts w:ascii="Calibri" w:hAnsi="Calibri" w:cs="Calibri"/>
          <w:sz w:val="22"/>
          <w:szCs w:val="22"/>
        </w:rPr>
      </w:pPr>
    </w:p>
    <w:tbl>
      <w:tblPr>
        <w:tblW w:w="5001" w:type="pct"/>
        <w:tblCellMar>
          <w:left w:w="70" w:type="dxa"/>
          <w:right w:w="70" w:type="dxa"/>
        </w:tblCellMar>
        <w:tblLook w:val="04A0" w:firstRow="1" w:lastRow="0" w:firstColumn="1" w:lastColumn="0" w:noHBand="0" w:noVBand="1"/>
      </w:tblPr>
      <w:tblGrid>
        <w:gridCol w:w="4112"/>
        <w:gridCol w:w="436"/>
        <w:gridCol w:w="438"/>
        <w:gridCol w:w="1773"/>
        <w:gridCol w:w="1773"/>
        <w:gridCol w:w="1937"/>
      </w:tblGrid>
      <w:tr w:rsidR="00F82B11" w:rsidRPr="002E2B5B" w14:paraId="0505C96F" w14:textId="77777777" w:rsidTr="00C34E8D">
        <w:trPr>
          <w:trHeight w:hRule="exact" w:val="227"/>
        </w:trPr>
        <w:tc>
          <w:tcPr>
            <w:tcW w:w="2380" w:type="pct"/>
            <w:gridSpan w:val="3"/>
            <w:tcBorders>
              <w:top w:val="nil"/>
              <w:left w:val="nil"/>
              <w:bottom w:val="single" w:sz="8" w:space="0" w:color="auto"/>
              <w:right w:val="nil"/>
            </w:tcBorders>
            <w:shd w:val="clear" w:color="auto" w:fill="auto"/>
            <w:noWrap/>
            <w:vAlign w:val="center"/>
            <w:hideMark/>
          </w:tcPr>
          <w:p w14:paraId="652B3ABF" w14:textId="77777777" w:rsidR="00F82B11" w:rsidRPr="002E2B5B" w:rsidRDefault="00F82B11" w:rsidP="002E2B5B">
            <w:pPr>
              <w:rPr>
                <w:rFonts w:ascii="Calibri" w:hAnsi="Calibri" w:cs="Calibri"/>
                <w:b/>
                <w:bCs/>
                <w:color w:val="000000"/>
                <w:sz w:val="16"/>
                <w:szCs w:val="16"/>
              </w:rPr>
            </w:pPr>
            <w:r w:rsidRPr="002E2B5B">
              <w:rPr>
                <w:rFonts w:ascii="Calibri" w:hAnsi="Calibri" w:cs="Calibri"/>
                <w:b/>
                <w:bCs/>
                <w:color w:val="000000"/>
                <w:sz w:val="16"/>
                <w:szCs w:val="16"/>
              </w:rPr>
              <w:t>VALORES A RECEBER</w:t>
            </w:r>
          </w:p>
        </w:tc>
        <w:tc>
          <w:tcPr>
            <w:tcW w:w="847" w:type="pct"/>
            <w:tcBorders>
              <w:top w:val="nil"/>
              <w:left w:val="nil"/>
              <w:bottom w:val="single" w:sz="8" w:space="0" w:color="auto"/>
              <w:right w:val="nil"/>
            </w:tcBorders>
            <w:shd w:val="clear" w:color="auto" w:fill="auto"/>
            <w:noWrap/>
            <w:vAlign w:val="center"/>
          </w:tcPr>
          <w:p w14:paraId="4679933E" w14:textId="77777777" w:rsidR="00F82B11" w:rsidRPr="002E2B5B" w:rsidRDefault="00F82B11" w:rsidP="002E2B5B">
            <w:pPr>
              <w:jc w:val="right"/>
              <w:rPr>
                <w:rFonts w:ascii="Calibri" w:hAnsi="Calibri" w:cs="Calibri"/>
                <w:b/>
                <w:bCs/>
                <w:color w:val="000000"/>
                <w:sz w:val="16"/>
                <w:szCs w:val="16"/>
              </w:rPr>
            </w:pPr>
          </w:p>
        </w:tc>
        <w:tc>
          <w:tcPr>
            <w:tcW w:w="847" w:type="pct"/>
            <w:tcBorders>
              <w:top w:val="nil"/>
              <w:left w:val="nil"/>
              <w:bottom w:val="single" w:sz="8" w:space="0" w:color="auto"/>
              <w:right w:val="nil"/>
            </w:tcBorders>
            <w:shd w:val="clear" w:color="auto" w:fill="auto"/>
            <w:noWrap/>
            <w:vAlign w:val="center"/>
            <w:hideMark/>
          </w:tcPr>
          <w:p w14:paraId="411293E8" w14:textId="509E7BC2" w:rsidR="00F82B11" w:rsidRPr="002E2B5B" w:rsidRDefault="00BC2E03" w:rsidP="002E2B5B">
            <w:pPr>
              <w:jc w:val="right"/>
              <w:rPr>
                <w:rFonts w:ascii="Calibri" w:hAnsi="Calibri" w:cs="Calibri"/>
                <w:b/>
                <w:bCs/>
                <w:color w:val="000000"/>
                <w:sz w:val="16"/>
                <w:szCs w:val="16"/>
              </w:rPr>
            </w:pPr>
            <w:r>
              <w:rPr>
                <w:rFonts w:ascii="Calibri" w:hAnsi="Calibri" w:cs="Calibri"/>
                <w:b/>
                <w:bCs/>
                <w:color w:val="000000"/>
                <w:sz w:val="16"/>
                <w:szCs w:val="16"/>
              </w:rPr>
              <w:t>30/0</w:t>
            </w:r>
            <w:r w:rsidR="00C3381D">
              <w:rPr>
                <w:rFonts w:ascii="Calibri" w:hAnsi="Calibri" w:cs="Calibri"/>
                <w:b/>
                <w:bCs/>
                <w:color w:val="000000"/>
                <w:sz w:val="16"/>
                <w:szCs w:val="16"/>
              </w:rPr>
              <w:t>9</w:t>
            </w:r>
            <w:r w:rsidR="00F82B11" w:rsidRPr="002E2B5B">
              <w:rPr>
                <w:rFonts w:ascii="Calibri" w:hAnsi="Calibri" w:cs="Calibri"/>
                <w:b/>
                <w:bCs/>
                <w:color w:val="000000"/>
                <w:sz w:val="16"/>
                <w:szCs w:val="16"/>
              </w:rPr>
              <w:t>/202</w:t>
            </w:r>
            <w:r w:rsidR="009C6659">
              <w:rPr>
                <w:rFonts w:ascii="Calibri" w:hAnsi="Calibri" w:cs="Calibri"/>
                <w:b/>
                <w:bCs/>
                <w:color w:val="000000"/>
                <w:sz w:val="16"/>
                <w:szCs w:val="16"/>
              </w:rPr>
              <w:t>1</w:t>
            </w:r>
          </w:p>
        </w:tc>
        <w:tc>
          <w:tcPr>
            <w:tcW w:w="925" w:type="pct"/>
            <w:tcBorders>
              <w:top w:val="nil"/>
              <w:left w:val="nil"/>
              <w:bottom w:val="single" w:sz="8" w:space="0" w:color="auto"/>
              <w:right w:val="nil"/>
            </w:tcBorders>
            <w:vAlign w:val="center"/>
          </w:tcPr>
          <w:p w14:paraId="00C0F1B8" w14:textId="12E31F49" w:rsidR="00F82B11" w:rsidRPr="002E2B5B" w:rsidRDefault="00F82B11"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w:t>
            </w:r>
            <w:r w:rsidR="009C6659">
              <w:rPr>
                <w:rFonts w:ascii="Calibri" w:hAnsi="Calibri" w:cs="Calibri"/>
                <w:b/>
                <w:bCs/>
                <w:color w:val="000000"/>
                <w:sz w:val="16"/>
                <w:szCs w:val="16"/>
              </w:rPr>
              <w:t>20</w:t>
            </w:r>
          </w:p>
        </w:tc>
      </w:tr>
      <w:tr w:rsidR="00F82B11" w:rsidRPr="002E2B5B" w14:paraId="5E7B6336" w14:textId="77777777" w:rsidTr="00C34E8D">
        <w:trPr>
          <w:trHeight w:hRule="exact" w:val="227"/>
        </w:trPr>
        <w:tc>
          <w:tcPr>
            <w:tcW w:w="2380" w:type="pct"/>
            <w:gridSpan w:val="3"/>
            <w:tcBorders>
              <w:top w:val="single" w:sz="8" w:space="0" w:color="auto"/>
              <w:left w:val="nil"/>
              <w:bottom w:val="nil"/>
              <w:right w:val="nil"/>
            </w:tcBorders>
            <w:shd w:val="clear" w:color="auto" w:fill="auto"/>
            <w:noWrap/>
            <w:vAlign w:val="center"/>
            <w:hideMark/>
          </w:tcPr>
          <w:p w14:paraId="4A0D5388" w14:textId="77777777" w:rsidR="00F82B11" w:rsidRPr="002E2B5B" w:rsidRDefault="00F82B11" w:rsidP="002E2B5B">
            <w:pPr>
              <w:rPr>
                <w:rFonts w:ascii="Calibri" w:hAnsi="Calibri" w:cs="Calibri"/>
                <w:color w:val="000000"/>
                <w:sz w:val="16"/>
                <w:szCs w:val="16"/>
              </w:rPr>
            </w:pPr>
            <w:r w:rsidRPr="002E2B5B">
              <w:rPr>
                <w:rFonts w:ascii="Calibri" w:hAnsi="Calibri" w:cs="Calibri"/>
                <w:color w:val="000000"/>
                <w:sz w:val="16"/>
                <w:szCs w:val="16"/>
              </w:rPr>
              <w:t xml:space="preserve"> Saldo do exercício anterior</w:t>
            </w:r>
          </w:p>
        </w:tc>
        <w:tc>
          <w:tcPr>
            <w:tcW w:w="847" w:type="pct"/>
            <w:tcBorders>
              <w:top w:val="nil"/>
              <w:left w:val="nil"/>
              <w:bottom w:val="nil"/>
              <w:right w:val="nil"/>
            </w:tcBorders>
            <w:shd w:val="clear" w:color="auto" w:fill="auto"/>
            <w:noWrap/>
            <w:vAlign w:val="center"/>
          </w:tcPr>
          <w:p w14:paraId="7C4A742F" w14:textId="77777777" w:rsidR="00F82B11" w:rsidRPr="002E2B5B" w:rsidRDefault="00F82B11" w:rsidP="002E2B5B">
            <w:pPr>
              <w:jc w:val="right"/>
              <w:rPr>
                <w:rFonts w:ascii="Calibri" w:hAnsi="Calibri" w:cs="Calibri"/>
                <w:color w:val="000000"/>
                <w:sz w:val="16"/>
                <w:szCs w:val="16"/>
              </w:rPr>
            </w:pPr>
          </w:p>
        </w:tc>
        <w:tc>
          <w:tcPr>
            <w:tcW w:w="847" w:type="pct"/>
            <w:tcBorders>
              <w:top w:val="nil"/>
              <w:left w:val="nil"/>
              <w:bottom w:val="nil"/>
              <w:right w:val="nil"/>
            </w:tcBorders>
            <w:shd w:val="clear" w:color="auto" w:fill="auto"/>
            <w:noWrap/>
            <w:vAlign w:val="center"/>
            <w:hideMark/>
          </w:tcPr>
          <w:p w14:paraId="4F581F9E" w14:textId="38C322C5" w:rsidR="00F82B11" w:rsidRPr="002E2B5B" w:rsidRDefault="009C6659" w:rsidP="002E2B5B">
            <w:pPr>
              <w:jc w:val="right"/>
              <w:rPr>
                <w:rFonts w:ascii="Calibri" w:hAnsi="Calibri" w:cs="Calibri"/>
                <w:color w:val="000000"/>
                <w:sz w:val="16"/>
                <w:szCs w:val="16"/>
              </w:rPr>
            </w:pPr>
            <w:r>
              <w:rPr>
                <w:rFonts w:ascii="Calibri" w:hAnsi="Calibri" w:cs="Calibri"/>
                <w:color w:val="000000"/>
                <w:sz w:val="16"/>
                <w:szCs w:val="16"/>
              </w:rPr>
              <w:t>46.043</w:t>
            </w:r>
          </w:p>
        </w:tc>
        <w:tc>
          <w:tcPr>
            <w:tcW w:w="925" w:type="pct"/>
            <w:tcBorders>
              <w:top w:val="nil"/>
              <w:left w:val="nil"/>
              <w:bottom w:val="nil"/>
              <w:right w:val="nil"/>
            </w:tcBorders>
            <w:vAlign w:val="center"/>
          </w:tcPr>
          <w:p w14:paraId="02C1C3A6" w14:textId="4BFA7EA8" w:rsidR="00F82B11" w:rsidRPr="002E2B5B" w:rsidRDefault="009C6659" w:rsidP="002E2B5B">
            <w:pPr>
              <w:jc w:val="right"/>
              <w:rPr>
                <w:rFonts w:ascii="Calibri" w:hAnsi="Calibri" w:cs="Calibri"/>
                <w:color w:val="000000"/>
                <w:sz w:val="16"/>
                <w:szCs w:val="16"/>
              </w:rPr>
            </w:pPr>
            <w:r w:rsidRPr="002E2B5B">
              <w:rPr>
                <w:rFonts w:ascii="Calibri" w:hAnsi="Calibri" w:cs="Calibri"/>
                <w:color w:val="000000"/>
                <w:sz w:val="16"/>
                <w:szCs w:val="16"/>
              </w:rPr>
              <w:t>81.132</w:t>
            </w:r>
          </w:p>
        </w:tc>
      </w:tr>
      <w:tr w:rsidR="00F82B11" w:rsidRPr="002E2B5B" w14:paraId="5176AADB" w14:textId="77777777" w:rsidTr="00C34E8D">
        <w:trPr>
          <w:trHeight w:hRule="exact" w:val="227"/>
        </w:trPr>
        <w:tc>
          <w:tcPr>
            <w:tcW w:w="1964" w:type="pct"/>
            <w:tcBorders>
              <w:top w:val="nil"/>
              <w:left w:val="nil"/>
              <w:bottom w:val="nil"/>
              <w:right w:val="nil"/>
            </w:tcBorders>
            <w:shd w:val="clear" w:color="auto" w:fill="auto"/>
            <w:noWrap/>
            <w:vAlign w:val="center"/>
            <w:hideMark/>
          </w:tcPr>
          <w:p w14:paraId="3E99F965" w14:textId="77777777" w:rsidR="00F82B11" w:rsidRPr="002E2B5B" w:rsidRDefault="00F82B11" w:rsidP="002E2B5B">
            <w:pPr>
              <w:rPr>
                <w:rFonts w:ascii="Calibri" w:hAnsi="Calibri" w:cs="Calibri"/>
                <w:color w:val="000000"/>
                <w:sz w:val="16"/>
                <w:szCs w:val="16"/>
              </w:rPr>
            </w:pPr>
            <w:r w:rsidRPr="002E2B5B">
              <w:rPr>
                <w:rFonts w:ascii="Calibri" w:hAnsi="Calibri" w:cs="Calibri"/>
                <w:color w:val="000000"/>
                <w:sz w:val="16"/>
                <w:szCs w:val="16"/>
              </w:rPr>
              <w:t xml:space="preserve"> Ingressos</w:t>
            </w:r>
          </w:p>
        </w:tc>
        <w:tc>
          <w:tcPr>
            <w:tcW w:w="208" w:type="pct"/>
            <w:tcBorders>
              <w:top w:val="nil"/>
              <w:left w:val="nil"/>
              <w:bottom w:val="nil"/>
              <w:right w:val="nil"/>
            </w:tcBorders>
            <w:shd w:val="clear" w:color="auto" w:fill="auto"/>
            <w:noWrap/>
            <w:vAlign w:val="center"/>
            <w:hideMark/>
          </w:tcPr>
          <w:p w14:paraId="34015BF4" w14:textId="77777777" w:rsidR="00F82B11" w:rsidRPr="002E2B5B" w:rsidRDefault="00F82B11" w:rsidP="002E2B5B">
            <w:pPr>
              <w:rPr>
                <w:rFonts w:ascii="Calibri" w:hAnsi="Calibri" w:cs="Calibri"/>
                <w:color w:val="000000"/>
                <w:sz w:val="16"/>
                <w:szCs w:val="16"/>
              </w:rPr>
            </w:pPr>
          </w:p>
        </w:tc>
        <w:tc>
          <w:tcPr>
            <w:tcW w:w="209" w:type="pct"/>
            <w:tcBorders>
              <w:top w:val="nil"/>
              <w:left w:val="nil"/>
              <w:bottom w:val="nil"/>
              <w:right w:val="nil"/>
            </w:tcBorders>
            <w:shd w:val="clear" w:color="auto" w:fill="auto"/>
            <w:noWrap/>
            <w:vAlign w:val="center"/>
            <w:hideMark/>
          </w:tcPr>
          <w:p w14:paraId="33316553" w14:textId="77777777" w:rsidR="00F82B11" w:rsidRPr="002E2B5B" w:rsidRDefault="00F82B11" w:rsidP="002E2B5B">
            <w:pPr>
              <w:jc w:val="right"/>
              <w:rPr>
                <w:rFonts w:ascii="Calibri" w:hAnsi="Calibri" w:cs="Calibri"/>
                <w:sz w:val="16"/>
                <w:szCs w:val="16"/>
              </w:rPr>
            </w:pPr>
          </w:p>
        </w:tc>
        <w:tc>
          <w:tcPr>
            <w:tcW w:w="847" w:type="pct"/>
            <w:tcBorders>
              <w:top w:val="nil"/>
              <w:left w:val="nil"/>
              <w:bottom w:val="nil"/>
              <w:right w:val="nil"/>
            </w:tcBorders>
            <w:vAlign w:val="center"/>
          </w:tcPr>
          <w:p w14:paraId="0908F826" w14:textId="77777777" w:rsidR="00F82B11" w:rsidRPr="002E2B5B" w:rsidRDefault="00F82B11" w:rsidP="002E2B5B">
            <w:pPr>
              <w:jc w:val="right"/>
              <w:rPr>
                <w:rFonts w:ascii="Calibri" w:hAnsi="Calibri" w:cs="Calibri"/>
                <w:color w:val="000000"/>
                <w:sz w:val="16"/>
                <w:szCs w:val="16"/>
              </w:rPr>
            </w:pPr>
          </w:p>
        </w:tc>
        <w:tc>
          <w:tcPr>
            <w:tcW w:w="847" w:type="pct"/>
            <w:tcBorders>
              <w:top w:val="nil"/>
              <w:left w:val="nil"/>
              <w:bottom w:val="nil"/>
              <w:right w:val="nil"/>
            </w:tcBorders>
            <w:shd w:val="clear" w:color="auto" w:fill="auto"/>
            <w:noWrap/>
            <w:vAlign w:val="center"/>
            <w:hideMark/>
          </w:tcPr>
          <w:p w14:paraId="382478DC" w14:textId="77777777" w:rsidR="00F82B11" w:rsidRPr="002E2B5B" w:rsidRDefault="00F82B11"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925" w:type="pct"/>
            <w:tcBorders>
              <w:top w:val="nil"/>
              <w:left w:val="nil"/>
              <w:bottom w:val="nil"/>
              <w:right w:val="nil"/>
            </w:tcBorders>
            <w:shd w:val="clear" w:color="auto" w:fill="auto"/>
            <w:noWrap/>
            <w:vAlign w:val="center"/>
            <w:hideMark/>
          </w:tcPr>
          <w:p w14:paraId="6A3D6C75" w14:textId="34958432" w:rsidR="00F82B11" w:rsidRPr="002E2B5B" w:rsidRDefault="009C6659" w:rsidP="002E2B5B">
            <w:pPr>
              <w:jc w:val="right"/>
              <w:rPr>
                <w:rFonts w:ascii="Calibri" w:hAnsi="Calibri" w:cs="Calibri"/>
                <w:color w:val="000000"/>
                <w:sz w:val="16"/>
                <w:szCs w:val="16"/>
              </w:rPr>
            </w:pPr>
            <w:r>
              <w:rPr>
                <w:rFonts w:ascii="Calibri" w:hAnsi="Calibri" w:cs="Calibri"/>
                <w:color w:val="000000"/>
                <w:sz w:val="16"/>
                <w:szCs w:val="16"/>
              </w:rPr>
              <w:t>0</w:t>
            </w:r>
          </w:p>
        </w:tc>
      </w:tr>
      <w:tr w:rsidR="00F82B11" w:rsidRPr="002E2B5B" w14:paraId="5EC220C8" w14:textId="77777777" w:rsidTr="00C34E8D">
        <w:trPr>
          <w:trHeight w:hRule="exact" w:val="227"/>
        </w:trPr>
        <w:tc>
          <w:tcPr>
            <w:tcW w:w="1964" w:type="pct"/>
            <w:tcBorders>
              <w:top w:val="nil"/>
              <w:left w:val="nil"/>
              <w:bottom w:val="single" w:sz="8" w:space="0" w:color="auto"/>
              <w:right w:val="nil"/>
            </w:tcBorders>
            <w:shd w:val="clear" w:color="auto" w:fill="auto"/>
            <w:noWrap/>
            <w:vAlign w:val="center"/>
            <w:hideMark/>
          </w:tcPr>
          <w:p w14:paraId="5085720B" w14:textId="77777777" w:rsidR="00F82B11" w:rsidRPr="002E2B5B" w:rsidRDefault="00F82B11" w:rsidP="002E2B5B">
            <w:pPr>
              <w:rPr>
                <w:rFonts w:ascii="Calibri" w:hAnsi="Calibri" w:cs="Calibri"/>
                <w:color w:val="000000"/>
                <w:sz w:val="16"/>
                <w:szCs w:val="16"/>
              </w:rPr>
            </w:pPr>
            <w:r w:rsidRPr="002E2B5B">
              <w:rPr>
                <w:rFonts w:ascii="Calibri" w:hAnsi="Calibri" w:cs="Calibri"/>
                <w:color w:val="000000"/>
                <w:sz w:val="16"/>
                <w:szCs w:val="16"/>
              </w:rPr>
              <w:t xml:space="preserve"> Baixas</w:t>
            </w:r>
          </w:p>
        </w:tc>
        <w:tc>
          <w:tcPr>
            <w:tcW w:w="208" w:type="pct"/>
            <w:tcBorders>
              <w:top w:val="nil"/>
              <w:left w:val="nil"/>
              <w:bottom w:val="single" w:sz="8" w:space="0" w:color="auto"/>
              <w:right w:val="nil"/>
            </w:tcBorders>
            <w:shd w:val="clear" w:color="auto" w:fill="auto"/>
            <w:noWrap/>
            <w:vAlign w:val="center"/>
            <w:hideMark/>
          </w:tcPr>
          <w:p w14:paraId="2A74EBB6" w14:textId="77777777" w:rsidR="00F82B11" w:rsidRPr="002E2B5B" w:rsidRDefault="00F82B11" w:rsidP="002E2B5B">
            <w:pPr>
              <w:jc w:val="right"/>
              <w:rPr>
                <w:rFonts w:ascii="Calibri" w:hAnsi="Calibri" w:cs="Calibri"/>
                <w:color w:val="000000"/>
                <w:sz w:val="16"/>
                <w:szCs w:val="16"/>
              </w:rPr>
            </w:pPr>
            <w:r w:rsidRPr="002E2B5B">
              <w:rPr>
                <w:rFonts w:ascii="Calibri" w:hAnsi="Calibri" w:cs="Calibri"/>
                <w:color w:val="000000"/>
                <w:sz w:val="16"/>
                <w:szCs w:val="16"/>
              </w:rPr>
              <w:t> </w:t>
            </w:r>
          </w:p>
        </w:tc>
        <w:tc>
          <w:tcPr>
            <w:tcW w:w="209" w:type="pct"/>
            <w:tcBorders>
              <w:top w:val="nil"/>
              <w:left w:val="nil"/>
              <w:bottom w:val="single" w:sz="8" w:space="0" w:color="auto"/>
              <w:right w:val="nil"/>
            </w:tcBorders>
            <w:shd w:val="clear" w:color="auto" w:fill="auto"/>
            <w:noWrap/>
            <w:vAlign w:val="center"/>
            <w:hideMark/>
          </w:tcPr>
          <w:p w14:paraId="6283652E" w14:textId="77777777" w:rsidR="00F82B11" w:rsidRPr="002E2B5B" w:rsidRDefault="00F82B11" w:rsidP="002E2B5B">
            <w:pPr>
              <w:jc w:val="right"/>
              <w:rPr>
                <w:rFonts w:ascii="Calibri" w:hAnsi="Calibri" w:cs="Calibri"/>
                <w:color w:val="000000"/>
                <w:sz w:val="16"/>
                <w:szCs w:val="16"/>
              </w:rPr>
            </w:pPr>
            <w:r w:rsidRPr="002E2B5B">
              <w:rPr>
                <w:rFonts w:ascii="Calibri" w:hAnsi="Calibri" w:cs="Calibri"/>
                <w:color w:val="000000"/>
                <w:sz w:val="16"/>
                <w:szCs w:val="16"/>
              </w:rPr>
              <w:t> </w:t>
            </w:r>
          </w:p>
        </w:tc>
        <w:tc>
          <w:tcPr>
            <w:tcW w:w="847" w:type="pct"/>
            <w:tcBorders>
              <w:top w:val="nil"/>
              <w:left w:val="nil"/>
              <w:bottom w:val="single" w:sz="8" w:space="0" w:color="auto"/>
              <w:right w:val="nil"/>
            </w:tcBorders>
            <w:vAlign w:val="center"/>
          </w:tcPr>
          <w:p w14:paraId="65CD7B29" w14:textId="77777777" w:rsidR="00F82B11" w:rsidRPr="002E2B5B" w:rsidRDefault="00F82B11" w:rsidP="002E2B5B">
            <w:pPr>
              <w:jc w:val="right"/>
              <w:rPr>
                <w:rFonts w:ascii="Calibri" w:hAnsi="Calibri" w:cs="Calibri"/>
                <w:color w:val="000000"/>
                <w:sz w:val="16"/>
                <w:szCs w:val="16"/>
              </w:rPr>
            </w:pPr>
          </w:p>
        </w:tc>
        <w:tc>
          <w:tcPr>
            <w:tcW w:w="847" w:type="pct"/>
            <w:tcBorders>
              <w:top w:val="nil"/>
              <w:left w:val="nil"/>
              <w:bottom w:val="single" w:sz="8" w:space="0" w:color="auto"/>
              <w:right w:val="nil"/>
            </w:tcBorders>
            <w:shd w:val="clear" w:color="auto" w:fill="auto"/>
            <w:noWrap/>
            <w:vAlign w:val="center"/>
            <w:hideMark/>
          </w:tcPr>
          <w:p w14:paraId="16FAD1DA" w14:textId="54BB06A6" w:rsidR="00F82B11" w:rsidRPr="002E2B5B" w:rsidRDefault="00F82B11" w:rsidP="002E2B5B">
            <w:pPr>
              <w:jc w:val="right"/>
              <w:rPr>
                <w:rFonts w:ascii="Calibri" w:hAnsi="Calibri" w:cs="Calibri"/>
                <w:color w:val="000000"/>
                <w:sz w:val="16"/>
                <w:szCs w:val="16"/>
              </w:rPr>
            </w:pPr>
            <w:r w:rsidRPr="002E2B5B">
              <w:rPr>
                <w:rFonts w:ascii="Calibri" w:hAnsi="Calibri" w:cs="Calibri"/>
                <w:color w:val="000000"/>
                <w:sz w:val="16"/>
                <w:szCs w:val="16"/>
              </w:rPr>
              <w:t>(</w:t>
            </w:r>
            <w:r w:rsidR="00C3381D">
              <w:rPr>
                <w:rFonts w:ascii="Calibri" w:hAnsi="Calibri" w:cs="Calibri"/>
                <w:color w:val="000000"/>
                <w:sz w:val="16"/>
                <w:szCs w:val="16"/>
              </w:rPr>
              <w:t>8.520</w:t>
            </w:r>
            <w:r w:rsidRPr="002E2B5B">
              <w:rPr>
                <w:rFonts w:ascii="Calibri" w:hAnsi="Calibri" w:cs="Calibri"/>
                <w:color w:val="000000"/>
                <w:sz w:val="16"/>
                <w:szCs w:val="16"/>
              </w:rPr>
              <w:t>)</w:t>
            </w:r>
          </w:p>
        </w:tc>
        <w:tc>
          <w:tcPr>
            <w:tcW w:w="925" w:type="pct"/>
            <w:tcBorders>
              <w:top w:val="nil"/>
              <w:left w:val="nil"/>
              <w:bottom w:val="single" w:sz="8" w:space="0" w:color="auto"/>
              <w:right w:val="nil"/>
            </w:tcBorders>
            <w:shd w:val="clear" w:color="auto" w:fill="auto"/>
            <w:noWrap/>
            <w:vAlign w:val="center"/>
            <w:hideMark/>
          </w:tcPr>
          <w:p w14:paraId="2F5158A3" w14:textId="737720C7" w:rsidR="00F82B11" w:rsidRPr="002E2B5B" w:rsidRDefault="009C6659" w:rsidP="002E2B5B">
            <w:pPr>
              <w:jc w:val="right"/>
              <w:rPr>
                <w:rFonts w:ascii="Calibri" w:hAnsi="Calibri" w:cs="Calibri"/>
                <w:color w:val="000000"/>
                <w:sz w:val="16"/>
                <w:szCs w:val="16"/>
              </w:rPr>
            </w:pPr>
            <w:r w:rsidRPr="002E2B5B">
              <w:rPr>
                <w:rFonts w:ascii="Calibri" w:hAnsi="Calibri" w:cs="Calibri"/>
                <w:color w:val="000000"/>
                <w:sz w:val="16"/>
                <w:szCs w:val="16"/>
              </w:rPr>
              <w:t>(35.089)</w:t>
            </w:r>
          </w:p>
        </w:tc>
      </w:tr>
      <w:tr w:rsidR="00F82B11" w:rsidRPr="002E2B5B" w14:paraId="6197C69E" w14:textId="77777777" w:rsidTr="00C34E8D">
        <w:trPr>
          <w:trHeight w:hRule="exact" w:val="227"/>
        </w:trPr>
        <w:tc>
          <w:tcPr>
            <w:tcW w:w="1964" w:type="pct"/>
            <w:tcBorders>
              <w:top w:val="nil"/>
              <w:left w:val="nil"/>
              <w:bottom w:val="single" w:sz="8" w:space="0" w:color="auto"/>
              <w:right w:val="nil"/>
            </w:tcBorders>
            <w:shd w:val="clear" w:color="auto" w:fill="auto"/>
            <w:noWrap/>
            <w:vAlign w:val="center"/>
            <w:hideMark/>
          </w:tcPr>
          <w:p w14:paraId="58708201" w14:textId="77777777" w:rsidR="00F82B11" w:rsidRPr="002E2B5B" w:rsidRDefault="00F82B11" w:rsidP="002E2B5B">
            <w:pPr>
              <w:rPr>
                <w:rFonts w:ascii="Calibri" w:hAnsi="Calibri" w:cs="Calibri"/>
                <w:b/>
                <w:bCs/>
                <w:color w:val="000000"/>
                <w:sz w:val="16"/>
                <w:szCs w:val="16"/>
              </w:rPr>
            </w:pPr>
            <w:r w:rsidRPr="002E2B5B">
              <w:rPr>
                <w:rFonts w:ascii="Calibri" w:hAnsi="Calibri" w:cs="Calibri"/>
                <w:b/>
                <w:bCs/>
                <w:color w:val="000000"/>
                <w:sz w:val="16"/>
                <w:szCs w:val="16"/>
              </w:rPr>
              <w:t xml:space="preserve"> TOTAL </w:t>
            </w:r>
          </w:p>
        </w:tc>
        <w:tc>
          <w:tcPr>
            <w:tcW w:w="208" w:type="pct"/>
            <w:tcBorders>
              <w:top w:val="nil"/>
              <w:left w:val="nil"/>
              <w:bottom w:val="single" w:sz="8" w:space="0" w:color="auto"/>
              <w:right w:val="nil"/>
            </w:tcBorders>
            <w:shd w:val="clear" w:color="auto" w:fill="auto"/>
            <w:noWrap/>
            <w:vAlign w:val="center"/>
            <w:hideMark/>
          </w:tcPr>
          <w:p w14:paraId="6F384909" w14:textId="77777777" w:rsidR="00F82B11" w:rsidRPr="002E2B5B" w:rsidRDefault="00F82B11" w:rsidP="002E2B5B">
            <w:pPr>
              <w:rPr>
                <w:rFonts w:ascii="Calibri" w:hAnsi="Calibri" w:cs="Calibri"/>
                <w:color w:val="000000"/>
                <w:sz w:val="16"/>
                <w:szCs w:val="16"/>
              </w:rPr>
            </w:pPr>
            <w:r w:rsidRPr="002E2B5B">
              <w:rPr>
                <w:rFonts w:ascii="Calibri" w:hAnsi="Calibri" w:cs="Calibri"/>
                <w:color w:val="000000"/>
                <w:sz w:val="16"/>
                <w:szCs w:val="16"/>
              </w:rPr>
              <w:t> </w:t>
            </w:r>
          </w:p>
        </w:tc>
        <w:tc>
          <w:tcPr>
            <w:tcW w:w="209" w:type="pct"/>
            <w:tcBorders>
              <w:top w:val="nil"/>
              <w:left w:val="nil"/>
              <w:bottom w:val="single" w:sz="8" w:space="0" w:color="auto"/>
              <w:right w:val="nil"/>
            </w:tcBorders>
            <w:shd w:val="clear" w:color="auto" w:fill="auto"/>
            <w:noWrap/>
            <w:vAlign w:val="center"/>
            <w:hideMark/>
          </w:tcPr>
          <w:p w14:paraId="5D56D4F4" w14:textId="77777777" w:rsidR="00F82B11" w:rsidRPr="002E2B5B" w:rsidRDefault="00F82B11" w:rsidP="002E2B5B">
            <w:pPr>
              <w:rPr>
                <w:rFonts w:ascii="Calibri" w:hAnsi="Calibri" w:cs="Calibri"/>
                <w:color w:val="000000"/>
                <w:sz w:val="16"/>
                <w:szCs w:val="16"/>
              </w:rPr>
            </w:pPr>
            <w:r w:rsidRPr="002E2B5B">
              <w:rPr>
                <w:rFonts w:ascii="Calibri" w:hAnsi="Calibri" w:cs="Calibri"/>
                <w:color w:val="000000"/>
                <w:sz w:val="16"/>
                <w:szCs w:val="16"/>
              </w:rPr>
              <w:t> </w:t>
            </w:r>
          </w:p>
        </w:tc>
        <w:tc>
          <w:tcPr>
            <w:tcW w:w="847" w:type="pct"/>
            <w:tcBorders>
              <w:top w:val="nil"/>
              <w:left w:val="nil"/>
              <w:bottom w:val="single" w:sz="8" w:space="0" w:color="auto"/>
              <w:right w:val="nil"/>
            </w:tcBorders>
            <w:vAlign w:val="center"/>
          </w:tcPr>
          <w:p w14:paraId="67348A0D" w14:textId="77777777" w:rsidR="00F82B11" w:rsidRPr="002E2B5B" w:rsidRDefault="00F82B11" w:rsidP="002E2B5B">
            <w:pPr>
              <w:jc w:val="right"/>
              <w:rPr>
                <w:rFonts w:ascii="Calibri" w:hAnsi="Calibri" w:cs="Calibri"/>
                <w:b/>
                <w:bCs/>
                <w:color w:val="000000"/>
                <w:sz w:val="16"/>
                <w:szCs w:val="16"/>
              </w:rPr>
            </w:pPr>
          </w:p>
        </w:tc>
        <w:tc>
          <w:tcPr>
            <w:tcW w:w="847" w:type="pct"/>
            <w:tcBorders>
              <w:top w:val="nil"/>
              <w:left w:val="nil"/>
              <w:bottom w:val="single" w:sz="8" w:space="0" w:color="auto"/>
              <w:right w:val="nil"/>
            </w:tcBorders>
            <w:shd w:val="clear" w:color="auto" w:fill="auto"/>
            <w:noWrap/>
            <w:vAlign w:val="center"/>
            <w:hideMark/>
          </w:tcPr>
          <w:p w14:paraId="65A106C3" w14:textId="7ED004A8" w:rsidR="00F82B11" w:rsidRPr="002E2B5B" w:rsidRDefault="00227355" w:rsidP="002E2B5B">
            <w:pPr>
              <w:jc w:val="right"/>
              <w:rPr>
                <w:rFonts w:ascii="Calibri" w:hAnsi="Calibri" w:cs="Calibri"/>
                <w:b/>
                <w:bCs/>
                <w:color w:val="000000"/>
                <w:sz w:val="16"/>
                <w:szCs w:val="16"/>
              </w:rPr>
            </w:pPr>
            <w:r>
              <w:rPr>
                <w:rFonts w:ascii="Calibri" w:hAnsi="Calibri" w:cs="Calibri"/>
                <w:b/>
                <w:bCs/>
                <w:color w:val="000000"/>
                <w:sz w:val="16"/>
                <w:szCs w:val="16"/>
              </w:rPr>
              <w:t>37.523</w:t>
            </w:r>
          </w:p>
        </w:tc>
        <w:tc>
          <w:tcPr>
            <w:tcW w:w="925" w:type="pct"/>
            <w:tcBorders>
              <w:top w:val="nil"/>
              <w:left w:val="nil"/>
              <w:bottom w:val="single" w:sz="8" w:space="0" w:color="auto"/>
              <w:right w:val="nil"/>
            </w:tcBorders>
            <w:shd w:val="clear" w:color="auto" w:fill="auto"/>
            <w:noWrap/>
            <w:vAlign w:val="center"/>
            <w:hideMark/>
          </w:tcPr>
          <w:p w14:paraId="6D8D5236" w14:textId="57196958" w:rsidR="00F82B11" w:rsidRPr="002E2B5B" w:rsidRDefault="009C6659" w:rsidP="002E2B5B">
            <w:pPr>
              <w:jc w:val="right"/>
              <w:rPr>
                <w:rFonts w:ascii="Calibri" w:hAnsi="Calibri" w:cs="Calibri"/>
                <w:b/>
                <w:bCs/>
                <w:color w:val="000000"/>
                <w:sz w:val="16"/>
                <w:szCs w:val="16"/>
              </w:rPr>
            </w:pPr>
            <w:r w:rsidRPr="002E2B5B">
              <w:rPr>
                <w:rFonts w:ascii="Calibri" w:hAnsi="Calibri" w:cs="Calibri"/>
                <w:b/>
                <w:bCs/>
                <w:color w:val="000000"/>
                <w:sz w:val="16"/>
                <w:szCs w:val="16"/>
              </w:rPr>
              <w:t>46.043</w:t>
            </w:r>
          </w:p>
        </w:tc>
      </w:tr>
    </w:tbl>
    <w:p w14:paraId="21723F61" w14:textId="77777777" w:rsidR="0049522C" w:rsidRPr="002E2B5B" w:rsidRDefault="0049522C" w:rsidP="002E2B5B">
      <w:pPr>
        <w:jc w:val="both"/>
        <w:rPr>
          <w:rFonts w:ascii="Calibri" w:hAnsi="Calibri" w:cs="Calibri"/>
          <w:sz w:val="22"/>
          <w:szCs w:val="22"/>
        </w:rPr>
      </w:pPr>
    </w:p>
    <w:p w14:paraId="4FA2BE72" w14:textId="0179A828" w:rsidR="00646583" w:rsidRDefault="00833C55" w:rsidP="002E2B5B">
      <w:pPr>
        <w:jc w:val="both"/>
        <w:rPr>
          <w:rFonts w:ascii="Calibri" w:hAnsi="Calibri" w:cs="Calibri"/>
          <w:sz w:val="22"/>
          <w:szCs w:val="22"/>
        </w:rPr>
      </w:pPr>
      <w:r w:rsidRPr="002E2B5B">
        <w:rPr>
          <w:rFonts w:ascii="Calibri" w:hAnsi="Calibri" w:cs="Calibri"/>
          <w:sz w:val="22"/>
          <w:szCs w:val="22"/>
        </w:rPr>
        <w:t xml:space="preserve">O saldo de R$ </w:t>
      </w:r>
      <w:r w:rsidR="00BC2E03">
        <w:rPr>
          <w:rFonts w:ascii="Calibri" w:hAnsi="Calibri" w:cs="Calibri"/>
          <w:sz w:val="22"/>
          <w:szCs w:val="22"/>
        </w:rPr>
        <w:t>3</w:t>
      </w:r>
      <w:r w:rsidR="00227355">
        <w:rPr>
          <w:rFonts w:ascii="Calibri" w:hAnsi="Calibri" w:cs="Calibri"/>
          <w:sz w:val="22"/>
          <w:szCs w:val="22"/>
        </w:rPr>
        <w:t>7</w:t>
      </w:r>
      <w:r w:rsidR="00BC2E03">
        <w:rPr>
          <w:rFonts w:ascii="Calibri" w:hAnsi="Calibri" w:cs="Calibri"/>
          <w:sz w:val="22"/>
          <w:szCs w:val="22"/>
        </w:rPr>
        <w:t>,</w:t>
      </w:r>
      <w:r w:rsidR="00227355">
        <w:rPr>
          <w:rFonts w:ascii="Calibri" w:hAnsi="Calibri" w:cs="Calibri"/>
          <w:sz w:val="22"/>
          <w:szCs w:val="22"/>
        </w:rPr>
        <w:t>5</w:t>
      </w:r>
      <w:r w:rsidR="008619B2">
        <w:rPr>
          <w:rFonts w:ascii="Calibri" w:hAnsi="Calibri" w:cs="Calibri"/>
          <w:sz w:val="22"/>
          <w:szCs w:val="22"/>
        </w:rPr>
        <w:t xml:space="preserve"> mil</w:t>
      </w:r>
      <w:r w:rsidR="004B6CEF" w:rsidRPr="002E2B5B">
        <w:rPr>
          <w:rFonts w:ascii="Calibri" w:hAnsi="Calibri" w:cs="Calibri"/>
          <w:sz w:val="22"/>
          <w:szCs w:val="22"/>
        </w:rPr>
        <w:t xml:space="preserve"> </w:t>
      </w:r>
      <w:r w:rsidRPr="002E2B5B">
        <w:rPr>
          <w:rFonts w:ascii="Calibri" w:hAnsi="Calibri" w:cs="Calibri"/>
          <w:sz w:val="22"/>
          <w:szCs w:val="22"/>
        </w:rPr>
        <w:t>abrange gastos com despesas médicas dos empregados da extinta Empresa Brasileira de Planejamento de Transportes – GEIPOT transferidos para a VALEC</w:t>
      </w:r>
      <w:r w:rsidR="0046500A" w:rsidRPr="002E2B5B">
        <w:rPr>
          <w:rFonts w:ascii="Calibri" w:hAnsi="Calibri" w:cs="Calibri"/>
          <w:sz w:val="22"/>
          <w:szCs w:val="22"/>
        </w:rPr>
        <w:t>. O</w:t>
      </w:r>
      <w:r w:rsidRPr="002E2B5B">
        <w:rPr>
          <w:rFonts w:ascii="Calibri" w:hAnsi="Calibri" w:cs="Calibri"/>
          <w:sz w:val="22"/>
          <w:szCs w:val="22"/>
        </w:rPr>
        <w:t>s descontos desses valores são efetuados mensalmente na Folha de Pagamento dos colaboradores.</w:t>
      </w:r>
      <w:r w:rsidR="00EF021B" w:rsidRPr="002E2B5B">
        <w:rPr>
          <w:rFonts w:ascii="Calibri" w:hAnsi="Calibri" w:cs="Calibri"/>
          <w:sz w:val="22"/>
          <w:szCs w:val="22"/>
        </w:rPr>
        <w:t xml:space="preserve"> </w:t>
      </w:r>
    </w:p>
    <w:p w14:paraId="51041BA7" w14:textId="77777777" w:rsidR="00A00571" w:rsidRPr="002E2B5B" w:rsidRDefault="00A00571" w:rsidP="002E2B5B">
      <w:pPr>
        <w:jc w:val="both"/>
        <w:rPr>
          <w:rFonts w:ascii="Calibri" w:hAnsi="Calibri" w:cs="Calibri"/>
          <w:sz w:val="22"/>
          <w:szCs w:val="22"/>
        </w:rPr>
      </w:pPr>
    </w:p>
    <w:p w14:paraId="565DC632" w14:textId="352B6A27" w:rsidR="00596575" w:rsidRPr="002E2B5B" w:rsidRDefault="00D22F5E" w:rsidP="002E2B5B">
      <w:pPr>
        <w:rPr>
          <w:rFonts w:ascii="Calibri" w:hAnsi="Calibri" w:cs="Calibri"/>
          <w:b/>
          <w:sz w:val="22"/>
          <w:szCs w:val="22"/>
        </w:rPr>
      </w:pPr>
      <w:r w:rsidRPr="002E2B5B">
        <w:rPr>
          <w:rFonts w:ascii="Calibri" w:hAnsi="Calibri" w:cs="Calibri"/>
          <w:b/>
          <w:sz w:val="22"/>
          <w:szCs w:val="22"/>
        </w:rPr>
        <w:t xml:space="preserve">NOTA </w:t>
      </w:r>
      <w:r w:rsidR="008619B2">
        <w:rPr>
          <w:rFonts w:ascii="Calibri" w:hAnsi="Calibri" w:cs="Calibri"/>
          <w:b/>
          <w:sz w:val="22"/>
          <w:szCs w:val="22"/>
        </w:rPr>
        <w:t>6</w:t>
      </w:r>
      <w:r w:rsidR="00596575" w:rsidRPr="002E2B5B">
        <w:rPr>
          <w:rFonts w:ascii="Calibri" w:hAnsi="Calibri" w:cs="Calibri"/>
          <w:b/>
          <w:sz w:val="22"/>
          <w:szCs w:val="22"/>
        </w:rPr>
        <w:t xml:space="preserve"> – </w:t>
      </w:r>
      <w:r w:rsidR="00FA2255" w:rsidRPr="002E2B5B">
        <w:rPr>
          <w:rFonts w:ascii="Calibri" w:hAnsi="Calibri" w:cs="Calibri"/>
          <w:b/>
          <w:sz w:val="22"/>
          <w:szCs w:val="22"/>
        </w:rPr>
        <w:t>PERMISSÕES PARA</w:t>
      </w:r>
      <w:r w:rsidR="00251A3C" w:rsidRPr="002E2B5B">
        <w:rPr>
          <w:rFonts w:ascii="Calibri" w:hAnsi="Calibri" w:cs="Calibri"/>
          <w:b/>
          <w:sz w:val="22"/>
          <w:szCs w:val="22"/>
        </w:rPr>
        <w:t xml:space="preserve"> USO</w:t>
      </w:r>
      <w:r w:rsidR="00596575" w:rsidRPr="002E2B5B">
        <w:rPr>
          <w:rFonts w:ascii="Calibri" w:hAnsi="Calibri" w:cs="Calibri"/>
          <w:b/>
          <w:sz w:val="22"/>
          <w:szCs w:val="22"/>
        </w:rPr>
        <w:t xml:space="preserve"> DE PÁTIOS </w:t>
      </w:r>
    </w:p>
    <w:p w14:paraId="0F96A759" w14:textId="77777777" w:rsidR="00645FAA" w:rsidRPr="002E2B5B" w:rsidRDefault="00645FAA" w:rsidP="002E2B5B">
      <w:pPr>
        <w:rPr>
          <w:rFonts w:ascii="Calibri" w:hAnsi="Calibri" w:cs="Calibri"/>
          <w:b/>
          <w:sz w:val="22"/>
          <w:szCs w:val="22"/>
        </w:rPr>
      </w:pPr>
    </w:p>
    <w:p w14:paraId="6FD60DE1" w14:textId="2C8A19C4" w:rsidR="008F5B96" w:rsidRPr="002E2B5B" w:rsidRDefault="003278F1" w:rsidP="002E2B5B">
      <w:pPr>
        <w:jc w:val="both"/>
        <w:rPr>
          <w:rFonts w:ascii="Calibri" w:hAnsi="Calibri" w:cs="Calibri"/>
          <w:sz w:val="22"/>
          <w:szCs w:val="22"/>
        </w:rPr>
      </w:pPr>
      <w:r w:rsidRPr="002E2B5B">
        <w:rPr>
          <w:rFonts w:ascii="Calibri" w:hAnsi="Calibri" w:cs="Calibri"/>
          <w:sz w:val="22"/>
          <w:szCs w:val="22"/>
        </w:rPr>
        <w:t>Para fomentar o transporte ferroviário, a VALEC outorga por meio de Contratos de Permissão de Uso, Pátios de Integração Multimodal, por prazo não inferior a 15 anos.  A</w:t>
      </w:r>
      <w:r w:rsidR="0046500A" w:rsidRPr="002E2B5B">
        <w:rPr>
          <w:rFonts w:ascii="Calibri" w:hAnsi="Calibri" w:cs="Calibri"/>
          <w:sz w:val="22"/>
          <w:szCs w:val="22"/>
        </w:rPr>
        <w:t>s</w:t>
      </w:r>
      <w:r w:rsidRPr="002E2B5B">
        <w:rPr>
          <w:rFonts w:ascii="Calibri" w:hAnsi="Calibri" w:cs="Calibri"/>
          <w:sz w:val="22"/>
          <w:szCs w:val="22"/>
        </w:rPr>
        <w:t xml:space="preserve"> receitas provindas dessas permissões são consideradas receitas operacionais diferidas pelo prazo </w:t>
      </w:r>
      <w:r w:rsidR="001A3D8C" w:rsidRPr="002E2B5B">
        <w:rPr>
          <w:rFonts w:ascii="Calibri" w:hAnsi="Calibri" w:cs="Calibri"/>
          <w:sz w:val="22"/>
          <w:szCs w:val="22"/>
        </w:rPr>
        <w:t>do contrato</w:t>
      </w:r>
      <w:r w:rsidRPr="002E2B5B">
        <w:rPr>
          <w:rFonts w:ascii="Calibri" w:hAnsi="Calibri" w:cs="Calibri"/>
          <w:sz w:val="22"/>
          <w:szCs w:val="22"/>
        </w:rPr>
        <w:t xml:space="preserve"> e o recebimento é parcelado conforme acordo contratual</w:t>
      </w:r>
      <w:r w:rsidR="0046500A" w:rsidRPr="002E2B5B">
        <w:rPr>
          <w:rFonts w:ascii="Calibri" w:hAnsi="Calibri" w:cs="Calibri"/>
          <w:sz w:val="22"/>
          <w:szCs w:val="22"/>
        </w:rPr>
        <w:t>. O</w:t>
      </w:r>
      <w:r w:rsidRPr="002E2B5B">
        <w:rPr>
          <w:rFonts w:ascii="Calibri" w:hAnsi="Calibri" w:cs="Calibri"/>
          <w:sz w:val="22"/>
          <w:szCs w:val="22"/>
        </w:rPr>
        <w:t>s saldos dos recursos a receber de curto e longo prazo referentes à Permissão para Uso de Pátios</w:t>
      </w:r>
      <w:r w:rsidR="001A3D8C" w:rsidRPr="002E2B5B">
        <w:rPr>
          <w:rFonts w:ascii="Calibri" w:hAnsi="Calibri" w:cs="Calibri"/>
          <w:sz w:val="22"/>
          <w:szCs w:val="22"/>
        </w:rPr>
        <w:t>,</w:t>
      </w:r>
      <w:r w:rsidRPr="002E2B5B">
        <w:rPr>
          <w:rFonts w:ascii="Calibri" w:hAnsi="Calibri" w:cs="Calibri"/>
          <w:sz w:val="22"/>
          <w:szCs w:val="22"/>
        </w:rPr>
        <w:t xml:space="preserve"> em </w:t>
      </w:r>
      <w:r w:rsidR="005B257C">
        <w:rPr>
          <w:rFonts w:ascii="Calibri" w:hAnsi="Calibri" w:cs="Calibri"/>
          <w:sz w:val="22"/>
          <w:szCs w:val="22"/>
        </w:rPr>
        <w:t>30</w:t>
      </w:r>
      <w:r w:rsidR="00A10351" w:rsidRPr="002E2B5B">
        <w:rPr>
          <w:rFonts w:ascii="Calibri" w:hAnsi="Calibri" w:cs="Calibri"/>
          <w:sz w:val="22"/>
          <w:szCs w:val="22"/>
        </w:rPr>
        <w:t xml:space="preserve"> de </w:t>
      </w:r>
      <w:r w:rsidR="00227355">
        <w:rPr>
          <w:rFonts w:ascii="Calibri" w:hAnsi="Calibri" w:cs="Calibri"/>
          <w:sz w:val="22"/>
          <w:szCs w:val="22"/>
        </w:rPr>
        <w:t>setembro</w:t>
      </w:r>
      <w:r w:rsidR="00A10351" w:rsidRPr="002E2B5B">
        <w:rPr>
          <w:rFonts w:ascii="Calibri" w:hAnsi="Calibri" w:cs="Calibri"/>
          <w:sz w:val="22"/>
          <w:szCs w:val="22"/>
        </w:rPr>
        <w:t xml:space="preserve"> de </w:t>
      </w:r>
      <w:r w:rsidRPr="002E2B5B">
        <w:rPr>
          <w:rFonts w:ascii="Calibri" w:hAnsi="Calibri" w:cs="Calibri"/>
          <w:sz w:val="22"/>
          <w:szCs w:val="22"/>
        </w:rPr>
        <w:t>20</w:t>
      </w:r>
      <w:r w:rsidR="004A592B" w:rsidRPr="002E2B5B">
        <w:rPr>
          <w:rFonts w:ascii="Calibri" w:hAnsi="Calibri" w:cs="Calibri"/>
          <w:sz w:val="22"/>
          <w:szCs w:val="22"/>
        </w:rPr>
        <w:t>2</w:t>
      </w:r>
      <w:r w:rsidR="00EA7E37">
        <w:rPr>
          <w:rFonts w:ascii="Calibri" w:hAnsi="Calibri" w:cs="Calibri"/>
          <w:sz w:val="22"/>
          <w:szCs w:val="22"/>
        </w:rPr>
        <w:t>1</w:t>
      </w:r>
      <w:r w:rsidR="001A3D8C" w:rsidRPr="002E2B5B">
        <w:rPr>
          <w:rFonts w:ascii="Calibri" w:hAnsi="Calibri" w:cs="Calibri"/>
          <w:sz w:val="22"/>
          <w:szCs w:val="22"/>
        </w:rPr>
        <w:t>,</w:t>
      </w:r>
      <w:r w:rsidRPr="002E2B5B">
        <w:rPr>
          <w:rFonts w:ascii="Calibri" w:hAnsi="Calibri" w:cs="Calibri"/>
          <w:sz w:val="22"/>
          <w:szCs w:val="22"/>
        </w:rPr>
        <w:t xml:space="preserve"> são:</w:t>
      </w:r>
    </w:p>
    <w:p w14:paraId="7212EADE" w14:textId="61AE00E7" w:rsidR="00C34E8D" w:rsidRPr="00C34E8D" w:rsidRDefault="00660339" w:rsidP="00C34E8D">
      <w:pPr>
        <w:numPr>
          <w:ilvl w:val="0"/>
          <w:numId w:val="11"/>
        </w:numPr>
        <w:spacing w:after="240"/>
        <w:ind w:left="284" w:hanging="284"/>
        <w:rPr>
          <w:rFonts w:ascii="Calibri" w:hAnsi="Calibri" w:cs="Calibri"/>
          <w:b/>
          <w:sz w:val="22"/>
          <w:szCs w:val="22"/>
        </w:rPr>
      </w:pPr>
      <w:r w:rsidRPr="002E2B5B">
        <w:rPr>
          <w:rFonts w:ascii="Calibri" w:hAnsi="Calibri" w:cs="Calibri"/>
          <w:b/>
          <w:sz w:val="22"/>
          <w:szCs w:val="22"/>
        </w:rPr>
        <w:t>Realizáveis a Curto Praz</w:t>
      </w:r>
      <w:r w:rsidR="00C34E8D">
        <w:rPr>
          <w:rFonts w:ascii="Calibri" w:hAnsi="Calibri" w:cs="Calibri"/>
          <w:b/>
          <w:sz w:val="22"/>
          <w:szCs w:val="22"/>
        </w:rPr>
        <w:t>o</w:t>
      </w:r>
    </w:p>
    <w:tbl>
      <w:tblPr>
        <w:tblW w:w="5000" w:type="pct"/>
        <w:tblCellMar>
          <w:left w:w="70" w:type="dxa"/>
          <w:right w:w="70" w:type="dxa"/>
        </w:tblCellMar>
        <w:tblLook w:val="04A0" w:firstRow="1" w:lastRow="0" w:firstColumn="1" w:lastColumn="0" w:noHBand="0" w:noVBand="1"/>
      </w:tblPr>
      <w:tblGrid>
        <w:gridCol w:w="5450"/>
        <w:gridCol w:w="735"/>
        <w:gridCol w:w="735"/>
        <w:gridCol w:w="1047"/>
        <w:gridCol w:w="1298"/>
        <w:gridCol w:w="1202"/>
      </w:tblGrid>
      <w:tr w:rsidR="00491BC0" w14:paraId="371057B5" w14:textId="77777777" w:rsidTr="00C34E8D">
        <w:trPr>
          <w:trHeight w:hRule="exact" w:val="227"/>
        </w:trPr>
        <w:tc>
          <w:tcPr>
            <w:tcW w:w="3305" w:type="pct"/>
            <w:gridSpan w:val="3"/>
            <w:tcBorders>
              <w:top w:val="nil"/>
              <w:left w:val="nil"/>
              <w:bottom w:val="single" w:sz="8" w:space="0" w:color="auto"/>
              <w:right w:val="nil"/>
            </w:tcBorders>
            <w:shd w:val="clear" w:color="auto" w:fill="auto"/>
            <w:noWrap/>
            <w:vAlign w:val="center"/>
            <w:hideMark/>
          </w:tcPr>
          <w:p w14:paraId="2E725A1C" w14:textId="77777777" w:rsidR="00491BC0" w:rsidRDefault="00491BC0">
            <w:pPr>
              <w:rPr>
                <w:rFonts w:ascii="Calibri" w:hAnsi="Calibri" w:cs="Calibri"/>
                <w:b/>
                <w:bCs/>
                <w:color w:val="000000"/>
                <w:sz w:val="16"/>
                <w:szCs w:val="16"/>
              </w:rPr>
            </w:pPr>
            <w:r>
              <w:rPr>
                <w:rFonts w:ascii="Calibri" w:hAnsi="Calibri" w:cs="Calibri"/>
                <w:b/>
                <w:bCs/>
                <w:color w:val="000000"/>
                <w:sz w:val="16"/>
                <w:szCs w:val="16"/>
              </w:rPr>
              <w:t>PERMISSÃO PARA USO DE PÁTIOS A RECEBER - CIRCULANTE</w:t>
            </w:r>
          </w:p>
        </w:tc>
        <w:tc>
          <w:tcPr>
            <w:tcW w:w="500" w:type="pct"/>
            <w:tcBorders>
              <w:top w:val="nil"/>
              <w:left w:val="nil"/>
              <w:bottom w:val="single" w:sz="8" w:space="0" w:color="auto"/>
              <w:right w:val="nil"/>
            </w:tcBorders>
            <w:shd w:val="clear" w:color="auto" w:fill="auto"/>
            <w:noWrap/>
            <w:vAlign w:val="center"/>
            <w:hideMark/>
          </w:tcPr>
          <w:p w14:paraId="73F7A5A8" w14:textId="77777777" w:rsidR="00491BC0" w:rsidRDefault="00491BC0">
            <w:pPr>
              <w:jc w:val="right"/>
              <w:rPr>
                <w:rFonts w:ascii="Calibri" w:hAnsi="Calibri" w:cs="Calibri"/>
                <w:b/>
                <w:bCs/>
                <w:color w:val="000000"/>
                <w:sz w:val="16"/>
                <w:szCs w:val="16"/>
              </w:rPr>
            </w:pPr>
            <w:r>
              <w:rPr>
                <w:rFonts w:ascii="Calibri" w:hAnsi="Calibri" w:cs="Calibri"/>
                <w:b/>
                <w:bCs/>
                <w:color w:val="000000"/>
                <w:sz w:val="16"/>
                <w:szCs w:val="16"/>
              </w:rPr>
              <w:t> </w:t>
            </w:r>
          </w:p>
        </w:tc>
        <w:tc>
          <w:tcPr>
            <w:tcW w:w="620" w:type="pct"/>
            <w:tcBorders>
              <w:top w:val="nil"/>
              <w:left w:val="nil"/>
              <w:bottom w:val="single" w:sz="8" w:space="0" w:color="auto"/>
              <w:right w:val="nil"/>
            </w:tcBorders>
            <w:shd w:val="clear" w:color="auto" w:fill="auto"/>
            <w:noWrap/>
            <w:vAlign w:val="center"/>
            <w:hideMark/>
          </w:tcPr>
          <w:p w14:paraId="7E9B14CA" w14:textId="50DACEE3" w:rsidR="00491BC0" w:rsidRDefault="00491BC0">
            <w:pPr>
              <w:jc w:val="right"/>
              <w:rPr>
                <w:rFonts w:ascii="Calibri" w:hAnsi="Calibri" w:cs="Calibri"/>
                <w:b/>
                <w:bCs/>
                <w:color w:val="000000"/>
                <w:sz w:val="16"/>
                <w:szCs w:val="16"/>
              </w:rPr>
            </w:pPr>
            <w:r>
              <w:rPr>
                <w:rFonts w:ascii="Calibri" w:hAnsi="Calibri" w:cs="Calibri"/>
                <w:b/>
                <w:bCs/>
                <w:color w:val="000000"/>
                <w:sz w:val="16"/>
                <w:szCs w:val="16"/>
              </w:rPr>
              <w:t>30/0</w:t>
            </w:r>
            <w:r w:rsidR="00227355">
              <w:rPr>
                <w:rFonts w:ascii="Calibri" w:hAnsi="Calibri" w:cs="Calibri"/>
                <w:b/>
                <w:bCs/>
                <w:color w:val="000000"/>
                <w:sz w:val="16"/>
                <w:szCs w:val="16"/>
              </w:rPr>
              <w:t>9</w:t>
            </w:r>
            <w:r>
              <w:rPr>
                <w:rFonts w:ascii="Calibri" w:hAnsi="Calibri" w:cs="Calibri"/>
                <w:b/>
                <w:bCs/>
                <w:color w:val="000000"/>
                <w:sz w:val="16"/>
                <w:szCs w:val="16"/>
              </w:rPr>
              <w:t>/2021</w:t>
            </w:r>
          </w:p>
        </w:tc>
        <w:tc>
          <w:tcPr>
            <w:tcW w:w="576" w:type="pct"/>
            <w:tcBorders>
              <w:top w:val="nil"/>
              <w:left w:val="nil"/>
              <w:bottom w:val="single" w:sz="8" w:space="0" w:color="auto"/>
              <w:right w:val="nil"/>
            </w:tcBorders>
            <w:shd w:val="clear" w:color="auto" w:fill="auto"/>
            <w:vAlign w:val="center"/>
            <w:hideMark/>
          </w:tcPr>
          <w:p w14:paraId="1E7985D7" w14:textId="77777777" w:rsidR="00491BC0" w:rsidRDefault="00491BC0">
            <w:pPr>
              <w:jc w:val="right"/>
              <w:rPr>
                <w:rFonts w:ascii="Calibri" w:hAnsi="Calibri" w:cs="Calibri"/>
                <w:b/>
                <w:bCs/>
                <w:color w:val="000000"/>
                <w:sz w:val="16"/>
                <w:szCs w:val="16"/>
              </w:rPr>
            </w:pPr>
            <w:r>
              <w:rPr>
                <w:rFonts w:ascii="Calibri" w:hAnsi="Calibri" w:cs="Calibri"/>
                <w:b/>
                <w:bCs/>
                <w:color w:val="000000"/>
                <w:sz w:val="16"/>
                <w:szCs w:val="16"/>
              </w:rPr>
              <w:t>31/12/2020</w:t>
            </w:r>
          </w:p>
        </w:tc>
      </w:tr>
      <w:tr w:rsidR="00491BC0" w14:paraId="26C21314" w14:textId="77777777" w:rsidTr="00C34E8D">
        <w:trPr>
          <w:trHeight w:hRule="exact" w:val="227"/>
        </w:trPr>
        <w:tc>
          <w:tcPr>
            <w:tcW w:w="3305" w:type="pct"/>
            <w:gridSpan w:val="3"/>
            <w:tcBorders>
              <w:top w:val="single" w:sz="8" w:space="0" w:color="auto"/>
              <w:left w:val="nil"/>
              <w:bottom w:val="nil"/>
              <w:right w:val="nil"/>
            </w:tcBorders>
            <w:shd w:val="clear" w:color="auto" w:fill="auto"/>
            <w:noWrap/>
            <w:vAlign w:val="center"/>
            <w:hideMark/>
          </w:tcPr>
          <w:p w14:paraId="090182FD" w14:textId="77777777" w:rsidR="00491BC0" w:rsidRDefault="00491BC0">
            <w:pPr>
              <w:rPr>
                <w:rFonts w:ascii="Calibri" w:hAnsi="Calibri" w:cs="Calibri"/>
                <w:color w:val="000000"/>
                <w:sz w:val="16"/>
                <w:szCs w:val="16"/>
              </w:rPr>
            </w:pPr>
            <w:r>
              <w:rPr>
                <w:rFonts w:ascii="Calibri" w:hAnsi="Calibri" w:cs="Calibri"/>
                <w:color w:val="000000"/>
                <w:sz w:val="16"/>
                <w:szCs w:val="16"/>
              </w:rPr>
              <w:t>Saldo do exercício anterior</w:t>
            </w:r>
          </w:p>
        </w:tc>
        <w:tc>
          <w:tcPr>
            <w:tcW w:w="500" w:type="pct"/>
            <w:tcBorders>
              <w:top w:val="nil"/>
              <w:left w:val="nil"/>
              <w:bottom w:val="nil"/>
              <w:right w:val="nil"/>
            </w:tcBorders>
            <w:shd w:val="clear" w:color="auto" w:fill="auto"/>
            <w:noWrap/>
            <w:vAlign w:val="center"/>
            <w:hideMark/>
          </w:tcPr>
          <w:p w14:paraId="1A0ADB49" w14:textId="77777777" w:rsidR="00491BC0" w:rsidRDefault="00491BC0">
            <w:pPr>
              <w:rPr>
                <w:rFonts w:ascii="Calibri" w:hAnsi="Calibri" w:cs="Calibri"/>
                <w:color w:val="000000"/>
                <w:sz w:val="16"/>
                <w:szCs w:val="16"/>
              </w:rPr>
            </w:pPr>
          </w:p>
        </w:tc>
        <w:tc>
          <w:tcPr>
            <w:tcW w:w="620" w:type="pct"/>
            <w:tcBorders>
              <w:top w:val="nil"/>
              <w:left w:val="nil"/>
              <w:bottom w:val="nil"/>
              <w:right w:val="nil"/>
            </w:tcBorders>
            <w:shd w:val="clear" w:color="auto" w:fill="auto"/>
            <w:noWrap/>
            <w:vAlign w:val="center"/>
            <w:hideMark/>
          </w:tcPr>
          <w:p w14:paraId="2D8B3BEA" w14:textId="77777777" w:rsidR="00491BC0" w:rsidRDefault="00491BC0">
            <w:pPr>
              <w:jc w:val="right"/>
              <w:rPr>
                <w:rFonts w:ascii="Calibri" w:hAnsi="Calibri" w:cs="Calibri"/>
                <w:color w:val="000000"/>
                <w:sz w:val="16"/>
                <w:szCs w:val="16"/>
              </w:rPr>
            </w:pPr>
            <w:r>
              <w:rPr>
                <w:rFonts w:ascii="Calibri" w:hAnsi="Calibri" w:cs="Calibri"/>
                <w:color w:val="000000"/>
                <w:sz w:val="16"/>
                <w:szCs w:val="16"/>
              </w:rPr>
              <w:t>1.487.338</w:t>
            </w:r>
          </w:p>
        </w:tc>
        <w:tc>
          <w:tcPr>
            <w:tcW w:w="576" w:type="pct"/>
            <w:tcBorders>
              <w:top w:val="nil"/>
              <w:left w:val="nil"/>
              <w:bottom w:val="nil"/>
              <w:right w:val="nil"/>
            </w:tcBorders>
            <w:shd w:val="clear" w:color="auto" w:fill="auto"/>
            <w:vAlign w:val="center"/>
            <w:hideMark/>
          </w:tcPr>
          <w:p w14:paraId="518642EB" w14:textId="77777777" w:rsidR="00491BC0" w:rsidRDefault="00491BC0">
            <w:pPr>
              <w:jc w:val="right"/>
              <w:rPr>
                <w:rFonts w:ascii="Calibri" w:hAnsi="Calibri" w:cs="Calibri"/>
                <w:color w:val="000000"/>
                <w:sz w:val="16"/>
                <w:szCs w:val="16"/>
              </w:rPr>
            </w:pPr>
            <w:r>
              <w:rPr>
                <w:rFonts w:ascii="Calibri" w:hAnsi="Calibri" w:cs="Calibri"/>
                <w:color w:val="000000"/>
                <w:sz w:val="16"/>
                <w:szCs w:val="16"/>
              </w:rPr>
              <w:t>740.142</w:t>
            </w:r>
          </w:p>
        </w:tc>
      </w:tr>
      <w:tr w:rsidR="00491BC0" w14:paraId="7B0B7124" w14:textId="77777777" w:rsidTr="00C34E8D">
        <w:trPr>
          <w:trHeight w:hRule="exact" w:val="227"/>
        </w:trPr>
        <w:tc>
          <w:tcPr>
            <w:tcW w:w="2954" w:type="pct"/>
            <w:gridSpan w:val="2"/>
            <w:tcBorders>
              <w:top w:val="nil"/>
              <w:left w:val="nil"/>
              <w:bottom w:val="nil"/>
              <w:right w:val="nil"/>
            </w:tcBorders>
            <w:shd w:val="clear" w:color="auto" w:fill="auto"/>
            <w:noWrap/>
            <w:vAlign w:val="center"/>
            <w:hideMark/>
          </w:tcPr>
          <w:p w14:paraId="7E62BAB5" w14:textId="77777777" w:rsidR="00491BC0" w:rsidRDefault="00491BC0">
            <w:pPr>
              <w:rPr>
                <w:rFonts w:ascii="Calibri" w:hAnsi="Calibri" w:cs="Calibri"/>
                <w:color w:val="000000"/>
                <w:sz w:val="16"/>
                <w:szCs w:val="16"/>
              </w:rPr>
            </w:pPr>
            <w:r>
              <w:rPr>
                <w:rFonts w:ascii="Calibri" w:hAnsi="Calibri" w:cs="Calibri"/>
                <w:color w:val="000000"/>
                <w:sz w:val="16"/>
                <w:szCs w:val="16"/>
              </w:rPr>
              <w:t>Recebimentos</w:t>
            </w:r>
          </w:p>
        </w:tc>
        <w:tc>
          <w:tcPr>
            <w:tcW w:w="351" w:type="pct"/>
            <w:tcBorders>
              <w:top w:val="nil"/>
              <w:left w:val="nil"/>
              <w:bottom w:val="nil"/>
              <w:right w:val="nil"/>
            </w:tcBorders>
            <w:shd w:val="clear" w:color="auto" w:fill="auto"/>
            <w:noWrap/>
            <w:vAlign w:val="center"/>
            <w:hideMark/>
          </w:tcPr>
          <w:p w14:paraId="2CA1A6CB" w14:textId="77777777" w:rsidR="00491BC0" w:rsidRDefault="00491BC0">
            <w:pPr>
              <w:rPr>
                <w:rFonts w:ascii="Calibri" w:hAnsi="Calibri" w:cs="Calibri"/>
                <w:color w:val="000000"/>
                <w:sz w:val="16"/>
                <w:szCs w:val="16"/>
              </w:rPr>
            </w:pPr>
          </w:p>
        </w:tc>
        <w:tc>
          <w:tcPr>
            <w:tcW w:w="500" w:type="pct"/>
            <w:tcBorders>
              <w:top w:val="nil"/>
              <w:left w:val="nil"/>
              <w:bottom w:val="nil"/>
              <w:right w:val="nil"/>
            </w:tcBorders>
            <w:shd w:val="clear" w:color="auto" w:fill="auto"/>
            <w:noWrap/>
            <w:vAlign w:val="center"/>
            <w:hideMark/>
          </w:tcPr>
          <w:p w14:paraId="50888918" w14:textId="77777777" w:rsidR="00491BC0" w:rsidRDefault="00491BC0">
            <w:pPr>
              <w:rPr>
                <w:sz w:val="20"/>
                <w:szCs w:val="20"/>
              </w:rPr>
            </w:pPr>
          </w:p>
        </w:tc>
        <w:tc>
          <w:tcPr>
            <w:tcW w:w="620" w:type="pct"/>
            <w:tcBorders>
              <w:top w:val="nil"/>
              <w:left w:val="nil"/>
              <w:bottom w:val="nil"/>
              <w:right w:val="nil"/>
            </w:tcBorders>
            <w:shd w:val="clear" w:color="auto" w:fill="auto"/>
            <w:vAlign w:val="center"/>
            <w:hideMark/>
          </w:tcPr>
          <w:p w14:paraId="21004546" w14:textId="4BE73243" w:rsidR="00491BC0" w:rsidRDefault="00491BC0">
            <w:pPr>
              <w:jc w:val="right"/>
              <w:rPr>
                <w:rFonts w:ascii="Calibri" w:hAnsi="Calibri" w:cs="Calibri"/>
                <w:color w:val="000000"/>
                <w:sz w:val="16"/>
                <w:szCs w:val="16"/>
              </w:rPr>
            </w:pPr>
            <w:r>
              <w:rPr>
                <w:rFonts w:ascii="Calibri" w:hAnsi="Calibri" w:cs="Calibri"/>
                <w:color w:val="000000"/>
                <w:sz w:val="16"/>
                <w:szCs w:val="16"/>
              </w:rPr>
              <w:t>(1.422.441)</w:t>
            </w:r>
          </w:p>
        </w:tc>
        <w:tc>
          <w:tcPr>
            <w:tcW w:w="576" w:type="pct"/>
            <w:tcBorders>
              <w:top w:val="nil"/>
              <w:left w:val="nil"/>
              <w:bottom w:val="nil"/>
              <w:right w:val="nil"/>
            </w:tcBorders>
            <w:shd w:val="clear" w:color="auto" w:fill="auto"/>
            <w:noWrap/>
            <w:vAlign w:val="center"/>
            <w:hideMark/>
          </w:tcPr>
          <w:p w14:paraId="226E42F5" w14:textId="492AAE39" w:rsidR="00491BC0" w:rsidRDefault="00491BC0">
            <w:pPr>
              <w:jc w:val="right"/>
              <w:rPr>
                <w:rFonts w:ascii="Calibri" w:hAnsi="Calibri" w:cs="Calibri"/>
                <w:color w:val="000000"/>
                <w:sz w:val="16"/>
                <w:szCs w:val="16"/>
              </w:rPr>
            </w:pPr>
            <w:r>
              <w:rPr>
                <w:rFonts w:ascii="Calibri" w:hAnsi="Calibri" w:cs="Calibri"/>
                <w:color w:val="000000"/>
                <w:sz w:val="16"/>
                <w:szCs w:val="16"/>
              </w:rPr>
              <w:t>(1.002.436)</w:t>
            </w:r>
          </w:p>
        </w:tc>
      </w:tr>
      <w:tr w:rsidR="00491BC0" w14:paraId="0923774B" w14:textId="77777777" w:rsidTr="00C34E8D">
        <w:trPr>
          <w:trHeight w:hRule="exact" w:val="227"/>
        </w:trPr>
        <w:tc>
          <w:tcPr>
            <w:tcW w:w="2954" w:type="pct"/>
            <w:gridSpan w:val="2"/>
            <w:tcBorders>
              <w:top w:val="nil"/>
              <w:left w:val="nil"/>
              <w:bottom w:val="nil"/>
              <w:right w:val="nil"/>
            </w:tcBorders>
            <w:shd w:val="clear" w:color="auto" w:fill="auto"/>
            <w:noWrap/>
            <w:vAlign w:val="center"/>
            <w:hideMark/>
          </w:tcPr>
          <w:p w14:paraId="01005E81" w14:textId="77777777" w:rsidR="00491BC0" w:rsidRDefault="00491BC0">
            <w:pPr>
              <w:rPr>
                <w:rFonts w:ascii="Calibri" w:hAnsi="Calibri" w:cs="Calibri"/>
                <w:color w:val="000000"/>
                <w:sz w:val="16"/>
                <w:szCs w:val="16"/>
              </w:rPr>
            </w:pPr>
            <w:proofErr w:type="spellStart"/>
            <w:r>
              <w:rPr>
                <w:rFonts w:ascii="Calibri" w:hAnsi="Calibri" w:cs="Calibri"/>
                <w:color w:val="000000"/>
                <w:sz w:val="16"/>
                <w:szCs w:val="16"/>
              </w:rPr>
              <w:t>Transf</w:t>
            </w:r>
            <w:proofErr w:type="spellEnd"/>
            <w:r>
              <w:rPr>
                <w:rFonts w:ascii="Calibri" w:hAnsi="Calibri" w:cs="Calibri"/>
                <w:color w:val="000000"/>
                <w:sz w:val="16"/>
                <w:szCs w:val="16"/>
              </w:rPr>
              <w:t>. do não circulante para circulante</w:t>
            </w:r>
          </w:p>
        </w:tc>
        <w:tc>
          <w:tcPr>
            <w:tcW w:w="351" w:type="pct"/>
            <w:tcBorders>
              <w:top w:val="nil"/>
              <w:left w:val="nil"/>
              <w:bottom w:val="nil"/>
              <w:right w:val="nil"/>
            </w:tcBorders>
            <w:shd w:val="clear" w:color="auto" w:fill="auto"/>
            <w:noWrap/>
            <w:vAlign w:val="center"/>
            <w:hideMark/>
          </w:tcPr>
          <w:p w14:paraId="0636280D" w14:textId="77777777" w:rsidR="00491BC0" w:rsidRDefault="00491BC0">
            <w:pPr>
              <w:rPr>
                <w:rFonts w:ascii="Calibri" w:hAnsi="Calibri" w:cs="Calibri"/>
                <w:color w:val="000000"/>
                <w:sz w:val="16"/>
                <w:szCs w:val="16"/>
              </w:rPr>
            </w:pPr>
          </w:p>
        </w:tc>
        <w:tc>
          <w:tcPr>
            <w:tcW w:w="500" w:type="pct"/>
            <w:tcBorders>
              <w:top w:val="nil"/>
              <w:left w:val="nil"/>
              <w:bottom w:val="nil"/>
              <w:right w:val="nil"/>
            </w:tcBorders>
            <w:shd w:val="clear" w:color="auto" w:fill="auto"/>
            <w:noWrap/>
            <w:vAlign w:val="center"/>
            <w:hideMark/>
          </w:tcPr>
          <w:p w14:paraId="66AB1C24" w14:textId="77777777" w:rsidR="00491BC0" w:rsidRDefault="00491BC0">
            <w:pPr>
              <w:rPr>
                <w:sz w:val="20"/>
                <w:szCs w:val="20"/>
              </w:rPr>
            </w:pPr>
          </w:p>
        </w:tc>
        <w:tc>
          <w:tcPr>
            <w:tcW w:w="620" w:type="pct"/>
            <w:tcBorders>
              <w:top w:val="nil"/>
              <w:left w:val="nil"/>
              <w:bottom w:val="nil"/>
              <w:right w:val="nil"/>
            </w:tcBorders>
            <w:shd w:val="clear" w:color="auto" w:fill="auto"/>
            <w:vAlign w:val="center"/>
            <w:hideMark/>
          </w:tcPr>
          <w:p w14:paraId="4D6376DD" w14:textId="6ADC3884" w:rsidR="00491BC0" w:rsidRDefault="007F37D9">
            <w:pPr>
              <w:jc w:val="right"/>
              <w:rPr>
                <w:rFonts w:ascii="Calibri" w:hAnsi="Calibri" w:cs="Calibri"/>
                <w:color w:val="000000"/>
                <w:sz w:val="16"/>
                <w:szCs w:val="16"/>
              </w:rPr>
            </w:pPr>
            <w:r>
              <w:rPr>
                <w:rFonts w:ascii="Calibri" w:hAnsi="Calibri" w:cs="Calibri"/>
                <w:color w:val="000000"/>
                <w:sz w:val="16"/>
                <w:szCs w:val="16"/>
              </w:rPr>
              <w:t>839.902</w:t>
            </w:r>
          </w:p>
        </w:tc>
        <w:tc>
          <w:tcPr>
            <w:tcW w:w="576" w:type="pct"/>
            <w:tcBorders>
              <w:top w:val="nil"/>
              <w:left w:val="nil"/>
              <w:bottom w:val="nil"/>
              <w:right w:val="nil"/>
            </w:tcBorders>
            <w:shd w:val="clear" w:color="auto" w:fill="auto"/>
            <w:noWrap/>
            <w:vAlign w:val="center"/>
            <w:hideMark/>
          </w:tcPr>
          <w:p w14:paraId="7BD3D872" w14:textId="77777777" w:rsidR="00491BC0" w:rsidRDefault="00491BC0">
            <w:pPr>
              <w:jc w:val="right"/>
              <w:rPr>
                <w:rFonts w:ascii="Calibri" w:hAnsi="Calibri" w:cs="Calibri"/>
                <w:color w:val="000000"/>
                <w:sz w:val="16"/>
                <w:szCs w:val="16"/>
              </w:rPr>
            </w:pPr>
            <w:r>
              <w:rPr>
                <w:rFonts w:ascii="Calibri" w:hAnsi="Calibri" w:cs="Calibri"/>
                <w:color w:val="000000"/>
                <w:sz w:val="16"/>
                <w:szCs w:val="16"/>
              </w:rPr>
              <w:t>687.436</w:t>
            </w:r>
          </w:p>
        </w:tc>
      </w:tr>
      <w:tr w:rsidR="00491BC0" w14:paraId="70B0E88D" w14:textId="77777777" w:rsidTr="00C34E8D">
        <w:trPr>
          <w:trHeight w:hRule="exact" w:val="227"/>
        </w:trPr>
        <w:tc>
          <w:tcPr>
            <w:tcW w:w="2954" w:type="pct"/>
            <w:gridSpan w:val="2"/>
            <w:tcBorders>
              <w:top w:val="nil"/>
              <w:left w:val="nil"/>
              <w:bottom w:val="nil"/>
              <w:right w:val="nil"/>
            </w:tcBorders>
            <w:shd w:val="clear" w:color="auto" w:fill="auto"/>
            <w:noWrap/>
            <w:vAlign w:val="center"/>
            <w:hideMark/>
          </w:tcPr>
          <w:p w14:paraId="30A41EB0" w14:textId="77777777" w:rsidR="00491BC0" w:rsidRDefault="00491BC0">
            <w:pPr>
              <w:rPr>
                <w:rFonts w:ascii="Calibri" w:hAnsi="Calibri" w:cs="Calibri"/>
                <w:color w:val="000000"/>
                <w:sz w:val="16"/>
                <w:szCs w:val="16"/>
              </w:rPr>
            </w:pPr>
            <w:r>
              <w:rPr>
                <w:rFonts w:ascii="Calibri" w:hAnsi="Calibri" w:cs="Calibri"/>
                <w:color w:val="000000"/>
                <w:sz w:val="16"/>
                <w:szCs w:val="16"/>
              </w:rPr>
              <w:t>Atualização monetária do período</w:t>
            </w:r>
          </w:p>
        </w:tc>
        <w:tc>
          <w:tcPr>
            <w:tcW w:w="351" w:type="pct"/>
            <w:tcBorders>
              <w:top w:val="nil"/>
              <w:left w:val="nil"/>
              <w:bottom w:val="nil"/>
              <w:right w:val="nil"/>
            </w:tcBorders>
            <w:shd w:val="clear" w:color="auto" w:fill="auto"/>
            <w:noWrap/>
            <w:vAlign w:val="center"/>
            <w:hideMark/>
          </w:tcPr>
          <w:p w14:paraId="233A0062" w14:textId="77777777" w:rsidR="00491BC0" w:rsidRDefault="00491BC0">
            <w:pPr>
              <w:rPr>
                <w:rFonts w:ascii="Calibri" w:hAnsi="Calibri" w:cs="Calibri"/>
                <w:color w:val="000000"/>
                <w:sz w:val="16"/>
                <w:szCs w:val="16"/>
              </w:rPr>
            </w:pPr>
          </w:p>
        </w:tc>
        <w:tc>
          <w:tcPr>
            <w:tcW w:w="500" w:type="pct"/>
            <w:tcBorders>
              <w:top w:val="nil"/>
              <w:left w:val="nil"/>
              <w:bottom w:val="nil"/>
              <w:right w:val="nil"/>
            </w:tcBorders>
            <w:shd w:val="clear" w:color="auto" w:fill="auto"/>
            <w:noWrap/>
            <w:vAlign w:val="center"/>
            <w:hideMark/>
          </w:tcPr>
          <w:p w14:paraId="032D7D28" w14:textId="77777777" w:rsidR="00491BC0" w:rsidRDefault="00491BC0">
            <w:pPr>
              <w:rPr>
                <w:sz w:val="20"/>
                <w:szCs w:val="20"/>
              </w:rPr>
            </w:pPr>
          </w:p>
        </w:tc>
        <w:tc>
          <w:tcPr>
            <w:tcW w:w="620" w:type="pct"/>
            <w:tcBorders>
              <w:top w:val="nil"/>
              <w:left w:val="nil"/>
              <w:bottom w:val="nil"/>
              <w:right w:val="nil"/>
            </w:tcBorders>
            <w:shd w:val="clear" w:color="auto" w:fill="auto"/>
            <w:vAlign w:val="center"/>
            <w:hideMark/>
          </w:tcPr>
          <w:p w14:paraId="03271AF0" w14:textId="69DC7B9A" w:rsidR="00491BC0" w:rsidRDefault="00491BC0">
            <w:pPr>
              <w:jc w:val="right"/>
              <w:rPr>
                <w:rFonts w:ascii="Calibri" w:hAnsi="Calibri" w:cs="Calibri"/>
                <w:color w:val="000000"/>
                <w:sz w:val="16"/>
                <w:szCs w:val="16"/>
              </w:rPr>
            </w:pPr>
            <w:r>
              <w:rPr>
                <w:rFonts w:ascii="Calibri" w:hAnsi="Calibri" w:cs="Calibri"/>
                <w:color w:val="000000"/>
                <w:sz w:val="16"/>
                <w:szCs w:val="16"/>
              </w:rPr>
              <w:t>(</w:t>
            </w:r>
            <w:r w:rsidR="007F37D9">
              <w:rPr>
                <w:rFonts w:ascii="Calibri" w:hAnsi="Calibri" w:cs="Calibri"/>
                <w:color w:val="000000"/>
                <w:sz w:val="16"/>
                <w:szCs w:val="16"/>
              </w:rPr>
              <w:t>29.647</w:t>
            </w:r>
            <w:r>
              <w:rPr>
                <w:rFonts w:ascii="Calibri" w:hAnsi="Calibri" w:cs="Calibri"/>
                <w:color w:val="000000"/>
                <w:sz w:val="16"/>
                <w:szCs w:val="16"/>
              </w:rPr>
              <w:t>)</w:t>
            </w:r>
          </w:p>
        </w:tc>
        <w:tc>
          <w:tcPr>
            <w:tcW w:w="576" w:type="pct"/>
            <w:tcBorders>
              <w:top w:val="nil"/>
              <w:left w:val="nil"/>
              <w:bottom w:val="nil"/>
              <w:right w:val="nil"/>
            </w:tcBorders>
            <w:shd w:val="clear" w:color="auto" w:fill="auto"/>
            <w:noWrap/>
            <w:vAlign w:val="center"/>
            <w:hideMark/>
          </w:tcPr>
          <w:p w14:paraId="0E410D89" w14:textId="77777777" w:rsidR="00491BC0" w:rsidRDefault="00491BC0">
            <w:pPr>
              <w:jc w:val="right"/>
              <w:rPr>
                <w:rFonts w:ascii="Calibri" w:hAnsi="Calibri" w:cs="Calibri"/>
                <w:color w:val="000000"/>
                <w:sz w:val="16"/>
                <w:szCs w:val="16"/>
              </w:rPr>
            </w:pPr>
            <w:r>
              <w:rPr>
                <w:rFonts w:ascii="Calibri" w:hAnsi="Calibri" w:cs="Calibri"/>
                <w:color w:val="000000"/>
                <w:sz w:val="16"/>
                <w:szCs w:val="16"/>
              </w:rPr>
              <w:t>12.196</w:t>
            </w:r>
          </w:p>
        </w:tc>
      </w:tr>
      <w:tr w:rsidR="00491BC0" w14:paraId="7D71B3FF" w14:textId="77777777" w:rsidTr="00C34E8D">
        <w:trPr>
          <w:trHeight w:hRule="exact" w:val="227"/>
        </w:trPr>
        <w:tc>
          <w:tcPr>
            <w:tcW w:w="2954" w:type="pct"/>
            <w:gridSpan w:val="2"/>
            <w:tcBorders>
              <w:top w:val="nil"/>
              <w:left w:val="nil"/>
              <w:bottom w:val="single" w:sz="8" w:space="0" w:color="auto"/>
              <w:right w:val="nil"/>
            </w:tcBorders>
            <w:shd w:val="clear" w:color="auto" w:fill="auto"/>
            <w:noWrap/>
            <w:vAlign w:val="center"/>
            <w:hideMark/>
          </w:tcPr>
          <w:p w14:paraId="4DD64CBF" w14:textId="77777777" w:rsidR="00491BC0" w:rsidRDefault="00491BC0">
            <w:pPr>
              <w:rPr>
                <w:rFonts w:ascii="Calibri" w:hAnsi="Calibri" w:cs="Calibri"/>
                <w:color w:val="000000"/>
                <w:sz w:val="16"/>
                <w:szCs w:val="16"/>
              </w:rPr>
            </w:pPr>
            <w:r>
              <w:rPr>
                <w:rFonts w:ascii="Calibri" w:hAnsi="Calibri" w:cs="Calibri"/>
                <w:color w:val="000000"/>
                <w:sz w:val="16"/>
                <w:szCs w:val="16"/>
              </w:rPr>
              <w:t>Novas permissões</w:t>
            </w:r>
          </w:p>
        </w:tc>
        <w:tc>
          <w:tcPr>
            <w:tcW w:w="351" w:type="pct"/>
            <w:tcBorders>
              <w:top w:val="nil"/>
              <w:left w:val="nil"/>
              <w:bottom w:val="single" w:sz="8" w:space="0" w:color="auto"/>
              <w:right w:val="nil"/>
            </w:tcBorders>
            <w:shd w:val="clear" w:color="auto" w:fill="auto"/>
            <w:noWrap/>
            <w:vAlign w:val="center"/>
            <w:hideMark/>
          </w:tcPr>
          <w:p w14:paraId="314B15D4" w14:textId="77777777" w:rsidR="00491BC0" w:rsidRDefault="00491BC0">
            <w:pPr>
              <w:jc w:val="right"/>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bottom w:val="single" w:sz="8" w:space="0" w:color="auto"/>
              <w:right w:val="nil"/>
            </w:tcBorders>
            <w:shd w:val="clear" w:color="auto" w:fill="auto"/>
            <w:noWrap/>
            <w:vAlign w:val="center"/>
            <w:hideMark/>
          </w:tcPr>
          <w:p w14:paraId="289122B6" w14:textId="77777777" w:rsidR="00491BC0" w:rsidRDefault="00491BC0">
            <w:pPr>
              <w:jc w:val="right"/>
              <w:rPr>
                <w:rFonts w:ascii="Calibri" w:hAnsi="Calibri" w:cs="Calibri"/>
                <w:color w:val="000000"/>
                <w:sz w:val="16"/>
                <w:szCs w:val="16"/>
              </w:rPr>
            </w:pPr>
            <w:r>
              <w:rPr>
                <w:rFonts w:ascii="Calibri" w:hAnsi="Calibri" w:cs="Calibri"/>
                <w:color w:val="000000"/>
                <w:sz w:val="16"/>
                <w:szCs w:val="16"/>
              </w:rPr>
              <w:t> </w:t>
            </w:r>
          </w:p>
        </w:tc>
        <w:tc>
          <w:tcPr>
            <w:tcW w:w="620" w:type="pct"/>
            <w:tcBorders>
              <w:top w:val="nil"/>
              <w:left w:val="nil"/>
              <w:bottom w:val="single" w:sz="8" w:space="0" w:color="auto"/>
              <w:right w:val="nil"/>
            </w:tcBorders>
            <w:shd w:val="clear" w:color="auto" w:fill="auto"/>
            <w:vAlign w:val="center"/>
            <w:hideMark/>
          </w:tcPr>
          <w:p w14:paraId="62ED5889" w14:textId="6AB2B393" w:rsidR="00491BC0" w:rsidRDefault="00227355">
            <w:pPr>
              <w:jc w:val="right"/>
              <w:rPr>
                <w:rFonts w:ascii="Calibri" w:hAnsi="Calibri" w:cs="Calibri"/>
                <w:color w:val="000000"/>
                <w:sz w:val="16"/>
                <w:szCs w:val="16"/>
              </w:rPr>
            </w:pPr>
            <w:r>
              <w:rPr>
                <w:rFonts w:ascii="Calibri" w:hAnsi="Calibri" w:cs="Calibri"/>
                <w:color w:val="000000"/>
                <w:sz w:val="16"/>
                <w:szCs w:val="16"/>
              </w:rPr>
              <w:t>902.582</w:t>
            </w:r>
            <w:r w:rsidR="00491BC0">
              <w:rPr>
                <w:rFonts w:ascii="Calibri" w:hAnsi="Calibri" w:cs="Calibri"/>
                <w:color w:val="000000"/>
                <w:sz w:val="16"/>
                <w:szCs w:val="16"/>
              </w:rPr>
              <w:t xml:space="preserve">   </w:t>
            </w:r>
          </w:p>
        </w:tc>
        <w:tc>
          <w:tcPr>
            <w:tcW w:w="576" w:type="pct"/>
            <w:tcBorders>
              <w:top w:val="nil"/>
              <w:left w:val="nil"/>
              <w:bottom w:val="single" w:sz="8" w:space="0" w:color="auto"/>
              <w:right w:val="nil"/>
            </w:tcBorders>
            <w:shd w:val="clear" w:color="auto" w:fill="auto"/>
            <w:noWrap/>
            <w:vAlign w:val="center"/>
            <w:hideMark/>
          </w:tcPr>
          <w:p w14:paraId="466A775B" w14:textId="77777777" w:rsidR="00491BC0" w:rsidRDefault="00491BC0">
            <w:pPr>
              <w:jc w:val="right"/>
              <w:rPr>
                <w:rFonts w:ascii="Calibri" w:hAnsi="Calibri" w:cs="Calibri"/>
                <w:color w:val="000000"/>
                <w:sz w:val="16"/>
                <w:szCs w:val="16"/>
              </w:rPr>
            </w:pPr>
            <w:r>
              <w:rPr>
                <w:rFonts w:ascii="Calibri" w:hAnsi="Calibri" w:cs="Calibri"/>
                <w:color w:val="000000"/>
                <w:sz w:val="16"/>
                <w:szCs w:val="16"/>
              </w:rPr>
              <w:t>1.050.000</w:t>
            </w:r>
          </w:p>
        </w:tc>
      </w:tr>
      <w:tr w:rsidR="00491BC0" w14:paraId="56A1A315" w14:textId="77777777" w:rsidTr="00C34E8D">
        <w:trPr>
          <w:trHeight w:hRule="exact" w:val="227"/>
        </w:trPr>
        <w:tc>
          <w:tcPr>
            <w:tcW w:w="2604" w:type="pct"/>
            <w:tcBorders>
              <w:top w:val="nil"/>
              <w:left w:val="nil"/>
              <w:bottom w:val="single" w:sz="8" w:space="0" w:color="auto"/>
              <w:right w:val="nil"/>
            </w:tcBorders>
            <w:shd w:val="clear" w:color="auto" w:fill="auto"/>
            <w:noWrap/>
            <w:vAlign w:val="center"/>
            <w:hideMark/>
          </w:tcPr>
          <w:p w14:paraId="0E134AF4" w14:textId="77777777" w:rsidR="00491BC0" w:rsidRDefault="00491BC0">
            <w:pPr>
              <w:rPr>
                <w:rFonts w:ascii="Calibri" w:hAnsi="Calibri" w:cs="Calibri"/>
                <w:b/>
                <w:bCs/>
                <w:color w:val="000000"/>
                <w:sz w:val="16"/>
                <w:szCs w:val="16"/>
              </w:rPr>
            </w:pPr>
            <w:r>
              <w:rPr>
                <w:rFonts w:ascii="Calibri" w:hAnsi="Calibri" w:cs="Calibri"/>
                <w:b/>
                <w:bCs/>
                <w:color w:val="000000"/>
                <w:sz w:val="16"/>
                <w:szCs w:val="16"/>
              </w:rPr>
              <w:t xml:space="preserve"> TOTAL </w:t>
            </w:r>
          </w:p>
        </w:tc>
        <w:tc>
          <w:tcPr>
            <w:tcW w:w="351" w:type="pct"/>
            <w:tcBorders>
              <w:top w:val="nil"/>
              <w:left w:val="nil"/>
              <w:bottom w:val="single" w:sz="8" w:space="0" w:color="auto"/>
              <w:right w:val="nil"/>
            </w:tcBorders>
            <w:shd w:val="clear" w:color="auto" w:fill="auto"/>
            <w:noWrap/>
            <w:vAlign w:val="center"/>
            <w:hideMark/>
          </w:tcPr>
          <w:p w14:paraId="152F3C4C" w14:textId="77777777" w:rsidR="00491BC0" w:rsidRDefault="00491BC0">
            <w:pPr>
              <w:rPr>
                <w:rFonts w:ascii="Calibri" w:hAnsi="Calibri" w:cs="Calibri"/>
                <w:color w:val="000000"/>
                <w:sz w:val="16"/>
                <w:szCs w:val="16"/>
              </w:rPr>
            </w:pPr>
            <w:r>
              <w:rPr>
                <w:rFonts w:ascii="Calibri" w:hAnsi="Calibri" w:cs="Calibri"/>
                <w:color w:val="000000"/>
                <w:sz w:val="16"/>
                <w:szCs w:val="16"/>
              </w:rPr>
              <w:t> </w:t>
            </w:r>
          </w:p>
        </w:tc>
        <w:tc>
          <w:tcPr>
            <w:tcW w:w="351" w:type="pct"/>
            <w:tcBorders>
              <w:top w:val="nil"/>
              <w:left w:val="nil"/>
              <w:bottom w:val="single" w:sz="8" w:space="0" w:color="auto"/>
              <w:right w:val="nil"/>
            </w:tcBorders>
            <w:shd w:val="clear" w:color="auto" w:fill="auto"/>
            <w:noWrap/>
            <w:vAlign w:val="center"/>
            <w:hideMark/>
          </w:tcPr>
          <w:p w14:paraId="5028F84A" w14:textId="77777777" w:rsidR="00491BC0" w:rsidRDefault="00491BC0">
            <w:pPr>
              <w:jc w:val="right"/>
              <w:rPr>
                <w:rFonts w:ascii="Calibri" w:hAnsi="Calibri" w:cs="Calibri"/>
                <w:b/>
                <w:bCs/>
                <w:color w:val="000000"/>
                <w:sz w:val="16"/>
                <w:szCs w:val="16"/>
              </w:rPr>
            </w:pPr>
            <w:r>
              <w:rPr>
                <w:rFonts w:ascii="Calibri" w:hAnsi="Calibri" w:cs="Calibri"/>
                <w:b/>
                <w:bCs/>
                <w:color w:val="000000"/>
                <w:sz w:val="16"/>
                <w:szCs w:val="16"/>
              </w:rPr>
              <w:t> </w:t>
            </w:r>
          </w:p>
        </w:tc>
        <w:tc>
          <w:tcPr>
            <w:tcW w:w="500" w:type="pct"/>
            <w:tcBorders>
              <w:top w:val="nil"/>
              <w:left w:val="nil"/>
              <w:bottom w:val="single" w:sz="8" w:space="0" w:color="auto"/>
              <w:right w:val="nil"/>
            </w:tcBorders>
            <w:shd w:val="clear" w:color="auto" w:fill="auto"/>
            <w:vAlign w:val="center"/>
            <w:hideMark/>
          </w:tcPr>
          <w:p w14:paraId="4ECA1010" w14:textId="77777777" w:rsidR="00491BC0" w:rsidRDefault="00491BC0">
            <w:pPr>
              <w:jc w:val="right"/>
              <w:rPr>
                <w:rFonts w:ascii="Calibri" w:hAnsi="Calibri" w:cs="Calibri"/>
                <w:b/>
                <w:bCs/>
                <w:color w:val="000000"/>
                <w:sz w:val="16"/>
                <w:szCs w:val="16"/>
              </w:rPr>
            </w:pPr>
            <w:r>
              <w:rPr>
                <w:rFonts w:ascii="Calibri" w:hAnsi="Calibri" w:cs="Calibri"/>
                <w:b/>
                <w:bCs/>
                <w:color w:val="000000"/>
                <w:sz w:val="16"/>
                <w:szCs w:val="16"/>
              </w:rPr>
              <w:t> </w:t>
            </w:r>
          </w:p>
        </w:tc>
        <w:tc>
          <w:tcPr>
            <w:tcW w:w="620" w:type="pct"/>
            <w:tcBorders>
              <w:top w:val="nil"/>
              <w:left w:val="nil"/>
              <w:bottom w:val="single" w:sz="8" w:space="0" w:color="auto"/>
              <w:right w:val="nil"/>
            </w:tcBorders>
            <w:shd w:val="clear" w:color="auto" w:fill="auto"/>
            <w:noWrap/>
            <w:vAlign w:val="center"/>
            <w:hideMark/>
          </w:tcPr>
          <w:p w14:paraId="38D72635" w14:textId="6EB87753" w:rsidR="00491BC0" w:rsidRDefault="007F37D9">
            <w:pPr>
              <w:jc w:val="right"/>
              <w:rPr>
                <w:rFonts w:ascii="Calibri" w:hAnsi="Calibri" w:cs="Calibri"/>
                <w:b/>
                <w:bCs/>
                <w:color w:val="000000"/>
                <w:sz w:val="16"/>
                <w:szCs w:val="16"/>
              </w:rPr>
            </w:pPr>
            <w:r>
              <w:rPr>
                <w:rFonts w:ascii="Calibri" w:hAnsi="Calibri" w:cs="Calibri"/>
                <w:b/>
                <w:bCs/>
                <w:color w:val="000000"/>
                <w:sz w:val="16"/>
                <w:szCs w:val="16"/>
              </w:rPr>
              <w:t>1.777.734</w:t>
            </w:r>
          </w:p>
        </w:tc>
        <w:tc>
          <w:tcPr>
            <w:tcW w:w="576" w:type="pct"/>
            <w:tcBorders>
              <w:top w:val="nil"/>
              <w:left w:val="nil"/>
              <w:bottom w:val="single" w:sz="8" w:space="0" w:color="auto"/>
              <w:right w:val="nil"/>
            </w:tcBorders>
            <w:shd w:val="clear" w:color="auto" w:fill="auto"/>
            <w:noWrap/>
            <w:vAlign w:val="center"/>
            <w:hideMark/>
          </w:tcPr>
          <w:p w14:paraId="30E1846A" w14:textId="77777777" w:rsidR="00491BC0" w:rsidRDefault="00491BC0">
            <w:pPr>
              <w:jc w:val="right"/>
              <w:rPr>
                <w:rFonts w:ascii="Calibri" w:hAnsi="Calibri" w:cs="Calibri"/>
                <w:b/>
                <w:bCs/>
                <w:color w:val="000000"/>
                <w:sz w:val="16"/>
                <w:szCs w:val="16"/>
              </w:rPr>
            </w:pPr>
            <w:r>
              <w:rPr>
                <w:rFonts w:ascii="Calibri" w:hAnsi="Calibri" w:cs="Calibri"/>
                <w:b/>
                <w:bCs/>
                <w:color w:val="000000"/>
                <w:sz w:val="16"/>
                <w:szCs w:val="16"/>
              </w:rPr>
              <w:t>1.487.338</w:t>
            </w:r>
          </w:p>
        </w:tc>
      </w:tr>
    </w:tbl>
    <w:p w14:paraId="2B2EA8AF" w14:textId="5AC9376A" w:rsidR="00596575" w:rsidRDefault="00580D61" w:rsidP="002E2B5B">
      <w:pPr>
        <w:numPr>
          <w:ilvl w:val="0"/>
          <w:numId w:val="11"/>
        </w:numPr>
        <w:spacing w:before="240" w:after="240"/>
        <w:ind w:left="284" w:hanging="284"/>
        <w:rPr>
          <w:rFonts w:ascii="Calibri" w:hAnsi="Calibri" w:cs="Calibri"/>
          <w:b/>
          <w:sz w:val="22"/>
          <w:szCs w:val="22"/>
        </w:rPr>
      </w:pPr>
      <w:r w:rsidRPr="002E2B5B">
        <w:rPr>
          <w:rFonts w:ascii="Calibri" w:hAnsi="Calibri" w:cs="Calibri"/>
          <w:b/>
          <w:sz w:val="22"/>
          <w:szCs w:val="22"/>
        </w:rPr>
        <w:lastRenderedPageBreak/>
        <w:t>Realizável a Longo Prazo</w:t>
      </w:r>
    </w:p>
    <w:tbl>
      <w:tblPr>
        <w:tblW w:w="5000" w:type="pct"/>
        <w:tblCellMar>
          <w:left w:w="70" w:type="dxa"/>
          <w:right w:w="70" w:type="dxa"/>
        </w:tblCellMar>
        <w:tblLook w:val="04A0" w:firstRow="1" w:lastRow="0" w:firstColumn="1" w:lastColumn="0" w:noHBand="0" w:noVBand="1"/>
      </w:tblPr>
      <w:tblGrid>
        <w:gridCol w:w="5578"/>
        <w:gridCol w:w="293"/>
        <w:gridCol w:w="1047"/>
        <w:gridCol w:w="1047"/>
        <w:gridCol w:w="1298"/>
        <w:gridCol w:w="1204"/>
      </w:tblGrid>
      <w:tr w:rsidR="00491BC0" w14:paraId="7F783AD3" w14:textId="77777777" w:rsidTr="00910934">
        <w:trPr>
          <w:trHeight w:hRule="exact" w:val="227"/>
        </w:trPr>
        <w:tc>
          <w:tcPr>
            <w:tcW w:w="2805" w:type="pct"/>
            <w:gridSpan w:val="2"/>
            <w:tcBorders>
              <w:top w:val="nil"/>
              <w:left w:val="nil"/>
              <w:bottom w:val="single" w:sz="8" w:space="0" w:color="auto"/>
              <w:right w:val="nil"/>
            </w:tcBorders>
            <w:shd w:val="clear" w:color="auto" w:fill="auto"/>
            <w:noWrap/>
            <w:vAlign w:val="center"/>
            <w:hideMark/>
          </w:tcPr>
          <w:p w14:paraId="0A7434B2" w14:textId="77777777" w:rsidR="00491BC0" w:rsidRDefault="00491BC0">
            <w:pPr>
              <w:rPr>
                <w:rFonts w:ascii="Calibri" w:hAnsi="Calibri" w:cs="Calibri"/>
                <w:b/>
                <w:bCs/>
                <w:color w:val="000000"/>
                <w:sz w:val="16"/>
                <w:szCs w:val="16"/>
              </w:rPr>
            </w:pPr>
            <w:r>
              <w:rPr>
                <w:rFonts w:ascii="Calibri" w:hAnsi="Calibri" w:cs="Calibri"/>
                <w:b/>
                <w:bCs/>
                <w:color w:val="000000"/>
                <w:sz w:val="16"/>
                <w:szCs w:val="16"/>
              </w:rPr>
              <w:t>PERMISSÃO DE USO DE PÁTIOS A RECEBER – NÃO CIRCULANTE</w:t>
            </w:r>
          </w:p>
        </w:tc>
        <w:tc>
          <w:tcPr>
            <w:tcW w:w="1000" w:type="pct"/>
            <w:gridSpan w:val="2"/>
            <w:tcBorders>
              <w:top w:val="nil"/>
              <w:left w:val="nil"/>
              <w:bottom w:val="single" w:sz="8" w:space="0" w:color="auto"/>
              <w:right w:val="nil"/>
            </w:tcBorders>
            <w:shd w:val="clear" w:color="auto" w:fill="auto"/>
            <w:noWrap/>
            <w:vAlign w:val="center"/>
            <w:hideMark/>
          </w:tcPr>
          <w:p w14:paraId="2716421E" w14:textId="77777777" w:rsidR="00491BC0" w:rsidRDefault="00491BC0">
            <w:pPr>
              <w:jc w:val="right"/>
              <w:rPr>
                <w:rFonts w:ascii="Calibri" w:hAnsi="Calibri" w:cs="Calibri"/>
                <w:b/>
                <w:bCs/>
                <w:color w:val="000000"/>
                <w:sz w:val="16"/>
                <w:szCs w:val="16"/>
              </w:rPr>
            </w:pPr>
            <w:r>
              <w:rPr>
                <w:rFonts w:ascii="Calibri" w:hAnsi="Calibri" w:cs="Calibri"/>
                <w:b/>
                <w:bCs/>
                <w:color w:val="000000"/>
                <w:sz w:val="16"/>
                <w:szCs w:val="16"/>
              </w:rPr>
              <w:t> </w:t>
            </w:r>
          </w:p>
        </w:tc>
        <w:tc>
          <w:tcPr>
            <w:tcW w:w="620" w:type="pct"/>
            <w:tcBorders>
              <w:top w:val="nil"/>
              <w:left w:val="nil"/>
              <w:bottom w:val="single" w:sz="8" w:space="0" w:color="auto"/>
              <w:right w:val="nil"/>
            </w:tcBorders>
            <w:shd w:val="clear" w:color="auto" w:fill="auto"/>
            <w:noWrap/>
            <w:vAlign w:val="center"/>
            <w:hideMark/>
          </w:tcPr>
          <w:p w14:paraId="1BF34E3F" w14:textId="540F3C3C" w:rsidR="00491BC0" w:rsidRDefault="00491BC0">
            <w:pPr>
              <w:jc w:val="right"/>
              <w:rPr>
                <w:rFonts w:ascii="Calibri" w:hAnsi="Calibri" w:cs="Calibri"/>
                <w:b/>
                <w:bCs/>
                <w:color w:val="000000"/>
                <w:sz w:val="16"/>
                <w:szCs w:val="16"/>
              </w:rPr>
            </w:pPr>
            <w:r>
              <w:rPr>
                <w:rFonts w:ascii="Calibri" w:hAnsi="Calibri" w:cs="Calibri"/>
                <w:b/>
                <w:bCs/>
                <w:color w:val="000000"/>
                <w:sz w:val="16"/>
                <w:szCs w:val="16"/>
              </w:rPr>
              <w:t>30/0</w:t>
            </w:r>
            <w:r w:rsidR="00CD72A9">
              <w:rPr>
                <w:rFonts w:ascii="Calibri" w:hAnsi="Calibri" w:cs="Calibri"/>
                <w:b/>
                <w:bCs/>
                <w:color w:val="000000"/>
                <w:sz w:val="16"/>
                <w:szCs w:val="16"/>
              </w:rPr>
              <w:t>9</w:t>
            </w:r>
            <w:r>
              <w:rPr>
                <w:rFonts w:ascii="Calibri" w:hAnsi="Calibri" w:cs="Calibri"/>
                <w:b/>
                <w:bCs/>
                <w:color w:val="000000"/>
                <w:sz w:val="16"/>
                <w:szCs w:val="16"/>
              </w:rPr>
              <w:t>/2021</w:t>
            </w:r>
          </w:p>
        </w:tc>
        <w:tc>
          <w:tcPr>
            <w:tcW w:w="575" w:type="pct"/>
            <w:tcBorders>
              <w:top w:val="nil"/>
              <w:left w:val="nil"/>
              <w:bottom w:val="single" w:sz="8" w:space="0" w:color="auto"/>
              <w:right w:val="nil"/>
            </w:tcBorders>
            <w:shd w:val="clear" w:color="auto" w:fill="auto"/>
            <w:noWrap/>
            <w:vAlign w:val="center"/>
            <w:hideMark/>
          </w:tcPr>
          <w:p w14:paraId="600D7617" w14:textId="77777777" w:rsidR="00491BC0" w:rsidRDefault="00491BC0">
            <w:pPr>
              <w:jc w:val="right"/>
              <w:rPr>
                <w:rFonts w:ascii="Calibri" w:hAnsi="Calibri" w:cs="Calibri"/>
                <w:b/>
                <w:bCs/>
                <w:color w:val="000000"/>
                <w:sz w:val="16"/>
                <w:szCs w:val="16"/>
              </w:rPr>
            </w:pPr>
            <w:r>
              <w:rPr>
                <w:rFonts w:ascii="Calibri" w:hAnsi="Calibri" w:cs="Calibri"/>
                <w:b/>
                <w:bCs/>
                <w:color w:val="000000"/>
                <w:sz w:val="16"/>
                <w:szCs w:val="16"/>
              </w:rPr>
              <w:t>31/12/2020</w:t>
            </w:r>
          </w:p>
        </w:tc>
      </w:tr>
      <w:tr w:rsidR="00491BC0" w14:paraId="4741C286" w14:textId="77777777" w:rsidTr="00910934">
        <w:trPr>
          <w:trHeight w:hRule="exact" w:val="227"/>
        </w:trPr>
        <w:tc>
          <w:tcPr>
            <w:tcW w:w="2805" w:type="pct"/>
            <w:gridSpan w:val="2"/>
            <w:tcBorders>
              <w:top w:val="single" w:sz="8" w:space="0" w:color="auto"/>
              <w:left w:val="nil"/>
              <w:bottom w:val="nil"/>
              <w:right w:val="nil"/>
            </w:tcBorders>
            <w:shd w:val="clear" w:color="auto" w:fill="auto"/>
            <w:noWrap/>
            <w:vAlign w:val="center"/>
            <w:hideMark/>
          </w:tcPr>
          <w:p w14:paraId="4275B520" w14:textId="77777777" w:rsidR="00491BC0" w:rsidRDefault="00491BC0">
            <w:pPr>
              <w:rPr>
                <w:rFonts w:ascii="Calibri" w:hAnsi="Calibri" w:cs="Calibri"/>
                <w:color w:val="000000"/>
                <w:sz w:val="16"/>
                <w:szCs w:val="16"/>
              </w:rPr>
            </w:pPr>
            <w:r>
              <w:rPr>
                <w:rFonts w:ascii="Calibri" w:hAnsi="Calibri" w:cs="Calibri"/>
                <w:color w:val="000000"/>
                <w:sz w:val="16"/>
                <w:szCs w:val="16"/>
              </w:rPr>
              <w:t>Saldo do exercício anterior</w:t>
            </w:r>
          </w:p>
        </w:tc>
        <w:tc>
          <w:tcPr>
            <w:tcW w:w="1000" w:type="pct"/>
            <w:gridSpan w:val="2"/>
            <w:tcBorders>
              <w:top w:val="single" w:sz="8" w:space="0" w:color="auto"/>
              <w:left w:val="nil"/>
              <w:bottom w:val="nil"/>
              <w:right w:val="nil"/>
            </w:tcBorders>
            <w:shd w:val="clear" w:color="auto" w:fill="auto"/>
            <w:noWrap/>
            <w:vAlign w:val="center"/>
            <w:hideMark/>
          </w:tcPr>
          <w:p w14:paraId="38B26BDC" w14:textId="77777777" w:rsidR="00491BC0" w:rsidRDefault="00491BC0">
            <w:pPr>
              <w:jc w:val="right"/>
              <w:rPr>
                <w:rFonts w:ascii="Calibri" w:hAnsi="Calibri" w:cs="Calibri"/>
                <w:color w:val="000000"/>
                <w:sz w:val="16"/>
                <w:szCs w:val="16"/>
              </w:rPr>
            </w:pPr>
            <w:r>
              <w:rPr>
                <w:rFonts w:ascii="Calibri" w:hAnsi="Calibri" w:cs="Calibri"/>
                <w:color w:val="000000"/>
                <w:sz w:val="16"/>
                <w:szCs w:val="16"/>
              </w:rPr>
              <w:t> </w:t>
            </w:r>
          </w:p>
        </w:tc>
        <w:tc>
          <w:tcPr>
            <w:tcW w:w="620" w:type="pct"/>
            <w:tcBorders>
              <w:top w:val="nil"/>
              <w:left w:val="nil"/>
              <w:bottom w:val="nil"/>
              <w:right w:val="nil"/>
            </w:tcBorders>
            <w:shd w:val="clear" w:color="auto" w:fill="auto"/>
            <w:noWrap/>
            <w:vAlign w:val="center"/>
            <w:hideMark/>
          </w:tcPr>
          <w:p w14:paraId="2FE0AB98" w14:textId="77777777" w:rsidR="00491BC0" w:rsidRDefault="00491BC0">
            <w:pPr>
              <w:jc w:val="right"/>
              <w:rPr>
                <w:rFonts w:ascii="Calibri" w:hAnsi="Calibri" w:cs="Calibri"/>
                <w:color w:val="000000"/>
                <w:sz w:val="16"/>
                <w:szCs w:val="16"/>
              </w:rPr>
            </w:pPr>
            <w:r>
              <w:rPr>
                <w:rFonts w:ascii="Calibri" w:hAnsi="Calibri" w:cs="Calibri"/>
                <w:color w:val="000000"/>
                <w:sz w:val="16"/>
                <w:szCs w:val="16"/>
              </w:rPr>
              <w:t>25.488.517</w:t>
            </w:r>
          </w:p>
        </w:tc>
        <w:tc>
          <w:tcPr>
            <w:tcW w:w="575" w:type="pct"/>
            <w:tcBorders>
              <w:top w:val="nil"/>
              <w:left w:val="nil"/>
              <w:bottom w:val="nil"/>
              <w:right w:val="nil"/>
            </w:tcBorders>
            <w:shd w:val="clear" w:color="auto" w:fill="auto"/>
            <w:noWrap/>
            <w:vAlign w:val="center"/>
            <w:hideMark/>
          </w:tcPr>
          <w:p w14:paraId="5923A36F" w14:textId="77777777" w:rsidR="00491BC0" w:rsidRDefault="00491BC0">
            <w:pPr>
              <w:jc w:val="right"/>
              <w:rPr>
                <w:rFonts w:ascii="Calibri" w:hAnsi="Calibri" w:cs="Calibri"/>
                <w:color w:val="000000"/>
                <w:sz w:val="16"/>
                <w:szCs w:val="16"/>
              </w:rPr>
            </w:pPr>
            <w:r>
              <w:rPr>
                <w:rFonts w:ascii="Calibri" w:hAnsi="Calibri" w:cs="Calibri"/>
                <w:color w:val="000000"/>
                <w:sz w:val="16"/>
                <w:szCs w:val="16"/>
              </w:rPr>
              <w:t>21.387.934</w:t>
            </w:r>
          </w:p>
        </w:tc>
      </w:tr>
      <w:tr w:rsidR="00491BC0" w14:paraId="1F3F8717" w14:textId="77777777" w:rsidTr="00910934">
        <w:trPr>
          <w:trHeight w:hRule="exact" w:val="227"/>
        </w:trPr>
        <w:tc>
          <w:tcPr>
            <w:tcW w:w="2805" w:type="pct"/>
            <w:gridSpan w:val="2"/>
            <w:tcBorders>
              <w:top w:val="nil"/>
              <w:left w:val="nil"/>
              <w:bottom w:val="nil"/>
              <w:right w:val="nil"/>
            </w:tcBorders>
            <w:shd w:val="clear" w:color="auto" w:fill="auto"/>
            <w:noWrap/>
            <w:vAlign w:val="center"/>
            <w:hideMark/>
          </w:tcPr>
          <w:p w14:paraId="40D0696B" w14:textId="77777777" w:rsidR="00491BC0" w:rsidRDefault="00491BC0">
            <w:pPr>
              <w:rPr>
                <w:rFonts w:ascii="Calibri" w:hAnsi="Calibri" w:cs="Calibri"/>
                <w:color w:val="000000"/>
                <w:sz w:val="16"/>
                <w:szCs w:val="16"/>
              </w:rPr>
            </w:pPr>
            <w:r>
              <w:rPr>
                <w:rFonts w:ascii="Calibri" w:hAnsi="Calibri" w:cs="Calibri"/>
                <w:color w:val="000000"/>
                <w:sz w:val="16"/>
                <w:szCs w:val="16"/>
              </w:rPr>
              <w:t xml:space="preserve">Recebimentos </w:t>
            </w:r>
          </w:p>
        </w:tc>
        <w:tc>
          <w:tcPr>
            <w:tcW w:w="500" w:type="pct"/>
            <w:tcBorders>
              <w:top w:val="nil"/>
              <w:left w:val="nil"/>
              <w:bottom w:val="nil"/>
              <w:right w:val="nil"/>
            </w:tcBorders>
            <w:shd w:val="clear" w:color="auto" w:fill="auto"/>
            <w:noWrap/>
            <w:vAlign w:val="center"/>
            <w:hideMark/>
          </w:tcPr>
          <w:p w14:paraId="16690670" w14:textId="77777777" w:rsidR="00491BC0" w:rsidRDefault="00491BC0">
            <w:pPr>
              <w:rPr>
                <w:rFonts w:ascii="Calibri" w:hAnsi="Calibri" w:cs="Calibri"/>
                <w:color w:val="000000"/>
                <w:sz w:val="16"/>
                <w:szCs w:val="16"/>
              </w:rPr>
            </w:pPr>
          </w:p>
        </w:tc>
        <w:tc>
          <w:tcPr>
            <w:tcW w:w="500" w:type="pct"/>
            <w:tcBorders>
              <w:top w:val="nil"/>
              <w:left w:val="nil"/>
              <w:bottom w:val="nil"/>
              <w:right w:val="nil"/>
            </w:tcBorders>
            <w:shd w:val="clear" w:color="auto" w:fill="auto"/>
            <w:noWrap/>
            <w:vAlign w:val="center"/>
            <w:hideMark/>
          </w:tcPr>
          <w:p w14:paraId="5628C4FD" w14:textId="77777777" w:rsidR="00491BC0" w:rsidRDefault="00491BC0">
            <w:pPr>
              <w:rPr>
                <w:sz w:val="20"/>
                <w:szCs w:val="20"/>
              </w:rPr>
            </w:pPr>
          </w:p>
        </w:tc>
        <w:tc>
          <w:tcPr>
            <w:tcW w:w="620" w:type="pct"/>
            <w:tcBorders>
              <w:top w:val="nil"/>
              <w:left w:val="nil"/>
              <w:bottom w:val="nil"/>
              <w:right w:val="nil"/>
            </w:tcBorders>
            <w:shd w:val="clear" w:color="auto" w:fill="auto"/>
            <w:noWrap/>
            <w:vAlign w:val="center"/>
            <w:hideMark/>
          </w:tcPr>
          <w:p w14:paraId="7519F0A1" w14:textId="2EB8EDAF" w:rsidR="00491BC0" w:rsidRDefault="00491BC0">
            <w:pPr>
              <w:jc w:val="right"/>
              <w:rPr>
                <w:rFonts w:ascii="Calibri" w:hAnsi="Calibri" w:cs="Calibri"/>
                <w:color w:val="000000"/>
                <w:sz w:val="16"/>
                <w:szCs w:val="16"/>
              </w:rPr>
            </w:pPr>
            <w:r>
              <w:rPr>
                <w:rFonts w:ascii="Calibri" w:hAnsi="Calibri" w:cs="Calibri"/>
                <w:color w:val="000000"/>
                <w:sz w:val="16"/>
                <w:szCs w:val="16"/>
              </w:rPr>
              <w:t xml:space="preserve">(395.501) </w:t>
            </w:r>
          </w:p>
        </w:tc>
        <w:tc>
          <w:tcPr>
            <w:tcW w:w="575" w:type="pct"/>
            <w:tcBorders>
              <w:top w:val="nil"/>
              <w:left w:val="nil"/>
              <w:bottom w:val="nil"/>
              <w:right w:val="nil"/>
            </w:tcBorders>
            <w:shd w:val="clear" w:color="auto" w:fill="auto"/>
            <w:noWrap/>
            <w:vAlign w:val="center"/>
            <w:hideMark/>
          </w:tcPr>
          <w:p w14:paraId="7F313EB4" w14:textId="2AF450B7" w:rsidR="00491BC0" w:rsidRDefault="00491BC0">
            <w:pPr>
              <w:jc w:val="right"/>
              <w:rPr>
                <w:rFonts w:ascii="Calibri" w:hAnsi="Calibri" w:cs="Calibri"/>
                <w:color w:val="000000"/>
                <w:sz w:val="16"/>
                <w:szCs w:val="16"/>
              </w:rPr>
            </w:pPr>
            <w:r>
              <w:rPr>
                <w:rFonts w:ascii="Calibri" w:hAnsi="Calibri" w:cs="Calibri"/>
                <w:color w:val="000000"/>
                <w:sz w:val="16"/>
                <w:szCs w:val="16"/>
              </w:rPr>
              <w:t>(150.505)</w:t>
            </w:r>
          </w:p>
        </w:tc>
      </w:tr>
      <w:tr w:rsidR="00491BC0" w14:paraId="0571BA56" w14:textId="77777777" w:rsidTr="00910934">
        <w:trPr>
          <w:trHeight w:hRule="exact" w:val="227"/>
        </w:trPr>
        <w:tc>
          <w:tcPr>
            <w:tcW w:w="2805" w:type="pct"/>
            <w:gridSpan w:val="2"/>
            <w:tcBorders>
              <w:top w:val="nil"/>
              <w:left w:val="nil"/>
              <w:bottom w:val="nil"/>
              <w:right w:val="nil"/>
            </w:tcBorders>
            <w:shd w:val="clear" w:color="auto" w:fill="auto"/>
            <w:noWrap/>
            <w:vAlign w:val="center"/>
            <w:hideMark/>
          </w:tcPr>
          <w:p w14:paraId="632E2F08" w14:textId="77777777" w:rsidR="00491BC0" w:rsidRDefault="00491BC0">
            <w:pPr>
              <w:rPr>
                <w:rFonts w:ascii="Calibri" w:hAnsi="Calibri" w:cs="Calibri"/>
                <w:color w:val="000000"/>
                <w:sz w:val="16"/>
                <w:szCs w:val="16"/>
              </w:rPr>
            </w:pPr>
            <w:proofErr w:type="spellStart"/>
            <w:r>
              <w:rPr>
                <w:rFonts w:ascii="Calibri" w:hAnsi="Calibri" w:cs="Calibri"/>
                <w:color w:val="000000"/>
                <w:sz w:val="16"/>
                <w:szCs w:val="16"/>
              </w:rPr>
              <w:t>Transf</w:t>
            </w:r>
            <w:proofErr w:type="spellEnd"/>
            <w:r>
              <w:rPr>
                <w:rFonts w:ascii="Calibri" w:hAnsi="Calibri" w:cs="Calibri"/>
                <w:color w:val="000000"/>
                <w:sz w:val="16"/>
                <w:szCs w:val="16"/>
              </w:rPr>
              <w:t>. do não circulante para circulante</w:t>
            </w:r>
          </w:p>
        </w:tc>
        <w:tc>
          <w:tcPr>
            <w:tcW w:w="500" w:type="pct"/>
            <w:tcBorders>
              <w:top w:val="nil"/>
              <w:left w:val="nil"/>
              <w:bottom w:val="nil"/>
              <w:right w:val="nil"/>
            </w:tcBorders>
            <w:shd w:val="clear" w:color="auto" w:fill="auto"/>
            <w:noWrap/>
            <w:vAlign w:val="center"/>
            <w:hideMark/>
          </w:tcPr>
          <w:p w14:paraId="7DCF3027" w14:textId="77777777" w:rsidR="00491BC0" w:rsidRDefault="00491BC0">
            <w:pPr>
              <w:rPr>
                <w:rFonts w:ascii="Calibri" w:hAnsi="Calibri" w:cs="Calibri"/>
                <w:color w:val="000000"/>
                <w:sz w:val="16"/>
                <w:szCs w:val="16"/>
              </w:rPr>
            </w:pPr>
          </w:p>
        </w:tc>
        <w:tc>
          <w:tcPr>
            <w:tcW w:w="500" w:type="pct"/>
            <w:tcBorders>
              <w:top w:val="nil"/>
              <w:left w:val="nil"/>
              <w:bottom w:val="nil"/>
              <w:right w:val="nil"/>
            </w:tcBorders>
            <w:shd w:val="clear" w:color="auto" w:fill="auto"/>
            <w:noWrap/>
            <w:vAlign w:val="center"/>
            <w:hideMark/>
          </w:tcPr>
          <w:p w14:paraId="107737BD" w14:textId="77777777" w:rsidR="00491BC0" w:rsidRDefault="00491BC0">
            <w:pPr>
              <w:rPr>
                <w:sz w:val="20"/>
                <w:szCs w:val="20"/>
              </w:rPr>
            </w:pPr>
          </w:p>
        </w:tc>
        <w:tc>
          <w:tcPr>
            <w:tcW w:w="620" w:type="pct"/>
            <w:tcBorders>
              <w:top w:val="nil"/>
              <w:left w:val="nil"/>
              <w:bottom w:val="nil"/>
              <w:right w:val="nil"/>
            </w:tcBorders>
            <w:shd w:val="clear" w:color="auto" w:fill="auto"/>
            <w:vAlign w:val="center"/>
            <w:hideMark/>
          </w:tcPr>
          <w:p w14:paraId="48A212F8" w14:textId="1FE90FAA" w:rsidR="00491BC0" w:rsidRDefault="00491BC0">
            <w:pPr>
              <w:jc w:val="right"/>
              <w:rPr>
                <w:rFonts w:ascii="Calibri" w:hAnsi="Calibri" w:cs="Calibri"/>
                <w:color w:val="000000"/>
                <w:sz w:val="16"/>
                <w:szCs w:val="16"/>
              </w:rPr>
            </w:pPr>
            <w:r>
              <w:rPr>
                <w:rFonts w:ascii="Calibri" w:hAnsi="Calibri" w:cs="Calibri"/>
                <w:color w:val="000000"/>
                <w:sz w:val="16"/>
                <w:szCs w:val="16"/>
              </w:rPr>
              <w:t>(</w:t>
            </w:r>
            <w:r w:rsidR="007F37D9">
              <w:rPr>
                <w:rFonts w:ascii="Calibri" w:hAnsi="Calibri" w:cs="Calibri"/>
                <w:color w:val="000000"/>
                <w:sz w:val="16"/>
                <w:szCs w:val="16"/>
              </w:rPr>
              <w:t>839.902</w:t>
            </w:r>
            <w:r>
              <w:rPr>
                <w:rFonts w:ascii="Calibri" w:hAnsi="Calibri" w:cs="Calibri"/>
                <w:color w:val="000000"/>
                <w:sz w:val="16"/>
                <w:szCs w:val="16"/>
              </w:rPr>
              <w:t>)</w:t>
            </w:r>
          </w:p>
        </w:tc>
        <w:tc>
          <w:tcPr>
            <w:tcW w:w="575" w:type="pct"/>
            <w:tcBorders>
              <w:top w:val="nil"/>
              <w:left w:val="nil"/>
              <w:bottom w:val="nil"/>
              <w:right w:val="nil"/>
            </w:tcBorders>
            <w:shd w:val="clear" w:color="auto" w:fill="auto"/>
            <w:noWrap/>
            <w:vAlign w:val="center"/>
            <w:hideMark/>
          </w:tcPr>
          <w:p w14:paraId="0CBE8E9C" w14:textId="77DB2576" w:rsidR="00491BC0" w:rsidRDefault="00491BC0">
            <w:pPr>
              <w:jc w:val="right"/>
              <w:rPr>
                <w:rFonts w:ascii="Calibri" w:hAnsi="Calibri" w:cs="Calibri"/>
                <w:color w:val="000000"/>
                <w:sz w:val="16"/>
                <w:szCs w:val="16"/>
              </w:rPr>
            </w:pPr>
            <w:r>
              <w:rPr>
                <w:rFonts w:ascii="Calibri" w:hAnsi="Calibri" w:cs="Calibri"/>
                <w:color w:val="000000"/>
                <w:sz w:val="16"/>
                <w:szCs w:val="16"/>
              </w:rPr>
              <w:t>(687.436)</w:t>
            </w:r>
          </w:p>
        </w:tc>
      </w:tr>
      <w:tr w:rsidR="00491BC0" w14:paraId="30ED3FDE" w14:textId="77777777" w:rsidTr="00910934">
        <w:trPr>
          <w:trHeight w:hRule="exact" w:val="227"/>
        </w:trPr>
        <w:tc>
          <w:tcPr>
            <w:tcW w:w="2805" w:type="pct"/>
            <w:gridSpan w:val="2"/>
            <w:tcBorders>
              <w:top w:val="nil"/>
              <w:left w:val="nil"/>
              <w:bottom w:val="nil"/>
              <w:right w:val="nil"/>
            </w:tcBorders>
            <w:shd w:val="clear" w:color="auto" w:fill="auto"/>
            <w:noWrap/>
            <w:vAlign w:val="center"/>
            <w:hideMark/>
          </w:tcPr>
          <w:p w14:paraId="7706298A" w14:textId="77777777" w:rsidR="00491BC0" w:rsidRDefault="00491BC0">
            <w:pPr>
              <w:rPr>
                <w:rFonts w:ascii="Calibri" w:hAnsi="Calibri" w:cs="Calibri"/>
                <w:color w:val="000000"/>
                <w:sz w:val="16"/>
                <w:szCs w:val="16"/>
              </w:rPr>
            </w:pPr>
            <w:r>
              <w:rPr>
                <w:rFonts w:ascii="Calibri" w:hAnsi="Calibri" w:cs="Calibri"/>
                <w:color w:val="000000"/>
                <w:sz w:val="16"/>
                <w:szCs w:val="16"/>
              </w:rPr>
              <w:t>Atualização monetária do período</w:t>
            </w:r>
          </w:p>
        </w:tc>
        <w:tc>
          <w:tcPr>
            <w:tcW w:w="1000" w:type="pct"/>
            <w:gridSpan w:val="2"/>
            <w:tcBorders>
              <w:top w:val="nil"/>
              <w:left w:val="nil"/>
              <w:bottom w:val="nil"/>
              <w:right w:val="nil"/>
            </w:tcBorders>
            <w:shd w:val="clear" w:color="auto" w:fill="auto"/>
            <w:noWrap/>
            <w:vAlign w:val="center"/>
            <w:hideMark/>
          </w:tcPr>
          <w:p w14:paraId="42748B18" w14:textId="77777777" w:rsidR="00491BC0" w:rsidRDefault="00491BC0">
            <w:pPr>
              <w:rPr>
                <w:rFonts w:ascii="Calibri" w:hAnsi="Calibri" w:cs="Calibri"/>
                <w:color w:val="000000"/>
                <w:sz w:val="16"/>
                <w:szCs w:val="16"/>
              </w:rPr>
            </w:pPr>
          </w:p>
        </w:tc>
        <w:tc>
          <w:tcPr>
            <w:tcW w:w="620" w:type="pct"/>
            <w:tcBorders>
              <w:top w:val="nil"/>
              <w:left w:val="nil"/>
              <w:bottom w:val="nil"/>
              <w:right w:val="nil"/>
            </w:tcBorders>
            <w:shd w:val="clear" w:color="auto" w:fill="auto"/>
            <w:noWrap/>
            <w:vAlign w:val="center"/>
            <w:hideMark/>
          </w:tcPr>
          <w:p w14:paraId="0C08EA38" w14:textId="684ECEEA" w:rsidR="00491BC0" w:rsidRDefault="00CD72A9">
            <w:pPr>
              <w:jc w:val="right"/>
              <w:rPr>
                <w:rFonts w:ascii="Calibri" w:hAnsi="Calibri" w:cs="Calibri"/>
                <w:color w:val="000000"/>
                <w:sz w:val="16"/>
                <w:szCs w:val="16"/>
              </w:rPr>
            </w:pPr>
            <w:r>
              <w:rPr>
                <w:rFonts w:ascii="Calibri" w:hAnsi="Calibri" w:cs="Calibri"/>
                <w:color w:val="000000"/>
                <w:sz w:val="16"/>
                <w:szCs w:val="16"/>
              </w:rPr>
              <w:t>4.297.832</w:t>
            </w:r>
          </w:p>
        </w:tc>
        <w:tc>
          <w:tcPr>
            <w:tcW w:w="575" w:type="pct"/>
            <w:tcBorders>
              <w:top w:val="nil"/>
              <w:left w:val="nil"/>
              <w:bottom w:val="nil"/>
              <w:right w:val="nil"/>
            </w:tcBorders>
            <w:shd w:val="clear" w:color="auto" w:fill="auto"/>
            <w:noWrap/>
            <w:vAlign w:val="center"/>
            <w:hideMark/>
          </w:tcPr>
          <w:p w14:paraId="4D0E194B" w14:textId="77777777" w:rsidR="00491BC0" w:rsidRDefault="00491BC0">
            <w:pPr>
              <w:jc w:val="right"/>
              <w:rPr>
                <w:rFonts w:ascii="Calibri" w:hAnsi="Calibri" w:cs="Calibri"/>
                <w:color w:val="000000"/>
                <w:sz w:val="16"/>
                <w:szCs w:val="16"/>
              </w:rPr>
            </w:pPr>
            <w:r>
              <w:rPr>
                <w:rFonts w:ascii="Calibri" w:hAnsi="Calibri" w:cs="Calibri"/>
                <w:color w:val="000000"/>
                <w:sz w:val="16"/>
                <w:szCs w:val="16"/>
              </w:rPr>
              <w:t>4.938.524</w:t>
            </w:r>
          </w:p>
        </w:tc>
      </w:tr>
      <w:tr w:rsidR="00491BC0" w14:paraId="03A25F53" w14:textId="77777777" w:rsidTr="00910934">
        <w:trPr>
          <w:trHeight w:hRule="exact" w:val="227"/>
        </w:trPr>
        <w:tc>
          <w:tcPr>
            <w:tcW w:w="2805" w:type="pct"/>
            <w:gridSpan w:val="2"/>
            <w:tcBorders>
              <w:top w:val="nil"/>
              <w:left w:val="nil"/>
              <w:bottom w:val="single" w:sz="8" w:space="0" w:color="auto"/>
              <w:right w:val="nil"/>
            </w:tcBorders>
            <w:shd w:val="clear" w:color="auto" w:fill="auto"/>
            <w:noWrap/>
            <w:vAlign w:val="center"/>
            <w:hideMark/>
          </w:tcPr>
          <w:p w14:paraId="18B7F786" w14:textId="77777777" w:rsidR="00491BC0" w:rsidRDefault="00491BC0">
            <w:pPr>
              <w:rPr>
                <w:rFonts w:ascii="Calibri" w:hAnsi="Calibri" w:cs="Calibri"/>
                <w:color w:val="000000"/>
                <w:sz w:val="16"/>
                <w:szCs w:val="16"/>
              </w:rPr>
            </w:pPr>
            <w:r>
              <w:rPr>
                <w:rFonts w:ascii="Calibri" w:hAnsi="Calibri" w:cs="Calibri"/>
                <w:color w:val="000000"/>
                <w:sz w:val="16"/>
                <w:szCs w:val="16"/>
              </w:rPr>
              <w:t>Novas permissões</w:t>
            </w:r>
          </w:p>
        </w:tc>
        <w:tc>
          <w:tcPr>
            <w:tcW w:w="500" w:type="pct"/>
            <w:tcBorders>
              <w:top w:val="nil"/>
              <w:left w:val="nil"/>
              <w:bottom w:val="single" w:sz="8" w:space="0" w:color="auto"/>
              <w:right w:val="nil"/>
            </w:tcBorders>
            <w:shd w:val="clear" w:color="auto" w:fill="auto"/>
            <w:noWrap/>
            <w:vAlign w:val="center"/>
            <w:hideMark/>
          </w:tcPr>
          <w:p w14:paraId="649F9B48" w14:textId="77777777" w:rsidR="00491BC0" w:rsidRDefault="00491BC0">
            <w:pPr>
              <w:jc w:val="right"/>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bottom w:val="single" w:sz="8" w:space="0" w:color="auto"/>
              <w:right w:val="nil"/>
            </w:tcBorders>
            <w:shd w:val="clear" w:color="auto" w:fill="auto"/>
            <w:noWrap/>
            <w:vAlign w:val="center"/>
            <w:hideMark/>
          </w:tcPr>
          <w:p w14:paraId="5A14FD8F" w14:textId="77777777" w:rsidR="00491BC0" w:rsidRDefault="00491BC0">
            <w:pPr>
              <w:jc w:val="right"/>
              <w:rPr>
                <w:rFonts w:ascii="Calibri" w:hAnsi="Calibri" w:cs="Calibri"/>
                <w:color w:val="000000"/>
                <w:sz w:val="16"/>
                <w:szCs w:val="16"/>
              </w:rPr>
            </w:pPr>
            <w:r>
              <w:rPr>
                <w:rFonts w:ascii="Calibri" w:hAnsi="Calibri" w:cs="Calibri"/>
                <w:color w:val="000000"/>
                <w:sz w:val="16"/>
                <w:szCs w:val="16"/>
              </w:rPr>
              <w:t> </w:t>
            </w:r>
          </w:p>
        </w:tc>
        <w:tc>
          <w:tcPr>
            <w:tcW w:w="620" w:type="pct"/>
            <w:tcBorders>
              <w:top w:val="nil"/>
              <w:left w:val="nil"/>
              <w:bottom w:val="single" w:sz="8" w:space="0" w:color="auto"/>
              <w:right w:val="nil"/>
            </w:tcBorders>
            <w:shd w:val="clear" w:color="auto" w:fill="auto"/>
            <w:noWrap/>
            <w:vAlign w:val="center"/>
            <w:hideMark/>
          </w:tcPr>
          <w:p w14:paraId="72504012" w14:textId="513C557A" w:rsidR="00491BC0" w:rsidRDefault="00CD72A9">
            <w:pPr>
              <w:jc w:val="right"/>
              <w:rPr>
                <w:rFonts w:ascii="Calibri" w:hAnsi="Calibri" w:cs="Calibri"/>
                <w:color w:val="000000"/>
                <w:sz w:val="16"/>
                <w:szCs w:val="16"/>
              </w:rPr>
            </w:pPr>
            <w:r>
              <w:rPr>
                <w:rFonts w:ascii="Calibri" w:hAnsi="Calibri" w:cs="Calibri"/>
                <w:color w:val="000000"/>
                <w:sz w:val="16"/>
                <w:szCs w:val="16"/>
              </w:rPr>
              <w:t>12.507.421</w:t>
            </w:r>
          </w:p>
        </w:tc>
        <w:tc>
          <w:tcPr>
            <w:tcW w:w="575" w:type="pct"/>
            <w:tcBorders>
              <w:top w:val="nil"/>
              <w:left w:val="nil"/>
              <w:bottom w:val="single" w:sz="8" w:space="0" w:color="auto"/>
              <w:right w:val="nil"/>
            </w:tcBorders>
            <w:shd w:val="clear" w:color="auto" w:fill="auto"/>
            <w:noWrap/>
            <w:vAlign w:val="center"/>
            <w:hideMark/>
          </w:tcPr>
          <w:p w14:paraId="0BB6ECAD" w14:textId="77777777" w:rsidR="00491BC0" w:rsidRDefault="00491BC0">
            <w:pPr>
              <w:jc w:val="right"/>
              <w:rPr>
                <w:rFonts w:ascii="Calibri" w:hAnsi="Calibri" w:cs="Calibri"/>
                <w:color w:val="000000"/>
                <w:sz w:val="16"/>
                <w:szCs w:val="16"/>
              </w:rPr>
            </w:pPr>
            <w:r>
              <w:rPr>
                <w:rFonts w:ascii="Calibri" w:hAnsi="Calibri" w:cs="Calibri"/>
                <w:color w:val="000000"/>
                <w:sz w:val="16"/>
                <w:szCs w:val="16"/>
              </w:rPr>
              <w:t>0</w:t>
            </w:r>
          </w:p>
        </w:tc>
      </w:tr>
      <w:tr w:rsidR="00491BC0" w14:paraId="6FB821E1" w14:textId="77777777" w:rsidTr="00910934">
        <w:trPr>
          <w:trHeight w:hRule="exact" w:val="227"/>
        </w:trPr>
        <w:tc>
          <w:tcPr>
            <w:tcW w:w="2665" w:type="pct"/>
            <w:tcBorders>
              <w:top w:val="nil"/>
              <w:left w:val="nil"/>
              <w:bottom w:val="single" w:sz="8" w:space="0" w:color="auto"/>
              <w:right w:val="nil"/>
            </w:tcBorders>
            <w:shd w:val="clear" w:color="auto" w:fill="auto"/>
            <w:noWrap/>
            <w:vAlign w:val="center"/>
            <w:hideMark/>
          </w:tcPr>
          <w:p w14:paraId="072FA8A8" w14:textId="77777777" w:rsidR="00491BC0" w:rsidRDefault="00491BC0">
            <w:pPr>
              <w:rPr>
                <w:rFonts w:ascii="Calibri" w:hAnsi="Calibri" w:cs="Calibri"/>
                <w:b/>
                <w:bCs/>
                <w:color w:val="000000"/>
                <w:sz w:val="16"/>
                <w:szCs w:val="16"/>
              </w:rPr>
            </w:pPr>
            <w:r>
              <w:rPr>
                <w:rFonts w:ascii="Calibri" w:hAnsi="Calibri" w:cs="Calibri"/>
                <w:b/>
                <w:bCs/>
                <w:color w:val="000000"/>
                <w:sz w:val="16"/>
                <w:szCs w:val="16"/>
              </w:rPr>
              <w:t xml:space="preserve"> TOTAL </w:t>
            </w:r>
          </w:p>
        </w:tc>
        <w:tc>
          <w:tcPr>
            <w:tcW w:w="140" w:type="pct"/>
            <w:tcBorders>
              <w:top w:val="nil"/>
              <w:left w:val="nil"/>
              <w:bottom w:val="single" w:sz="8" w:space="0" w:color="auto"/>
              <w:right w:val="nil"/>
            </w:tcBorders>
            <w:shd w:val="clear" w:color="auto" w:fill="auto"/>
            <w:noWrap/>
            <w:vAlign w:val="center"/>
            <w:hideMark/>
          </w:tcPr>
          <w:p w14:paraId="4A65DCAB" w14:textId="77777777" w:rsidR="00491BC0" w:rsidRDefault="00491BC0">
            <w:pPr>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bottom w:val="single" w:sz="8" w:space="0" w:color="auto"/>
              <w:right w:val="nil"/>
            </w:tcBorders>
            <w:shd w:val="clear" w:color="auto" w:fill="auto"/>
            <w:noWrap/>
            <w:vAlign w:val="center"/>
            <w:hideMark/>
          </w:tcPr>
          <w:p w14:paraId="40CF6955" w14:textId="77777777" w:rsidR="00491BC0" w:rsidRDefault="00491BC0">
            <w:pPr>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bottom w:val="single" w:sz="8" w:space="0" w:color="auto"/>
              <w:right w:val="nil"/>
            </w:tcBorders>
            <w:shd w:val="clear" w:color="auto" w:fill="auto"/>
            <w:noWrap/>
            <w:vAlign w:val="center"/>
            <w:hideMark/>
          </w:tcPr>
          <w:p w14:paraId="7008BA37" w14:textId="77777777" w:rsidR="00491BC0" w:rsidRDefault="00491BC0">
            <w:pPr>
              <w:jc w:val="right"/>
              <w:rPr>
                <w:rFonts w:ascii="Calibri" w:hAnsi="Calibri" w:cs="Calibri"/>
                <w:b/>
                <w:bCs/>
                <w:color w:val="000000"/>
                <w:sz w:val="16"/>
                <w:szCs w:val="16"/>
              </w:rPr>
            </w:pPr>
            <w:r>
              <w:rPr>
                <w:rFonts w:ascii="Calibri" w:hAnsi="Calibri" w:cs="Calibri"/>
                <w:b/>
                <w:bCs/>
                <w:color w:val="000000"/>
                <w:sz w:val="16"/>
                <w:szCs w:val="16"/>
              </w:rPr>
              <w:t> </w:t>
            </w:r>
          </w:p>
        </w:tc>
        <w:tc>
          <w:tcPr>
            <w:tcW w:w="620" w:type="pct"/>
            <w:tcBorders>
              <w:top w:val="nil"/>
              <w:left w:val="nil"/>
              <w:bottom w:val="single" w:sz="8" w:space="0" w:color="auto"/>
              <w:right w:val="nil"/>
            </w:tcBorders>
            <w:shd w:val="clear" w:color="auto" w:fill="auto"/>
            <w:noWrap/>
            <w:vAlign w:val="center"/>
            <w:hideMark/>
          </w:tcPr>
          <w:p w14:paraId="19DCD61B" w14:textId="7AAA5CEA" w:rsidR="00491BC0" w:rsidRDefault="00CD72A9">
            <w:pPr>
              <w:jc w:val="right"/>
              <w:rPr>
                <w:rFonts w:ascii="Calibri" w:hAnsi="Calibri" w:cs="Calibri"/>
                <w:b/>
                <w:bCs/>
                <w:color w:val="000000"/>
                <w:sz w:val="16"/>
                <w:szCs w:val="16"/>
              </w:rPr>
            </w:pPr>
            <w:r>
              <w:rPr>
                <w:rFonts w:ascii="Calibri" w:hAnsi="Calibri" w:cs="Calibri"/>
                <w:b/>
                <w:bCs/>
                <w:color w:val="000000"/>
                <w:sz w:val="16"/>
                <w:szCs w:val="16"/>
              </w:rPr>
              <w:t>41.058.367</w:t>
            </w:r>
          </w:p>
        </w:tc>
        <w:tc>
          <w:tcPr>
            <w:tcW w:w="575" w:type="pct"/>
            <w:tcBorders>
              <w:top w:val="nil"/>
              <w:left w:val="nil"/>
              <w:bottom w:val="single" w:sz="8" w:space="0" w:color="auto"/>
              <w:right w:val="nil"/>
            </w:tcBorders>
            <w:shd w:val="clear" w:color="auto" w:fill="auto"/>
            <w:noWrap/>
            <w:vAlign w:val="center"/>
            <w:hideMark/>
          </w:tcPr>
          <w:p w14:paraId="480E82AE" w14:textId="77777777" w:rsidR="00491BC0" w:rsidRDefault="00491BC0">
            <w:pPr>
              <w:jc w:val="right"/>
              <w:rPr>
                <w:rFonts w:ascii="Calibri" w:hAnsi="Calibri" w:cs="Calibri"/>
                <w:b/>
                <w:bCs/>
                <w:color w:val="000000"/>
                <w:sz w:val="16"/>
                <w:szCs w:val="16"/>
              </w:rPr>
            </w:pPr>
            <w:r>
              <w:rPr>
                <w:rFonts w:ascii="Calibri" w:hAnsi="Calibri" w:cs="Calibri"/>
                <w:b/>
                <w:bCs/>
                <w:color w:val="000000"/>
                <w:sz w:val="16"/>
                <w:szCs w:val="16"/>
              </w:rPr>
              <w:t>25.488.517</w:t>
            </w:r>
          </w:p>
        </w:tc>
      </w:tr>
      <w:tr w:rsidR="00491BC0" w14:paraId="3453753A" w14:textId="77777777" w:rsidTr="00910934">
        <w:trPr>
          <w:trHeight w:hRule="exact" w:val="227"/>
        </w:trPr>
        <w:tc>
          <w:tcPr>
            <w:tcW w:w="2805" w:type="pct"/>
            <w:gridSpan w:val="2"/>
            <w:tcBorders>
              <w:top w:val="single" w:sz="8" w:space="0" w:color="auto"/>
              <w:left w:val="nil"/>
              <w:bottom w:val="single" w:sz="8" w:space="0" w:color="auto"/>
              <w:right w:val="nil"/>
            </w:tcBorders>
            <w:shd w:val="clear" w:color="auto" w:fill="auto"/>
            <w:noWrap/>
            <w:vAlign w:val="center"/>
            <w:hideMark/>
          </w:tcPr>
          <w:p w14:paraId="05F89852" w14:textId="77777777" w:rsidR="00491BC0" w:rsidRDefault="00491BC0">
            <w:pPr>
              <w:rPr>
                <w:rFonts w:ascii="Calibri" w:hAnsi="Calibri" w:cs="Calibri"/>
                <w:b/>
                <w:bCs/>
                <w:color w:val="000000"/>
                <w:sz w:val="16"/>
                <w:szCs w:val="16"/>
              </w:rPr>
            </w:pPr>
            <w:r>
              <w:rPr>
                <w:rFonts w:ascii="Calibri" w:hAnsi="Calibri" w:cs="Calibri"/>
                <w:b/>
                <w:bCs/>
                <w:color w:val="000000"/>
                <w:sz w:val="16"/>
                <w:szCs w:val="16"/>
              </w:rPr>
              <w:t>SALDO DE CONTRATOS POR PERMISSÃO A RECEBER</w:t>
            </w:r>
          </w:p>
        </w:tc>
        <w:tc>
          <w:tcPr>
            <w:tcW w:w="500" w:type="pct"/>
            <w:tcBorders>
              <w:top w:val="nil"/>
              <w:left w:val="nil"/>
              <w:bottom w:val="single" w:sz="8" w:space="0" w:color="auto"/>
              <w:right w:val="nil"/>
            </w:tcBorders>
            <w:shd w:val="clear" w:color="auto" w:fill="auto"/>
            <w:noWrap/>
            <w:vAlign w:val="center"/>
            <w:hideMark/>
          </w:tcPr>
          <w:p w14:paraId="2CF844B4" w14:textId="77777777" w:rsidR="00491BC0" w:rsidRDefault="00491BC0">
            <w:pPr>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bottom w:val="single" w:sz="8" w:space="0" w:color="auto"/>
              <w:right w:val="nil"/>
            </w:tcBorders>
            <w:shd w:val="clear" w:color="auto" w:fill="auto"/>
            <w:noWrap/>
            <w:vAlign w:val="center"/>
            <w:hideMark/>
          </w:tcPr>
          <w:p w14:paraId="4B7068BC" w14:textId="77777777" w:rsidR="00491BC0" w:rsidRDefault="00491BC0">
            <w:pPr>
              <w:jc w:val="right"/>
              <w:rPr>
                <w:rFonts w:ascii="Calibri" w:hAnsi="Calibri" w:cs="Calibri"/>
                <w:b/>
                <w:bCs/>
                <w:color w:val="000000"/>
                <w:sz w:val="16"/>
                <w:szCs w:val="16"/>
              </w:rPr>
            </w:pPr>
            <w:r>
              <w:rPr>
                <w:rFonts w:ascii="Calibri" w:hAnsi="Calibri" w:cs="Calibri"/>
                <w:b/>
                <w:bCs/>
                <w:color w:val="000000"/>
                <w:sz w:val="16"/>
                <w:szCs w:val="16"/>
              </w:rPr>
              <w:t> </w:t>
            </w:r>
          </w:p>
        </w:tc>
        <w:tc>
          <w:tcPr>
            <w:tcW w:w="620" w:type="pct"/>
            <w:tcBorders>
              <w:top w:val="nil"/>
              <w:left w:val="nil"/>
              <w:bottom w:val="single" w:sz="8" w:space="0" w:color="auto"/>
              <w:right w:val="nil"/>
            </w:tcBorders>
            <w:shd w:val="clear" w:color="auto" w:fill="auto"/>
            <w:noWrap/>
            <w:vAlign w:val="center"/>
            <w:hideMark/>
          </w:tcPr>
          <w:p w14:paraId="326EC8BE" w14:textId="58016F77" w:rsidR="00491BC0" w:rsidRDefault="00491BC0">
            <w:pPr>
              <w:jc w:val="right"/>
              <w:rPr>
                <w:rFonts w:ascii="Calibri" w:hAnsi="Calibri" w:cs="Calibri"/>
                <w:b/>
                <w:bCs/>
                <w:color w:val="000000"/>
                <w:sz w:val="16"/>
                <w:szCs w:val="16"/>
              </w:rPr>
            </w:pPr>
            <w:r>
              <w:rPr>
                <w:rFonts w:ascii="Calibri" w:hAnsi="Calibri" w:cs="Calibri"/>
                <w:b/>
                <w:bCs/>
                <w:color w:val="000000"/>
                <w:sz w:val="16"/>
                <w:szCs w:val="16"/>
              </w:rPr>
              <w:t>30/0</w:t>
            </w:r>
            <w:r w:rsidR="00CD72A9">
              <w:rPr>
                <w:rFonts w:ascii="Calibri" w:hAnsi="Calibri" w:cs="Calibri"/>
                <w:b/>
                <w:bCs/>
                <w:color w:val="000000"/>
                <w:sz w:val="16"/>
                <w:szCs w:val="16"/>
              </w:rPr>
              <w:t>9</w:t>
            </w:r>
            <w:r>
              <w:rPr>
                <w:rFonts w:ascii="Calibri" w:hAnsi="Calibri" w:cs="Calibri"/>
                <w:b/>
                <w:bCs/>
                <w:color w:val="000000"/>
                <w:sz w:val="16"/>
                <w:szCs w:val="16"/>
              </w:rPr>
              <w:t>/2021 </w:t>
            </w:r>
          </w:p>
        </w:tc>
        <w:tc>
          <w:tcPr>
            <w:tcW w:w="575" w:type="pct"/>
            <w:tcBorders>
              <w:top w:val="nil"/>
              <w:left w:val="nil"/>
              <w:bottom w:val="single" w:sz="8" w:space="0" w:color="auto"/>
              <w:right w:val="nil"/>
            </w:tcBorders>
            <w:shd w:val="clear" w:color="auto" w:fill="auto"/>
            <w:noWrap/>
            <w:vAlign w:val="center"/>
            <w:hideMark/>
          </w:tcPr>
          <w:p w14:paraId="5F17EFB2" w14:textId="77777777" w:rsidR="00491BC0" w:rsidRDefault="00491BC0">
            <w:pPr>
              <w:jc w:val="right"/>
              <w:rPr>
                <w:rFonts w:ascii="Calibri" w:hAnsi="Calibri" w:cs="Calibri"/>
                <w:b/>
                <w:bCs/>
                <w:color w:val="000000"/>
                <w:sz w:val="16"/>
                <w:szCs w:val="16"/>
              </w:rPr>
            </w:pPr>
            <w:r>
              <w:rPr>
                <w:rFonts w:ascii="Calibri" w:hAnsi="Calibri" w:cs="Calibri"/>
                <w:b/>
                <w:bCs/>
                <w:color w:val="000000"/>
                <w:sz w:val="16"/>
                <w:szCs w:val="16"/>
              </w:rPr>
              <w:t>31/12/2020</w:t>
            </w:r>
          </w:p>
        </w:tc>
      </w:tr>
      <w:tr w:rsidR="00491BC0" w14:paraId="7DD0C898" w14:textId="77777777" w:rsidTr="00910934">
        <w:trPr>
          <w:trHeight w:hRule="exact" w:val="227"/>
        </w:trPr>
        <w:tc>
          <w:tcPr>
            <w:tcW w:w="2665" w:type="pct"/>
            <w:tcBorders>
              <w:top w:val="nil"/>
              <w:left w:val="nil"/>
              <w:bottom w:val="nil"/>
              <w:right w:val="nil"/>
            </w:tcBorders>
            <w:shd w:val="clear" w:color="auto" w:fill="auto"/>
            <w:noWrap/>
            <w:vAlign w:val="center"/>
            <w:hideMark/>
          </w:tcPr>
          <w:p w14:paraId="00C50BB0" w14:textId="77777777" w:rsidR="00491BC0" w:rsidRDefault="00491BC0">
            <w:pPr>
              <w:rPr>
                <w:rFonts w:ascii="Calibri" w:hAnsi="Calibri" w:cs="Calibri"/>
                <w:color w:val="000000"/>
                <w:sz w:val="16"/>
                <w:szCs w:val="16"/>
              </w:rPr>
            </w:pPr>
            <w:r>
              <w:rPr>
                <w:rFonts w:ascii="Calibri" w:hAnsi="Calibri" w:cs="Calibri"/>
                <w:color w:val="000000"/>
                <w:sz w:val="16"/>
                <w:szCs w:val="16"/>
              </w:rPr>
              <w:t>Agrex do Brasil</w:t>
            </w:r>
          </w:p>
        </w:tc>
        <w:tc>
          <w:tcPr>
            <w:tcW w:w="140" w:type="pct"/>
            <w:tcBorders>
              <w:top w:val="nil"/>
              <w:left w:val="nil"/>
              <w:bottom w:val="nil"/>
              <w:right w:val="nil"/>
            </w:tcBorders>
            <w:shd w:val="clear" w:color="auto" w:fill="auto"/>
            <w:noWrap/>
            <w:vAlign w:val="center"/>
            <w:hideMark/>
          </w:tcPr>
          <w:p w14:paraId="225E1BB5" w14:textId="77777777" w:rsidR="00491BC0" w:rsidRDefault="00491BC0">
            <w:pPr>
              <w:rPr>
                <w:rFonts w:ascii="Calibri" w:hAnsi="Calibri" w:cs="Calibri"/>
                <w:color w:val="000000"/>
                <w:sz w:val="16"/>
                <w:szCs w:val="16"/>
              </w:rPr>
            </w:pPr>
          </w:p>
        </w:tc>
        <w:tc>
          <w:tcPr>
            <w:tcW w:w="500" w:type="pct"/>
            <w:tcBorders>
              <w:top w:val="nil"/>
              <w:left w:val="nil"/>
              <w:bottom w:val="nil"/>
              <w:right w:val="nil"/>
            </w:tcBorders>
            <w:shd w:val="clear" w:color="auto" w:fill="auto"/>
            <w:noWrap/>
            <w:vAlign w:val="center"/>
            <w:hideMark/>
          </w:tcPr>
          <w:p w14:paraId="0F59AE26" w14:textId="77777777" w:rsidR="00491BC0" w:rsidRDefault="00491BC0">
            <w:pPr>
              <w:rPr>
                <w:sz w:val="20"/>
                <w:szCs w:val="20"/>
              </w:rPr>
            </w:pPr>
          </w:p>
        </w:tc>
        <w:tc>
          <w:tcPr>
            <w:tcW w:w="500" w:type="pct"/>
            <w:tcBorders>
              <w:top w:val="nil"/>
              <w:left w:val="nil"/>
              <w:bottom w:val="nil"/>
              <w:right w:val="nil"/>
            </w:tcBorders>
            <w:shd w:val="clear" w:color="auto" w:fill="auto"/>
            <w:noWrap/>
            <w:vAlign w:val="center"/>
            <w:hideMark/>
          </w:tcPr>
          <w:p w14:paraId="7E7A9A0A" w14:textId="77777777" w:rsidR="00491BC0" w:rsidRDefault="00491BC0">
            <w:pPr>
              <w:rPr>
                <w:sz w:val="20"/>
                <w:szCs w:val="20"/>
              </w:rPr>
            </w:pPr>
          </w:p>
        </w:tc>
        <w:tc>
          <w:tcPr>
            <w:tcW w:w="620" w:type="pct"/>
            <w:tcBorders>
              <w:top w:val="nil"/>
              <w:left w:val="nil"/>
              <w:bottom w:val="nil"/>
              <w:right w:val="nil"/>
            </w:tcBorders>
            <w:shd w:val="clear" w:color="auto" w:fill="auto"/>
            <w:noWrap/>
            <w:vAlign w:val="center"/>
            <w:hideMark/>
          </w:tcPr>
          <w:p w14:paraId="40747CF6" w14:textId="77777777" w:rsidR="00491BC0" w:rsidRDefault="00491BC0">
            <w:pPr>
              <w:jc w:val="right"/>
              <w:rPr>
                <w:rFonts w:ascii="Calibri" w:hAnsi="Calibri" w:cs="Calibri"/>
                <w:color w:val="000000"/>
                <w:sz w:val="16"/>
                <w:szCs w:val="16"/>
              </w:rPr>
            </w:pPr>
            <w:r>
              <w:rPr>
                <w:rFonts w:ascii="Calibri" w:hAnsi="Calibri" w:cs="Calibri"/>
                <w:color w:val="000000"/>
                <w:sz w:val="16"/>
                <w:szCs w:val="16"/>
              </w:rPr>
              <w:t>0</w:t>
            </w:r>
          </w:p>
        </w:tc>
        <w:tc>
          <w:tcPr>
            <w:tcW w:w="575" w:type="pct"/>
            <w:tcBorders>
              <w:top w:val="nil"/>
              <w:left w:val="nil"/>
              <w:bottom w:val="nil"/>
              <w:right w:val="nil"/>
            </w:tcBorders>
            <w:shd w:val="clear" w:color="auto" w:fill="auto"/>
            <w:noWrap/>
            <w:vAlign w:val="center"/>
            <w:hideMark/>
          </w:tcPr>
          <w:p w14:paraId="4FEACD3F" w14:textId="77777777" w:rsidR="00491BC0" w:rsidRDefault="00491BC0">
            <w:pPr>
              <w:jc w:val="right"/>
              <w:rPr>
                <w:rFonts w:ascii="Calibri" w:hAnsi="Calibri" w:cs="Calibri"/>
                <w:color w:val="000000"/>
                <w:sz w:val="16"/>
                <w:szCs w:val="16"/>
              </w:rPr>
            </w:pPr>
            <w:r>
              <w:rPr>
                <w:rFonts w:ascii="Calibri" w:hAnsi="Calibri" w:cs="Calibri"/>
                <w:color w:val="000000"/>
                <w:sz w:val="16"/>
                <w:szCs w:val="16"/>
              </w:rPr>
              <w:t>735.000</w:t>
            </w:r>
          </w:p>
        </w:tc>
      </w:tr>
      <w:tr w:rsidR="00491BC0" w14:paraId="16D7CC93" w14:textId="77777777" w:rsidTr="00910934">
        <w:trPr>
          <w:trHeight w:hRule="exact" w:val="227"/>
        </w:trPr>
        <w:tc>
          <w:tcPr>
            <w:tcW w:w="2665" w:type="pct"/>
            <w:tcBorders>
              <w:top w:val="nil"/>
              <w:left w:val="nil"/>
              <w:bottom w:val="nil"/>
              <w:right w:val="nil"/>
            </w:tcBorders>
            <w:shd w:val="clear" w:color="auto" w:fill="auto"/>
            <w:noWrap/>
            <w:vAlign w:val="center"/>
            <w:hideMark/>
          </w:tcPr>
          <w:p w14:paraId="4DAC5FD6" w14:textId="77777777" w:rsidR="00491BC0" w:rsidRDefault="00491BC0">
            <w:pPr>
              <w:rPr>
                <w:rFonts w:ascii="Calibri" w:hAnsi="Calibri" w:cs="Calibri"/>
                <w:color w:val="000000"/>
                <w:sz w:val="16"/>
                <w:szCs w:val="16"/>
              </w:rPr>
            </w:pPr>
            <w:r>
              <w:rPr>
                <w:rFonts w:ascii="Calibri" w:hAnsi="Calibri" w:cs="Calibri"/>
                <w:color w:val="000000"/>
                <w:sz w:val="16"/>
                <w:szCs w:val="16"/>
              </w:rPr>
              <w:t>Bunge S.A.</w:t>
            </w:r>
          </w:p>
        </w:tc>
        <w:tc>
          <w:tcPr>
            <w:tcW w:w="140" w:type="pct"/>
            <w:tcBorders>
              <w:top w:val="nil"/>
              <w:left w:val="nil"/>
              <w:bottom w:val="nil"/>
              <w:right w:val="nil"/>
            </w:tcBorders>
            <w:shd w:val="clear" w:color="auto" w:fill="auto"/>
            <w:noWrap/>
            <w:vAlign w:val="center"/>
            <w:hideMark/>
          </w:tcPr>
          <w:p w14:paraId="68E56EE1" w14:textId="77777777" w:rsidR="00491BC0" w:rsidRDefault="00491BC0">
            <w:pPr>
              <w:rPr>
                <w:rFonts w:ascii="Calibri" w:hAnsi="Calibri" w:cs="Calibri"/>
                <w:color w:val="000000"/>
                <w:sz w:val="16"/>
                <w:szCs w:val="16"/>
              </w:rPr>
            </w:pPr>
          </w:p>
        </w:tc>
        <w:tc>
          <w:tcPr>
            <w:tcW w:w="500" w:type="pct"/>
            <w:tcBorders>
              <w:top w:val="nil"/>
              <w:left w:val="nil"/>
              <w:bottom w:val="nil"/>
              <w:right w:val="nil"/>
            </w:tcBorders>
            <w:shd w:val="clear" w:color="auto" w:fill="auto"/>
            <w:noWrap/>
            <w:vAlign w:val="center"/>
            <w:hideMark/>
          </w:tcPr>
          <w:p w14:paraId="44DB9B49" w14:textId="77777777" w:rsidR="00491BC0" w:rsidRDefault="00491BC0">
            <w:pPr>
              <w:rPr>
                <w:sz w:val="20"/>
                <w:szCs w:val="20"/>
              </w:rPr>
            </w:pPr>
          </w:p>
        </w:tc>
        <w:tc>
          <w:tcPr>
            <w:tcW w:w="500" w:type="pct"/>
            <w:tcBorders>
              <w:top w:val="nil"/>
              <w:left w:val="nil"/>
              <w:bottom w:val="nil"/>
              <w:right w:val="nil"/>
            </w:tcBorders>
            <w:shd w:val="clear" w:color="auto" w:fill="auto"/>
            <w:noWrap/>
            <w:vAlign w:val="center"/>
            <w:hideMark/>
          </w:tcPr>
          <w:p w14:paraId="37E1086D" w14:textId="77777777" w:rsidR="00491BC0" w:rsidRDefault="00491BC0">
            <w:pPr>
              <w:rPr>
                <w:sz w:val="20"/>
                <w:szCs w:val="20"/>
              </w:rPr>
            </w:pPr>
          </w:p>
        </w:tc>
        <w:tc>
          <w:tcPr>
            <w:tcW w:w="620" w:type="pct"/>
            <w:tcBorders>
              <w:top w:val="nil"/>
              <w:left w:val="nil"/>
              <w:bottom w:val="nil"/>
              <w:right w:val="nil"/>
            </w:tcBorders>
            <w:shd w:val="clear" w:color="auto" w:fill="auto"/>
            <w:noWrap/>
            <w:vAlign w:val="center"/>
            <w:hideMark/>
          </w:tcPr>
          <w:p w14:paraId="4F0D0D52" w14:textId="1F084EE2" w:rsidR="00491BC0" w:rsidRDefault="00CD72A9">
            <w:pPr>
              <w:jc w:val="right"/>
              <w:rPr>
                <w:rFonts w:ascii="Calibri" w:hAnsi="Calibri" w:cs="Calibri"/>
                <w:color w:val="000000"/>
                <w:sz w:val="16"/>
                <w:szCs w:val="16"/>
              </w:rPr>
            </w:pPr>
            <w:r>
              <w:rPr>
                <w:rFonts w:ascii="Calibri" w:hAnsi="Calibri" w:cs="Calibri"/>
                <w:color w:val="000000"/>
                <w:sz w:val="16"/>
                <w:szCs w:val="16"/>
              </w:rPr>
              <w:t>35.250</w:t>
            </w:r>
          </w:p>
        </w:tc>
        <w:tc>
          <w:tcPr>
            <w:tcW w:w="575" w:type="pct"/>
            <w:tcBorders>
              <w:top w:val="nil"/>
              <w:left w:val="nil"/>
              <w:bottom w:val="nil"/>
              <w:right w:val="nil"/>
            </w:tcBorders>
            <w:shd w:val="clear" w:color="auto" w:fill="auto"/>
            <w:noWrap/>
            <w:vAlign w:val="center"/>
            <w:hideMark/>
          </w:tcPr>
          <w:p w14:paraId="42C4E6D2" w14:textId="77777777" w:rsidR="00491BC0" w:rsidRDefault="00491BC0">
            <w:pPr>
              <w:jc w:val="right"/>
              <w:rPr>
                <w:rFonts w:ascii="Calibri" w:hAnsi="Calibri" w:cs="Calibri"/>
                <w:color w:val="000000"/>
                <w:sz w:val="16"/>
                <w:szCs w:val="16"/>
              </w:rPr>
            </w:pPr>
            <w:r>
              <w:rPr>
                <w:rFonts w:ascii="Calibri" w:hAnsi="Calibri" w:cs="Calibri"/>
                <w:color w:val="000000"/>
                <w:sz w:val="16"/>
                <w:szCs w:val="16"/>
              </w:rPr>
              <w:t>40.052</w:t>
            </w:r>
          </w:p>
        </w:tc>
      </w:tr>
      <w:tr w:rsidR="00491BC0" w14:paraId="2A54722F" w14:textId="77777777" w:rsidTr="00910934">
        <w:trPr>
          <w:trHeight w:hRule="exact" w:val="227"/>
        </w:trPr>
        <w:tc>
          <w:tcPr>
            <w:tcW w:w="2665" w:type="pct"/>
            <w:tcBorders>
              <w:top w:val="nil"/>
              <w:left w:val="nil"/>
              <w:bottom w:val="nil"/>
              <w:right w:val="nil"/>
            </w:tcBorders>
            <w:shd w:val="clear" w:color="auto" w:fill="auto"/>
            <w:noWrap/>
            <w:vAlign w:val="center"/>
            <w:hideMark/>
          </w:tcPr>
          <w:p w14:paraId="6FCFE569" w14:textId="77777777" w:rsidR="00491BC0" w:rsidRDefault="00491BC0">
            <w:pPr>
              <w:rPr>
                <w:rFonts w:ascii="Calibri" w:hAnsi="Calibri" w:cs="Calibri"/>
                <w:color w:val="000000"/>
                <w:sz w:val="16"/>
                <w:szCs w:val="16"/>
              </w:rPr>
            </w:pPr>
            <w:r>
              <w:rPr>
                <w:rFonts w:ascii="Calibri" w:hAnsi="Calibri" w:cs="Calibri"/>
                <w:color w:val="000000"/>
                <w:sz w:val="16"/>
                <w:szCs w:val="16"/>
              </w:rPr>
              <w:t>Cargill Agrícola S.A.</w:t>
            </w:r>
          </w:p>
        </w:tc>
        <w:tc>
          <w:tcPr>
            <w:tcW w:w="140" w:type="pct"/>
            <w:tcBorders>
              <w:top w:val="nil"/>
              <w:left w:val="nil"/>
              <w:bottom w:val="nil"/>
              <w:right w:val="nil"/>
            </w:tcBorders>
            <w:shd w:val="clear" w:color="auto" w:fill="auto"/>
            <w:noWrap/>
            <w:vAlign w:val="center"/>
            <w:hideMark/>
          </w:tcPr>
          <w:p w14:paraId="15A0EE53" w14:textId="77777777" w:rsidR="00491BC0" w:rsidRDefault="00491BC0">
            <w:pPr>
              <w:rPr>
                <w:rFonts w:ascii="Calibri" w:hAnsi="Calibri" w:cs="Calibri"/>
                <w:color w:val="000000"/>
                <w:sz w:val="16"/>
                <w:szCs w:val="16"/>
              </w:rPr>
            </w:pPr>
          </w:p>
        </w:tc>
        <w:tc>
          <w:tcPr>
            <w:tcW w:w="500" w:type="pct"/>
            <w:tcBorders>
              <w:top w:val="nil"/>
              <w:left w:val="nil"/>
              <w:bottom w:val="nil"/>
              <w:right w:val="nil"/>
            </w:tcBorders>
            <w:shd w:val="clear" w:color="auto" w:fill="auto"/>
            <w:noWrap/>
            <w:vAlign w:val="center"/>
            <w:hideMark/>
          </w:tcPr>
          <w:p w14:paraId="59E39F52" w14:textId="77777777" w:rsidR="00491BC0" w:rsidRDefault="00491BC0">
            <w:pPr>
              <w:rPr>
                <w:sz w:val="20"/>
                <w:szCs w:val="20"/>
              </w:rPr>
            </w:pPr>
          </w:p>
        </w:tc>
        <w:tc>
          <w:tcPr>
            <w:tcW w:w="500" w:type="pct"/>
            <w:tcBorders>
              <w:top w:val="nil"/>
              <w:left w:val="nil"/>
              <w:bottom w:val="nil"/>
              <w:right w:val="nil"/>
            </w:tcBorders>
            <w:shd w:val="clear" w:color="auto" w:fill="auto"/>
            <w:noWrap/>
            <w:vAlign w:val="center"/>
            <w:hideMark/>
          </w:tcPr>
          <w:p w14:paraId="0C63FD56" w14:textId="77777777" w:rsidR="00491BC0" w:rsidRDefault="00491BC0">
            <w:pPr>
              <w:rPr>
                <w:sz w:val="20"/>
                <w:szCs w:val="20"/>
              </w:rPr>
            </w:pPr>
          </w:p>
        </w:tc>
        <w:tc>
          <w:tcPr>
            <w:tcW w:w="620" w:type="pct"/>
            <w:tcBorders>
              <w:top w:val="nil"/>
              <w:left w:val="nil"/>
              <w:bottom w:val="nil"/>
              <w:right w:val="nil"/>
            </w:tcBorders>
            <w:shd w:val="clear" w:color="auto" w:fill="auto"/>
            <w:noWrap/>
            <w:vAlign w:val="center"/>
            <w:hideMark/>
          </w:tcPr>
          <w:p w14:paraId="72FA78F9" w14:textId="77777777" w:rsidR="00491BC0" w:rsidRDefault="00491BC0">
            <w:pPr>
              <w:jc w:val="right"/>
              <w:rPr>
                <w:rFonts w:ascii="Calibri" w:hAnsi="Calibri" w:cs="Calibri"/>
                <w:color w:val="000000"/>
                <w:sz w:val="16"/>
                <w:szCs w:val="16"/>
              </w:rPr>
            </w:pPr>
            <w:r>
              <w:rPr>
                <w:rFonts w:ascii="Calibri" w:hAnsi="Calibri" w:cs="Calibri"/>
                <w:color w:val="000000"/>
                <w:sz w:val="16"/>
                <w:szCs w:val="16"/>
              </w:rPr>
              <w:t>0</w:t>
            </w:r>
          </w:p>
        </w:tc>
        <w:tc>
          <w:tcPr>
            <w:tcW w:w="575" w:type="pct"/>
            <w:tcBorders>
              <w:top w:val="nil"/>
              <w:left w:val="nil"/>
              <w:bottom w:val="nil"/>
              <w:right w:val="nil"/>
            </w:tcBorders>
            <w:shd w:val="clear" w:color="auto" w:fill="auto"/>
            <w:noWrap/>
            <w:vAlign w:val="center"/>
            <w:hideMark/>
          </w:tcPr>
          <w:p w14:paraId="0DFFD329" w14:textId="77777777" w:rsidR="00491BC0" w:rsidRDefault="00491BC0">
            <w:pPr>
              <w:jc w:val="right"/>
              <w:rPr>
                <w:rFonts w:ascii="Calibri" w:hAnsi="Calibri" w:cs="Calibri"/>
                <w:color w:val="000000"/>
                <w:sz w:val="16"/>
                <w:szCs w:val="16"/>
              </w:rPr>
            </w:pPr>
            <w:r>
              <w:rPr>
                <w:rFonts w:ascii="Calibri" w:hAnsi="Calibri" w:cs="Calibri"/>
                <w:color w:val="000000"/>
                <w:sz w:val="16"/>
                <w:szCs w:val="16"/>
              </w:rPr>
              <w:t>24.850</w:t>
            </w:r>
          </w:p>
        </w:tc>
      </w:tr>
      <w:tr w:rsidR="00491BC0" w14:paraId="31E60EBC" w14:textId="77777777" w:rsidTr="00910934">
        <w:trPr>
          <w:trHeight w:hRule="exact" w:val="227"/>
        </w:trPr>
        <w:tc>
          <w:tcPr>
            <w:tcW w:w="2665" w:type="pct"/>
            <w:tcBorders>
              <w:top w:val="nil"/>
              <w:left w:val="nil"/>
              <w:bottom w:val="nil"/>
              <w:right w:val="nil"/>
            </w:tcBorders>
            <w:shd w:val="clear" w:color="auto" w:fill="auto"/>
            <w:noWrap/>
            <w:vAlign w:val="center"/>
            <w:hideMark/>
          </w:tcPr>
          <w:p w14:paraId="04AD47F3" w14:textId="77777777" w:rsidR="00491BC0" w:rsidRDefault="00491BC0">
            <w:pPr>
              <w:rPr>
                <w:rFonts w:ascii="Calibri" w:hAnsi="Calibri" w:cs="Calibri"/>
                <w:color w:val="000000"/>
                <w:sz w:val="16"/>
                <w:szCs w:val="16"/>
              </w:rPr>
            </w:pPr>
            <w:r>
              <w:rPr>
                <w:rFonts w:ascii="Calibri" w:hAnsi="Calibri" w:cs="Calibri"/>
                <w:color w:val="000000"/>
                <w:sz w:val="16"/>
                <w:szCs w:val="16"/>
              </w:rPr>
              <w:t>Porto Seco</w:t>
            </w:r>
          </w:p>
        </w:tc>
        <w:tc>
          <w:tcPr>
            <w:tcW w:w="140" w:type="pct"/>
            <w:tcBorders>
              <w:top w:val="nil"/>
              <w:left w:val="nil"/>
              <w:bottom w:val="nil"/>
              <w:right w:val="nil"/>
            </w:tcBorders>
            <w:shd w:val="clear" w:color="auto" w:fill="auto"/>
            <w:noWrap/>
            <w:vAlign w:val="center"/>
            <w:hideMark/>
          </w:tcPr>
          <w:p w14:paraId="06ADE4B6" w14:textId="77777777" w:rsidR="00491BC0" w:rsidRDefault="00491BC0">
            <w:pPr>
              <w:rPr>
                <w:rFonts w:ascii="Calibri" w:hAnsi="Calibri" w:cs="Calibri"/>
                <w:color w:val="000000"/>
                <w:sz w:val="16"/>
                <w:szCs w:val="16"/>
              </w:rPr>
            </w:pPr>
          </w:p>
        </w:tc>
        <w:tc>
          <w:tcPr>
            <w:tcW w:w="500" w:type="pct"/>
            <w:tcBorders>
              <w:top w:val="nil"/>
              <w:left w:val="nil"/>
              <w:bottom w:val="nil"/>
              <w:right w:val="nil"/>
            </w:tcBorders>
            <w:shd w:val="clear" w:color="auto" w:fill="auto"/>
            <w:noWrap/>
            <w:vAlign w:val="center"/>
            <w:hideMark/>
          </w:tcPr>
          <w:p w14:paraId="582BCCC4" w14:textId="77777777" w:rsidR="00491BC0" w:rsidRDefault="00491BC0">
            <w:pPr>
              <w:rPr>
                <w:sz w:val="20"/>
                <w:szCs w:val="20"/>
              </w:rPr>
            </w:pPr>
          </w:p>
        </w:tc>
        <w:tc>
          <w:tcPr>
            <w:tcW w:w="500" w:type="pct"/>
            <w:tcBorders>
              <w:top w:val="nil"/>
              <w:left w:val="nil"/>
              <w:bottom w:val="nil"/>
              <w:right w:val="nil"/>
            </w:tcBorders>
            <w:shd w:val="clear" w:color="auto" w:fill="auto"/>
            <w:noWrap/>
            <w:vAlign w:val="center"/>
            <w:hideMark/>
          </w:tcPr>
          <w:p w14:paraId="235B7351" w14:textId="77777777" w:rsidR="00491BC0" w:rsidRDefault="00491BC0">
            <w:pPr>
              <w:rPr>
                <w:sz w:val="20"/>
                <w:szCs w:val="20"/>
              </w:rPr>
            </w:pPr>
          </w:p>
        </w:tc>
        <w:tc>
          <w:tcPr>
            <w:tcW w:w="620" w:type="pct"/>
            <w:tcBorders>
              <w:top w:val="nil"/>
              <w:left w:val="nil"/>
              <w:bottom w:val="nil"/>
              <w:right w:val="nil"/>
            </w:tcBorders>
            <w:shd w:val="clear" w:color="auto" w:fill="auto"/>
            <w:noWrap/>
            <w:vAlign w:val="center"/>
            <w:hideMark/>
          </w:tcPr>
          <w:p w14:paraId="0663A46D" w14:textId="7A703A20" w:rsidR="00491BC0" w:rsidRDefault="00491BC0">
            <w:pPr>
              <w:jc w:val="right"/>
              <w:rPr>
                <w:rFonts w:ascii="Calibri" w:hAnsi="Calibri" w:cs="Calibri"/>
                <w:color w:val="000000"/>
                <w:sz w:val="16"/>
                <w:szCs w:val="16"/>
              </w:rPr>
            </w:pPr>
            <w:r>
              <w:rPr>
                <w:rFonts w:ascii="Calibri" w:hAnsi="Calibri" w:cs="Calibri"/>
                <w:color w:val="000000"/>
                <w:sz w:val="16"/>
                <w:szCs w:val="16"/>
              </w:rPr>
              <w:t>14.</w:t>
            </w:r>
            <w:r w:rsidR="00910934">
              <w:rPr>
                <w:rFonts w:ascii="Calibri" w:hAnsi="Calibri" w:cs="Calibri"/>
                <w:color w:val="000000"/>
                <w:sz w:val="16"/>
                <w:szCs w:val="16"/>
              </w:rPr>
              <w:t>420.198</w:t>
            </w:r>
          </w:p>
        </w:tc>
        <w:tc>
          <w:tcPr>
            <w:tcW w:w="575" w:type="pct"/>
            <w:tcBorders>
              <w:top w:val="nil"/>
              <w:left w:val="nil"/>
              <w:bottom w:val="nil"/>
              <w:right w:val="nil"/>
            </w:tcBorders>
            <w:shd w:val="clear" w:color="auto" w:fill="auto"/>
            <w:noWrap/>
            <w:vAlign w:val="center"/>
            <w:hideMark/>
          </w:tcPr>
          <w:p w14:paraId="37A78D57" w14:textId="77777777" w:rsidR="00491BC0" w:rsidRDefault="00491BC0">
            <w:pPr>
              <w:jc w:val="right"/>
              <w:rPr>
                <w:rFonts w:ascii="Calibri" w:hAnsi="Calibri" w:cs="Calibri"/>
                <w:color w:val="000000"/>
                <w:sz w:val="16"/>
                <w:szCs w:val="16"/>
              </w:rPr>
            </w:pPr>
            <w:r>
              <w:rPr>
                <w:rFonts w:ascii="Calibri" w:hAnsi="Calibri" w:cs="Calibri"/>
                <w:color w:val="000000"/>
                <w:sz w:val="16"/>
                <w:szCs w:val="16"/>
              </w:rPr>
              <w:t>12.875.356</w:t>
            </w:r>
          </w:p>
        </w:tc>
      </w:tr>
      <w:tr w:rsidR="00910934" w14:paraId="43660CDB" w14:textId="77777777" w:rsidTr="00910934">
        <w:trPr>
          <w:trHeight w:hRule="exact" w:val="227"/>
        </w:trPr>
        <w:tc>
          <w:tcPr>
            <w:tcW w:w="2665" w:type="pct"/>
            <w:tcBorders>
              <w:top w:val="nil"/>
              <w:left w:val="nil"/>
              <w:bottom w:val="nil"/>
              <w:right w:val="nil"/>
            </w:tcBorders>
            <w:shd w:val="clear" w:color="auto" w:fill="auto"/>
            <w:noWrap/>
            <w:vAlign w:val="center"/>
          </w:tcPr>
          <w:p w14:paraId="107B8BC7" w14:textId="7EAF1798" w:rsidR="00910934" w:rsidRDefault="00910934" w:rsidP="00910934">
            <w:pPr>
              <w:rPr>
                <w:rFonts w:ascii="Calibri" w:hAnsi="Calibri" w:cs="Calibri"/>
                <w:color w:val="000000"/>
                <w:sz w:val="16"/>
                <w:szCs w:val="16"/>
              </w:rPr>
            </w:pPr>
            <w:r>
              <w:rPr>
                <w:rFonts w:ascii="Calibri" w:hAnsi="Calibri" w:cs="Calibri"/>
                <w:color w:val="000000"/>
                <w:sz w:val="16"/>
                <w:szCs w:val="16"/>
              </w:rPr>
              <w:t>Total Distribuidora</w:t>
            </w:r>
          </w:p>
        </w:tc>
        <w:tc>
          <w:tcPr>
            <w:tcW w:w="140" w:type="pct"/>
            <w:tcBorders>
              <w:top w:val="nil"/>
              <w:left w:val="nil"/>
              <w:bottom w:val="nil"/>
              <w:right w:val="nil"/>
            </w:tcBorders>
            <w:shd w:val="clear" w:color="auto" w:fill="auto"/>
            <w:noWrap/>
            <w:vAlign w:val="center"/>
          </w:tcPr>
          <w:p w14:paraId="6EAE02BE" w14:textId="1E292D4A" w:rsidR="00910934" w:rsidRDefault="00910934" w:rsidP="00910934">
            <w:pPr>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bottom w:val="nil"/>
              <w:right w:val="nil"/>
            </w:tcBorders>
            <w:shd w:val="clear" w:color="auto" w:fill="auto"/>
            <w:noWrap/>
            <w:vAlign w:val="center"/>
          </w:tcPr>
          <w:p w14:paraId="24AC2EBB" w14:textId="2CBB2828" w:rsidR="00910934" w:rsidRDefault="00910934" w:rsidP="00910934">
            <w:pPr>
              <w:rPr>
                <w:sz w:val="20"/>
                <w:szCs w:val="20"/>
              </w:rPr>
            </w:pPr>
            <w:r>
              <w:rPr>
                <w:rFonts w:ascii="Calibri" w:hAnsi="Calibri" w:cs="Calibri"/>
                <w:color w:val="000000"/>
                <w:sz w:val="16"/>
                <w:szCs w:val="16"/>
              </w:rPr>
              <w:t> </w:t>
            </w:r>
          </w:p>
        </w:tc>
        <w:tc>
          <w:tcPr>
            <w:tcW w:w="500" w:type="pct"/>
            <w:tcBorders>
              <w:top w:val="nil"/>
              <w:left w:val="nil"/>
              <w:bottom w:val="nil"/>
              <w:right w:val="nil"/>
            </w:tcBorders>
            <w:shd w:val="clear" w:color="auto" w:fill="auto"/>
            <w:noWrap/>
            <w:vAlign w:val="center"/>
          </w:tcPr>
          <w:p w14:paraId="7C899193" w14:textId="230049D2" w:rsidR="00910934" w:rsidRDefault="00910934" w:rsidP="00910934">
            <w:pPr>
              <w:rPr>
                <w:sz w:val="20"/>
                <w:szCs w:val="20"/>
              </w:rPr>
            </w:pPr>
            <w:r>
              <w:rPr>
                <w:rFonts w:ascii="Calibri" w:hAnsi="Calibri" w:cs="Calibri"/>
                <w:b/>
                <w:bCs/>
                <w:color w:val="000000"/>
                <w:sz w:val="16"/>
                <w:szCs w:val="16"/>
              </w:rPr>
              <w:t> </w:t>
            </w:r>
          </w:p>
        </w:tc>
        <w:tc>
          <w:tcPr>
            <w:tcW w:w="620" w:type="pct"/>
            <w:tcBorders>
              <w:top w:val="nil"/>
              <w:left w:val="nil"/>
              <w:bottom w:val="nil"/>
              <w:right w:val="nil"/>
            </w:tcBorders>
            <w:shd w:val="clear" w:color="auto" w:fill="auto"/>
            <w:noWrap/>
            <w:vAlign w:val="center"/>
          </w:tcPr>
          <w:p w14:paraId="44A2A5D8" w14:textId="03CC5778" w:rsidR="00910934" w:rsidRDefault="00910934" w:rsidP="00910934">
            <w:pPr>
              <w:jc w:val="right"/>
              <w:rPr>
                <w:rFonts w:ascii="Calibri" w:hAnsi="Calibri" w:cs="Calibri"/>
                <w:color w:val="000000"/>
                <w:sz w:val="16"/>
                <w:szCs w:val="16"/>
              </w:rPr>
            </w:pPr>
            <w:r>
              <w:rPr>
                <w:rFonts w:ascii="Calibri" w:hAnsi="Calibri" w:cs="Calibri"/>
                <w:color w:val="000000"/>
                <w:sz w:val="16"/>
                <w:szCs w:val="16"/>
              </w:rPr>
              <w:t>14.724.127</w:t>
            </w:r>
          </w:p>
        </w:tc>
        <w:tc>
          <w:tcPr>
            <w:tcW w:w="575" w:type="pct"/>
            <w:tcBorders>
              <w:top w:val="nil"/>
              <w:left w:val="nil"/>
              <w:bottom w:val="nil"/>
              <w:right w:val="nil"/>
            </w:tcBorders>
            <w:shd w:val="clear" w:color="auto" w:fill="auto"/>
            <w:noWrap/>
            <w:vAlign w:val="center"/>
          </w:tcPr>
          <w:p w14:paraId="2EC1299C" w14:textId="315CD960" w:rsidR="00910934" w:rsidRDefault="00910934" w:rsidP="00910934">
            <w:pPr>
              <w:jc w:val="right"/>
              <w:rPr>
                <w:rFonts w:ascii="Calibri" w:hAnsi="Calibri" w:cs="Calibri"/>
                <w:color w:val="000000"/>
                <w:sz w:val="16"/>
                <w:szCs w:val="16"/>
              </w:rPr>
            </w:pPr>
            <w:r>
              <w:rPr>
                <w:rFonts w:ascii="Calibri" w:hAnsi="Calibri" w:cs="Calibri"/>
                <w:color w:val="000000"/>
                <w:sz w:val="16"/>
                <w:szCs w:val="16"/>
              </w:rPr>
              <w:t>13.300.597</w:t>
            </w:r>
          </w:p>
        </w:tc>
      </w:tr>
      <w:tr w:rsidR="00910934" w14:paraId="476313D4" w14:textId="77777777" w:rsidTr="00910934">
        <w:trPr>
          <w:trHeight w:hRule="exact" w:val="227"/>
        </w:trPr>
        <w:tc>
          <w:tcPr>
            <w:tcW w:w="2665" w:type="pct"/>
            <w:tcBorders>
              <w:top w:val="nil"/>
              <w:left w:val="nil"/>
              <w:bottom w:val="single" w:sz="8" w:space="0" w:color="auto"/>
              <w:right w:val="nil"/>
            </w:tcBorders>
            <w:shd w:val="clear" w:color="auto" w:fill="auto"/>
            <w:noWrap/>
            <w:vAlign w:val="center"/>
            <w:hideMark/>
          </w:tcPr>
          <w:p w14:paraId="61D00AC0" w14:textId="0DBE5601" w:rsidR="00910934" w:rsidRDefault="00910934" w:rsidP="00910934">
            <w:pPr>
              <w:rPr>
                <w:rFonts w:ascii="Calibri" w:hAnsi="Calibri" w:cs="Calibri"/>
                <w:color w:val="000000"/>
                <w:sz w:val="16"/>
                <w:szCs w:val="16"/>
              </w:rPr>
            </w:pPr>
            <w:r>
              <w:rPr>
                <w:rFonts w:ascii="Calibri" w:hAnsi="Calibri" w:cs="Calibri"/>
                <w:color w:val="000000"/>
                <w:sz w:val="16"/>
                <w:szCs w:val="16"/>
              </w:rPr>
              <w:t>VLI S.A.</w:t>
            </w:r>
          </w:p>
        </w:tc>
        <w:tc>
          <w:tcPr>
            <w:tcW w:w="140" w:type="pct"/>
            <w:tcBorders>
              <w:top w:val="nil"/>
              <w:left w:val="nil"/>
              <w:bottom w:val="single" w:sz="8" w:space="0" w:color="auto"/>
              <w:right w:val="nil"/>
            </w:tcBorders>
            <w:shd w:val="clear" w:color="auto" w:fill="auto"/>
            <w:noWrap/>
            <w:vAlign w:val="center"/>
            <w:hideMark/>
          </w:tcPr>
          <w:p w14:paraId="05395A65" w14:textId="77777777" w:rsidR="00910934" w:rsidRDefault="00910934" w:rsidP="00910934">
            <w:pPr>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bottom w:val="single" w:sz="8" w:space="0" w:color="auto"/>
              <w:right w:val="nil"/>
            </w:tcBorders>
            <w:shd w:val="clear" w:color="auto" w:fill="auto"/>
            <w:noWrap/>
            <w:vAlign w:val="center"/>
            <w:hideMark/>
          </w:tcPr>
          <w:p w14:paraId="044D84B9" w14:textId="77777777" w:rsidR="00910934" w:rsidRDefault="00910934" w:rsidP="00910934">
            <w:pPr>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bottom w:val="single" w:sz="8" w:space="0" w:color="auto"/>
              <w:right w:val="nil"/>
            </w:tcBorders>
            <w:shd w:val="clear" w:color="auto" w:fill="auto"/>
            <w:noWrap/>
            <w:vAlign w:val="center"/>
            <w:hideMark/>
          </w:tcPr>
          <w:p w14:paraId="2CE9713E" w14:textId="77777777" w:rsidR="00910934" w:rsidRDefault="00910934" w:rsidP="00910934">
            <w:pPr>
              <w:jc w:val="right"/>
              <w:rPr>
                <w:rFonts w:ascii="Calibri" w:hAnsi="Calibri" w:cs="Calibri"/>
                <w:b/>
                <w:bCs/>
                <w:color w:val="000000"/>
                <w:sz w:val="16"/>
                <w:szCs w:val="16"/>
              </w:rPr>
            </w:pPr>
            <w:r>
              <w:rPr>
                <w:rFonts w:ascii="Calibri" w:hAnsi="Calibri" w:cs="Calibri"/>
                <w:b/>
                <w:bCs/>
                <w:color w:val="000000"/>
                <w:sz w:val="16"/>
                <w:szCs w:val="16"/>
              </w:rPr>
              <w:t> </w:t>
            </w:r>
          </w:p>
        </w:tc>
        <w:tc>
          <w:tcPr>
            <w:tcW w:w="620" w:type="pct"/>
            <w:tcBorders>
              <w:top w:val="nil"/>
              <w:left w:val="nil"/>
              <w:bottom w:val="single" w:sz="8" w:space="0" w:color="auto"/>
              <w:right w:val="nil"/>
            </w:tcBorders>
            <w:shd w:val="clear" w:color="auto" w:fill="auto"/>
            <w:noWrap/>
            <w:vAlign w:val="center"/>
            <w:hideMark/>
          </w:tcPr>
          <w:p w14:paraId="12AA2EAB" w14:textId="55297487" w:rsidR="00910934" w:rsidRDefault="00910934" w:rsidP="00910934">
            <w:pPr>
              <w:jc w:val="right"/>
              <w:rPr>
                <w:rFonts w:ascii="Calibri" w:hAnsi="Calibri" w:cs="Calibri"/>
                <w:color w:val="000000"/>
                <w:sz w:val="16"/>
                <w:szCs w:val="16"/>
              </w:rPr>
            </w:pPr>
            <w:r>
              <w:rPr>
                <w:rFonts w:ascii="Calibri" w:hAnsi="Calibri" w:cs="Calibri"/>
                <w:color w:val="000000"/>
                <w:sz w:val="16"/>
                <w:szCs w:val="16"/>
              </w:rPr>
              <w:t>13.656.526</w:t>
            </w:r>
          </w:p>
        </w:tc>
        <w:tc>
          <w:tcPr>
            <w:tcW w:w="575" w:type="pct"/>
            <w:tcBorders>
              <w:top w:val="nil"/>
              <w:left w:val="nil"/>
              <w:bottom w:val="single" w:sz="8" w:space="0" w:color="auto"/>
              <w:right w:val="nil"/>
            </w:tcBorders>
            <w:shd w:val="clear" w:color="auto" w:fill="auto"/>
            <w:noWrap/>
            <w:vAlign w:val="center"/>
            <w:hideMark/>
          </w:tcPr>
          <w:p w14:paraId="25CD131D" w14:textId="052BEDBC" w:rsidR="00910934" w:rsidRDefault="00910934" w:rsidP="00910934">
            <w:pPr>
              <w:jc w:val="right"/>
              <w:rPr>
                <w:rFonts w:ascii="Calibri" w:hAnsi="Calibri" w:cs="Calibri"/>
                <w:color w:val="000000"/>
                <w:sz w:val="16"/>
                <w:szCs w:val="16"/>
              </w:rPr>
            </w:pPr>
            <w:r>
              <w:rPr>
                <w:rFonts w:ascii="Calibri" w:hAnsi="Calibri" w:cs="Calibri"/>
                <w:color w:val="000000"/>
                <w:sz w:val="16"/>
                <w:szCs w:val="16"/>
              </w:rPr>
              <w:t>0</w:t>
            </w:r>
          </w:p>
        </w:tc>
      </w:tr>
      <w:tr w:rsidR="00910934" w14:paraId="2DF68674" w14:textId="77777777" w:rsidTr="00910934">
        <w:trPr>
          <w:trHeight w:hRule="exact" w:val="227"/>
        </w:trPr>
        <w:tc>
          <w:tcPr>
            <w:tcW w:w="2665" w:type="pct"/>
            <w:tcBorders>
              <w:top w:val="nil"/>
              <w:left w:val="nil"/>
              <w:bottom w:val="single" w:sz="8" w:space="0" w:color="auto"/>
              <w:right w:val="nil"/>
            </w:tcBorders>
            <w:shd w:val="clear" w:color="auto" w:fill="auto"/>
            <w:noWrap/>
            <w:vAlign w:val="center"/>
            <w:hideMark/>
          </w:tcPr>
          <w:p w14:paraId="3EFC931E" w14:textId="77777777" w:rsidR="00910934" w:rsidRDefault="00910934" w:rsidP="00910934">
            <w:pPr>
              <w:rPr>
                <w:rFonts w:ascii="Calibri" w:hAnsi="Calibri" w:cs="Calibri"/>
                <w:b/>
                <w:bCs/>
                <w:color w:val="000000"/>
                <w:sz w:val="16"/>
                <w:szCs w:val="16"/>
              </w:rPr>
            </w:pPr>
            <w:r>
              <w:rPr>
                <w:rFonts w:ascii="Calibri" w:hAnsi="Calibri" w:cs="Calibri"/>
                <w:b/>
                <w:bCs/>
                <w:color w:val="000000"/>
                <w:sz w:val="16"/>
                <w:szCs w:val="16"/>
              </w:rPr>
              <w:t>TOTAL</w:t>
            </w:r>
          </w:p>
        </w:tc>
        <w:tc>
          <w:tcPr>
            <w:tcW w:w="140" w:type="pct"/>
            <w:tcBorders>
              <w:top w:val="nil"/>
              <w:left w:val="nil"/>
              <w:bottom w:val="single" w:sz="8" w:space="0" w:color="auto"/>
              <w:right w:val="nil"/>
            </w:tcBorders>
            <w:shd w:val="clear" w:color="auto" w:fill="auto"/>
            <w:noWrap/>
            <w:vAlign w:val="center"/>
            <w:hideMark/>
          </w:tcPr>
          <w:p w14:paraId="7AA4BD56" w14:textId="77777777" w:rsidR="00910934" w:rsidRDefault="00910934" w:rsidP="00910934">
            <w:pPr>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bottom w:val="single" w:sz="8" w:space="0" w:color="auto"/>
              <w:right w:val="nil"/>
            </w:tcBorders>
            <w:shd w:val="clear" w:color="auto" w:fill="auto"/>
            <w:noWrap/>
            <w:vAlign w:val="center"/>
            <w:hideMark/>
          </w:tcPr>
          <w:p w14:paraId="1D008B79" w14:textId="77777777" w:rsidR="00910934" w:rsidRDefault="00910934" w:rsidP="00910934">
            <w:pPr>
              <w:rPr>
                <w:rFonts w:ascii="Calibri" w:hAnsi="Calibri" w:cs="Calibri"/>
                <w:color w:val="000000"/>
                <w:sz w:val="16"/>
                <w:szCs w:val="16"/>
              </w:rPr>
            </w:pPr>
            <w:r>
              <w:rPr>
                <w:rFonts w:ascii="Calibri" w:hAnsi="Calibri" w:cs="Calibri"/>
                <w:color w:val="000000"/>
                <w:sz w:val="16"/>
                <w:szCs w:val="16"/>
              </w:rPr>
              <w:t> </w:t>
            </w:r>
          </w:p>
        </w:tc>
        <w:tc>
          <w:tcPr>
            <w:tcW w:w="500" w:type="pct"/>
            <w:tcBorders>
              <w:top w:val="nil"/>
              <w:left w:val="nil"/>
              <w:bottom w:val="single" w:sz="8" w:space="0" w:color="auto"/>
              <w:right w:val="nil"/>
            </w:tcBorders>
            <w:shd w:val="clear" w:color="auto" w:fill="auto"/>
            <w:noWrap/>
            <w:vAlign w:val="center"/>
            <w:hideMark/>
          </w:tcPr>
          <w:p w14:paraId="38F364EB" w14:textId="77777777" w:rsidR="00910934" w:rsidRDefault="00910934" w:rsidP="00910934">
            <w:pPr>
              <w:jc w:val="right"/>
              <w:rPr>
                <w:rFonts w:ascii="Calibri" w:hAnsi="Calibri" w:cs="Calibri"/>
                <w:b/>
                <w:bCs/>
                <w:color w:val="000000"/>
                <w:sz w:val="16"/>
                <w:szCs w:val="16"/>
              </w:rPr>
            </w:pPr>
            <w:r>
              <w:rPr>
                <w:rFonts w:ascii="Calibri" w:hAnsi="Calibri" w:cs="Calibri"/>
                <w:b/>
                <w:bCs/>
                <w:color w:val="000000"/>
                <w:sz w:val="16"/>
                <w:szCs w:val="16"/>
              </w:rPr>
              <w:t> </w:t>
            </w:r>
          </w:p>
        </w:tc>
        <w:tc>
          <w:tcPr>
            <w:tcW w:w="620" w:type="pct"/>
            <w:tcBorders>
              <w:top w:val="nil"/>
              <w:left w:val="nil"/>
              <w:bottom w:val="single" w:sz="8" w:space="0" w:color="auto"/>
              <w:right w:val="nil"/>
            </w:tcBorders>
            <w:shd w:val="clear" w:color="auto" w:fill="auto"/>
            <w:noWrap/>
            <w:vAlign w:val="center"/>
            <w:hideMark/>
          </w:tcPr>
          <w:p w14:paraId="6C735B8B" w14:textId="3A64D072" w:rsidR="00910934" w:rsidRDefault="00910934" w:rsidP="00910934">
            <w:pPr>
              <w:jc w:val="right"/>
              <w:rPr>
                <w:rFonts w:ascii="Calibri" w:hAnsi="Calibri" w:cs="Calibri"/>
                <w:b/>
                <w:bCs/>
                <w:color w:val="000000"/>
                <w:sz w:val="16"/>
                <w:szCs w:val="16"/>
              </w:rPr>
            </w:pPr>
            <w:r>
              <w:rPr>
                <w:rFonts w:ascii="Calibri" w:hAnsi="Calibri" w:cs="Calibri"/>
                <w:b/>
                <w:bCs/>
                <w:color w:val="000000"/>
                <w:sz w:val="16"/>
                <w:szCs w:val="16"/>
              </w:rPr>
              <w:t>42.836.101</w:t>
            </w:r>
          </w:p>
        </w:tc>
        <w:tc>
          <w:tcPr>
            <w:tcW w:w="575" w:type="pct"/>
            <w:tcBorders>
              <w:top w:val="nil"/>
              <w:left w:val="nil"/>
              <w:bottom w:val="single" w:sz="8" w:space="0" w:color="auto"/>
              <w:right w:val="nil"/>
            </w:tcBorders>
            <w:shd w:val="clear" w:color="auto" w:fill="auto"/>
            <w:noWrap/>
            <w:vAlign w:val="center"/>
            <w:hideMark/>
          </w:tcPr>
          <w:p w14:paraId="208BCAF9" w14:textId="77777777" w:rsidR="00910934" w:rsidRDefault="00910934" w:rsidP="00910934">
            <w:pPr>
              <w:jc w:val="right"/>
              <w:rPr>
                <w:rFonts w:ascii="Calibri" w:hAnsi="Calibri" w:cs="Calibri"/>
                <w:b/>
                <w:bCs/>
                <w:color w:val="000000"/>
                <w:sz w:val="16"/>
                <w:szCs w:val="16"/>
              </w:rPr>
            </w:pPr>
            <w:r>
              <w:rPr>
                <w:rFonts w:ascii="Calibri" w:hAnsi="Calibri" w:cs="Calibri"/>
                <w:b/>
                <w:bCs/>
                <w:color w:val="000000"/>
                <w:sz w:val="16"/>
                <w:szCs w:val="16"/>
              </w:rPr>
              <w:t>26.975.855</w:t>
            </w:r>
          </w:p>
        </w:tc>
      </w:tr>
    </w:tbl>
    <w:p w14:paraId="0D6CA08A" w14:textId="77777777" w:rsidR="00491BC0" w:rsidRPr="002E2B5B" w:rsidRDefault="00491BC0" w:rsidP="002E2B5B">
      <w:pPr>
        <w:jc w:val="both"/>
        <w:rPr>
          <w:rFonts w:ascii="Calibri" w:hAnsi="Calibri" w:cs="Calibri"/>
          <w:sz w:val="22"/>
          <w:szCs w:val="22"/>
        </w:rPr>
      </w:pPr>
    </w:p>
    <w:p w14:paraId="3CD9C0A2" w14:textId="027467E8" w:rsidR="005407E6" w:rsidRPr="002E2B5B" w:rsidRDefault="00D22F5E" w:rsidP="002E2B5B">
      <w:pPr>
        <w:rPr>
          <w:rFonts w:ascii="Calibri" w:hAnsi="Calibri" w:cs="Calibri"/>
          <w:b/>
          <w:sz w:val="22"/>
          <w:szCs w:val="22"/>
        </w:rPr>
      </w:pPr>
      <w:r w:rsidRPr="002E2B5B">
        <w:rPr>
          <w:rFonts w:ascii="Calibri" w:hAnsi="Calibri" w:cs="Calibri"/>
          <w:b/>
          <w:sz w:val="22"/>
          <w:szCs w:val="22"/>
        </w:rPr>
        <w:t xml:space="preserve">NOTA </w:t>
      </w:r>
      <w:r w:rsidR="008619B2">
        <w:rPr>
          <w:rFonts w:ascii="Calibri" w:hAnsi="Calibri" w:cs="Calibri"/>
          <w:b/>
          <w:sz w:val="22"/>
          <w:szCs w:val="22"/>
        </w:rPr>
        <w:t>7</w:t>
      </w:r>
      <w:r w:rsidRPr="002E2B5B">
        <w:rPr>
          <w:rFonts w:ascii="Calibri" w:hAnsi="Calibri" w:cs="Calibri"/>
          <w:b/>
          <w:sz w:val="22"/>
          <w:szCs w:val="22"/>
        </w:rPr>
        <w:t xml:space="preserve"> </w:t>
      </w:r>
      <w:r w:rsidR="005407E6" w:rsidRPr="002E2B5B">
        <w:rPr>
          <w:rFonts w:ascii="Calibri" w:hAnsi="Calibri" w:cs="Calibri"/>
          <w:b/>
          <w:sz w:val="22"/>
          <w:szCs w:val="22"/>
        </w:rPr>
        <w:t xml:space="preserve">– </w:t>
      </w:r>
      <w:r w:rsidR="00FE7C5D" w:rsidRPr="002E2B5B">
        <w:rPr>
          <w:rFonts w:ascii="Calibri" w:hAnsi="Calibri" w:cs="Calibri"/>
          <w:b/>
          <w:sz w:val="22"/>
          <w:szCs w:val="22"/>
        </w:rPr>
        <w:t>INVESTIMENTO</w:t>
      </w:r>
    </w:p>
    <w:tbl>
      <w:tblPr>
        <w:tblW w:w="5041" w:type="pct"/>
        <w:jc w:val="center"/>
        <w:tblLook w:val="04A0" w:firstRow="1" w:lastRow="0" w:firstColumn="1" w:lastColumn="0" w:noHBand="0" w:noVBand="1"/>
      </w:tblPr>
      <w:tblGrid>
        <w:gridCol w:w="1386"/>
        <w:gridCol w:w="163"/>
        <w:gridCol w:w="1182"/>
        <w:gridCol w:w="156"/>
        <w:gridCol w:w="981"/>
        <w:gridCol w:w="154"/>
        <w:gridCol w:w="665"/>
        <w:gridCol w:w="154"/>
        <w:gridCol w:w="967"/>
        <w:gridCol w:w="154"/>
        <w:gridCol w:w="874"/>
        <w:gridCol w:w="154"/>
        <w:gridCol w:w="561"/>
        <w:gridCol w:w="154"/>
        <w:gridCol w:w="785"/>
        <w:gridCol w:w="154"/>
        <w:gridCol w:w="561"/>
        <w:gridCol w:w="154"/>
        <w:gridCol w:w="87"/>
        <w:gridCol w:w="154"/>
        <w:gridCol w:w="564"/>
        <w:gridCol w:w="154"/>
        <w:gridCol w:w="87"/>
        <w:gridCol w:w="148"/>
      </w:tblGrid>
      <w:tr w:rsidR="007E07A3" w:rsidRPr="002E2B5B" w14:paraId="0A9E4C27" w14:textId="77777777" w:rsidTr="00910934">
        <w:trPr>
          <w:gridAfter w:val="1"/>
          <w:wAfter w:w="70" w:type="pct"/>
          <w:trHeight w:hRule="exact" w:val="536"/>
          <w:jc w:val="center"/>
        </w:trPr>
        <w:tc>
          <w:tcPr>
            <w:tcW w:w="657" w:type="pct"/>
            <w:tcBorders>
              <w:bottom w:val="single" w:sz="4" w:space="0" w:color="auto"/>
            </w:tcBorders>
            <w:noWrap/>
            <w:vAlign w:val="center"/>
            <w:hideMark/>
          </w:tcPr>
          <w:p w14:paraId="08BFD5AE" w14:textId="77777777"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INVESTIDAS</w:t>
            </w:r>
          </w:p>
        </w:tc>
        <w:tc>
          <w:tcPr>
            <w:tcW w:w="637" w:type="pct"/>
            <w:gridSpan w:val="2"/>
            <w:tcBorders>
              <w:bottom w:val="single" w:sz="4" w:space="0" w:color="auto"/>
            </w:tcBorders>
            <w:vAlign w:val="center"/>
            <w:hideMark/>
          </w:tcPr>
          <w:p w14:paraId="42752AFC" w14:textId="496A559C"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SALDO EM 31/12/20</w:t>
            </w:r>
            <w:r w:rsidR="00317348">
              <w:rPr>
                <w:rFonts w:ascii="Calibri" w:hAnsi="Calibri" w:cs="Calibri"/>
                <w:b/>
                <w:bCs/>
                <w:sz w:val="16"/>
                <w:szCs w:val="16"/>
              </w:rPr>
              <w:t>20</w:t>
            </w:r>
          </w:p>
        </w:tc>
        <w:tc>
          <w:tcPr>
            <w:tcW w:w="539" w:type="pct"/>
            <w:gridSpan w:val="2"/>
            <w:tcBorders>
              <w:bottom w:val="single" w:sz="4" w:space="0" w:color="auto"/>
            </w:tcBorders>
            <w:vAlign w:val="center"/>
            <w:hideMark/>
          </w:tcPr>
          <w:p w14:paraId="23FED6EC" w14:textId="77777777"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RESULT. MEP</w:t>
            </w:r>
          </w:p>
        </w:tc>
        <w:tc>
          <w:tcPr>
            <w:tcW w:w="388" w:type="pct"/>
            <w:gridSpan w:val="2"/>
            <w:tcBorders>
              <w:bottom w:val="single" w:sz="4" w:space="0" w:color="auto"/>
            </w:tcBorders>
            <w:vAlign w:val="center"/>
            <w:hideMark/>
          </w:tcPr>
          <w:p w14:paraId="0287D941" w14:textId="77777777"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APORTE</w:t>
            </w:r>
          </w:p>
        </w:tc>
        <w:tc>
          <w:tcPr>
            <w:tcW w:w="531" w:type="pct"/>
            <w:gridSpan w:val="2"/>
            <w:tcBorders>
              <w:bottom w:val="single" w:sz="4" w:space="0" w:color="auto"/>
            </w:tcBorders>
            <w:vAlign w:val="center"/>
            <w:hideMark/>
          </w:tcPr>
          <w:p w14:paraId="30A64AF6" w14:textId="540AD13D"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 xml:space="preserve">SALDO EM </w:t>
            </w:r>
            <w:r w:rsidR="000E5694">
              <w:rPr>
                <w:rFonts w:ascii="Calibri" w:hAnsi="Calibri" w:cs="Calibri"/>
                <w:b/>
                <w:bCs/>
                <w:sz w:val="16"/>
                <w:szCs w:val="16"/>
              </w:rPr>
              <w:t>30/0</w:t>
            </w:r>
            <w:r w:rsidR="00910934">
              <w:rPr>
                <w:rFonts w:ascii="Calibri" w:hAnsi="Calibri" w:cs="Calibri"/>
                <w:b/>
                <w:bCs/>
                <w:sz w:val="16"/>
                <w:szCs w:val="16"/>
              </w:rPr>
              <w:t>9</w:t>
            </w:r>
            <w:r w:rsidRPr="002E2B5B">
              <w:rPr>
                <w:rFonts w:ascii="Calibri" w:hAnsi="Calibri" w:cs="Calibri"/>
                <w:b/>
                <w:bCs/>
                <w:sz w:val="16"/>
                <w:szCs w:val="16"/>
              </w:rPr>
              <w:t>/20</w:t>
            </w:r>
            <w:r w:rsidR="007E07A3" w:rsidRPr="002E2B5B">
              <w:rPr>
                <w:rFonts w:ascii="Calibri" w:hAnsi="Calibri" w:cs="Calibri"/>
                <w:b/>
                <w:bCs/>
                <w:sz w:val="16"/>
                <w:szCs w:val="16"/>
              </w:rPr>
              <w:t>2</w:t>
            </w:r>
            <w:r w:rsidR="008619B2">
              <w:rPr>
                <w:rFonts w:ascii="Calibri" w:hAnsi="Calibri" w:cs="Calibri"/>
                <w:b/>
                <w:bCs/>
                <w:sz w:val="16"/>
                <w:szCs w:val="16"/>
              </w:rPr>
              <w:t>1</w:t>
            </w:r>
          </w:p>
        </w:tc>
        <w:tc>
          <w:tcPr>
            <w:tcW w:w="487" w:type="pct"/>
            <w:gridSpan w:val="2"/>
            <w:tcBorders>
              <w:bottom w:val="single" w:sz="4" w:space="0" w:color="auto"/>
            </w:tcBorders>
            <w:vAlign w:val="center"/>
            <w:hideMark/>
          </w:tcPr>
          <w:p w14:paraId="7696899F" w14:textId="77777777"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QTD DE AÇÕES PN</w:t>
            </w:r>
          </w:p>
        </w:tc>
        <w:tc>
          <w:tcPr>
            <w:tcW w:w="339" w:type="pct"/>
            <w:gridSpan w:val="2"/>
            <w:tcBorders>
              <w:bottom w:val="single" w:sz="4" w:space="0" w:color="auto"/>
            </w:tcBorders>
            <w:vAlign w:val="center"/>
            <w:hideMark/>
          </w:tcPr>
          <w:p w14:paraId="082A89D5" w14:textId="77777777"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AÇÕES PN (%)</w:t>
            </w:r>
          </w:p>
        </w:tc>
        <w:tc>
          <w:tcPr>
            <w:tcW w:w="445" w:type="pct"/>
            <w:gridSpan w:val="2"/>
            <w:tcBorders>
              <w:bottom w:val="single" w:sz="4" w:space="0" w:color="auto"/>
            </w:tcBorders>
            <w:vAlign w:val="center"/>
            <w:hideMark/>
          </w:tcPr>
          <w:p w14:paraId="62F66799" w14:textId="77777777"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QTD DE AÇÕES ON</w:t>
            </w:r>
          </w:p>
        </w:tc>
        <w:tc>
          <w:tcPr>
            <w:tcW w:w="339" w:type="pct"/>
            <w:gridSpan w:val="2"/>
            <w:tcBorders>
              <w:bottom w:val="single" w:sz="4" w:space="0" w:color="auto"/>
            </w:tcBorders>
            <w:vAlign w:val="center"/>
            <w:hideMark/>
          </w:tcPr>
          <w:p w14:paraId="21F153C4" w14:textId="77777777"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AÇÕES ON (%)</w:t>
            </w:r>
          </w:p>
        </w:tc>
        <w:tc>
          <w:tcPr>
            <w:tcW w:w="114" w:type="pct"/>
            <w:gridSpan w:val="2"/>
            <w:tcBorders>
              <w:bottom w:val="single" w:sz="4" w:space="0" w:color="auto"/>
            </w:tcBorders>
            <w:vAlign w:val="center"/>
          </w:tcPr>
          <w:p w14:paraId="4227515B" w14:textId="77777777" w:rsidR="001A123C" w:rsidRPr="002E2B5B" w:rsidRDefault="001A123C" w:rsidP="002E2B5B">
            <w:pPr>
              <w:jc w:val="right"/>
              <w:rPr>
                <w:rFonts w:ascii="Calibri" w:hAnsi="Calibri" w:cs="Calibri"/>
                <w:b/>
                <w:bCs/>
                <w:sz w:val="16"/>
                <w:szCs w:val="16"/>
              </w:rPr>
            </w:pPr>
          </w:p>
        </w:tc>
        <w:tc>
          <w:tcPr>
            <w:tcW w:w="340" w:type="pct"/>
            <w:gridSpan w:val="2"/>
            <w:tcBorders>
              <w:bottom w:val="single" w:sz="4" w:space="0" w:color="auto"/>
            </w:tcBorders>
            <w:vAlign w:val="center"/>
          </w:tcPr>
          <w:p w14:paraId="7968F103" w14:textId="77777777"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AÇÕES TOTAL (%)</w:t>
            </w:r>
          </w:p>
        </w:tc>
        <w:tc>
          <w:tcPr>
            <w:tcW w:w="114" w:type="pct"/>
            <w:gridSpan w:val="2"/>
            <w:tcBorders>
              <w:bottom w:val="single" w:sz="4" w:space="0" w:color="auto"/>
            </w:tcBorders>
            <w:vAlign w:val="center"/>
          </w:tcPr>
          <w:p w14:paraId="49F301F1" w14:textId="77777777" w:rsidR="001A123C" w:rsidRPr="002E2B5B" w:rsidRDefault="001A123C" w:rsidP="002E2B5B">
            <w:pPr>
              <w:jc w:val="right"/>
              <w:rPr>
                <w:rFonts w:ascii="Calibri" w:hAnsi="Calibri" w:cs="Calibri"/>
                <w:b/>
                <w:bCs/>
                <w:sz w:val="16"/>
                <w:szCs w:val="16"/>
              </w:rPr>
            </w:pPr>
          </w:p>
        </w:tc>
      </w:tr>
      <w:tr w:rsidR="007E07A3" w:rsidRPr="002E2B5B" w14:paraId="7D036C04" w14:textId="77777777" w:rsidTr="00C34E8D">
        <w:trPr>
          <w:trHeight w:hRule="exact" w:val="227"/>
          <w:jc w:val="center"/>
        </w:trPr>
        <w:tc>
          <w:tcPr>
            <w:tcW w:w="734" w:type="pct"/>
            <w:gridSpan w:val="2"/>
            <w:tcBorders>
              <w:top w:val="single" w:sz="4" w:space="0" w:color="auto"/>
            </w:tcBorders>
            <w:vAlign w:val="center"/>
            <w:hideMark/>
          </w:tcPr>
          <w:p w14:paraId="75DC2039"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Estrada de Ferro Paraná Oeste S/A</w:t>
            </w:r>
          </w:p>
        </w:tc>
        <w:tc>
          <w:tcPr>
            <w:tcW w:w="634" w:type="pct"/>
            <w:gridSpan w:val="2"/>
            <w:tcBorders>
              <w:top w:val="single" w:sz="4" w:space="0" w:color="auto"/>
            </w:tcBorders>
            <w:noWrap/>
            <w:vAlign w:val="center"/>
            <w:hideMark/>
          </w:tcPr>
          <w:p w14:paraId="18CD236B"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26.278</w:t>
            </w:r>
          </w:p>
        </w:tc>
        <w:tc>
          <w:tcPr>
            <w:tcW w:w="538" w:type="pct"/>
            <w:gridSpan w:val="2"/>
            <w:tcBorders>
              <w:top w:val="single" w:sz="4" w:space="0" w:color="auto"/>
            </w:tcBorders>
            <w:noWrap/>
            <w:vAlign w:val="center"/>
            <w:hideMark/>
          </w:tcPr>
          <w:p w14:paraId="10D48B54" w14:textId="77777777" w:rsidR="001A123C" w:rsidRPr="002E2B5B" w:rsidRDefault="00965911" w:rsidP="002E2B5B">
            <w:pPr>
              <w:jc w:val="right"/>
              <w:rPr>
                <w:rFonts w:ascii="Calibri" w:hAnsi="Calibri" w:cs="Calibri"/>
                <w:sz w:val="16"/>
                <w:szCs w:val="16"/>
              </w:rPr>
            </w:pPr>
            <w:r w:rsidRPr="002E2B5B">
              <w:rPr>
                <w:rFonts w:ascii="Calibri" w:hAnsi="Calibri" w:cs="Calibri"/>
                <w:sz w:val="16"/>
                <w:szCs w:val="16"/>
              </w:rPr>
              <w:t>-</w:t>
            </w:r>
          </w:p>
        </w:tc>
        <w:tc>
          <w:tcPr>
            <w:tcW w:w="388" w:type="pct"/>
            <w:gridSpan w:val="2"/>
            <w:tcBorders>
              <w:top w:val="single" w:sz="4" w:space="0" w:color="auto"/>
            </w:tcBorders>
            <w:noWrap/>
            <w:vAlign w:val="center"/>
            <w:hideMark/>
          </w:tcPr>
          <w:p w14:paraId="44F1C59F"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0</w:t>
            </w:r>
          </w:p>
        </w:tc>
        <w:tc>
          <w:tcPr>
            <w:tcW w:w="531" w:type="pct"/>
            <w:gridSpan w:val="2"/>
            <w:tcBorders>
              <w:top w:val="single" w:sz="4" w:space="0" w:color="auto"/>
            </w:tcBorders>
            <w:noWrap/>
            <w:vAlign w:val="center"/>
            <w:hideMark/>
          </w:tcPr>
          <w:p w14:paraId="0A372FC5" w14:textId="7CECFF46" w:rsidR="001A123C" w:rsidRPr="002E2B5B" w:rsidRDefault="00910934" w:rsidP="002E2B5B">
            <w:pPr>
              <w:jc w:val="right"/>
              <w:rPr>
                <w:rFonts w:ascii="Calibri" w:hAnsi="Calibri" w:cs="Calibri"/>
                <w:sz w:val="16"/>
                <w:szCs w:val="16"/>
              </w:rPr>
            </w:pPr>
            <w:r>
              <w:rPr>
                <w:rFonts w:ascii="Calibri" w:hAnsi="Calibri" w:cs="Calibri"/>
                <w:sz w:val="16"/>
                <w:szCs w:val="16"/>
              </w:rPr>
              <w:t>26.278</w:t>
            </w:r>
          </w:p>
          <w:p w14:paraId="0230453A"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26.278</w:t>
            </w:r>
          </w:p>
        </w:tc>
        <w:tc>
          <w:tcPr>
            <w:tcW w:w="487" w:type="pct"/>
            <w:gridSpan w:val="2"/>
            <w:tcBorders>
              <w:top w:val="single" w:sz="4" w:space="0" w:color="auto"/>
            </w:tcBorders>
            <w:noWrap/>
            <w:vAlign w:val="center"/>
            <w:hideMark/>
          </w:tcPr>
          <w:p w14:paraId="10DC7F71"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0</w:t>
            </w:r>
          </w:p>
        </w:tc>
        <w:tc>
          <w:tcPr>
            <w:tcW w:w="339" w:type="pct"/>
            <w:gridSpan w:val="2"/>
            <w:tcBorders>
              <w:top w:val="single" w:sz="4" w:space="0" w:color="auto"/>
            </w:tcBorders>
            <w:noWrap/>
            <w:vAlign w:val="center"/>
            <w:hideMark/>
          </w:tcPr>
          <w:p w14:paraId="7611BC76"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0</w:t>
            </w:r>
          </w:p>
        </w:tc>
        <w:tc>
          <w:tcPr>
            <w:tcW w:w="445" w:type="pct"/>
            <w:gridSpan w:val="2"/>
            <w:tcBorders>
              <w:top w:val="single" w:sz="4" w:space="0" w:color="auto"/>
            </w:tcBorders>
            <w:noWrap/>
            <w:vAlign w:val="center"/>
            <w:hideMark/>
          </w:tcPr>
          <w:p w14:paraId="2177E45E"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1.875.000</w:t>
            </w:r>
          </w:p>
        </w:tc>
        <w:tc>
          <w:tcPr>
            <w:tcW w:w="339" w:type="pct"/>
            <w:gridSpan w:val="2"/>
            <w:tcBorders>
              <w:top w:val="single" w:sz="4" w:space="0" w:color="auto"/>
            </w:tcBorders>
            <w:noWrap/>
            <w:vAlign w:val="center"/>
            <w:hideMark/>
          </w:tcPr>
          <w:p w14:paraId="0F80BA66"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0,008</w:t>
            </w:r>
          </w:p>
        </w:tc>
        <w:tc>
          <w:tcPr>
            <w:tcW w:w="114" w:type="pct"/>
            <w:gridSpan w:val="2"/>
            <w:tcBorders>
              <w:top w:val="single" w:sz="4" w:space="0" w:color="auto"/>
            </w:tcBorders>
            <w:vAlign w:val="center"/>
          </w:tcPr>
          <w:p w14:paraId="587BA322" w14:textId="77777777" w:rsidR="001A123C" w:rsidRPr="002E2B5B" w:rsidRDefault="001A123C" w:rsidP="002E2B5B">
            <w:pPr>
              <w:jc w:val="right"/>
              <w:rPr>
                <w:rFonts w:ascii="Calibri" w:hAnsi="Calibri" w:cs="Calibri"/>
                <w:sz w:val="16"/>
                <w:szCs w:val="16"/>
              </w:rPr>
            </w:pPr>
          </w:p>
        </w:tc>
        <w:tc>
          <w:tcPr>
            <w:tcW w:w="340" w:type="pct"/>
            <w:gridSpan w:val="2"/>
            <w:tcBorders>
              <w:top w:val="single" w:sz="4" w:space="0" w:color="auto"/>
            </w:tcBorders>
            <w:vAlign w:val="center"/>
          </w:tcPr>
          <w:p w14:paraId="1A2E4584"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0,0027</w:t>
            </w:r>
          </w:p>
        </w:tc>
        <w:tc>
          <w:tcPr>
            <w:tcW w:w="111" w:type="pct"/>
            <w:gridSpan w:val="2"/>
            <w:tcBorders>
              <w:top w:val="single" w:sz="4" w:space="0" w:color="auto"/>
            </w:tcBorders>
            <w:vAlign w:val="center"/>
          </w:tcPr>
          <w:p w14:paraId="7C2D9D96" w14:textId="77777777" w:rsidR="001A123C" w:rsidRPr="002E2B5B" w:rsidRDefault="001A123C" w:rsidP="002E2B5B">
            <w:pPr>
              <w:jc w:val="both"/>
              <w:rPr>
                <w:rFonts w:ascii="Calibri" w:hAnsi="Calibri" w:cs="Calibri"/>
                <w:sz w:val="16"/>
                <w:szCs w:val="16"/>
              </w:rPr>
            </w:pPr>
          </w:p>
        </w:tc>
      </w:tr>
      <w:tr w:rsidR="007E07A3" w:rsidRPr="002E2B5B" w14:paraId="3F6438B1" w14:textId="77777777" w:rsidTr="00C34E8D">
        <w:trPr>
          <w:trHeight w:hRule="exact" w:val="227"/>
          <w:jc w:val="center"/>
        </w:trPr>
        <w:tc>
          <w:tcPr>
            <w:tcW w:w="734" w:type="pct"/>
            <w:gridSpan w:val="2"/>
            <w:tcBorders>
              <w:bottom w:val="single" w:sz="4" w:space="0" w:color="auto"/>
            </w:tcBorders>
            <w:vAlign w:val="center"/>
          </w:tcPr>
          <w:p w14:paraId="0753BE48"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Transnordestina Logística S/A</w:t>
            </w:r>
          </w:p>
        </w:tc>
        <w:tc>
          <w:tcPr>
            <w:tcW w:w="634" w:type="pct"/>
            <w:gridSpan w:val="2"/>
            <w:tcBorders>
              <w:bottom w:val="single" w:sz="4" w:space="0" w:color="auto"/>
            </w:tcBorders>
            <w:noWrap/>
            <w:vAlign w:val="center"/>
          </w:tcPr>
          <w:p w14:paraId="32B78821" w14:textId="67C91ABF" w:rsidR="001A123C" w:rsidRPr="002E2B5B" w:rsidRDefault="00317348" w:rsidP="002E2B5B">
            <w:pPr>
              <w:jc w:val="right"/>
              <w:rPr>
                <w:rFonts w:ascii="Calibri" w:hAnsi="Calibri" w:cs="Calibri"/>
                <w:sz w:val="16"/>
                <w:szCs w:val="16"/>
              </w:rPr>
            </w:pPr>
            <w:r>
              <w:rPr>
                <w:rFonts w:ascii="Calibri" w:hAnsi="Calibri" w:cs="Calibri"/>
                <w:sz w:val="16"/>
                <w:szCs w:val="16"/>
              </w:rPr>
              <w:t>959.774.015</w:t>
            </w:r>
          </w:p>
        </w:tc>
        <w:tc>
          <w:tcPr>
            <w:tcW w:w="538" w:type="pct"/>
            <w:gridSpan w:val="2"/>
            <w:tcBorders>
              <w:bottom w:val="single" w:sz="4" w:space="0" w:color="auto"/>
            </w:tcBorders>
            <w:noWrap/>
            <w:vAlign w:val="center"/>
          </w:tcPr>
          <w:p w14:paraId="45EE27C4" w14:textId="790B764E" w:rsidR="001A123C" w:rsidRPr="002E2B5B" w:rsidRDefault="001A123C" w:rsidP="002E2B5B">
            <w:pPr>
              <w:jc w:val="right"/>
              <w:rPr>
                <w:rFonts w:ascii="Calibri" w:hAnsi="Calibri" w:cs="Calibri"/>
                <w:sz w:val="16"/>
                <w:szCs w:val="16"/>
              </w:rPr>
            </w:pPr>
            <w:r w:rsidRPr="002E2B5B">
              <w:rPr>
                <w:rFonts w:ascii="Calibri" w:hAnsi="Calibri" w:cs="Calibri"/>
                <w:sz w:val="16"/>
                <w:szCs w:val="16"/>
              </w:rPr>
              <w:t>(</w:t>
            </w:r>
            <w:r w:rsidR="00910934">
              <w:rPr>
                <w:rFonts w:ascii="Calibri" w:hAnsi="Calibri" w:cs="Calibri"/>
                <w:sz w:val="16"/>
                <w:szCs w:val="16"/>
              </w:rPr>
              <w:t>32.248.507</w:t>
            </w:r>
            <w:r w:rsidRPr="002E2B5B">
              <w:rPr>
                <w:rFonts w:ascii="Calibri" w:hAnsi="Calibri" w:cs="Calibri"/>
                <w:sz w:val="16"/>
                <w:szCs w:val="16"/>
              </w:rPr>
              <w:t>)</w:t>
            </w:r>
          </w:p>
        </w:tc>
        <w:tc>
          <w:tcPr>
            <w:tcW w:w="388" w:type="pct"/>
            <w:gridSpan w:val="2"/>
            <w:tcBorders>
              <w:bottom w:val="single" w:sz="4" w:space="0" w:color="auto"/>
            </w:tcBorders>
            <w:noWrap/>
            <w:vAlign w:val="center"/>
          </w:tcPr>
          <w:p w14:paraId="5C785282"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0</w:t>
            </w:r>
          </w:p>
        </w:tc>
        <w:tc>
          <w:tcPr>
            <w:tcW w:w="531" w:type="pct"/>
            <w:gridSpan w:val="2"/>
            <w:tcBorders>
              <w:bottom w:val="single" w:sz="4" w:space="0" w:color="auto"/>
            </w:tcBorders>
            <w:noWrap/>
            <w:vAlign w:val="center"/>
          </w:tcPr>
          <w:p w14:paraId="0F0229EF" w14:textId="49075CCC" w:rsidR="001A123C" w:rsidRPr="002E2B5B" w:rsidRDefault="00910934" w:rsidP="002E2B5B">
            <w:pPr>
              <w:jc w:val="right"/>
              <w:rPr>
                <w:rFonts w:ascii="Calibri" w:hAnsi="Calibri" w:cs="Calibri"/>
                <w:sz w:val="16"/>
                <w:szCs w:val="16"/>
              </w:rPr>
            </w:pPr>
            <w:r>
              <w:rPr>
                <w:rFonts w:ascii="Calibri" w:hAnsi="Calibri" w:cs="Calibri"/>
                <w:sz w:val="16"/>
                <w:szCs w:val="16"/>
              </w:rPr>
              <w:t>927.525.508</w:t>
            </w:r>
          </w:p>
        </w:tc>
        <w:tc>
          <w:tcPr>
            <w:tcW w:w="487" w:type="pct"/>
            <w:gridSpan w:val="2"/>
            <w:tcBorders>
              <w:bottom w:val="single" w:sz="4" w:space="0" w:color="auto"/>
            </w:tcBorders>
            <w:noWrap/>
            <w:vAlign w:val="center"/>
          </w:tcPr>
          <w:p w14:paraId="610F6E18"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18.686.075</w:t>
            </w:r>
          </w:p>
        </w:tc>
        <w:tc>
          <w:tcPr>
            <w:tcW w:w="339" w:type="pct"/>
            <w:gridSpan w:val="2"/>
            <w:tcBorders>
              <w:bottom w:val="single" w:sz="4" w:space="0" w:color="auto"/>
            </w:tcBorders>
            <w:noWrap/>
            <w:vAlign w:val="center"/>
          </w:tcPr>
          <w:p w14:paraId="27FF785F"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71,59</w:t>
            </w:r>
          </w:p>
        </w:tc>
        <w:tc>
          <w:tcPr>
            <w:tcW w:w="445" w:type="pct"/>
            <w:gridSpan w:val="2"/>
            <w:tcBorders>
              <w:bottom w:val="single" w:sz="4" w:space="0" w:color="auto"/>
            </w:tcBorders>
            <w:noWrap/>
            <w:vAlign w:val="center"/>
          </w:tcPr>
          <w:p w14:paraId="0EB98C56"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1.722.716</w:t>
            </w:r>
          </w:p>
        </w:tc>
        <w:tc>
          <w:tcPr>
            <w:tcW w:w="339" w:type="pct"/>
            <w:gridSpan w:val="2"/>
            <w:tcBorders>
              <w:bottom w:val="single" w:sz="4" w:space="0" w:color="auto"/>
            </w:tcBorders>
            <w:noWrap/>
            <w:vAlign w:val="center"/>
          </w:tcPr>
          <w:p w14:paraId="7F497F14"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6,60</w:t>
            </w:r>
          </w:p>
        </w:tc>
        <w:tc>
          <w:tcPr>
            <w:tcW w:w="114" w:type="pct"/>
            <w:gridSpan w:val="2"/>
            <w:tcBorders>
              <w:bottom w:val="single" w:sz="4" w:space="0" w:color="auto"/>
            </w:tcBorders>
            <w:vAlign w:val="center"/>
          </w:tcPr>
          <w:p w14:paraId="419D192D" w14:textId="77777777" w:rsidR="001A123C" w:rsidRPr="002E2B5B" w:rsidRDefault="001A123C" w:rsidP="002E2B5B">
            <w:pPr>
              <w:jc w:val="right"/>
              <w:rPr>
                <w:rFonts w:ascii="Calibri" w:hAnsi="Calibri" w:cs="Calibri"/>
                <w:sz w:val="16"/>
                <w:szCs w:val="16"/>
              </w:rPr>
            </w:pPr>
          </w:p>
        </w:tc>
        <w:tc>
          <w:tcPr>
            <w:tcW w:w="340" w:type="pct"/>
            <w:gridSpan w:val="2"/>
            <w:tcBorders>
              <w:bottom w:val="single" w:sz="4" w:space="0" w:color="auto"/>
            </w:tcBorders>
            <w:vAlign w:val="center"/>
          </w:tcPr>
          <w:p w14:paraId="42DBB761" w14:textId="77777777" w:rsidR="001A123C" w:rsidRPr="002E2B5B" w:rsidRDefault="001A123C" w:rsidP="002E2B5B">
            <w:pPr>
              <w:jc w:val="right"/>
              <w:rPr>
                <w:rFonts w:ascii="Calibri" w:hAnsi="Calibri" w:cs="Calibri"/>
                <w:sz w:val="16"/>
                <w:szCs w:val="16"/>
              </w:rPr>
            </w:pPr>
            <w:r w:rsidRPr="002E2B5B">
              <w:rPr>
                <w:rFonts w:ascii="Calibri" w:hAnsi="Calibri" w:cs="Calibri"/>
                <w:sz w:val="16"/>
                <w:szCs w:val="16"/>
              </w:rPr>
              <w:t>39,10</w:t>
            </w:r>
          </w:p>
        </w:tc>
        <w:tc>
          <w:tcPr>
            <w:tcW w:w="111" w:type="pct"/>
            <w:gridSpan w:val="2"/>
            <w:tcBorders>
              <w:bottom w:val="single" w:sz="4" w:space="0" w:color="auto"/>
            </w:tcBorders>
            <w:vAlign w:val="center"/>
          </w:tcPr>
          <w:p w14:paraId="0216CA86" w14:textId="77777777" w:rsidR="001A123C" w:rsidRPr="002E2B5B" w:rsidRDefault="001A123C" w:rsidP="002E2B5B">
            <w:pPr>
              <w:jc w:val="both"/>
              <w:rPr>
                <w:rFonts w:ascii="Calibri" w:hAnsi="Calibri" w:cs="Calibri"/>
                <w:sz w:val="16"/>
                <w:szCs w:val="16"/>
              </w:rPr>
            </w:pPr>
          </w:p>
        </w:tc>
      </w:tr>
      <w:tr w:rsidR="007E07A3" w:rsidRPr="002E2B5B" w14:paraId="0C3D1570" w14:textId="77777777" w:rsidTr="00C34E8D">
        <w:trPr>
          <w:trHeight w:hRule="exact" w:val="227"/>
          <w:jc w:val="center"/>
        </w:trPr>
        <w:tc>
          <w:tcPr>
            <w:tcW w:w="734" w:type="pct"/>
            <w:gridSpan w:val="2"/>
            <w:tcBorders>
              <w:top w:val="single" w:sz="4" w:space="0" w:color="auto"/>
              <w:bottom w:val="single" w:sz="4" w:space="0" w:color="auto"/>
            </w:tcBorders>
            <w:noWrap/>
            <w:vAlign w:val="center"/>
            <w:hideMark/>
          </w:tcPr>
          <w:p w14:paraId="02DFB91F" w14:textId="77777777"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TOTAL</w:t>
            </w:r>
          </w:p>
        </w:tc>
        <w:tc>
          <w:tcPr>
            <w:tcW w:w="634" w:type="pct"/>
            <w:gridSpan w:val="2"/>
            <w:tcBorders>
              <w:top w:val="single" w:sz="4" w:space="0" w:color="auto"/>
              <w:bottom w:val="single" w:sz="4" w:space="0" w:color="auto"/>
            </w:tcBorders>
            <w:noWrap/>
            <w:vAlign w:val="center"/>
            <w:hideMark/>
          </w:tcPr>
          <w:p w14:paraId="5BCD8412" w14:textId="5FC9194F" w:rsidR="001A123C" w:rsidRPr="002E2B5B" w:rsidRDefault="00317348" w:rsidP="002E2B5B">
            <w:pPr>
              <w:jc w:val="right"/>
              <w:rPr>
                <w:rFonts w:ascii="Calibri" w:hAnsi="Calibri" w:cs="Calibri"/>
                <w:b/>
                <w:bCs/>
                <w:sz w:val="16"/>
                <w:szCs w:val="16"/>
              </w:rPr>
            </w:pPr>
            <w:r>
              <w:rPr>
                <w:rFonts w:ascii="Calibri" w:hAnsi="Calibri" w:cs="Calibri"/>
                <w:b/>
                <w:bCs/>
                <w:sz w:val="16"/>
                <w:szCs w:val="16"/>
              </w:rPr>
              <w:t>959.800.293</w:t>
            </w:r>
          </w:p>
        </w:tc>
        <w:tc>
          <w:tcPr>
            <w:tcW w:w="538" w:type="pct"/>
            <w:gridSpan w:val="2"/>
            <w:tcBorders>
              <w:top w:val="single" w:sz="4" w:space="0" w:color="auto"/>
              <w:bottom w:val="single" w:sz="4" w:space="0" w:color="auto"/>
            </w:tcBorders>
            <w:noWrap/>
            <w:vAlign w:val="center"/>
            <w:hideMark/>
          </w:tcPr>
          <w:p w14:paraId="76508E04" w14:textId="14A06C52"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w:t>
            </w:r>
            <w:r w:rsidR="00910934">
              <w:rPr>
                <w:rFonts w:ascii="Calibri" w:hAnsi="Calibri" w:cs="Calibri"/>
                <w:b/>
                <w:bCs/>
                <w:sz w:val="16"/>
                <w:szCs w:val="16"/>
              </w:rPr>
              <w:t>32.248.507</w:t>
            </w:r>
            <w:r w:rsidRPr="002E2B5B">
              <w:rPr>
                <w:rFonts w:ascii="Calibri" w:hAnsi="Calibri" w:cs="Calibri"/>
                <w:b/>
                <w:bCs/>
                <w:sz w:val="16"/>
                <w:szCs w:val="16"/>
              </w:rPr>
              <w:t>)</w:t>
            </w:r>
          </w:p>
        </w:tc>
        <w:tc>
          <w:tcPr>
            <w:tcW w:w="388" w:type="pct"/>
            <w:gridSpan w:val="2"/>
            <w:tcBorders>
              <w:top w:val="single" w:sz="4" w:space="0" w:color="auto"/>
              <w:bottom w:val="single" w:sz="4" w:space="0" w:color="auto"/>
            </w:tcBorders>
            <w:noWrap/>
            <w:vAlign w:val="center"/>
            <w:hideMark/>
          </w:tcPr>
          <w:p w14:paraId="0B651A61" w14:textId="77777777" w:rsidR="001A123C" w:rsidRPr="002E2B5B" w:rsidRDefault="001A123C" w:rsidP="002E2B5B">
            <w:pPr>
              <w:jc w:val="right"/>
              <w:rPr>
                <w:rFonts w:ascii="Calibri" w:hAnsi="Calibri" w:cs="Calibri"/>
                <w:b/>
                <w:bCs/>
                <w:sz w:val="16"/>
                <w:szCs w:val="16"/>
              </w:rPr>
            </w:pPr>
            <w:r w:rsidRPr="002E2B5B">
              <w:rPr>
                <w:rFonts w:ascii="Calibri" w:hAnsi="Calibri" w:cs="Calibri"/>
                <w:b/>
                <w:bCs/>
                <w:sz w:val="16"/>
                <w:szCs w:val="16"/>
              </w:rPr>
              <w:t>0</w:t>
            </w:r>
          </w:p>
        </w:tc>
        <w:tc>
          <w:tcPr>
            <w:tcW w:w="531" w:type="pct"/>
            <w:gridSpan w:val="2"/>
            <w:tcBorders>
              <w:top w:val="single" w:sz="4" w:space="0" w:color="auto"/>
              <w:bottom w:val="single" w:sz="4" w:space="0" w:color="auto"/>
            </w:tcBorders>
            <w:noWrap/>
            <w:vAlign w:val="center"/>
            <w:hideMark/>
          </w:tcPr>
          <w:p w14:paraId="40B1B682" w14:textId="7BFEB81C" w:rsidR="001A123C" w:rsidRPr="002E2B5B" w:rsidRDefault="00910934" w:rsidP="002E2B5B">
            <w:pPr>
              <w:jc w:val="right"/>
              <w:rPr>
                <w:rFonts w:ascii="Calibri" w:hAnsi="Calibri" w:cs="Calibri"/>
                <w:b/>
                <w:bCs/>
                <w:sz w:val="16"/>
                <w:szCs w:val="16"/>
              </w:rPr>
            </w:pPr>
            <w:r>
              <w:rPr>
                <w:rFonts w:ascii="Calibri" w:hAnsi="Calibri" w:cs="Calibri"/>
                <w:b/>
                <w:bCs/>
                <w:sz w:val="16"/>
                <w:szCs w:val="16"/>
              </w:rPr>
              <w:t>927.551.786</w:t>
            </w:r>
          </w:p>
        </w:tc>
        <w:tc>
          <w:tcPr>
            <w:tcW w:w="487" w:type="pct"/>
            <w:gridSpan w:val="2"/>
            <w:tcBorders>
              <w:top w:val="single" w:sz="4" w:space="0" w:color="auto"/>
              <w:bottom w:val="single" w:sz="4" w:space="0" w:color="auto"/>
            </w:tcBorders>
            <w:noWrap/>
            <w:vAlign w:val="center"/>
            <w:hideMark/>
          </w:tcPr>
          <w:p w14:paraId="7CB366B3" w14:textId="77777777" w:rsidR="001A123C" w:rsidRPr="002E2B5B" w:rsidRDefault="001A123C" w:rsidP="002E2B5B">
            <w:pPr>
              <w:jc w:val="right"/>
              <w:rPr>
                <w:rFonts w:ascii="Calibri" w:hAnsi="Calibri" w:cs="Calibri"/>
                <w:b/>
                <w:bCs/>
                <w:sz w:val="16"/>
                <w:szCs w:val="16"/>
              </w:rPr>
            </w:pPr>
          </w:p>
        </w:tc>
        <w:tc>
          <w:tcPr>
            <w:tcW w:w="339" w:type="pct"/>
            <w:gridSpan w:val="2"/>
            <w:tcBorders>
              <w:top w:val="single" w:sz="4" w:space="0" w:color="auto"/>
              <w:bottom w:val="single" w:sz="4" w:space="0" w:color="auto"/>
            </w:tcBorders>
            <w:noWrap/>
            <w:vAlign w:val="center"/>
            <w:hideMark/>
          </w:tcPr>
          <w:p w14:paraId="0977DA31" w14:textId="77777777" w:rsidR="001A123C" w:rsidRPr="002E2B5B" w:rsidRDefault="001A123C" w:rsidP="002E2B5B">
            <w:pPr>
              <w:jc w:val="right"/>
              <w:rPr>
                <w:rFonts w:ascii="Calibri" w:hAnsi="Calibri" w:cs="Calibri"/>
                <w:sz w:val="16"/>
                <w:szCs w:val="16"/>
              </w:rPr>
            </w:pPr>
          </w:p>
        </w:tc>
        <w:tc>
          <w:tcPr>
            <w:tcW w:w="445" w:type="pct"/>
            <w:gridSpan w:val="2"/>
            <w:tcBorders>
              <w:top w:val="single" w:sz="4" w:space="0" w:color="auto"/>
              <w:bottom w:val="single" w:sz="4" w:space="0" w:color="auto"/>
            </w:tcBorders>
            <w:noWrap/>
            <w:vAlign w:val="center"/>
            <w:hideMark/>
          </w:tcPr>
          <w:p w14:paraId="55FA3256" w14:textId="77777777" w:rsidR="001A123C" w:rsidRPr="002E2B5B" w:rsidRDefault="001A123C" w:rsidP="002E2B5B">
            <w:pPr>
              <w:jc w:val="right"/>
              <w:rPr>
                <w:rFonts w:ascii="Calibri" w:hAnsi="Calibri" w:cs="Calibri"/>
                <w:sz w:val="16"/>
                <w:szCs w:val="16"/>
              </w:rPr>
            </w:pPr>
          </w:p>
        </w:tc>
        <w:tc>
          <w:tcPr>
            <w:tcW w:w="339" w:type="pct"/>
            <w:gridSpan w:val="2"/>
            <w:tcBorders>
              <w:top w:val="single" w:sz="4" w:space="0" w:color="auto"/>
              <w:bottom w:val="single" w:sz="4" w:space="0" w:color="auto"/>
            </w:tcBorders>
            <w:noWrap/>
            <w:vAlign w:val="center"/>
            <w:hideMark/>
          </w:tcPr>
          <w:p w14:paraId="7A69F158" w14:textId="77777777" w:rsidR="001A123C" w:rsidRPr="002E2B5B" w:rsidRDefault="001A123C" w:rsidP="002E2B5B">
            <w:pPr>
              <w:jc w:val="right"/>
              <w:rPr>
                <w:rFonts w:ascii="Calibri" w:hAnsi="Calibri" w:cs="Calibri"/>
                <w:sz w:val="16"/>
                <w:szCs w:val="16"/>
              </w:rPr>
            </w:pPr>
          </w:p>
        </w:tc>
        <w:tc>
          <w:tcPr>
            <w:tcW w:w="114" w:type="pct"/>
            <w:gridSpan w:val="2"/>
            <w:tcBorders>
              <w:top w:val="single" w:sz="4" w:space="0" w:color="auto"/>
              <w:bottom w:val="single" w:sz="4" w:space="0" w:color="auto"/>
            </w:tcBorders>
            <w:vAlign w:val="center"/>
          </w:tcPr>
          <w:p w14:paraId="4D5CB095" w14:textId="77777777" w:rsidR="001A123C" w:rsidRPr="002E2B5B" w:rsidRDefault="001A123C" w:rsidP="002E2B5B">
            <w:pPr>
              <w:jc w:val="right"/>
              <w:rPr>
                <w:rFonts w:ascii="Calibri" w:hAnsi="Calibri" w:cs="Calibri"/>
                <w:sz w:val="16"/>
                <w:szCs w:val="16"/>
              </w:rPr>
            </w:pPr>
          </w:p>
        </w:tc>
        <w:tc>
          <w:tcPr>
            <w:tcW w:w="340" w:type="pct"/>
            <w:gridSpan w:val="2"/>
            <w:tcBorders>
              <w:top w:val="single" w:sz="4" w:space="0" w:color="auto"/>
              <w:bottom w:val="single" w:sz="4" w:space="0" w:color="auto"/>
            </w:tcBorders>
            <w:vAlign w:val="center"/>
          </w:tcPr>
          <w:p w14:paraId="77EF2874" w14:textId="77777777" w:rsidR="001A123C" w:rsidRPr="002E2B5B" w:rsidRDefault="001A123C" w:rsidP="002E2B5B">
            <w:pPr>
              <w:jc w:val="right"/>
              <w:rPr>
                <w:rFonts w:ascii="Calibri" w:hAnsi="Calibri" w:cs="Calibri"/>
                <w:sz w:val="16"/>
                <w:szCs w:val="16"/>
              </w:rPr>
            </w:pPr>
          </w:p>
        </w:tc>
        <w:tc>
          <w:tcPr>
            <w:tcW w:w="111" w:type="pct"/>
            <w:gridSpan w:val="2"/>
            <w:tcBorders>
              <w:top w:val="single" w:sz="4" w:space="0" w:color="auto"/>
              <w:bottom w:val="single" w:sz="4" w:space="0" w:color="auto"/>
            </w:tcBorders>
            <w:vAlign w:val="center"/>
          </w:tcPr>
          <w:p w14:paraId="2CEFF2A9" w14:textId="77777777" w:rsidR="001A123C" w:rsidRPr="002E2B5B" w:rsidRDefault="001A123C" w:rsidP="002E2B5B">
            <w:pPr>
              <w:jc w:val="both"/>
              <w:rPr>
                <w:rFonts w:ascii="Calibri" w:hAnsi="Calibri" w:cs="Calibri"/>
                <w:sz w:val="16"/>
                <w:szCs w:val="16"/>
              </w:rPr>
            </w:pPr>
          </w:p>
        </w:tc>
      </w:tr>
    </w:tbl>
    <w:p w14:paraId="1E6C2D93" w14:textId="77777777" w:rsidR="00785B26" w:rsidRPr="002E2B5B" w:rsidRDefault="00785B26" w:rsidP="002E2B5B">
      <w:pPr>
        <w:ind w:right="-142"/>
        <w:jc w:val="both"/>
        <w:rPr>
          <w:rFonts w:ascii="Calibri" w:hAnsi="Calibri" w:cs="Calibri"/>
          <w:sz w:val="22"/>
          <w:szCs w:val="22"/>
        </w:rPr>
      </w:pPr>
    </w:p>
    <w:p w14:paraId="371D299C" w14:textId="77777777" w:rsidR="00F262A7" w:rsidRPr="002E2B5B" w:rsidRDefault="00710F5F" w:rsidP="002E2B5B">
      <w:pPr>
        <w:numPr>
          <w:ilvl w:val="0"/>
          <w:numId w:val="13"/>
        </w:numPr>
        <w:ind w:left="284" w:right="57" w:hanging="284"/>
        <w:jc w:val="both"/>
        <w:rPr>
          <w:rFonts w:ascii="Calibri" w:hAnsi="Calibri" w:cs="Calibri"/>
          <w:b/>
          <w:sz w:val="22"/>
          <w:szCs w:val="22"/>
        </w:rPr>
      </w:pPr>
      <w:r w:rsidRPr="002E2B5B">
        <w:rPr>
          <w:rFonts w:ascii="Calibri" w:hAnsi="Calibri" w:cs="Calibri"/>
          <w:b/>
          <w:sz w:val="22"/>
          <w:szCs w:val="22"/>
        </w:rPr>
        <w:t xml:space="preserve">Estrada de Ferro Paraná-Oeste S/A </w:t>
      </w:r>
      <w:r w:rsidR="00D1757A" w:rsidRPr="002E2B5B">
        <w:rPr>
          <w:rFonts w:ascii="Calibri" w:hAnsi="Calibri" w:cs="Calibri"/>
          <w:b/>
          <w:sz w:val="22"/>
          <w:szCs w:val="22"/>
        </w:rPr>
        <w:t>(</w:t>
      </w:r>
      <w:r w:rsidRPr="002E2B5B">
        <w:rPr>
          <w:rFonts w:ascii="Calibri" w:hAnsi="Calibri" w:cs="Calibri"/>
          <w:b/>
          <w:sz w:val="22"/>
          <w:szCs w:val="22"/>
        </w:rPr>
        <w:t>FERROESTE</w:t>
      </w:r>
      <w:r w:rsidR="00D1757A" w:rsidRPr="002E2B5B">
        <w:rPr>
          <w:rFonts w:ascii="Calibri" w:hAnsi="Calibri" w:cs="Calibri"/>
          <w:b/>
          <w:sz w:val="22"/>
          <w:szCs w:val="22"/>
        </w:rPr>
        <w:t>)</w:t>
      </w:r>
    </w:p>
    <w:p w14:paraId="68C72D84" w14:textId="219EC212" w:rsidR="009165D8" w:rsidRPr="002E2B5B" w:rsidRDefault="00F262A7" w:rsidP="002E2B5B">
      <w:pPr>
        <w:spacing w:after="120"/>
        <w:ind w:right="57"/>
        <w:jc w:val="both"/>
        <w:rPr>
          <w:rFonts w:ascii="Calibri" w:hAnsi="Calibri" w:cs="Calibri"/>
          <w:sz w:val="22"/>
          <w:szCs w:val="22"/>
        </w:rPr>
      </w:pPr>
      <w:r w:rsidRPr="002E2B5B">
        <w:rPr>
          <w:rFonts w:ascii="Calibri" w:hAnsi="Calibri" w:cs="Calibri"/>
          <w:sz w:val="22"/>
          <w:szCs w:val="22"/>
        </w:rPr>
        <w:t xml:space="preserve">A Estrada de Ferro Paraná-Oeste S/A </w:t>
      </w:r>
      <w:r w:rsidR="00D1757A" w:rsidRPr="002E2B5B">
        <w:rPr>
          <w:rFonts w:ascii="Calibri" w:hAnsi="Calibri" w:cs="Calibri"/>
          <w:sz w:val="22"/>
          <w:szCs w:val="22"/>
        </w:rPr>
        <w:t>(</w:t>
      </w:r>
      <w:r w:rsidRPr="002E2B5B">
        <w:rPr>
          <w:rFonts w:ascii="Calibri" w:hAnsi="Calibri" w:cs="Calibri"/>
          <w:sz w:val="22"/>
          <w:szCs w:val="22"/>
        </w:rPr>
        <w:t>FERROESTE</w:t>
      </w:r>
      <w:r w:rsidR="00D1757A" w:rsidRPr="002E2B5B">
        <w:rPr>
          <w:rFonts w:ascii="Calibri" w:hAnsi="Calibri" w:cs="Calibri"/>
          <w:sz w:val="22"/>
          <w:szCs w:val="22"/>
        </w:rPr>
        <w:t>)</w:t>
      </w:r>
      <w:r w:rsidRPr="002E2B5B">
        <w:rPr>
          <w:rFonts w:ascii="Calibri" w:hAnsi="Calibri" w:cs="Calibri"/>
          <w:sz w:val="22"/>
          <w:szCs w:val="22"/>
        </w:rPr>
        <w:t xml:space="preserve"> é uma sociedade anônima, de economia mi</w:t>
      </w:r>
      <w:r w:rsidR="006A61D2" w:rsidRPr="002E2B5B">
        <w:rPr>
          <w:rFonts w:ascii="Calibri" w:hAnsi="Calibri" w:cs="Calibri"/>
          <w:sz w:val="22"/>
          <w:szCs w:val="22"/>
        </w:rPr>
        <w:t>sta, controlada pelo Estado do P</w:t>
      </w:r>
      <w:r w:rsidRPr="002E2B5B">
        <w:rPr>
          <w:rFonts w:ascii="Calibri" w:hAnsi="Calibri" w:cs="Calibri"/>
          <w:sz w:val="22"/>
          <w:szCs w:val="22"/>
        </w:rPr>
        <w:t>araná, com 99,69% de participação acion</w:t>
      </w:r>
      <w:r w:rsidR="00FC7C73" w:rsidRPr="002E2B5B">
        <w:rPr>
          <w:rFonts w:ascii="Calibri" w:hAnsi="Calibri" w:cs="Calibri"/>
          <w:sz w:val="22"/>
          <w:szCs w:val="22"/>
        </w:rPr>
        <w:t>ária, o</w:t>
      </w:r>
      <w:r w:rsidRPr="002E2B5B">
        <w:rPr>
          <w:rFonts w:ascii="Calibri" w:hAnsi="Calibri" w:cs="Calibri"/>
          <w:sz w:val="22"/>
          <w:szCs w:val="22"/>
        </w:rPr>
        <w:t xml:space="preserve"> restante das ações pertence a 46 empresas nacionais, 3 estrangeiras e 6 pessoas físicas. A FERROESTE tem por objetivo a construção, operação, administração, e exploração comercial de vias ferroviárias nacionais, de terminais ferroviários, de silos e demais sistemas de armazenagem de produtos agrícolas e manufaturados em geral. </w:t>
      </w:r>
    </w:p>
    <w:p w14:paraId="286B909C" w14:textId="63E3D251" w:rsidR="009165D8" w:rsidRPr="002E2B5B" w:rsidRDefault="00BA786C" w:rsidP="002E2B5B">
      <w:pPr>
        <w:spacing w:after="120"/>
        <w:ind w:right="57"/>
        <w:jc w:val="both"/>
        <w:rPr>
          <w:rFonts w:ascii="Calibri" w:hAnsi="Calibri" w:cs="Calibri"/>
          <w:sz w:val="22"/>
          <w:szCs w:val="22"/>
        </w:rPr>
      </w:pPr>
      <w:r w:rsidRPr="002E2B5B">
        <w:rPr>
          <w:rFonts w:ascii="Calibri" w:hAnsi="Calibri" w:cs="Calibri"/>
          <w:sz w:val="22"/>
          <w:szCs w:val="22"/>
        </w:rPr>
        <w:t>A VALEC participa do capital social da Estrada de Ferro Paraná-Oeste S/A</w:t>
      </w:r>
      <w:r w:rsidR="00D1757A" w:rsidRPr="002E2B5B">
        <w:rPr>
          <w:rFonts w:ascii="Calibri" w:hAnsi="Calibri" w:cs="Calibri"/>
          <w:sz w:val="22"/>
          <w:szCs w:val="22"/>
        </w:rPr>
        <w:t xml:space="preserve"> (</w:t>
      </w:r>
      <w:r w:rsidRPr="002E2B5B">
        <w:rPr>
          <w:rFonts w:ascii="Calibri" w:hAnsi="Calibri" w:cs="Calibri"/>
          <w:sz w:val="22"/>
          <w:szCs w:val="22"/>
        </w:rPr>
        <w:t>FERROESTE</w:t>
      </w:r>
      <w:r w:rsidR="00D1757A" w:rsidRPr="002E2B5B">
        <w:rPr>
          <w:rFonts w:ascii="Calibri" w:hAnsi="Calibri" w:cs="Calibri"/>
          <w:sz w:val="22"/>
          <w:szCs w:val="22"/>
        </w:rPr>
        <w:t>)</w:t>
      </w:r>
      <w:r w:rsidRPr="002E2B5B">
        <w:rPr>
          <w:rFonts w:ascii="Calibri" w:hAnsi="Calibri" w:cs="Calibri"/>
          <w:sz w:val="22"/>
          <w:szCs w:val="22"/>
        </w:rPr>
        <w:t xml:space="preserve"> com 1.875 lotes de 1.000 ações ordinárias. Esse investimento é avaliado pelo método de custo em função </w:t>
      </w:r>
      <w:r w:rsidR="001A3D8C" w:rsidRPr="002E2B5B">
        <w:rPr>
          <w:rFonts w:ascii="Calibri" w:hAnsi="Calibri" w:cs="Calibri"/>
          <w:sz w:val="22"/>
          <w:szCs w:val="22"/>
        </w:rPr>
        <w:t>da</w:t>
      </w:r>
      <w:r w:rsidRPr="002E2B5B">
        <w:rPr>
          <w:rFonts w:ascii="Calibri" w:hAnsi="Calibri" w:cs="Calibri"/>
          <w:sz w:val="22"/>
          <w:szCs w:val="22"/>
        </w:rPr>
        <w:t xml:space="preserve"> participação </w:t>
      </w:r>
      <w:r w:rsidR="001A3D8C" w:rsidRPr="002E2B5B">
        <w:rPr>
          <w:rFonts w:ascii="Calibri" w:hAnsi="Calibri" w:cs="Calibri"/>
          <w:sz w:val="22"/>
          <w:szCs w:val="22"/>
        </w:rPr>
        <w:t xml:space="preserve">da VALEC </w:t>
      </w:r>
      <w:r w:rsidRPr="002E2B5B">
        <w:rPr>
          <w:rFonts w:ascii="Calibri" w:hAnsi="Calibri" w:cs="Calibri"/>
          <w:sz w:val="22"/>
          <w:szCs w:val="22"/>
        </w:rPr>
        <w:t>não apresentar influência significativa, além dessa participação ser inferior a 20% do Capital Social da investida</w:t>
      </w:r>
      <w:r w:rsidR="00843229" w:rsidRPr="002E2B5B">
        <w:rPr>
          <w:rFonts w:ascii="Calibri" w:hAnsi="Calibri" w:cs="Calibri"/>
          <w:sz w:val="22"/>
          <w:szCs w:val="22"/>
        </w:rPr>
        <w:t>.</w:t>
      </w:r>
    </w:p>
    <w:p w14:paraId="4C2C41DF" w14:textId="77777777" w:rsidR="0020468B" w:rsidRPr="002E2B5B" w:rsidRDefault="00F22BE7" w:rsidP="002E2B5B">
      <w:pPr>
        <w:numPr>
          <w:ilvl w:val="0"/>
          <w:numId w:val="13"/>
        </w:numPr>
        <w:ind w:left="284" w:right="57" w:hanging="284"/>
        <w:jc w:val="both"/>
        <w:rPr>
          <w:rFonts w:ascii="Calibri" w:hAnsi="Calibri" w:cs="Calibri"/>
          <w:b/>
          <w:sz w:val="22"/>
          <w:szCs w:val="22"/>
        </w:rPr>
      </w:pPr>
      <w:r w:rsidRPr="002E2B5B">
        <w:rPr>
          <w:rFonts w:ascii="Calibri" w:hAnsi="Calibri" w:cs="Calibri"/>
          <w:b/>
          <w:sz w:val="22"/>
          <w:szCs w:val="22"/>
        </w:rPr>
        <w:t xml:space="preserve">Transnordestina Logística </w:t>
      </w:r>
      <w:r w:rsidR="00FC7C73" w:rsidRPr="002E2B5B">
        <w:rPr>
          <w:rFonts w:ascii="Calibri" w:hAnsi="Calibri" w:cs="Calibri"/>
          <w:b/>
          <w:sz w:val="22"/>
          <w:szCs w:val="22"/>
        </w:rPr>
        <w:t>S/A</w:t>
      </w:r>
      <w:r w:rsidR="00D1757A" w:rsidRPr="002E2B5B">
        <w:rPr>
          <w:rFonts w:ascii="Calibri" w:hAnsi="Calibri" w:cs="Calibri"/>
          <w:b/>
          <w:sz w:val="22"/>
          <w:szCs w:val="22"/>
        </w:rPr>
        <w:t xml:space="preserve"> (</w:t>
      </w:r>
      <w:r w:rsidR="00A03EC9" w:rsidRPr="002E2B5B">
        <w:rPr>
          <w:rFonts w:ascii="Calibri" w:hAnsi="Calibri" w:cs="Calibri"/>
          <w:b/>
          <w:sz w:val="22"/>
          <w:szCs w:val="22"/>
        </w:rPr>
        <w:t>TLSA</w:t>
      </w:r>
      <w:r w:rsidR="00D1757A" w:rsidRPr="002E2B5B">
        <w:rPr>
          <w:rFonts w:ascii="Calibri" w:hAnsi="Calibri" w:cs="Calibri"/>
          <w:b/>
          <w:sz w:val="22"/>
          <w:szCs w:val="22"/>
        </w:rPr>
        <w:t>)</w:t>
      </w:r>
    </w:p>
    <w:p w14:paraId="35A5FFF5" w14:textId="1961361A" w:rsidR="009165D8" w:rsidRPr="002E2B5B" w:rsidRDefault="00A03EC9" w:rsidP="002E2B5B">
      <w:pPr>
        <w:pStyle w:val="Textoembloco"/>
        <w:spacing w:after="120" w:line="240" w:lineRule="auto"/>
        <w:ind w:left="0" w:right="57"/>
        <w:rPr>
          <w:rFonts w:ascii="Calibri" w:hAnsi="Calibri" w:cs="Calibri"/>
          <w:sz w:val="22"/>
          <w:szCs w:val="22"/>
        </w:rPr>
      </w:pPr>
      <w:r w:rsidRPr="002E2B5B">
        <w:rPr>
          <w:rFonts w:ascii="Calibri" w:hAnsi="Calibri" w:cs="Calibri"/>
          <w:sz w:val="22"/>
          <w:szCs w:val="22"/>
        </w:rPr>
        <w:t>A Transnordestina Logística S</w:t>
      </w:r>
      <w:r w:rsidR="00D1757A" w:rsidRPr="002E2B5B">
        <w:rPr>
          <w:rFonts w:ascii="Calibri" w:hAnsi="Calibri" w:cs="Calibri"/>
          <w:sz w:val="22"/>
          <w:szCs w:val="22"/>
        </w:rPr>
        <w:t>/A (</w:t>
      </w:r>
      <w:r w:rsidRPr="002E2B5B">
        <w:rPr>
          <w:rFonts w:ascii="Calibri" w:hAnsi="Calibri" w:cs="Calibri"/>
          <w:sz w:val="22"/>
          <w:szCs w:val="22"/>
        </w:rPr>
        <w:t>TLSA</w:t>
      </w:r>
      <w:r w:rsidR="00D1757A" w:rsidRPr="002E2B5B">
        <w:rPr>
          <w:rFonts w:ascii="Calibri" w:hAnsi="Calibri" w:cs="Calibri"/>
          <w:sz w:val="22"/>
          <w:szCs w:val="22"/>
        </w:rPr>
        <w:t>)</w:t>
      </w:r>
      <w:r w:rsidRPr="002E2B5B">
        <w:rPr>
          <w:rFonts w:ascii="Calibri" w:hAnsi="Calibri" w:cs="Calibri"/>
          <w:sz w:val="22"/>
          <w:szCs w:val="22"/>
        </w:rPr>
        <w:t xml:space="preserve"> é uma sociedade por ações, sediada em </w:t>
      </w:r>
      <w:proofErr w:type="spellStart"/>
      <w:r w:rsidRPr="002E2B5B">
        <w:rPr>
          <w:rFonts w:ascii="Calibri" w:hAnsi="Calibri" w:cs="Calibri"/>
          <w:sz w:val="22"/>
          <w:szCs w:val="22"/>
        </w:rPr>
        <w:t>Fortaleza-CE</w:t>
      </w:r>
      <w:proofErr w:type="spellEnd"/>
      <w:r w:rsidRPr="002E2B5B">
        <w:rPr>
          <w:rFonts w:ascii="Calibri" w:hAnsi="Calibri" w:cs="Calibri"/>
          <w:sz w:val="22"/>
          <w:szCs w:val="22"/>
        </w:rPr>
        <w:t>, com registro de companhia aberta, classe B, junto à Comissão de Valores Mobiliários (“CVM”). A Companhia é controlada pela Companhia Siderúrgica Nacional (</w:t>
      </w:r>
      <w:r w:rsidR="00E3496E" w:rsidRPr="002E2B5B">
        <w:rPr>
          <w:rFonts w:ascii="Calibri" w:hAnsi="Calibri" w:cs="Calibri"/>
          <w:sz w:val="22"/>
          <w:szCs w:val="22"/>
        </w:rPr>
        <w:t>“CSN”) e</w:t>
      </w:r>
      <w:r w:rsidRPr="002E2B5B">
        <w:rPr>
          <w:rFonts w:ascii="Calibri" w:hAnsi="Calibri" w:cs="Calibri"/>
          <w:sz w:val="22"/>
          <w:szCs w:val="22"/>
        </w:rPr>
        <w:t xml:space="preserve"> suas ações não são negociadas em bolsa de valores. </w:t>
      </w:r>
    </w:p>
    <w:p w14:paraId="42C87EE0" w14:textId="41655232" w:rsidR="006912C4" w:rsidRPr="002E2B5B" w:rsidRDefault="00A03EC9" w:rsidP="002E2B5B">
      <w:pPr>
        <w:pStyle w:val="Textoembloco"/>
        <w:spacing w:after="120" w:line="240" w:lineRule="auto"/>
        <w:ind w:left="0" w:right="57"/>
        <w:rPr>
          <w:rFonts w:ascii="Calibri" w:hAnsi="Calibri" w:cs="Calibri"/>
          <w:sz w:val="22"/>
          <w:szCs w:val="22"/>
        </w:rPr>
      </w:pPr>
      <w:r w:rsidRPr="002E2B5B">
        <w:rPr>
          <w:rFonts w:ascii="Calibri" w:hAnsi="Calibri" w:cs="Calibri"/>
          <w:sz w:val="22"/>
          <w:szCs w:val="22"/>
        </w:rPr>
        <w:t>A Companhia tem por objeto social prestar serviços de transporte ferroviário; explorar serviços de carga, descarga, armazenagem e transbordo nas estações, pátios e terrenos existentes na faixa de domínio das linhas ferroviárias objeto da concessão; explorar os transportes intermodais necessários ao desenvolvimento de suas atividades; participar de projetos que tenham como objeto a promoção do desenvolvimento socioeconômico das áreas de influência, visando a ampliação dos serviços ferroviários concedidos; exercer a atividade de operador portuário; exercer outras atividades que utilizem como base a infraestrutura da Companhia; exercer a função de operador de transporte multimodal (OTM) e executar todas as atividades afins ou correlatas às descritas anteriormente.</w:t>
      </w:r>
    </w:p>
    <w:p w14:paraId="541CC9F9" w14:textId="0B520428" w:rsidR="006912C4" w:rsidRPr="002E2B5B" w:rsidRDefault="002761AA" w:rsidP="002E2B5B">
      <w:pPr>
        <w:pStyle w:val="Textoembloco"/>
        <w:spacing w:after="120" w:line="240" w:lineRule="auto"/>
        <w:ind w:left="0" w:right="57"/>
        <w:rPr>
          <w:rFonts w:ascii="Calibri" w:hAnsi="Calibri" w:cs="Calibri"/>
          <w:bCs w:val="0"/>
          <w:sz w:val="22"/>
          <w:szCs w:val="22"/>
          <w:shd w:val="clear" w:color="auto" w:fill="FFFFFF"/>
        </w:rPr>
      </w:pPr>
      <w:r w:rsidRPr="002E2B5B">
        <w:rPr>
          <w:rFonts w:ascii="Calibri" w:hAnsi="Calibri" w:cs="Calibri"/>
          <w:bCs w:val="0"/>
          <w:sz w:val="22"/>
          <w:szCs w:val="22"/>
          <w:shd w:val="clear" w:color="auto" w:fill="FFFFFF"/>
        </w:rPr>
        <w:t>A VALEC participa do capital social da Transnordestina Logí</w:t>
      </w:r>
      <w:r w:rsidR="00FC7C73" w:rsidRPr="002E2B5B">
        <w:rPr>
          <w:rFonts w:ascii="Calibri" w:hAnsi="Calibri" w:cs="Calibri"/>
          <w:bCs w:val="0"/>
          <w:sz w:val="22"/>
          <w:szCs w:val="22"/>
          <w:shd w:val="clear" w:color="auto" w:fill="FFFFFF"/>
        </w:rPr>
        <w:t>stica S/A com 20.408.791 ações (</w:t>
      </w:r>
      <w:r w:rsidR="00FC7C73" w:rsidRPr="002E2B5B">
        <w:rPr>
          <w:rFonts w:ascii="Calibri" w:hAnsi="Calibri" w:cs="Calibri"/>
          <w:sz w:val="22"/>
          <w:szCs w:val="22"/>
        </w:rPr>
        <w:t>18.686.075 ações preferenciais e 1.722.716 ações ordinárias)</w:t>
      </w:r>
      <w:r w:rsidR="00FC7C73" w:rsidRPr="002E2B5B">
        <w:rPr>
          <w:rFonts w:ascii="Calibri" w:hAnsi="Calibri" w:cs="Calibri"/>
          <w:sz w:val="16"/>
          <w:szCs w:val="16"/>
        </w:rPr>
        <w:t xml:space="preserve"> </w:t>
      </w:r>
      <w:r w:rsidRPr="002E2B5B">
        <w:rPr>
          <w:rFonts w:ascii="Calibri" w:hAnsi="Calibri" w:cs="Calibri"/>
          <w:bCs w:val="0"/>
          <w:sz w:val="22"/>
          <w:szCs w:val="22"/>
          <w:shd w:val="clear" w:color="auto" w:fill="FFFFFF"/>
        </w:rPr>
        <w:t xml:space="preserve">que correspondem a 39,10% do total de ações, sendo 71,59% das ações preferenciais e 6,60% das ações ordinárias. </w:t>
      </w:r>
    </w:p>
    <w:p w14:paraId="395B8135" w14:textId="670F1E54" w:rsidR="006912C4" w:rsidRPr="002E2B5B" w:rsidRDefault="00475112" w:rsidP="002E2B5B">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A VALEC, nos termos da legislação, dos contratos, do </w:t>
      </w:r>
      <w:r w:rsidR="00D1757A" w:rsidRPr="002E2B5B">
        <w:rPr>
          <w:rFonts w:ascii="Calibri" w:hAnsi="Calibri" w:cs="Calibri"/>
          <w:sz w:val="22"/>
          <w:szCs w:val="22"/>
          <w:shd w:val="clear" w:color="auto" w:fill="FFFFFF"/>
        </w:rPr>
        <w:t>A</w:t>
      </w:r>
      <w:r w:rsidRPr="002E2B5B">
        <w:rPr>
          <w:rFonts w:ascii="Calibri" w:hAnsi="Calibri" w:cs="Calibri"/>
          <w:sz w:val="22"/>
          <w:szCs w:val="22"/>
          <w:shd w:val="clear" w:color="auto" w:fill="FFFFFF"/>
        </w:rPr>
        <w:t xml:space="preserve">cordo de </w:t>
      </w:r>
      <w:r w:rsidR="00D1757A" w:rsidRPr="002E2B5B">
        <w:rPr>
          <w:rFonts w:ascii="Calibri" w:hAnsi="Calibri" w:cs="Calibri"/>
          <w:sz w:val="22"/>
          <w:szCs w:val="22"/>
          <w:shd w:val="clear" w:color="auto" w:fill="FFFFFF"/>
        </w:rPr>
        <w:t>A</w:t>
      </w:r>
      <w:r w:rsidRPr="002E2B5B">
        <w:rPr>
          <w:rFonts w:ascii="Calibri" w:hAnsi="Calibri" w:cs="Calibri"/>
          <w:sz w:val="22"/>
          <w:szCs w:val="22"/>
          <w:shd w:val="clear" w:color="auto" w:fill="FFFFFF"/>
        </w:rPr>
        <w:t xml:space="preserve">cionistas e do </w:t>
      </w:r>
      <w:r w:rsidR="00D1757A" w:rsidRPr="002E2B5B">
        <w:rPr>
          <w:rFonts w:ascii="Calibri" w:hAnsi="Calibri" w:cs="Calibri"/>
          <w:sz w:val="22"/>
          <w:szCs w:val="22"/>
          <w:shd w:val="clear" w:color="auto" w:fill="FFFFFF"/>
        </w:rPr>
        <w:t>A</w:t>
      </w:r>
      <w:r w:rsidRPr="002E2B5B">
        <w:rPr>
          <w:rFonts w:ascii="Calibri" w:hAnsi="Calibri" w:cs="Calibri"/>
          <w:sz w:val="22"/>
          <w:szCs w:val="22"/>
          <w:shd w:val="clear" w:color="auto" w:fill="FFFFFF"/>
        </w:rPr>
        <w:t xml:space="preserve">cordo de </w:t>
      </w:r>
      <w:r w:rsidR="00D1757A" w:rsidRPr="002E2B5B">
        <w:rPr>
          <w:rFonts w:ascii="Calibri" w:hAnsi="Calibri" w:cs="Calibri"/>
          <w:sz w:val="22"/>
          <w:szCs w:val="22"/>
          <w:shd w:val="clear" w:color="auto" w:fill="FFFFFF"/>
        </w:rPr>
        <w:t>I</w:t>
      </w:r>
      <w:r w:rsidRPr="002E2B5B">
        <w:rPr>
          <w:rFonts w:ascii="Calibri" w:hAnsi="Calibri" w:cs="Calibri"/>
          <w:sz w:val="22"/>
          <w:szCs w:val="22"/>
          <w:shd w:val="clear" w:color="auto" w:fill="FFFFFF"/>
        </w:rPr>
        <w:t>nvestimento, não é integrante do grupo controlador da TLSA e não possui o controle compartilhado, mantendo a sua característica de acionista minoritária.</w:t>
      </w:r>
      <w:bookmarkStart w:id="1" w:name="_Hlk36135171"/>
    </w:p>
    <w:p w14:paraId="7F3C4A79" w14:textId="4A0B785F" w:rsidR="006912C4" w:rsidRPr="002E2B5B" w:rsidRDefault="009478D8" w:rsidP="002E2B5B">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lastRenderedPageBreak/>
        <w:t>A Lei nº 6.404/76, de 15 de dezembro de 1976, que dispõe sobre as sociedades por ações, preceitua em seu art.116 o conceito do acionista controlador como a pessoa, natural ou jurídica, ou o grupo de pessoas vinculadas por acordo de voto, ou sob controle comum, que: a) é titular de direitos de sócio que lhe assegurem, de modo permanente, a maioria dos votos nas deliberações da assembleia-geral e o poder de eleger a maioria dos administradores da companhia; e b) usa efetivamente seu poder para dirigir as atividades sociais e orientar o funcionamento dos órgãos da companhia.</w:t>
      </w:r>
    </w:p>
    <w:p w14:paraId="3488BD81" w14:textId="5431E7DA" w:rsidR="006912C4" w:rsidRPr="002E2B5B" w:rsidRDefault="00843229" w:rsidP="002E2B5B">
      <w:pPr>
        <w:pStyle w:val="Textoembloco"/>
        <w:spacing w:after="120" w:line="240" w:lineRule="auto"/>
        <w:ind w:left="0" w:right="57"/>
        <w:rPr>
          <w:rFonts w:ascii="Calibri" w:hAnsi="Calibri" w:cs="Calibri"/>
          <w:bCs w:val="0"/>
          <w:sz w:val="22"/>
          <w:szCs w:val="22"/>
          <w:shd w:val="clear" w:color="auto" w:fill="FFFFFF"/>
        </w:rPr>
      </w:pPr>
      <w:r w:rsidRPr="002E2B5B">
        <w:rPr>
          <w:rFonts w:ascii="Calibri" w:hAnsi="Calibri" w:cs="Calibri"/>
          <w:bCs w:val="0"/>
          <w:sz w:val="22"/>
          <w:szCs w:val="22"/>
          <w:shd w:val="clear" w:color="auto" w:fill="FFFFFF"/>
        </w:rPr>
        <w:t>Em 27 de dezembro 2013, após a eleição e posse de dois representantes para compor o Conselho de Administração da Transnordestina Logística S/A, a VALEC passou a considerá-la coligada. Conforme a Norma Brasileira de Contabilidade NBC TG 18 (R3), coligada é a entidade sobre a qual o investidor tem influência significativa, isto é, o investidor possui o direito de participar de certas decisões sobre políticas</w:t>
      </w:r>
      <w:bookmarkStart w:id="2" w:name="SL147989"/>
      <w:bookmarkEnd w:id="2"/>
      <w:r w:rsidRPr="002E2B5B">
        <w:rPr>
          <w:rFonts w:ascii="Calibri" w:hAnsi="Calibri" w:cs="Calibri"/>
          <w:bCs w:val="0"/>
          <w:sz w:val="22"/>
          <w:szCs w:val="22"/>
          <w:shd w:val="clear" w:color="auto" w:fill="FFFFFF"/>
        </w:rPr>
        <w:t xml:space="preserve"> financeiras e operacionais da companhia investida, mas sem exercer controle individual ou conjunto dessas políticas.</w:t>
      </w:r>
    </w:p>
    <w:bookmarkEnd w:id="1"/>
    <w:p w14:paraId="77A757A9" w14:textId="622D1C1D" w:rsidR="00731BB6" w:rsidRPr="002E2B5B" w:rsidRDefault="00E05B2B" w:rsidP="002E2B5B">
      <w:pPr>
        <w:pStyle w:val="Textoembloco"/>
        <w:spacing w:after="120" w:line="240" w:lineRule="auto"/>
        <w:ind w:left="0" w:right="57"/>
        <w:rPr>
          <w:rFonts w:ascii="Calibri" w:hAnsi="Calibri" w:cs="Calibri"/>
          <w:bCs w:val="0"/>
          <w:sz w:val="22"/>
          <w:szCs w:val="22"/>
          <w:shd w:val="clear" w:color="auto" w:fill="FFFFFF"/>
        </w:rPr>
      </w:pPr>
      <w:r w:rsidRPr="002E2B5B">
        <w:rPr>
          <w:rFonts w:ascii="Calibri" w:hAnsi="Calibri" w:cs="Calibri"/>
          <w:bCs w:val="0"/>
          <w:sz w:val="22"/>
          <w:szCs w:val="22"/>
          <w:shd w:val="clear" w:color="auto" w:fill="FFFFFF"/>
        </w:rPr>
        <w:t xml:space="preserve">A </w:t>
      </w:r>
      <w:r w:rsidR="00447628" w:rsidRPr="002E2B5B">
        <w:rPr>
          <w:rFonts w:ascii="Calibri" w:hAnsi="Calibri" w:cs="Calibri"/>
          <w:bCs w:val="0"/>
          <w:sz w:val="22"/>
          <w:szCs w:val="22"/>
          <w:shd w:val="clear" w:color="auto" w:fill="FFFFFF"/>
        </w:rPr>
        <w:t>NBC TG</w:t>
      </w:r>
      <w:r w:rsidR="00EE4322" w:rsidRPr="002E2B5B">
        <w:rPr>
          <w:rFonts w:ascii="Calibri" w:hAnsi="Calibri" w:cs="Calibri"/>
          <w:bCs w:val="0"/>
          <w:sz w:val="22"/>
          <w:szCs w:val="22"/>
          <w:shd w:val="clear" w:color="auto" w:fill="FFFFFF"/>
        </w:rPr>
        <w:t xml:space="preserve"> 18</w:t>
      </w:r>
      <w:r w:rsidR="00447628" w:rsidRPr="002E2B5B">
        <w:rPr>
          <w:rFonts w:ascii="Calibri" w:hAnsi="Calibri" w:cs="Calibri"/>
          <w:bCs w:val="0"/>
          <w:sz w:val="22"/>
          <w:szCs w:val="22"/>
          <w:shd w:val="clear" w:color="auto" w:fill="FFFFFF"/>
        </w:rPr>
        <w:t xml:space="preserve"> (R3)</w:t>
      </w:r>
      <w:r w:rsidR="002761AA" w:rsidRPr="002E2B5B">
        <w:rPr>
          <w:rFonts w:ascii="Calibri" w:hAnsi="Calibri" w:cs="Calibri"/>
          <w:bCs w:val="0"/>
          <w:sz w:val="22"/>
          <w:szCs w:val="22"/>
          <w:shd w:val="clear" w:color="auto" w:fill="FFFFFF"/>
        </w:rPr>
        <w:t xml:space="preserve"> determina que o investimento em coligada seja avaliado pelo método da equivalência patrimonial, o qual deve ser inicialmente reconhecido pelo custo e o seu valor contábil aumentado ou diminuído pelo reconhecimento da participação do investidor nos lucros ou prejuízos do período, gerados pela investida após a aquisição. A participação do investidor no lucro ou prejuízo do período da investida deve ser reconhecida no resultado do período do investidor.</w:t>
      </w:r>
    </w:p>
    <w:p w14:paraId="112CD9B0" w14:textId="250932A7" w:rsidR="006912C4" w:rsidRPr="002E2B5B" w:rsidRDefault="00843229" w:rsidP="002E2B5B">
      <w:pPr>
        <w:pStyle w:val="Textoembloco"/>
        <w:spacing w:after="120" w:line="240" w:lineRule="auto"/>
        <w:ind w:left="0" w:right="57"/>
        <w:rPr>
          <w:rFonts w:ascii="Calibri" w:hAnsi="Calibri" w:cs="Calibri"/>
          <w:bCs w:val="0"/>
          <w:sz w:val="22"/>
          <w:szCs w:val="22"/>
          <w:shd w:val="clear" w:color="auto" w:fill="FFFFFF"/>
        </w:rPr>
      </w:pPr>
      <w:r w:rsidRPr="002E2B5B">
        <w:rPr>
          <w:rFonts w:ascii="Calibri" w:hAnsi="Calibri" w:cs="Calibri"/>
          <w:bCs w:val="0"/>
          <w:sz w:val="22"/>
          <w:szCs w:val="22"/>
          <w:shd w:val="clear" w:color="auto" w:fill="FFFFFF"/>
        </w:rPr>
        <w:t xml:space="preserve">Até o ano de 2016, a VALEC aportou o montante de R$ 1.124,6 milhões na TLSA. Desde janeiro de 2017, por determinação do Tribunal de Contas da União – Acórdão </w:t>
      </w:r>
      <w:r w:rsidR="003648BA">
        <w:rPr>
          <w:rFonts w:ascii="Calibri" w:hAnsi="Calibri" w:cs="Calibri"/>
          <w:bCs w:val="0"/>
          <w:sz w:val="22"/>
          <w:szCs w:val="22"/>
          <w:shd w:val="clear" w:color="auto" w:fill="FFFFFF"/>
        </w:rPr>
        <w:t>n</w:t>
      </w:r>
      <w:r w:rsidRPr="002E2B5B">
        <w:rPr>
          <w:rFonts w:ascii="Calibri" w:hAnsi="Calibri" w:cs="Calibri"/>
          <w:bCs w:val="0"/>
          <w:sz w:val="22"/>
          <w:szCs w:val="22"/>
          <w:shd w:val="clear" w:color="auto" w:fill="FFFFFF"/>
        </w:rPr>
        <w:t>° 67/2017, estão suspensos novos aportes de recursos públicos para o projeto.</w:t>
      </w:r>
    </w:p>
    <w:p w14:paraId="699E64BC" w14:textId="02721D6F" w:rsidR="00484222" w:rsidRPr="002E2B5B" w:rsidRDefault="0012428D" w:rsidP="002E2B5B">
      <w:pPr>
        <w:pStyle w:val="Textoembloco"/>
        <w:spacing w:line="240" w:lineRule="auto"/>
        <w:ind w:left="0" w:right="57"/>
        <w:rPr>
          <w:rFonts w:ascii="Calibri" w:hAnsi="Calibri" w:cs="Calibri"/>
          <w:bCs w:val="0"/>
          <w:sz w:val="22"/>
          <w:szCs w:val="22"/>
          <w:shd w:val="clear" w:color="auto" w:fill="FFFFFF"/>
        </w:rPr>
      </w:pPr>
      <w:r>
        <w:rPr>
          <w:rFonts w:ascii="Calibri" w:hAnsi="Calibri" w:cs="Calibri"/>
          <w:bCs w:val="0"/>
          <w:sz w:val="22"/>
          <w:szCs w:val="22"/>
          <w:shd w:val="clear" w:color="auto" w:fill="FFFFFF"/>
        </w:rPr>
        <w:t xml:space="preserve">No ano de 2021, até o </w:t>
      </w:r>
      <w:r w:rsidR="00910934">
        <w:rPr>
          <w:rFonts w:ascii="Calibri" w:hAnsi="Calibri" w:cs="Calibri"/>
          <w:bCs w:val="0"/>
          <w:sz w:val="22"/>
          <w:szCs w:val="22"/>
          <w:shd w:val="clear" w:color="auto" w:fill="FFFFFF"/>
        </w:rPr>
        <w:t>terceiro</w:t>
      </w:r>
      <w:r>
        <w:rPr>
          <w:rFonts w:ascii="Calibri" w:hAnsi="Calibri" w:cs="Calibri"/>
          <w:bCs w:val="0"/>
          <w:sz w:val="22"/>
          <w:szCs w:val="22"/>
          <w:shd w:val="clear" w:color="auto" w:fill="FFFFFF"/>
        </w:rPr>
        <w:t xml:space="preserve"> trimestre</w:t>
      </w:r>
      <w:r w:rsidR="007E07A3" w:rsidRPr="002E2B5B">
        <w:rPr>
          <w:rFonts w:ascii="Calibri" w:hAnsi="Calibri" w:cs="Calibri"/>
          <w:bCs w:val="0"/>
          <w:sz w:val="22"/>
          <w:szCs w:val="22"/>
          <w:shd w:val="clear" w:color="auto" w:fill="FFFFFF"/>
        </w:rPr>
        <w:t xml:space="preserve">, a Transnordestina Logística S/A apresentou um resultado negativo de R$ </w:t>
      </w:r>
      <w:r w:rsidR="00910934">
        <w:rPr>
          <w:rFonts w:ascii="Calibri" w:hAnsi="Calibri" w:cs="Calibri"/>
          <w:bCs w:val="0"/>
          <w:sz w:val="22"/>
          <w:szCs w:val="22"/>
          <w:shd w:val="clear" w:color="auto" w:fill="FFFFFF"/>
        </w:rPr>
        <w:t>82</w:t>
      </w:r>
      <w:r w:rsidR="00484222">
        <w:rPr>
          <w:rFonts w:ascii="Calibri" w:hAnsi="Calibri" w:cs="Calibri"/>
          <w:bCs w:val="0"/>
          <w:sz w:val="22"/>
          <w:szCs w:val="22"/>
          <w:shd w:val="clear" w:color="auto" w:fill="FFFFFF"/>
        </w:rPr>
        <w:t>,</w:t>
      </w:r>
      <w:r w:rsidR="00910934">
        <w:rPr>
          <w:rFonts w:ascii="Calibri" w:hAnsi="Calibri" w:cs="Calibri"/>
          <w:bCs w:val="0"/>
          <w:sz w:val="22"/>
          <w:szCs w:val="22"/>
          <w:shd w:val="clear" w:color="auto" w:fill="FFFFFF"/>
        </w:rPr>
        <w:t>47</w:t>
      </w:r>
      <w:r w:rsidR="00484222">
        <w:rPr>
          <w:rFonts w:ascii="Calibri" w:hAnsi="Calibri" w:cs="Calibri"/>
          <w:bCs w:val="0"/>
          <w:sz w:val="22"/>
          <w:szCs w:val="22"/>
          <w:shd w:val="clear" w:color="auto" w:fill="FFFFFF"/>
        </w:rPr>
        <w:t xml:space="preserve"> </w:t>
      </w:r>
      <w:r w:rsidR="007E07A3" w:rsidRPr="002E2B5B">
        <w:rPr>
          <w:rFonts w:ascii="Calibri" w:hAnsi="Calibri" w:cs="Calibri"/>
          <w:bCs w:val="0"/>
          <w:sz w:val="22"/>
          <w:szCs w:val="22"/>
          <w:shd w:val="clear" w:color="auto" w:fill="FFFFFF"/>
        </w:rPr>
        <w:t xml:space="preserve">milhões, o que provocou para a VALEC uma perda de equivalência patrimonial deste investimento na ordem de R$ </w:t>
      </w:r>
      <w:r w:rsidR="00910934">
        <w:rPr>
          <w:rFonts w:ascii="Calibri" w:hAnsi="Calibri" w:cs="Calibri"/>
          <w:bCs w:val="0"/>
          <w:sz w:val="22"/>
          <w:szCs w:val="22"/>
          <w:shd w:val="clear" w:color="auto" w:fill="FFFFFF"/>
        </w:rPr>
        <w:t>32,25</w:t>
      </w:r>
      <w:r w:rsidR="007E07A3" w:rsidRPr="002E2B5B">
        <w:rPr>
          <w:rFonts w:ascii="Calibri" w:hAnsi="Calibri" w:cs="Calibri"/>
          <w:bCs w:val="0"/>
          <w:sz w:val="22"/>
          <w:szCs w:val="22"/>
          <w:shd w:val="clear" w:color="auto" w:fill="FFFFFF"/>
        </w:rPr>
        <w:t xml:space="preserve"> milhões no período.</w:t>
      </w:r>
    </w:p>
    <w:p w14:paraId="04C0A243" w14:textId="77777777" w:rsidR="00A00571" w:rsidRPr="002E2B5B" w:rsidRDefault="00A00571" w:rsidP="002E2B5B">
      <w:pPr>
        <w:pStyle w:val="Textoembloco"/>
        <w:spacing w:line="240" w:lineRule="auto"/>
        <w:ind w:left="0" w:right="57"/>
        <w:rPr>
          <w:rFonts w:ascii="Calibri" w:hAnsi="Calibri" w:cs="Calibri"/>
          <w:bCs w:val="0"/>
          <w:sz w:val="22"/>
          <w:szCs w:val="22"/>
          <w:shd w:val="clear" w:color="auto" w:fill="FFFFFF"/>
        </w:rPr>
      </w:pPr>
    </w:p>
    <w:p w14:paraId="454F1F30" w14:textId="2732CBEB" w:rsidR="007568E7" w:rsidRPr="002E2B5B" w:rsidRDefault="007568E7" w:rsidP="002E2B5B">
      <w:pPr>
        <w:ind w:right="-85"/>
        <w:jc w:val="both"/>
        <w:rPr>
          <w:rFonts w:ascii="Calibri" w:hAnsi="Calibri" w:cs="Calibri"/>
          <w:b/>
          <w:sz w:val="22"/>
          <w:szCs w:val="22"/>
          <w:shd w:val="clear" w:color="auto" w:fill="FFFFFF"/>
        </w:rPr>
      </w:pPr>
      <w:r w:rsidRPr="002E2B5B">
        <w:rPr>
          <w:rFonts w:ascii="Calibri" w:hAnsi="Calibri" w:cs="Calibri"/>
          <w:b/>
          <w:sz w:val="22"/>
          <w:szCs w:val="22"/>
          <w:shd w:val="clear" w:color="auto" w:fill="FFFFFF"/>
        </w:rPr>
        <w:t xml:space="preserve">NOTA </w:t>
      </w:r>
      <w:r w:rsidR="003648BA">
        <w:rPr>
          <w:rFonts w:ascii="Calibri" w:hAnsi="Calibri" w:cs="Calibri"/>
          <w:b/>
          <w:sz w:val="22"/>
          <w:szCs w:val="22"/>
          <w:shd w:val="clear" w:color="auto" w:fill="FFFFFF"/>
        </w:rPr>
        <w:t>8</w:t>
      </w:r>
      <w:r w:rsidRPr="002E2B5B">
        <w:rPr>
          <w:rFonts w:ascii="Calibri" w:hAnsi="Calibri" w:cs="Calibri"/>
          <w:b/>
          <w:sz w:val="22"/>
          <w:szCs w:val="22"/>
          <w:shd w:val="clear" w:color="auto" w:fill="FFFFFF"/>
        </w:rPr>
        <w:t xml:space="preserve"> – IMOBILIZADO</w:t>
      </w:r>
      <w:r w:rsidR="00DB7529" w:rsidRPr="002E2B5B">
        <w:rPr>
          <w:rFonts w:ascii="Calibri" w:hAnsi="Calibri" w:cs="Calibri"/>
          <w:b/>
          <w:sz w:val="22"/>
          <w:szCs w:val="22"/>
          <w:shd w:val="clear" w:color="auto" w:fill="FFFFFF"/>
        </w:rPr>
        <w:t xml:space="preserve"> </w:t>
      </w:r>
    </w:p>
    <w:p w14:paraId="41BF4BD6" w14:textId="77777777" w:rsidR="009165D8" w:rsidRPr="002E2B5B" w:rsidRDefault="009165D8" w:rsidP="002E2B5B">
      <w:pPr>
        <w:ind w:right="-85"/>
        <w:jc w:val="both"/>
        <w:rPr>
          <w:rFonts w:ascii="Calibri" w:hAnsi="Calibri" w:cs="Calibri"/>
          <w:b/>
          <w:sz w:val="22"/>
          <w:szCs w:val="22"/>
          <w:shd w:val="clear" w:color="auto" w:fill="FFFFFF"/>
        </w:rPr>
      </w:pPr>
    </w:p>
    <w:p w14:paraId="076C46DD" w14:textId="77777777" w:rsidR="004A5C0E" w:rsidRPr="002E2B5B" w:rsidRDefault="004A5C0E" w:rsidP="002E2B5B">
      <w:pPr>
        <w:ind w:right="-85"/>
        <w:jc w:val="both"/>
        <w:rPr>
          <w:rFonts w:ascii="Calibri" w:hAnsi="Calibri" w:cs="Calibri"/>
          <w:b/>
          <w:sz w:val="22"/>
          <w:szCs w:val="22"/>
          <w:shd w:val="clear" w:color="auto" w:fill="FFFFFF"/>
        </w:rPr>
      </w:pPr>
      <w:r w:rsidRPr="002E2B5B">
        <w:rPr>
          <w:rFonts w:ascii="Calibri" w:hAnsi="Calibri" w:cs="Calibri"/>
          <w:b/>
          <w:sz w:val="22"/>
          <w:szCs w:val="22"/>
          <w:shd w:val="clear" w:color="auto" w:fill="FFFFFF"/>
        </w:rPr>
        <w:t>I – COMPOSIÇÃO E FLUXO DO ATIVO IMOBILIZADO:</w:t>
      </w:r>
    </w:p>
    <w:p w14:paraId="0DF02A22" w14:textId="77777777" w:rsidR="00484222" w:rsidRDefault="00484222" w:rsidP="002E2B5B">
      <w:pPr>
        <w:ind w:right="-85"/>
        <w:jc w:val="both"/>
        <w:rPr>
          <w:rFonts w:ascii="Calibri" w:hAnsi="Calibri" w:cs="Calibri"/>
          <w:bCs/>
          <w:sz w:val="22"/>
          <w:szCs w:val="22"/>
          <w:shd w:val="clear" w:color="auto" w:fill="FFFFFF"/>
        </w:rPr>
      </w:pPr>
    </w:p>
    <w:p w14:paraId="792B2C8A" w14:textId="78818F77" w:rsidR="00484222" w:rsidRPr="002E2B5B" w:rsidRDefault="00A32466" w:rsidP="002E2B5B">
      <w:pPr>
        <w:ind w:right="-85"/>
        <w:jc w:val="both"/>
        <w:rPr>
          <w:rFonts w:ascii="Calibri" w:hAnsi="Calibri" w:cs="Calibri"/>
          <w:bCs/>
          <w:sz w:val="22"/>
          <w:szCs w:val="22"/>
          <w:shd w:val="clear" w:color="auto" w:fill="FFFFFF"/>
        </w:rPr>
      </w:pPr>
      <w:r w:rsidRPr="002E2B5B">
        <w:rPr>
          <w:rFonts w:ascii="Calibri" w:hAnsi="Calibri" w:cs="Calibri"/>
          <w:bCs/>
          <w:sz w:val="22"/>
          <w:szCs w:val="22"/>
          <w:shd w:val="clear" w:color="auto" w:fill="FFFFFF"/>
        </w:rPr>
        <w:t xml:space="preserve">O fluxo de movimentação do ativo imobilizado da VALEC no </w:t>
      </w:r>
      <w:r w:rsidR="00484222">
        <w:rPr>
          <w:rFonts w:ascii="Calibri" w:hAnsi="Calibri" w:cs="Calibri"/>
          <w:bCs/>
          <w:sz w:val="22"/>
          <w:szCs w:val="22"/>
          <w:shd w:val="clear" w:color="auto" w:fill="FFFFFF"/>
        </w:rPr>
        <w:t>ano</w:t>
      </w:r>
      <w:r w:rsidR="003A6036">
        <w:rPr>
          <w:rFonts w:ascii="Calibri" w:hAnsi="Calibri" w:cs="Calibri"/>
          <w:bCs/>
          <w:sz w:val="22"/>
          <w:szCs w:val="22"/>
          <w:shd w:val="clear" w:color="auto" w:fill="FFFFFF"/>
        </w:rPr>
        <w:t xml:space="preserve"> de</w:t>
      </w:r>
      <w:r w:rsidRPr="002E2B5B">
        <w:rPr>
          <w:rFonts w:ascii="Calibri" w:hAnsi="Calibri" w:cs="Calibri"/>
          <w:bCs/>
          <w:sz w:val="22"/>
          <w:szCs w:val="22"/>
          <w:shd w:val="clear" w:color="auto" w:fill="FFFFFF"/>
        </w:rPr>
        <w:t xml:space="preserve"> 20</w:t>
      </w:r>
      <w:r w:rsidR="007E07A3" w:rsidRPr="002E2B5B">
        <w:rPr>
          <w:rFonts w:ascii="Calibri" w:hAnsi="Calibri" w:cs="Calibri"/>
          <w:bCs/>
          <w:sz w:val="22"/>
          <w:szCs w:val="22"/>
          <w:shd w:val="clear" w:color="auto" w:fill="FFFFFF"/>
        </w:rPr>
        <w:t>2</w:t>
      </w:r>
      <w:r w:rsidR="003A6036">
        <w:rPr>
          <w:rFonts w:ascii="Calibri" w:hAnsi="Calibri" w:cs="Calibri"/>
          <w:bCs/>
          <w:sz w:val="22"/>
          <w:szCs w:val="22"/>
          <w:shd w:val="clear" w:color="auto" w:fill="FFFFFF"/>
        </w:rPr>
        <w:t>1</w:t>
      </w:r>
      <w:r w:rsidR="00484222">
        <w:rPr>
          <w:rFonts w:ascii="Calibri" w:hAnsi="Calibri" w:cs="Calibri"/>
          <w:bCs/>
          <w:sz w:val="22"/>
          <w:szCs w:val="22"/>
          <w:shd w:val="clear" w:color="auto" w:fill="FFFFFF"/>
        </w:rPr>
        <w:t xml:space="preserve">, até o </w:t>
      </w:r>
      <w:r w:rsidR="005544D6">
        <w:rPr>
          <w:rFonts w:ascii="Calibri" w:hAnsi="Calibri" w:cs="Calibri"/>
          <w:bCs/>
          <w:sz w:val="22"/>
          <w:szCs w:val="22"/>
          <w:shd w:val="clear" w:color="auto" w:fill="FFFFFF"/>
        </w:rPr>
        <w:t>terceir</w:t>
      </w:r>
      <w:r w:rsidR="00484222">
        <w:rPr>
          <w:rFonts w:ascii="Calibri" w:hAnsi="Calibri" w:cs="Calibri"/>
          <w:bCs/>
          <w:sz w:val="22"/>
          <w:szCs w:val="22"/>
          <w:shd w:val="clear" w:color="auto" w:fill="FFFFFF"/>
        </w:rPr>
        <w:t>o trimestre,</w:t>
      </w:r>
      <w:r w:rsidR="007E07A3" w:rsidRPr="002E2B5B">
        <w:rPr>
          <w:rFonts w:ascii="Calibri" w:hAnsi="Calibri" w:cs="Calibri"/>
          <w:bCs/>
          <w:sz w:val="22"/>
          <w:szCs w:val="22"/>
          <w:shd w:val="clear" w:color="auto" w:fill="FFFFFF"/>
        </w:rPr>
        <w:t xml:space="preserve"> </w:t>
      </w:r>
      <w:r w:rsidRPr="002E2B5B">
        <w:rPr>
          <w:rFonts w:ascii="Calibri" w:hAnsi="Calibri" w:cs="Calibri"/>
          <w:bCs/>
          <w:sz w:val="22"/>
          <w:szCs w:val="22"/>
          <w:shd w:val="clear" w:color="auto" w:fill="FFFFFF"/>
        </w:rPr>
        <w:t>está representado na tabela abaixo e justificado nos itens que segue:</w:t>
      </w:r>
    </w:p>
    <w:tbl>
      <w:tblPr>
        <w:tblW w:w="10520" w:type="dxa"/>
        <w:tblCellMar>
          <w:left w:w="70" w:type="dxa"/>
          <w:right w:w="70" w:type="dxa"/>
        </w:tblCellMar>
        <w:tblLook w:val="04A0" w:firstRow="1" w:lastRow="0" w:firstColumn="1" w:lastColumn="0" w:noHBand="0" w:noVBand="1"/>
      </w:tblPr>
      <w:tblGrid>
        <w:gridCol w:w="3097"/>
        <w:gridCol w:w="1486"/>
        <w:gridCol w:w="1237"/>
        <w:gridCol w:w="1167"/>
        <w:gridCol w:w="1345"/>
        <w:gridCol w:w="1522"/>
        <w:gridCol w:w="700"/>
      </w:tblGrid>
      <w:tr w:rsidR="000C54C6" w14:paraId="49BC7991" w14:textId="77777777" w:rsidTr="000C54C6">
        <w:trPr>
          <w:trHeight w:val="465"/>
        </w:trPr>
        <w:tc>
          <w:tcPr>
            <w:tcW w:w="3097" w:type="dxa"/>
            <w:tcBorders>
              <w:top w:val="nil"/>
              <w:left w:val="nil"/>
              <w:bottom w:val="single" w:sz="8" w:space="0" w:color="auto"/>
              <w:right w:val="nil"/>
            </w:tcBorders>
            <w:shd w:val="clear" w:color="auto" w:fill="auto"/>
            <w:vAlign w:val="center"/>
            <w:hideMark/>
          </w:tcPr>
          <w:p w14:paraId="747EE394" w14:textId="77777777" w:rsidR="000C54C6" w:rsidRDefault="000C54C6">
            <w:pPr>
              <w:rPr>
                <w:rFonts w:ascii="Calibri" w:hAnsi="Calibri" w:cs="Calibri"/>
                <w:b/>
                <w:bCs/>
                <w:color w:val="000000"/>
                <w:sz w:val="16"/>
                <w:szCs w:val="16"/>
              </w:rPr>
            </w:pPr>
            <w:r>
              <w:rPr>
                <w:rFonts w:ascii="Calibri" w:hAnsi="Calibri" w:cs="Calibri"/>
                <w:b/>
                <w:bCs/>
                <w:color w:val="000000"/>
                <w:sz w:val="16"/>
                <w:szCs w:val="16"/>
              </w:rPr>
              <w:t>IMOBILIZADO BENS MÓVEIS</w:t>
            </w:r>
          </w:p>
        </w:tc>
        <w:tc>
          <w:tcPr>
            <w:tcW w:w="1486" w:type="dxa"/>
            <w:tcBorders>
              <w:top w:val="nil"/>
              <w:left w:val="nil"/>
              <w:bottom w:val="single" w:sz="8" w:space="0" w:color="auto"/>
              <w:right w:val="nil"/>
            </w:tcBorders>
            <w:shd w:val="clear" w:color="auto" w:fill="auto"/>
            <w:vAlign w:val="center"/>
            <w:hideMark/>
          </w:tcPr>
          <w:p w14:paraId="42EDAC63"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SALDO EM 31/12/2020</w:t>
            </w:r>
          </w:p>
        </w:tc>
        <w:tc>
          <w:tcPr>
            <w:tcW w:w="1237" w:type="dxa"/>
            <w:tcBorders>
              <w:top w:val="nil"/>
              <w:left w:val="nil"/>
              <w:bottom w:val="single" w:sz="8" w:space="0" w:color="auto"/>
              <w:right w:val="nil"/>
            </w:tcBorders>
            <w:shd w:val="clear" w:color="auto" w:fill="auto"/>
            <w:vAlign w:val="center"/>
            <w:hideMark/>
          </w:tcPr>
          <w:p w14:paraId="32FB231D"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ENTRADAS</w:t>
            </w:r>
          </w:p>
        </w:tc>
        <w:tc>
          <w:tcPr>
            <w:tcW w:w="1167" w:type="dxa"/>
            <w:tcBorders>
              <w:top w:val="nil"/>
              <w:left w:val="nil"/>
              <w:bottom w:val="single" w:sz="8" w:space="0" w:color="auto"/>
              <w:right w:val="nil"/>
            </w:tcBorders>
            <w:shd w:val="clear" w:color="auto" w:fill="auto"/>
            <w:vAlign w:val="center"/>
            <w:hideMark/>
          </w:tcPr>
          <w:p w14:paraId="677EDE82"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BAIXAS</w:t>
            </w:r>
          </w:p>
        </w:tc>
        <w:tc>
          <w:tcPr>
            <w:tcW w:w="1345" w:type="dxa"/>
            <w:tcBorders>
              <w:top w:val="nil"/>
              <w:left w:val="nil"/>
              <w:bottom w:val="single" w:sz="8" w:space="0" w:color="auto"/>
              <w:right w:val="nil"/>
            </w:tcBorders>
            <w:shd w:val="clear" w:color="auto" w:fill="auto"/>
            <w:vAlign w:val="center"/>
            <w:hideMark/>
          </w:tcPr>
          <w:p w14:paraId="092B0C4E"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TRANSF.</w:t>
            </w:r>
          </w:p>
        </w:tc>
        <w:tc>
          <w:tcPr>
            <w:tcW w:w="1522" w:type="dxa"/>
            <w:tcBorders>
              <w:top w:val="nil"/>
              <w:left w:val="nil"/>
              <w:bottom w:val="single" w:sz="8" w:space="0" w:color="auto"/>
              <w:right w:val="nil"/>
            </w:tcBorders>
            <w:shd w:val="clear" w:color="auto" w:fill="auto"/>
            <w:vAlign w:val="center"/>
            <w:hideMark/>
          </w:tcPr>
          <w:p w14:paraId="5383AF1A"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SALDO EM 30/09/2021</w:t>
            </w:r>
          </w:p>
        </w:tc>
        <w:tc>
          <w:tcPr>
            <w:tcW w:w="666" w:type="dxa"/>
            <w:tcBorders>
              <w:top w:val="nil"/>
              <w:left w:val="nil"/>
              <w:bottom w:val="single" w:sz="8" w:space="0" w:color="auto"/>
              <w:right w:val="nil"/>
            </w:tcBorders>
            <w:shd w:val="clear" w:color="auto" w:fill="auto"/>
            <w:vAlign w:val="center"/>
            <w:hideMark/>
          </w:tcPr>
          <w:p w14:paraId="7DE15D12"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TAXA DEPREC. (%)</w:t>
            </w:r>
          </w:p>
        </w:tc>
      </w:tr>
      <w:tr w:rsidR="000C54C6" w14:paraId="37450FFF" w14:textId="77777777" w:rsidTr="000C54C6">
        <w:trPr>
          <w:trHeight w:val="300"/>
        </w:trPr>
        <w:tc>
          <w:tcPr>
            <w:tcW w:w="3097" w:type="dxa"/>
            <w:tcBorders>
              <w:top w:val="nil"/>
              <w:left w:val="nil"/>
              <w:bottom w:val="nil"/>
              <w:right w:val="nil"/>
            </w:tcBorders>
            <w:shd w:val="clear" w:color="auto" w:fill="auto"/>
            <w:noWrap/>
            <w:vAlign w:val="center"/>
            <w:hideMark/>
          </w:tcPr>
          <w:p w14:paraId="5E909D98" w14:textId="77777777" w:rsidR="000C54C6" w:rsidRDefault="000C54C6">
            <w:pPr>
              <w:rPr>
                <w:rFonts w:ascii="Calibri" w:hAnsi="Calibri" w:cs="Calibri"/>
                <w:color w:val="000000"/>
                <w:sz w:val="16"/>
                <w:szCs w:val="16"/>
              </w:rPr>
            </w:pPr>
            <w:r>
              <w:rPr>
                <w:rFonts w:ascii="Calibri" w:hAnsi="Calibri" w:cs="Calibri"/>
                <w:color w:val="000000"/>
                <w:sz w:val="16"/>
                <w:szCs w:val="16"/>
              </w:rPr>
              <w:t>Mobiliário em Geral</w:t>
            </w:r>
          </w:p>
        </w:tc>
        <w:tc>
          <w:tcPr>
            <w:tcW w:w="1486" w:type="dxa"/>
            <w:tcBorders>
              <w:top w:val="nil"/>
              <w:left w:val="nil"/>
              <w:bottom w:val="nil"/>
              <w:right w:val="nil"/>
            </w:tcBorders>
            <w:shd w:val="clear" w:color="auto" w:fill="auto"/>
            <w:noWrap/>
            <w:vAlign w:val="center"/>
            <w:hideMark/>
          </w:tcPr>
          <w:p w14:paraId="6CFABBF7"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8.626.848 </w:t>
            </w:r>
          </w:p>
        </w:tc>
        <w:tc>
          <w:tcPr>
            <w:tcW w:w="1237" w:type="dxa"/>
            <w:tcBorders>
              <w:top w:val="nil"/>
              <w:left w:val="nil"/>
              <w:bottom w:val="nil"/>
              <w:right w:val="nil"/>
            </w:tcBorders>
            <w:shd w:val="clear" w:color="auto" w:fill="auto"/>
            <w:noWrap/>
            <w:vAlign w:val="center"/>
            <w:hideMark/>
          </w:tcPr>
          <w:p w14:paraId="6A09D436" w14:textId="559D28C1"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167" w:type="dxa"/>
            <w:tcBorders>
              <w:top w:val="nil"/>
              <w:left w:val="nil"/>
              <w:bottom w:val="nil"/>
              <w:right w:val="nil"/>
            </w:tcBorders>
            <w:shd w:val="clear" w:color="auto" w:fill="auto"/>
            <w:noWrap/>
            <w:vAlign w:val="center"/>
            <w:hideMark/>
          </w:tcPr>
          <w:p w14:paraId="161F0199" w14:textId="6EB06D0F"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3E8D063A" w14:textId="7EF6C351"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145.189 </w:t>
            </w:r>
          </w:p>
        </w:tc>
        <w:tc>
          <w:tcPr>
            <w:tcW w:w="1522" w:type="dxa"/>
            <w:tcBorders>
              <w:top w:val="nil"/>
              <w:left w:val="nil"/>
              <w:bottom w:val="nil"/>
              <w:right w:val="nil"/>
            </w:tcBorders>
            <w:shd w:val="clear" w:color="auto" w:fill="auto"/>
            <w:noWrap/>
            <w:vAlign w:val="center"/>
            <w:hideMark/>
          </w:tcPr>
          <w:p w14:paraId="4334A906"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8.772.037 </w:t>
            </w:r>
          </w:p>
        </w:tc>
        <w:tc>
          <w:tcPr>
            <w:tcW w:w="666" w:type="dxa"/>
            <w:tcBorders>
              <w:top w:val="nil"/>
              <w:left w:val="nil"/>
              <w:bottom w:val="nil"/>
              <w:right w:val="nil"/>
            </w:tcBorders>
            <w:shd w:val="clear" w:color="auto" w:fill="auto"/>
            <w:noWrap/>
            <w:vAlign w:val="center"/>
            <w:hideMark/>
          </w:tcPr>
          <w:p w14:paraId="56452FBB"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10</w:t>
            </w:r>
          </w:p>
        </w:tc>
      </w:tr>
      <w:tr w:rsidR="000C54C6" w14:paraId="2400DB02" w14:textId="77777777" w:rsidTr="000C54C6">
        <w:trPr>
          <w:trHeight w:val="300"/>
        </w:trPr>
        <w:tc>
          <w:tcPr>
            <w:tcW w:w="3097" w:type="dxa"/>
            <w:tcBorders>
              <w:top w:val="nil"/>
              <w:left w:val="nil"/>
              <w:bottom w:val="nil"/>
              <w:right w:val="nil"/>
            </w:tcBorders>
            <w:shd w:val="clear" w:color="auto" w:fill="auto"/>
            <w:noWrap/>
            <w:vAlign w:val="center"/>
            <w:hideMark/>
          </w:tcPr>
          <w:p w14:paraId="6F837529" w14:textId="77777777" w:rsidR="000C54C6" w:rsidRDefault="000C54C6">
            <w:pPr>
              <w:rPr>
                <w:rFonts w:ascii="Calibri" w:hAnsi="Calibri" w:cs="Calibri"/>
                <w:color w:val="000000"/>
                <w:sz w:val="16"/>
                <w:szCs w:val="16"/>
              </w:rPr>
            </w:pPr>
            <w:r>
              <w:rPr>
                <w:rFonts w:ascii="Calibri" w:hAnsi="Calibri" w:cs="Calibri"/>
                <w:color w:val="000000"/>
                <w:sz w:val="16"/>
                <w:szCs w:val="16"/>
              </w:rPr>
              <w:t>Ativos de Concessão (Pátios)</w:t>
            </w:r>
          </w:p>
        </w:tc>
        <w:tc>
          <w:tcPr>
            <w:tcW w:w="1486" w:type="dxa"/>
            <w:tcBorders>
              <w:top w:val="nil"/>
              <w:left w:val="nil"/>
              <w:bottom w:val="nil"/>
              <w:right w:val="nil"/>
            </w:tcBorders>
            <w:shd w:val="clear" w:color="auto" w:fill="auto"/>
            <w:noWrap/>
            <w:vAlign w:val="center"/>
            <w:hideMark/>
          </w:tcPr>
          <w:p w14:paraId="2132A9B2"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5.524.762 </w:t>
            </w:r>
          </w:p>
        </w:tc>
        <w:tc>
          <w:tcPr>
            <w:tcW w:w="1237" w:type="dxa"/>
            <w:tcBorders>
              <w:top w:val="nil"/>
              <w:left w:val="nil"/>
              <w:bottom w:val="nil"/>
              <w:right w:val="nil"/>
            </w:tcBorders>
            <w:shd w:val="clear" w:color="auto" w:fill="auto"/>
            <w:noWrap/>
            <w:vAlign w:val="center"/>
            <w:hideMark/>
          </w:tcPr>
          <w:p w14:paraId="2FA4D89F" w14:textId="13E845E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167" w:type="dxa"/>
            <w:tcBorders>
              <w:top w:val="nil"/>
              <w:left w:val="nil"/>
              <w:bottom w:val="nil"/>
              <w:right w:val="nil"/>
            </w:tcBorders>
            <w:shd w:val="clear" w:color="auto" w:fill="auto"/>
            <w:noWrap/>
            <w:vAlign w:val="center"/>
            <w:hideMark/>
          </w:tcPr>
          <w:p w14:paraId="62172620" w14:textId="2D8FC148"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2D1E75B7" w14:textId="43F44248"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522" w:type="dxa"/>
            <w:tcBorders>
              <w:top w:val="nil"/>
              <w:left w:val="nil"/>
              <w:bottom w:val="nil"/>
              <w:right w:val="nil"/>
            </w:tcBorders>
            <w:shd w:val="clear" w:color="auto" w:fill="auto"/>
            <w:noWrap/>
            <w:vAlign w:val="center"/>
            <w:hideMark/>
          </w:tcPr>
          <w:p w14:paraId="0496AA07"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5.524.762 </w:t>
            </w:r>
          </w:p>
        </w:tc>
        <w:tc>
          <w:tcPr>
            <w:tcW w:w="666" w:type="dxa"/>
            <w:tcBorders>
              <w:top w:val="nil"/>
              <w:left w:val="nil"/>
              <w:bottom w:val="nil"/>
              <w:right w:val="nil"/>
            </w:tcBorders>
            <w:shd w:val="clear" w:color="auto" w:fill="auto"/>
            <w:noWrap/>
            <w:vAlign w:val="center"/>
            <w:hideMark/>
          </w:tcPr>
          <w:p w14:paraId="23057908"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10</w:t>
            </w:r>
          </w:p>
        </w:tc>
      </w:tr>
      <w:tr w:rsidR="000C54C6" w14:paraId="74F0F011" w14:textId="77777777" w:rsidTr="000C54C6">
        <w:trPr>
          <w:trHeight w:val="300"/>
        </w:trPr>
        <w:tc>
          <w:tcPr>
            <w:tcW w:w="3097" w:type="dxa"/>
            <w:tcBorders>
              <w:top w:val="nil"/>
              <w:left w:val="nil"/>
              <w:bottom w:val="nil"/>
              <w:right w:val="nil"/>
            </w:tcBorders>
            <w:shd w:val="clear" w:color="auto" w:fill="auto"/>
            <w:noWrap/>
            <w:vAlign w:val="center"/>
            <w:hideMark/>
          </w:tcPr>
          <w:p w14:paraId="4FDEB0EB" w14:textId="77777777" w:rsidR="000C54C6" w:rsidRDefault="000C54C6">
            <w:pPr>
              <w:rPr>
                <w:rFonts w:ascii="Calibri" w:hAnsi="Calibri" w:cs="Calibri"/>
                <w:color w:val="000000"/>
                <w:sz w:val="16"/>
                <w:szCs w:val="16"/>
              </w:rPr>
            </w:pPr>
            <w:r>
              <w:rPr>
                <w:rFonts w:ascii="Calibri" w:hAnsi="Calibri" w:cs="Calibri"/>
                <w:color w:val="000000"/>
                <w:sz w:val="16"/>
                <w:szCs w:val="16"/>
              </w:rPr>
              <w:t>Equipamentos</w:t>
            </w:r>
          </w:p>
        </w:tc>
        <w:tc>
          <w:tcPr>
            <w:tcW w:w="1486" w:type="dxa"/>
            <w:tcBorders>
              <w:top w:val="nil"/>
              <w:left w:val="nil"/>
              <w:bottom w:val="nil"/>
              <w:right w:val="nil"/>
            </w:tcBorders>
            <w:shd w:val="clear" w:color="auto" w:fill="auto"/>
            <w:noWrap/>
            <w:vAlign w:val="center"/>
            <w:hideMark/>
          </w:tcPr>
          <w:p w14:paraId="2D36155E"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22.508.972 </w:t>
            </w:r>
          </w:p>
        </w:tc>
        <w:tc>
          <w:tcPr>
            <w:tcW w:w="1237" w:type="dxa"/>
            <w:tcBorders>
              <w:top w:val="nil"/>
              <w:left w:val="nil"/>
              <w:bottom w:val="nil"/>
              <w:right w:val="nil"/>
            </w:tcBorders>
            <w:shd w:val="clear" w:color="auto" w:fill="auto"/>
            <w:noWrap/>
            <w:vAlign w:val="center"/>
            <w:hideMark/>
          </w:tcPr>
          <w:p w14:paraId="0EDE8381"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1.154.750 </w:t>
            </w:r>
          </w:p>
        </w:tc>
        <w:tc>
          <w:tcPr>
            <w:tcW w:w="1167" w:type="dxa"/>
            <w:tcBorders>
              <w:top w:val="nil"/>
              <w:left w:val="nil"/>
              <w:bottom w:val="nil"/>
              <w:right w:val="nil"/>
            </w:tcBorders>
            <w:shd w:val="clear" w:color="auto" w:fill="auto"/>
            <w:noWrap/>
            <w:vAlign w:val="center"/>
            <w:hideMark/>
          </w:tcPr>
          <w:p w14:paraId="0967A2DD" w14:textId="53E21EC8"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(9.347)</w:t>
            </w:r>
          </w:p>
        </w:tc>
        <w:tc>
          <w:tcPr>
            <w:tcW w:w="1345" w:type="dxa"/>
            <w:tcBorders>
              <w:top w:val="nil"/>
              <w:left w:val="nil"/>
              <w:bottom w:val="nil"/>
              <w:right w:val="nil"/>
            </w:tcBorders>
            <w:shd w:val="clear" w:color="auto" w:fill="auto"/>
            <w:noWrap/>
            <w:vAlign w:val="center"/>
            <w:hideMark/>
          </w:tcPr>
          <w:p w14:paraId="67DFB832" w14:textId="06A30E1E"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1.167 </w:t>
            </w:r>
          </w:p>
        </w:tc>
        <w:tc>
          <w:tcPr>
            <w:tcW w:w="1522" w:type="dxa"/>
            <w:tcBorders>
              <w:top w:val="nil"/>
              <w:left w:val="nil"/>
              <w:bottom w:val="nil"/>
              <w:right w:val="nil"/>
            </w:tcBorders>
            <w:shd w:val="clear" w:color="auto" w:fill="auto"/>
            <w:noWrap/>
            <w:vAlign w:val="center"/>
            <w:hideMark/>
          </w:tcPr>
          <w:p w14:paraId="0CAA540C"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23.655.542 </w:t>
            </w:r>
          </w:p>
        </w:tc>
        <w:tc>
          <w:tcPr>
            <w:tcW w:w="666" w:type="dxa"/>
            <w:tcBorders>
              <w:top w:val="nil"/>
              <w:left w:val="nil"/>
              <w:bottom w:val="nil"/>
              <w:right w:val="nil"/>
            </w:tcBorders>
            <w:shd w:val="clear" w:color="auto" w:fill="auto"/>
            <w:noWrap/>
            <w:vAlign w:val="center"/>
            <w:hideMark/>
          </w:tcPr>
          <w:p w14:paraId="7D6709D3"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10 e 20</w:t>
            </w:r>
          </w:p>
        </w:tc>
      </w:tr>
      <w:tr w:rsidR="000C54C6" w14:paraId="1789F2F1" w14:textId="77777777" w:rsidTr="000C54C6">
        <w:trPr>
          <w:trHeight w:val="300"/>
        </w:trPr>
        <w:tc>
          <w:tcPr>
            <w:tcW w:w="3097" w:type="dxa"/>
            <w:tcBorders>
              <w:top w:val="nil"/>
              <w:left w:val="nil"/>
              <w:bottom w:val="nil"/>
              <w:right w:val="nil"/>
            </w:tcBorders>
            <w:shd w:val="clear" w:color="auto" w:fill="auto"/>
            <w:noWrap/>
            <w:vAlign w:val="center"/>
            <w:hideMark/>
          </w:tcPr>
          <w:p w14:paraId="5A36A54D" w14:textId="77777777" w:rsidR="000C54C6" w:rsidRDefault="000C54C6">
            <w:pPr>
              <w:rPr>
                <w:rFonts w:ascii="Calibri" w:hAnsi="Calibri" w:cs="Calibri"/>
                <w:color w:val="000000"/>
                <w:sz w:val="16"/>
                <w:szCs w:val="16"/>
              </w:rPr>
            </w:pPr>
            <w:r>
              <w:rPr>
                <w:rFonts w:ascii="Calibri" w:hAnsi="Calibri" w:cs="Calibri"/>
                <w:color w:val="000000"/>
                <w:sz w:val="16"/>
                <w:szCs w:val="16"/>
              </w:rPr>
              <w:t>Equipamentos de Comunicação</w:t>
            </w:r>
          </w:p>
        </w:tc>
        <w:tc>
          <w:tcPr>
            <w:tcW w:w="1486" w:type="dxa"/>
            <w:tcBorders>
              <w:top w:val="nil"/>
              <w:left w:val="nil"/>
              <w:bottom w:val="nil"/>
              <w:right w:val="nil"/>
            </w:tcBorders>
            <w:shd w:val="clear" w:color="auto" w:fill="auto"/>
            <w:noWrap/>
            <w:vAlign w:val="center"/>
            <w:hideMark/>
          </w:tcPr>
          <w:p w14:paraId="7D704ED0" w14:textId="49299AA9"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237" w:type="dxa"/>
            <w:tcBorders>
              <w:top w:val="nil"/>
              <w:left w:val="nil"/>
              <w:bottom w:val="nil"/>
              <w:right w:val="nil"/>
            </w:tcBorders>
            <w:shd w:val="clear" w:color="auto" w:fill="auto"/>
            <w:noWrap/>
            <w:vAlign w:val="center"/>
            <w:hideMark/>
          </w:tcPr>
          <w:p w14:paraId="588C8B94" w14:textId="5C1F2A8C"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46.130 </w:t>
            </w:r>
          </w:p>
        </w:tc>
        <w:tc>
          <w:tcPr>
            <w:tcW w:w="1167" w:type="dxa"/>
            <w:tcBorders>
              <w:top w:val="nil"/>
              <w:left w:val="nil"/>
              <w:bottom w:val="nil"/>
              <w:right w:val="nil"/>
            </w:tcBorders>
            <w:shd w:val="clear" w:color="auto" w:fill="auto"/>
            <w:noWrap/>
            <w:vAlign w:val="center"/>
            <w:hideMark/>
          </w:tcPr>
          <w:p w14:paraId="22D39D16" w14:textId="299FD47A"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2B3E132F" w14:textId="17ACEC2C"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522" w:type="dxa"/>
            <w:tcBorders>
              <w:top w:val="nil"/>
              <w:left w:val="nil"/>
              <w:bottom w:val="nil"/>
              <w:right w:val="nil"/>
            </w:tcBorders>
            <w:shd w:val="clear" w:color="auto" w:fill="auto"/>
            <w:noWrap/>
            <w:vAlign w:val="center"/>
            <w:hideMark/>
          </w:tcPr>
          <w:p w14:paraId="0772C2C7" w14:textId="5FED147F"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46.130 </w:t>
            </w:r>
          </w:p>
        </w:tc>
        <w:tc>
          <w:tcPr>
            <w:tcW w:w="666" w:type="dxa"/>
            <w:tcBorders>
              <w:top w:val="nil"/>
              <w:left w:val="nil"/>
              <w:bottom w:val="nil"/>
              <w:right w:val="nil"/>
            </w:tcBorders>
            <w:shd w:val="clear" w:color="auto" w:fill="auto"/>
            <w:noWrap/>
            <w:vAlign w:val="center"/>
            <w:hideMark/>
          </w:tcPr>
          <w:p w14:paraId="58A6F175" w14:textId="77777777" w:rsidR="000C54C6" w:rsidRDefault="000C54C6">
            <w:pPr>
              <w:jc w:val="right"/>
              <w:rPr>
                <w:rFonts w:ascii="Calibri" w:hAnsi="Calibri" w:cs="Calibri"/>
                <w:color w:val="000000"/>
                <w:sz w:val="16"/>
                <w:szCs w:val="16"/>
              </w:rPr>
            </w:pPr>
          </w:p>
        </w:tc>
      </w:tr>
      <w:tr w:rsidR="000C54C6" w14:paraId="694C74D8" w14:textId="77777777" w:rsidTr="000C54C6">
        <w:trPr>
          <w:trHeight w:val="300"/>
        </w:trPr>
        <w:tc>
          <w:tcPr>
            <w:tcW w:w="3097" w:type="dxa"/>
            <w:tcBorders>
              <w:top w:val="nil"/>
              <w:left w:val="nil"/>
              <w:bottom w:val="nil"/>
              <w:right w:val="nil"/>
            </w:tcBorders>
            <w:shd w:val="clear" w:color="auto" w:fill="auto"/>
            <w:noWrap/>
            <w:vAlign w:val="center"/>
            <w:hideMark/>
          </w:tcPr>
          <w:p w14:paraId="2239CE6F" w14:textId="77777777" w:rsidR="000C54C6" w:rsidRDefault="000C54C6">
            <w:pPr>
              <w:rPr>
                <w:rFonts w:ascii="Calibri" w:hAnsi="Calibri" w:cs="Calibri"/>
                <w:color w:val="000000"/>
                <w:sz w:val="16"/>
                <w:szCs w:val="16"/>
              </w:rPr>
            </w:pPr>
            <w:r>
              <w:rPr>
                <w:rFonts w:ascii="Calibri" w:hAnsi="Calibri" w:cs="Calibri"/>
                <w:color w:val="000000"/>
                <w:sz w:val="16"/>
                <w:szCs w:val="16"/>
              </w:rPr>
              <w:t>Utensílios de Escritório</w:t>
            </w:r>
          </w:p>
        </w:tc>
        <w:tc>
          <w:tcPr>
            <w:tcW w:w="1486" w:type="dxa"/>
            <w:tcBorders>
              <w:top w:val="nil"/>
              <w:left w:val="nil"/>
              <w:bottom w:val="nil"/>
              <w:right w:val="nil"/>
            </w:tcBorders>
            <w:shd w:val="clear" w:color="auto" w:fill="auto"/>
            <w:noWrap/>
            <w:vAlign w:val="center"/>
            <w:hideMark/>
          </w:tcPr>
          <w:p w14:paraId="1EB14BB9"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289.845 </w:t>
            </w:r>
          </w:p>
        </w:tc>
        <w:tc>
          <w:tcPr>
            <w:tcW w:w="1237" w:type="dxa"/>
            <w:tcBorders>
              <w:top w:val="nil"/>
              <w:left w:val="nil"/>
              <w:bottom w:val="nil"/>
              <w:right w:val="nil"/>
            </w:tcBorders>
            <w:shd w:val="clear" w:color="auto" w:fill="auto"/>
            <w:noWrap/>
            <w:vAlign w:val="center"/>
            <w:hideMark/>
          </w:tcPr>
          <w:p w14:paraId="12B2B20E" w14:textId="24FFE41F"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167" w:type="dxa"/>
            <w:tcBorders>
              <w:top w:val="nil"/>
              <w:left w:val="nil"/>
              <w:bottom w:val="nil"/>
              <w:right w:val="nil"/>
            </w:tcBorders>
            <w:shd w:val="clear" w:color="auto" w:fill="auto"/>
            <w:noWrap/>
            <w:vAlign w:val="center"/>
            <w:hideMark/>
          </w:tcPr>
          <w:p w14:paraId="6C657F40" w14:textId="693139AC"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0CCFB4FC" w14:textId="207E5ADF"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127.532 </w:t>
            </w:r>
          </w:p>
        </w:tc>
        <w:tc>
          <w:tcPr>
            <w:tcW w:w="1522" w:type="dxa"/>
            <w:tcBorders>
              <w:top w:val="nil"/>
              <w:left w:val="nil"/>
              <w:bottom w:val="nil"/>
              <w:right w:val="nil"/>
            </w:tcBorders>
            <w:shd w:val="clear" w:color="auto" w:fill="auto"/>
            <w:noWrap/>
            <w:vAlign w:val="center"/>
            <w:hideMark/>
          </w:tcPr>
          <w:p w14:paraId="175EEF68"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417.377 </w:t>
            </w:r>
          </w:p>
        </w:tc>
        <w:tc>
          <w:tcPr>
            <w:tcW w:w="666" w:type="dxa"/>
            <w:tcBorders>
              <w:top w:val="nil"/>
              <w:left w:val="nil"/>
              <w:bottom w:val="nil"/>
              <w:right w:val="nil"/>
            </w:tcBorders>
            <w:shd w:val="clear" w:color="auto" w:fill="auto"/>
            <w:noWrap/>
            <w:vAlign w:val="center"/>
            <w:hideMark/>
          </w:tcPr>
          <w:p w14:paraId="301323AD"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10</w:t>
            </w:r>
          </w:p>
        </w:tc>
      </w:tr>
      <w:tr w:rsidR="000C54C6" w14:paraId="7BDCB43E" w14:textId="77777777" w:rsidTr="000C54C6">
        <w:trPr>
          <w:trHeight w:val="300"/>
        </w:trPr>
        <w:tc>
          <w:tcPr>
            <w:tcW w:w="3097" w:type="dxa"/>
            <w:tcBorders>
              <w:top w:val="nil"/>
              <w:left w:val="nil"/>
              <w:bottom w:val="nil"/>
              <w:right w:val="nil"/>
            </w:tcBorders>
            <w:shd w:val="clear" w:color="auto" w:fill="auto"/>
            <w:noWrap/>
            <w:vAlign w:val="center"/>
            <w:hideMark/>
          </w:tcPr>
          <w:p w14:paraId="352B69DF" w14:textId="77777777" w:rsidR="000C54C6" w:rsidRDefault="000C54C6">
            <w:pPr>
              <w:rPr>
                <w:rFonts w:ascii="Calibri" w:hAnsi="Calibri" w:cs="Calibri"/>
                <w:color w:val="000000"/>
                <w:sz w:val="16"/>
                <w:szCs w:val="16"/>
              </w:rPr>
            </w:pPr>
            <w:r>
              <w:rPr>
                <w:rFonts w:ascii="Calibri" w:hAnsi="Calibri" w:cs="Calibri"/>
                <w:color w:val="000000"/>
                <w:sz w:val="16"/>
                <w:szCs w:val="16"/>
              </w:rPr>
              <w:t>(Redução ao Valor Recuperável - FNS)</w:t>
            </w:r>
          </w:p>
        </w:tc>
        <w:tc>
          <w:tcPr>
            <w:tcW w:w="1486" w:type="dxa"/>
            <w:tcBorders>
              <w:top w:val="nil"/>
              <w:left w:val="nil"/>
              <w:bottom w:val="nil"/>
              <w:right w:val="nil"/>
            </w:tcBorders>
            <w:shd w:val="clear" w:color="auto" w:fill="auto"/>
            <w:noWrap/>
            <w:vAlign w:val="center"/>
            <w:hideMark/>
          </w:tcPr>
          <w:p w14:paraId="5D895CF6"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(17.094)</w:t>
            </w:r>
          </w:p>
        </w:tc>
        <w:tc>
          <w:tcPr>
            <w:tcW w:w="1237" w:type="dxa"/>
            <w:tcBorders>
              <w:top w:val="nil"/>
              <w:left w:val="nil"/>
              <w:bottom w:val="nil"/>
              <w:right w:val="nil"/>
            </w:tcBorders>
            <w:shd w:val="clear" w:color="auto" w:fill="auto"/>
            <w:noWrap/>
            <w:vAlign w:val="center"/>
            <w:hideMark/>
          </w:tcPr>
          <w:p w14:paraId="79C0381C" w14:textId="022A9DC5"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167" w:type="dxa"/>
            <w:tcBorders>
              <w:top w:val="nil"/>
              <w:left w:val="nil"/>
              <w:bottom w:val="nil"/>
              <w:right w:val="nil"/>
            </w:tcBorders>
            <w:shd w:val="clear" w:color="auto" w:fill="auto"/>
            <w:noWrap/>
            <w:vAlign w:val="center"/>
            <w:hideMark/>
          </w:tcPr>
          <w:p w14:paraId="5E3575D8" w14:textId="27A9DD8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43F6BA0F" w14:textId="0680A5E2"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522" w:type="dxa"/>
            <w:tcBorders>
              <w:top w:val="nil"/>
              <w:left w:val="nil"/>
              <w:bottom w:val="nil"/>
              <w:right w:val="nil"/>
            </w:tcBorders>
            <w:shd w:val="clear" w:color="auto" w:fill="auto"/>
            <w:noWrap/>
            <w:vAlign w:val="center"/>
            <w:hideMark/>
          </w:tcPr>
          <w:p w14:paraId="6B4C9C13" w14:textId="10688D5F"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(17.094)</w:t>
            </w:r>
          </w:p>
        </w:tc>
        <w:tc>
          <w:tcPr>
            <w:tcW w:w="666" w:type="dxa"/>
            <w:tcBorders>
              <w:top w:val="nil"/>
              <w:left w:val="nil"/>
              <w:bottom w:val="nil"/>
              <w:right w:val="nil"/>
            </w:tcBorders>
            <w:shd w:val="clear" w:color="auto" w:fill="auto"/>
            <w:noWrap/>
            <w:vAlign w:val="bottom"/>
            <w:hideMark/>
          </w:tcPr>
          <w:p w14:paraId="750C81CE" w14:textId="77777777" w:rsidR="000C54C6" w:rsidRDefault="000C54C6">
            <w:pPr>
              <w:jc w:val="right"/>
              <w:rPr>
                <w:rFonts w:ascii="Calibri" w:hAnsi="Calibri" w:cs="Calibri"/>
                <w:color w:val="000000"/>
                <w:sz w:val="16"/>
                <w:szCs w:val="16"/>
              </w:rPr>
            </w:pPr>
          </w:p>
        </w:tc>
      </w:tr>
      <w:tr w:rsidR="000C54C6" w14:paraId="086688D2" w14:textId="77777777" w:rsidTr="000C54C6">
        <w:trPr>
          <w:trHeight w:val="105"/>
        </w:trPr>
        <w:tc>
          <w:tcPr>
            <w:tcW w:w="3097" w:type="dxa"/>
            <w:tcBorders>
              <w:top w:val="nil"/>
              <w:left w:val="nil"/>
              <w:bottom w:val="nil"/>
              <w:right w:val="nil"/>
            </w:tcBorders>
            <w:shd w:val="clear" w:color="auto" w:fill="auto"/>
            <w:noWrap/>
            <w:vAlign w:val="bottom"/>
            <w:hideMark/>
          </w:tcPr>
          <w:p w14:paraId="5CFBAAD4" w14:textId="77777777" w:rsidR="000C54C6" w:rsidRDefault="000C54C6">
            <w:pPr>
              <w:rPr>
                <w:sz w:val="20"/>
                <w:szCs w:val="20"/>
              </w:rPr>
            </w:pPr>
          </w:p>
        </w:tc>
        <w:tc>
          <w:tcPr>
            <w:tcW w:w="1486" w:type="dxa"/>
            <w:tcBorders>
              <w:top w:val="nil"/>
              <w:left w:val="nil"/>
              <w:bottom w:val="nil"/>
              <w:right w:val="nil"/>
            </w:tcBorders>
            <w:shd w:val="clear" w:color="auto" w:fill="auto"/>
            <w:noWrap/>
            <w:vAlign w:val="bottom"/>
            <w:hideMark/>
          </w:tcPr>
          <w:p w14:paraId="3DD56E0B" w14:textId="77777777" w:rsidR="000C54C6" w:rsidRDefault="000C54C6">
            <w:pPr>
              <w:rPr>
                <w:sz w:val="20"/>
                <w:szCs w:val="20"/>
              </w:rPr>
            </w:pPr>
          </w:p>
        </w:tc>
        <w:tc>
          <w:tcPr>
            <w:tcW w:w="1237" w:type="dxa"/>
            <w:tcBorders>
              <w:top w:val="nil"/>
              <w:left w:val="nil"/>
              <w:bottom w:val="nil"/>
              <w:right w:val="nil"/>
            </w:tcBorders>
            <w:shd w:val="clear" w:color="auto" w:fill="auto"/>
            <w:noWrap/>
            <w:vAlign w:val="bottom"/>
            <w:hideMark/>
          </w:tcPr>
          <w:p w14:paraId="3FEB6C78" w14:textId="77777777" w:rsidR="000C54C6" w:rsidRDefault="000C54C6">
            <w:pPr>
              <w:rPr>
                <w:sz w:val="20"/>
                <w:szCs w:val="20"/>
              </w:rPr>
            </w:pPr>
          </w:p>
        </w:tc>
        <w:tc>
          <w:tcPr>
            <w:tcW w:w="1167" w:type="dxa"/>
            <w:tcBorders>
              <w:top w:val="nil"/>
              <w:left w:val="nil"/>
              <w:bottom w:val="nil"/>
              <w:right w:val="nil"/>
            </w:tcBorders>
            <w:shd w:val="clear" w:color="auto" w:fill="auto"/>
            <w:noWrap/>
            <w:vAlign w:val="bottom"/>
            <w:hideMark/>
          </w:tcPr>
          <w:p w14:paraId="45AD1494" w14:textId="77777777" w:rsidR="000C54C6" w:rsidRDefault="000C54C6">
            <w:pPr>
              <w:rPr>
                <w:sz w:val="20"/>
                <w:szCs w:val="20"/>
              </w:rPr>
            </w:pPr>
          </w:p>
        </w:tc>
        <w:tc>
          <w:tcPr>
            <w:tcW w:w="1345" w:type="dxa"/>
            <w:tcBorders>
              <w:top w:val="nil"/>
              <w:left w:val="nil"/>
              <w:bottom w:val="nil"/>
              <w:right w:val="nil"/>
            </w:tcBorders>
            <w:shd w:val="clear" w:color="auto" w:fill="auto"/>
            <w:noWrap/>
            <w:vAlign w:val="bottom"/>
            <w:hideMark/>
          </w:tcPr>
          <w:p w14:paraId="1BFB5B91" w14:textId="77777777" w:rsidR="000C54C6" w:rsidRDefault="000C54C6">
            <w:pPr>
              <w:rPr>
                <w:sz w:val="20"/>
                <w:szCs w:val="20"/>
              </w:rPr>
            </w:pPr>
          </w:p>
        </w:tc>
        <w:tc>
          <w:tcPr>
            <w:tcW w:w="1522" w:type="dxa"/>
            <w:tcBorders>
              <w:top w:val="nil"/>
              <w:left w:val="nil"/>
              <w:bottom w:val="nil"/>
              <w:right w:val="nil"/>
            </w:tcBorders>
            <w:shd w:val="clear" w:color="auto" w:fill="auto"/>
            <w:noWrap/>
            <w:vAlign w:val="bottom"/>
            <w:hideMark/>
          </w:tcPr>
          <w:p w14:paraId="14F48F70" w14:textId="77777777" w:rsidR="000C54C6" w:rsidRDefault="000C54C6">
            <w:pPr>
              <w:rPr>
                <w:sz w:val="20"/>
                <w:szCs w:val="20"/>
              </w:rPr>
            </w:pPr>
          </w:p>
        </w:tc>
        <w:tc>
          <w:tcPr>
            <w:tcW w:w="666" w:type="dxa"/>
            <w:tcBorders>
              <w:top w:val="nil"/>
              <w:left w:val="nil"/>
              <w:bottom w:val="nil"/>
              <w:right w:val="nil"/>
            </w:tcBorders>
            <w:shd w:val="clear" w:color="auto" w:fill="auto"/>
            <w:noWrap/>
            <w:vAlign w:val="bottom"/>
            <w:hideMark/>
          </w:tcPr>
          <w:p w14:paraId="052F734A" w14:textId="77777777" w:rsidR="000C54C6" w:rsidRDefault="000C54C6">
            <w:pPr>
              <w:rPr>
                <w:sz w:val="20"/>
                <w:szCs w:val="20"/>
              </w:rPr>
            </w:pPr>
          </w:p>
        </w:tc>
      </w:tr>
      <w:tr w:rsidR="000C54C6" w14:paraId="14CF7A56" w14:textId="77777777" w:rsidTr="000C54C6">
        <w:trPr>
          <w:trHeight w:val="315"/>
        </w:trPr>
        <w:tc>
          <w:tcPr>
            <w:tcW w:w="3097" w:type="dxa"/>
            <w:tcBorders>
              <w:top w:val="single" w:sz="8" w:space="0" w:color="auto"/>
              <w:left w:val="nil"/>
              <w:bottom w:val="single" w:sz="8" w:space="0" w:color="auto"/>
              <w:right w:val="nil"/>
            </w:tcBorders>
            <w:shd w:val="clear" w:color="auto" w:fill="auto"/>
            <w:noWrap/>
            <w:vAlign w:val="center"/>
            <w:hideMark/>
          </w:tcPr>
          <w:p w14:paraId="609B96D6" w14:textId="77777777" w:rsidR="000C54C6" w:rsidRDefault="000C54C6">
            <w:pPr>
              <w:rPr>
                <w:rFonts w:ascii="Calibri" w:hAnsi="Calibri" w:cs="Calibri"/>
                <w:b/>
                <w:bCs/>
                <w:color w:val="000000"/>
                <w:sz w:val="16"/>
                <w:szCs w:val="16"/>
              </w:rPr>
            </w:pPr>
            <w:r>
              <w:rPr>
                <w:rFonts w:ascii="Calibri" w:hAnsi="Calibri" w:cs="Calibri"/>
                <w:b/>
                <w:bCs/>
                <w:color w:val="000000"/>
                <w:sz w:val="16"/>
                <w:szCs w:val="16"/>
              </w:rPr>
              <w:t>Total Bens Móveis (1)</w:t>
            </w:r>
          </w:p>
        </w:tc>
        <w:tc>
          <w:tcPr>
            <w:tcW w:w="1486" w:type="dxa"/>
            <w:tcBorders>
              <w:top w:val="single" w:sz="8" w:space="0" w:color="auto"/>
              <w:left w:val="nil"/>
              <w:bottom w:val="single" w:sz="8" w:space="0" w:color="auto"/>
              <w:right w:val="nil"/>
            </w:tcBorders>
            <w:shd w:val="clear" w:color="auto" w:fill="auto"/>
            <w:noWrap/>
            <w:vAlign w:val="center"/>
            <w:hideMark/>
          </w:tcPr>
          <w:p w14:paraId="4BF67292"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36.933.333</w:t>
            </w:r>
          </w:p>
        </w:tc>
        <w:tc>
          <w:tcPr>
            <w:tcW w:w="1237" w:type="dxa"/>
            <w:tcBorders>
              <w:top w:val="single" w:sz="8" w:space="0" w:color="auto"/>
              <w:left w:val="nil"/>
              <w:bottom w:val="single" w:sz="8" w:space="0" w:color="auto"/>
              <w:right w:val="nil"/>
            </w:tcBorders>
            <w:shd w:val="clear" w:color="auto" w:fill="auto"/>
            <w:noWrap/>
            <w:vAlign w:val="center"/>
            <w:hideMark/>
          </w:tcPr>
          <w:p w14:paraId="48963B48"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1.200.880</w:t>
            </w:r>
          </w:p>
        </w:tc>
        <w:tc>
          <w:tcPr>
            <w:tcW w:w="1167" w:type="dxa"/>
            <w:tcBorders>
              <w:top w:val="single" w:sz="8" w:space="0" w:color="auto"/>
              <w:left w:val="nil"/>
              <w:bottom w:val="single" w:sz="8" w:space="0" w:color="auto"/>
              <w:right w:val="nil"/>
            </w:tcBorders>
            <w:shd w:val="clear" w:color="auto" w:fill="auto"/>
            <w:noWrap/>
            <w:vAlign w:val="center"/>
            <w:hideMark/>
          </w:tcPr>
          <w:p w14:paraId="466D16BE" w14:textId="3851E755"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 xml:space="preserve">               (9.347)</w:t>
            </w:r>
          </w:p>
        </w:tc>
        <w:tc>
          <w:tcPr>
            <w:tcW w:w="1345" w:type="dxa"/>
            <w:tcBorders>
              <w:top w:val="single" w:sz="8" w:space="0" w:color="auto"/>
              <w:left w:val="nil"/>
              <w:bottom w:val="single" w:sz="8" w:space="0" w:color="auto"/>
              <w:right w:val="nil"/>
            </w:tcBorders>
            <w:shd w:val="clear" w:color="auto" w:fill="auto"/>
            <w:noWrap/>
            <w:vAlign w:val="center"/>
            <w:hideMark/>
          </w:tcPr>
          <w:p w14:paraId="620E4BD7"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273.888</w:t>
            </w:r>
          </w:p>
        </w:tc>
        <w:tc>
          <w:tcPr>
            <w:tcW w:w="1522" w:type="dxa"/>
            <w:tcBorders>
              <w:top w:val="single" w:sz="8" w:space="0" w:color="auto"/>
              <w:left w:val="nil"/>
              <w:bottom w:val="single" w:sz="8" w:space="0" w:color="auto"/>
              <w:right w:val="nil"/>
            </w:tcBorders>
            <w:shd w:val="clear" w:color="auto" w:fill="auto"/>
            <w:noWrap/>
            <w:vAlign w:val="center"/>
            <w:hideMark/>
          </w:tcPr>
          <w:p w14:paraId="5980689F"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38.398.754</w:t>
            </w:r>
          </w:p>
        </w:tc>
        <w:tc>
          <w:tcPr>
            <w:tcW w:w="666" w:type="dxa"/>
            <w:tcBorders>
              <w:top w:val="single" w:sz="8" w:space="0" w:color="auto"/>
              <w:left w:val="nil"/>
              <w:bottom w:val="single" w:sz="8" w:space="0" w:color="auto"/>
              <w:right w:val="nil"/>
            </w:tcBorders>
            <w:shd w:val="clear" w:color="auto" w:fill="auto"/>
            <w:noWrap/>
            <w:vAlign w:val="center"/>
            <w:hideMark/>
          </w:tcPr>
          <w:p w14:paraId="2E3A7CB8"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w:t>
            </w:r>
          </w:p>
        </w:tc>
      </w:tr>
      <w:tr w:rsidR="000C54C6" w14:paraId="06D8BED6" w14:textId="77777777" w:rsidTr="000C54C6">
        <w:trPr>
          <w:trHeight w:val="195"/>
        </w:trPr>
        <w:tc>
          <w:tcPr>
            <w:tcW w:w="3097" w:type="dxa"/>
            <w:tcBorders>
              <w:top w:val="nil"/>
              <w:left w:val="nil"/>
              <w:bottom w:val="nil"/>
              <w:right w:val="nil"/>
            </w:tcBorders>
            <w:shd w:val="clear" w:color="auto" w:fill="auto"/>
            <w:noWrap/>
            <w:vAlign w:val="bottom"/>
            <w:hideMark/>
          </w:tcPr>
          <w:p w14:paraId="7694E066" w14:textId="77777777" w:rsidR="000C54C6" w:rsidRDefault="000C54C6">
            <w:pPr>
              <w:jc w:val="right"/>
              <w:rPr>
                <w:rFonts w:ascii="Calibri" w:hAnsi="Calibri" w:cs="Calibri"/>
                <w:b/>
                <w:bCs/>
                <w:color w:val="000000"/>
                <w:sz w:val="16"/>
                <w:szCs w:val="16"/>
              </w:rPr>
            </w:pPr>
          </w:p>
        </w:tc>
        <w:tc>
          <w:tcPr>
            <w:tcW w:w="1486" w:type="dxa"/>
            <w:tcBorders>
              <w:top w:val="nil"/>
              <w:left w:val="nil"/>
              <w:bottom w:val="nil"/>
              <w:right w:val="nil"/>
            </w:tcBorders>
            <w:shd w:val="clear" w:color="auto" w:fill="auto"/>
            <w:noWrap/>
            <w:vAlign w:val="bottom"/>
            <w:hideMark/>
          </w:tcPr>
          <w:p w14:paraId="48719ADF" w14:textId="77777777" w:rsidR="000C54C6" w:rsidRDefault="000C54C6">
            <w:pPr>
              <w:rPr>
                <w:sz w:val="20"/>
                <w:szCs w:val="20"/>
              </w:rPr>
            </w:pPr>
          </w:p>
        </w:tc>
        <w:tc>
          <w:tcPr>
            <w:tcW w:w="1237" w:type="dxa"/>
            <w:tcBorders>
              <w:top w:val="nil"/>
              <w:left w:val="nil"/>
              <w:bottom w:val="nil"/>
              <w:right w:val="nil"/>
            </w:tcBorders>
            <w:shd w:val="clear" w:color="auto" w:fill="auto"/>
            <w:noWrap/>
            <w:vAlign w:val="bottom"/>
            <w:hideMark/>
          </w:tcPr>
          <w:p w14:paraId="494F338E" w14:textId="77777777" w:rsidR="000C54C6" w:rsidRDefault="000C54C6">
            <w:pPr>
              <w:rPr>
                <w:sz w:val="20"/>
                <w:szCs w:val="20"/>
              </w:rPr>
            </w:pPr>
          </w:p>
        </w:tc>
        <w:tc>
          <w:tcPr>
            <w:tcW w:w="1167" w:type="dxa"/>
            <w:tcBorders>
              <w:top w:val="nil"/>
              <w:left w:val="nil"/>
              <w:bottom w:val="nil"/>
              <w:right w:val="nil"/>
            </w:tcBorders>
            <w:shd w:val="clear" w:color="auto" w:fill="auto"/>
            <w:noWrap/>
            <w:vAlign w:val="bottom"/>
            <w:hideMark/>
          </w:tcPr>
          <w:p w14:paraId="7E79A08E" w14:textId="77777777" w:rsidR="000C54C6" w:rsidRDefault="000C54C6">
            <w:pPr>
              <w:rPr>
                <w:sz w:val="20"/>
                <w:szCs w:val="20"/>
              </w:rPr>
            </w:pPr>
          </w:p>
        </w:tc>
        <w:tc>
          <w:tcPr>
            <w:tcW w:w="1345" w:type="dxa"/>
            <w:tcBorders>
              <w:top w:val="nil"/>
              <w:left w:val="nil"/>
              <w:bottom w:val="nil"/>
              <w:right w:val="nil"/>
            </w:tcBorders>
            <w:shd w:val="clear" w:color="auto" w:fill="auto"/>
            <w:noWrap/>
            <w:vAlign w:val="bottom"/>
            <w:hideMark/>
          </w:tcPr>
          <w:p w14:paraId="1B115CDA" w14:textId="77777777" w:rsidR="000C54C6" w:rsidRDefault="000C54C6">
            <w:pPr>
              <w:rPr>
                <w:sz w:val="20"/>
                <w:szCs w:val="20"/>
              </w:rPr>
            </w:pPr>
          </w:p>
        </w:tc>
        <w:tc>
          <w:tcPr>
            <w:tcW w:w="1522" w:type="dxa"/>
            <w:tcBorders>
              <w:top w:val="nil"/>
              <w:left w:val="nil"/>
              <w:bottom w:val="nil"/>
              <w:right w:val="nil"/>
            </w:tcBorders>
            <w:shd w:val="clear" w:color="auto" w:fill="auto"/>
            <w:noWrap/>
            <w:vAlign w:val="bottom"/>
            <w:hideMark/>
          </w:tcPr>
          <w:p w14:paraId="0423D504" w14:textId="77777777" w:rsidR="000C54C6" w:rsidRDefault="000C54C6">
            <w:pPr>
              <w:rPr>
                <w:sz w:val="20"/>
                <w:szCs w:val="20"/>
              </w:rPr>
            </w:pPr>
          </w:p>
        </w:tc>
        <w:tc>
          <w:tcPr>
            <w:tcW w:w="666" w:type="dxa"/>
            <w:tcBorders>
              <w:top w:val="nil"/>
              <w:left w:val="nil"/>
              <w:bottom w:val="nil"/>
              <w:right w:val="nil"/>
            </w:tcBorders>
            <w:shd w:val="clear" w:color="auto" w:fill="auto"/>
            <w:noWrap/>
            <w:vAlign w:val="bottom"/>
            <w:hideMark/>
          </w:tcPr>
          <w:p w14:paraId="6DAFA84F" w14:textId="77777777" w:rsidR="000C54C6" w:rsidRDefault="000C54C6">
            <w:pPr>
              <w:rPr>
                <w:sz w:val="20"/>
                <w:szCs w:val="20"/>
              </w:rPr>
            </w:pPr>
          </w:p>
        </w:tc>
      </w:tr>
      <w:tr w:rsidR="000C54C6" w14:paraId="3F90573B" w14:textId="77777777" w:rsidTr="000C54C6">
        <w:trPr>
          <w:trHeight w:val="450"/>
        </w:trPr>
        <w:tc>
          <w:tcPr>
            <w:tcW w:w="3097" w:type="dxa"/>
            <w:tcBorders>
              <w:top w:val="nil"/>
              <w:left w:val="nil"/>
              <w:bottom w:val="single" w:sz="8" w:space="0" w:color="auto"/>
              <w:right w:val="nil"/>
            </w:tcBorders>
            <w:shd w:val="clear" w:color="auto" w:fill="auto"/>
            <w:vAlign w:val="center"/>
            <w:hideMark/>
          </w:tcPr>
          <w:p w14:paraId="441DCD04" w14:textId="77777777" w:rsidR="000C54C6" w:rsidRDefault="000C54C6">
            <w:pPr>
              <w:rPr>
                <w:rFonts w:ascii="Calibri" w:hAnsi="Calibri" w:cs="Calibri"/>
                <w:b/>
                <w:bCs/>
                <w:color w:val="000000"/>
                <w:sz w:val="16"/>
                <w:szCs w:val="16"/>
              </w:rPr>
            </w:pPr>
            <w:r>
              <w:rPr>
                <w:rFonts w:ascii="Calibri" w:hAnsi="Calibri" w:cs="Calibri"/>
                <w:b/>
                <w:bCs/>
                <w:color w:val="000000"/>
                <w:sz w:val="16"/>
                <w:szCs w:val="16"/>
              </w:rPr>
              <w:t>IMOBILIZADO BENS IMÓVEIS</w:t>
            </w:r>
          </w:p>
        </w:tc>
        <w:tc>
          <w:tcPr>
            <w:tcW w:w="1486" w:type="dxa"/>
            <w:tcBorders>
              <w:top w:val="nil"/>
              <w:left w:val="nil"/>
              <w:bottom w:val="single" w:sz="8" w:space="0" w:color="auto"/>
              <w:right w:val="nil"/>
            </w:tcBorders>
            <w:shd w:val="clear" w:color="auto" w:fill="auto"/>
            <w:vAlign w:val="center"/>
            <w:hideMark/>
          </w:tcPr>
          <w:p w14:paraId="464EF1E9"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SALDO EM 31/12/2020</w:t>
            </w:r>
          </w:p>
        </w:tc>
        <w:tc>
          <w:tcPr>
            <w:tcW w:w="1237" w:type="dxa"/>
            <w:tcBorders>
              <w:top w:val="nil"/>
              <w:left w:val="nil"/>
              <w:bottom w:val="single" w:sz="8" w:space="0" w:color="auto"/>
              <w:right w:val="nil"/>
            </w:tcBorders>
            <w:shd w:val="clear" w:color="auto" w:fill="auto"/>
            <w:vAlign w:val="center"/>
            <w:hideMark/>
          </w:tcPr>
          <w:p w14:paraId="5DA36138"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ENTRADAS</w:t>
            </w:r>
          </w:p>
        </w:tc>
        <w:tc>
          <w:tcPr>
            <w:tcW w:w="1167" w:type="dxa"/>
            <w:tcBorders>
              <w:top w:val="nil"/>
              <w:left w:val="nil"/>
              <w:bottom w:val="single" w:sz="8" w:space="0" w:color="auto"/>
              <w:right w:val="nil"/>
            </w:tcBorders>
            <w:shd w:val="clear" w:color="auto" w:fill="auto"/>
            <w:vAlign w:val="center"/>
            <w:hideMark/>
          </w:tcPr>
          <w:p w14:paraId="5FD5788F"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BAIXAS</w:t>
            </w:r>
          </w:p>
        </w:tc>
        <w:tc>
          <w:tcPr>
            <w:tcW w:w="1345" w:type="dxa"/>
            <w:tcBorders>
              <w:top w:val="nil"/>
              <w:left w:val="nil"/>
              <w:bottom w:val="single" w:sz="8" w:space="0" w:color="auto"/>
              <w:right w:val="nil"/>
            </w:tcBorders>
            <w:shd w:val="clear" w:color="auto" w:fill="auto"/>
            <w:vAlign w:val="center"/>
            <w:hideMark/>
          </w:tcPr>
          <w:p w14:paraId="1B7EF046"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TRANSF.</w:t>
            </w:r>
          </w:p>
        </w:tc>
        <w:tc>
          <w:tcPr>
            <w:tcW w:w="1522" w:type="dxa"/>
            <w:tcBorders>
              <w:top w:val="nil"/>
              <w:left w:val="nil"/>
              <w:bottom w:val="single" w:sz="8" w:space="0" w:color="auto"/>
              <w:right w:val="nil"/>
            </w:tcBorders>
            <w:shd w:val="clear" w:color="auto" w:fill="auto"/>
            <w:vAlign w:val="center"/>
            <w:hideMark/>
          </w:tcPr>
          <w:p w14:paraId="6FD47D9A"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SALDO EM 30/09/2021</w:t>
            </w:r>
          </w:p>
        </w:tc>
        <w:tc>
          <w:tcPr>
            <w:tcW w:w="666" w:type="dxa"/>
            <w:tcBorders>
              <w:top w:val="nil"/>
              <w:left w:val="nil"/>
              <w:bottom w:val="single" w:sz="8" w:space="0" w:color="auto"/>
              <w:right w:val="nil"/>
            </w:tcBorders>
            <w:shd w:val="clear" w:color="auto" w:fill="auto"/>
            <w:vAlign w:val="center"/>
            <w:hideMark/>
          </w:tcPr>
          <w:p w14:paraId="45E3646C"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TAXA DEPREC. (%)</w:t>
            </w:r>
          </w:p>
        </w:tc>
      </w:tr>
      <w:tr w:rsidR="000C54C6" w14:paraId="75F6A158" w14:textId="77777777" w:rsidTr="000C54C6">
        <w:trPr>
          <w:trHeight w:val="300"/>
        </w:trPr>
        <w:tc>
          <w:tcPr>
            <w:tcW w:w="3097" w:type="dxa"/>
            <w:tcBorders>
              <w:top w:val="nil"/>
              <w:left w:val="nil"/>
              <w:bottom w:val="nil"/>
              <w:right w:val="nil"/>
            </w:tcBorders>
            <w:shd w:val="clear" w:color="auto" w:fill="auto"/>
            <w:noWrap/>
            <w:vAlign w:val="center"/>
            <w:hideMark/>
          </w:tcPr>
          <w:p w14:paraId="1F6F3DAA" w14:textId="77777777" w:rsidR="000C54C6" w:rsidRDefault="000C54C6">
            <w:pPr>
              <w:rPr>
                <w:rFonts w:ascii="Calibri" w:hAnsi="Calibri" w:cs="Calibri"/>
                <w:color w:val="000000"/>
                <w:sz w:val="16"/>
                <w:szCs w:val="16"/>
              </w:rPr>
            </w:pPr>
            <w:r>
              <w:rPr>
                <w:rFonts w:ascii="Calibri" w:hAnsi="Calibri" w:cs="Calibri"/>
                <w:color w:val="000000"/>
                <w:sz w:val="16"/>
                <w:szCs w:val="16"/>
              </w:rPr>
              <w:t>Terrenos</w:t>
            </w:r>
          </w:p>
        </w:tc>
        <w:tc>
          <w:tcPr>
            <w:tcW w:w="1486" w:type="dxa"/>
            <w:tcBorders>
              <w:top w:val="nil"/>
              <w:left w:val="nil"/>
              <w:bottom w:val="nil"/>
              <w:right w:val="nil"/>
            </w:tcBorders>
            <w:shd w:val="clear" w:color="auto" w:fill="auto"/>
            <w:noWrap/>
            <w:vAlign w:val="center"/>
            <w:hideMark/>
          </w:tcPr>
          <w:p w14:paraId="099D6453"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404.396.914 </w:t>
            </w:r>
          </w:p>
        </w:tc>
        <w:tc>
          <w:tcPr>
            <w:tcW w:w="1237" w:type="dxa"/>
            <w:tcBorders>
              <w:top w:val="nil"/>
              <w:left w:val="nil"/>
              <w:bottom w:val="nil"/>
              <w:right w:val="nil"/>
            </w:tcBorders>
            <w:shd w:val="clear" w:color="auto" w:fill="auto"/>
            <w:noWrap/>
            <w:vAlign w:val="center"/>
            <w:hideMark/>
          </w:tcPr>
          <w:p w14:paraId="761E7527"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1.439.054 </w:t>
            </w:r>
          </w:p>
        </w:tc>
        <w:tc>
          <w:tcPr>
            <w:tcW w:w="1167" w:type="dxa"/>
            <w:tcBorders>
              <w:top w:val="nil"/>
              <w:left w:val="nil"/>
              <w:bottom w:val="nil"/>
              <w:right w:val="nil"/>
            </w:tcBorders>
            <w:shd w:val="clear" w:color="auto" w:fill="auto"/>
            <w:noWrap/>
            <w:vAlign w:val="center"/>
            <w:hideMark/>
          </w:tcPr>
          <w:p w14:paraId="0981516E"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411DB0F8"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522" w:type="dxa"/>
            <w:tcBorders>
              <w:top w:val="nil"/>
              <w:left w:val="nil"/>
              <w:bottom w:val="nil"/>
              <w:right w:val="nil"/>
            </w:tcBorders>
            <w:shd w:val="clear" w:color="auto" w:fill="auto"/>
            <w:noWrap/>
            <w:vAlign w:val="center"/>
            <w:hideMark/>
          </w:tcPr>
          <w:p w14:paraId="2B1AE2ED"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405.835.968 </w:t>
            </w:r>
          </w:p>
        </w:tc>
        <w:tc>
          <w:tcPr>
            <w:tcW w:w="666" w:type="dxa"/>
            <w:tcBorders>
              <w:top w:val="nil"/>
              <w:left w:val="nil"/>
              <w:bottom w:val="nil"/>
              <w:right w:val="nil"/>
            </w:tcBorders>
            <w:shd w:val="clear" w:color="auto" w:fill="auto"/>
            <w:noWrap/>
            <w:vAlign w:val="center"/>
            <w:hideMark/>
          </w:tcPr>
          <w:p w14:paraId="418066DA"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w:t>
            </w:r>
          </w:p>
        </w:tc>
      </w:tr>
      <w:tr w:rsidR="000C54C6" w14:paraId="07B208A1" w14:textId="77777777" w:rsidTr="000C54C6">
        <w:trPr>
          <w:trHeight w:val="300"/>
        </w:trPr>
        <w:tc>
          <w:tcPr>
            <w:tcW w:w="3097" w:type="dxa"/>
            <w:tcBorders>
              <w:top w:val="nil"/>
              <w:left w:val="nil"/>
              <w:bottom w:val="nil"/>
              <w:right w:val="nil"/>
            </w:tcBorders>
            <w:shd w:val="clear" w:color="auto" w:fill="auto"/>
            <w:noWrap/>
            <w:vAlign w:val="center"/>
            <w:hideMark/>
          </w:tcPr>
          <w:p w14:paraId="1198993E" w14:textId="77777777" w:rsidR="000C54C6" w:rsidRDefault="000C54C6">
            <w:pPr>
              <w:rPr>
                <w:rFonts w:ascii="Calibri" w:hAnsi="Calibri" w:cs="Calibri"/>
                <w:color w:val="000000"/>
                <w:sz w:val="16"/>
                <w:szCs w:val="16"/>
              </w:rPr>
            </w:pPr>
            <w:r>
              <w:rPr>
                <w:rFonts w:ascii="Calibri" w:hAnsi="Calibri" w:cs="Calibri"/>
                <w:color w:val="000000"/>
                <w:sz w:val="16"/>
                <w:szCs w:val="16"/>
              </w:rPr>
              <w:t>Terrenos – Permissão de Uso de Pátios</w:t>
            </w:r>
          </w:p>
        </w:tc>
        <w:tc>
          <w:tcPr>
            <w:tcW w:w="1486" w:type="dxa"/>
            <w:tcBorders>
              <w:top w:val="nil"/>
              <w:left w:val="nil"/>
              <w:bottom w:val="nil"/>
              <w:right w:val="nil"/>
            </w:tcBorders>
            <w:shd w:val="clear" w:color="auto" w:fill="auto"/>
            <w:noWrap/>
            <w:vAlign w:val="center"/>
            <w:hideMark/>
          </w:tcPr>
          <w:p w14:paraId="263BA522"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480.985 </w:t>
            </w:r>
          </w:p>
        </w:tc>
        <w:tc>
          <w:tcPr>
            <w:tcW w:w="1237" w:type="dxa"/>
            <w:tcBorders>
              <w:top w:val="nil"/>
              <w:left w:val="nil"/>
              <w:bottom w:val="nil"/>
              <w:right w:val="nil"/>
            </w:tcBorders>
            <w:shd w:val="clear" w:color="auto" w:fill="auto"/>
            <w:noWrap/>
            <w:vAlign w:val="center"/>
            <w:hideMark/>
          </w:tcPr>
          <w:p w14:paraId="593AD960" w14:textId="3ED6C511"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167" w:type="dxa"/>
            <w:tcBorders>
              <w:top w:val="nil"/>
              <w:left w:val="nil"/>
              <w:bottom w:val="nil"/>
              <w:right w:val="nil"/>
            </w:tcBorders>
            <w:shd w:val="clear" w:color="auto" w:fill="auto"/>
            <w:noWrap/>
            <w:vAlign w:val="center"/>
            <w:hideMark/>
          </w:tcPr>
          <w:p w14:paraId="41B2116A" w14:textId="13383FD4"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6752EBAB" w14:textId="4A2640B6"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522" w:type="dxa"/>
            <w:tcBorders>
              <w:top w:val="nil"/>
              <w:left w:val="nil"/>
              <w:bottom w:val="nil"/>
              <w:right w:val="nil"/>
            </w:tcBorders>
            <w:shd w:val="clear" w:color="auto" w:fill="auto"/>
            <w:noWrap/>
            <w:vAlign w:val="center"/>
            <w:hideMark/>
          </w:tcPr>
          <w:p w14:paraId="7327E8FE"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480.985 </w:t>
            </w:r>
          </w:p>
        </w:tc>
        <w:tc>
          <w:tcPr>
            <w:tcW w:w="666" w:type="dxa"/>
            <w:tcBorders>
              <w:top w:val="nil"/>
              <w:left w:val="nil"/>
              <w:bottom w:val="nil"/>
              <w:right w:val="nil"/>
            </w:tcBorders>
            <w:shd w:val="clear" w:color="auto" w:fill="auto"/>
            <w:noWrap/>
            <w:vAlign w:val="center"/>
            <w:hideMark/>
          </w:tcPr>
          <w:p w14:paraId="5D224B5D"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w:t>
            </w:r>
          </w:p>
        </w:tc>
      </w:tr>
      <w:tr w:rsidR="000C54C6" w14:paraId="387604D5" w14:textId="77777777" w:rsidTr="000C54C6">
        <w:trPr>
          <w:trHeight w:val="300"/>
        </w:trPr>
        <w:tc>
          <w:tcPr>
            <w:tcW w:w="3097" w:type="dxa"/>
            <w:tcBorders>
              <w:top w:val="nil"/>
              <w:left w:val="nil"/>
              <w:bottom w:val="nil"/>
              <w:right w:val="nil"/>
            </w:tcBorders>
            <w:shd w:val="clear" w:color="auto" w:fill="auto"/>
            <w:noWrap/>
            <w:vAlign w:val="center"/>
            <w:hideMark/>
          </w:tcPr>
          <w:p w14:paraId="5401B3CC" w14:textId="77777777" w:rsidR="000C54C6" w:rsidRDefault="000C54C6">
            <w:pPr>
              <w:rPr>
                <w:rFonts w:ascii="Calibri" w:hAnsi="Calibri" w:cs="Calibri"/>
                <w:color w:val="000000"/>
                <w:sz w:val="16"/>
                <w:szCs w:val="16"/>
              </w:rPr>
            </w:pPr>
            <w:r>
              <w:rPr>
                <w:rFonts w:ascii="Calibri" w:hAnsi="Calibri" w:cs="Calibri"/>
                <w:color w:val="000000"/>
                <w:sz w:val="16"/>
                <w:szCs w:val="16"/>
              </w:rPr>
              <w:t>Salas e Escritórios</w:t>
            </w:r>
          </w:p>
        </w:tc>
        <w:tc>
          <w:tcPr>
            <w:tcW w:w="1486" w:type="dxa"/>
            <w:tcBorders>
              <w:top w:val="nil"/>
              <w:left w:val="nil"/>
              <w:bottom w:val="nil"/>
              <w:right w:val="nil"/>
            </w:tcBorders>
            <w:shd w:val="clear" w:color="auto" w:fill="auto"/>
            <w:noWrap/>
            <w:vAlign w:val="center"/>
            <w:hideMark/>
          </w:tcPr>
          <w:p w14:paraId="605B727F"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6.324.576 </w:t>
            </w:r>
          </w:p>
        </w:tc>
        <w:tc>
          <w:tcPr>
            <w:tcW w:w="1237" w:type="dxa"/>
            <w:tcBorders>
              <w:top w:val="nil"/>
              <w:left w:val="nil"/>
              <w:bottom w:val="nil"/>
              <w:right w:val="nil"/>
            </w:tcBorders>
            <w:shd w:val="clear" w:color="auto" w:fill="auto"/>
            <w:noWrap/>
            <w:vAlign w:val="center"/>
            <w:hideMark/>
          </w:tcPr>
          <w:p w14:paraId="2F4466BA" w14:textId="21165E1E"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167" w:type="dxa"/>
            <w:tcBorders>
              <w:top w:val="nil"/>
              <w:left w:val="nil"/>
              <w:bottom w:val="nil"/>
              <w:right w:val="nil"/>
            </w:tcBorders>
            <w:shd w:val="clear" w:color="auto" w:fill="auto"/>
            <w:noWrap/>
            <w:vAlign w:val="center"/>
            <w:hideMark/>
          </w:tcPr>
          <w:p w14:paraId="6E25B952"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(3.963.135)</w:t>
            </w:r>
          </w:p>
        </w:tc>
        <w:tc>
          <w:tcPr>
            <w:tcW w:w="1345" w:type="dxa"/>
            <w:tcBorders>
              <w:top w:val="nil"/>
              <w:left w:val="nil"/>
              <w:bottom w:val="nil"/>
              <w:right w:val="nil"/>
            </w:tcBorders>
            <w:shd w:val="clear" w:color="auto" w:fill="auto"/>
            <w:noWrap/>
            <w:vAlign w:val="center"/>
            <w:hideMark/>
          </w:tcPr>
          <w:p w14:paraId="38437121" w14:textId="360E1781"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522" w:type="dxa"/>
            <w:tcBorders>
              <w:top w:val="nil"/>
              <w:left w:val="nil"/>
              <w:bottom w:val="nil"/>
              <w:right w:val="nil"/>
            </w:tcBorders>
            <w:shd w:val="clear" w:color="auto" w:fill="auto"/>
            <w:noWrap/>
            <w:vAlign w:val="center"/>
            <w:hideMark/>
          </w:tcPr>
          <w:p w14:paraId="0E57E006"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2.361.441 </w:t>
            </w:r>
          </w:p>
        </w:tc>
        <w:tc>
          <w:tcPr>
            <w:tcW w:w="666" w:type="dxa"/>
            <w:tcBorders>
              <w:top w:val="nil"/>
              <w:left w:val="nil"/>
              <w:bottom w:val="nil"/>
              <w:right w:val="nil"/>
            </w:tcBorders>
            <w:shd w:val="clear" w:color="auto" w:fill="auto"/>
            <w:noWrap/>
            <w:vAlign w:val="center"/>
            <w:hideMark/>
          </w:tcPr>
          <w:p w14:paraId="5C3A0245"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10</w:t>
            </w:r>
          </w:p>
        </w:tc>
      </w:tr>
      <w:tr w:rsidR="000C54C6" w14:paraId="5D0ED2D0" w14:textId="77777777" w:rsidTr="000C54C6">
        <w:trPr>
          <w:trHeight w:val="300"/>
        </w:trPr>
        <w:tc>
          <w:tcPr>
            <w:tcW w:w="3097" w:type="dxa"/>
            <w:tcBorders>
              <w:top w:val="nil"/>
              <w:left w:val="nil"/>
              <w:bottom w:val="nil"/>
              <w:right w:val="nil"/>
            </w:tcBorders>
            <w:shd w:val="clear" w:color="auto" w:fill="auto"/>
            <w:noWrap/>
            <w:vAlign w:val="center"/>
            <w:hideMark/>
          </w:tcPr>
          <w:p w14:paraId="22A42B35" w14:textId="77777777" w:rsidR="000C54C6" w:rsidRDefault="000C54C6">
            <w:pPr>
              <w:rPr>
                <w:rFonts w:ascii="Calibri" w:hAnsi="Calibri" w:cs="Calibri"/>
                <w:color w:val="000000"/>
                <w:sz w:val="16"/>
                <w:szCs w:val="16"/>
              </w:rPr>
            </w:pPr>
            <w:r>
              <w:rPr>
                <w:rFonts w:ascii="Calibri" w:hAnsi="Calibri" w:cs="Calibri"/>
                <w:color w:val="000000"/>
                <w:sz w:val="16"/>
                <w:szCs w:val="16"/>
              </w:rPr>
              <w:t>Estudos e Projetos</w:t>
            </w:r>
          </w:p>
        </w:tc>
        <w:tc>
          <w:tcPr>
            <w:tcW w:w="1486" w:type="dxa"/>
            <w:tcBorders>
              <w:top w:val="nil"/>
              <w:left w:val="nil"/>
              <w:bottom w:val="nil"/>
              <w:right w:val="nil"/>
            </w:tcBorders>
            <w:shd w:val="clear" w:color="auto" w:fill="auto"/>
            <w:noWrap/>
            <w:vAlign w:val="center"/>
            <w:hideMark/>
          </w:tcPr>
          <w:p w14:paraId="0F1A6334"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161.631.305 </w:t>
            </w:r>
          </w:p>
        </w:tc>
        <w:tc>
          <w:tcPr>
            <w:tcW w:w="1237" w:type="dxa"/>
            <w:tcBorders>
              <w:top w:val="nil"/>
              <w:left w:val="nil"/>
              <w:bottom w:val="nil"/>
              <w:right w:val="nil"/>
            </w:tcBorders>
            <w:shd w:val="clear" w:color="auto" w:fill="auto"/>
            <w:noWrap/>
            <w:vAlign w:val="center"/>
            <w:hideMark/>
          </w:tcPr>
          <w:p w14:paraId="025C784B" w14:textId="16EE15AA"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7.66</w:t>
            </w:r>
            <w:r w:rsidR="009800F2">
              <w:rPr>
                <w:rFonts w:ascii="Calibri" w:hAnsi="Calibri" w:cs="Calibri"/>
                <w:color w:val="000000"/>
                <w:sz w:val="16"/>
                <w:szCs w:val="16"/>
              </w:rPr>
              <w:t>4</w:t>
            </w:r>
            <w:r>
              <w:rPr>
                <w:rFonts w:ascii="Calibri" w:hAnsi="Calibri" w:cs="Calibri"/>
                <w:color w:val="000000"/>
                <w:sz w:val="16"/>
                <w:szCs w:val="16"/>
              </w:rPr>
              <w:t xml:space="preserve"> </w:t>
            </w:r>
          </w:p>
        </w:tc>
        <w:tc>
          <w:tcPr>
            <w:tcW w:w="1167" w:type="dxa"/>
            <w:tcBorders>
              <w:top w:val="nil"/>
              <w:left w:val="nil"/>
              <w:bottom w:val="nil"/>
              <w:right w:val="nil"/>
            </w:tcBorders>
            <w:shd w:val="clear" w:color="auto" w:fill="auto"/>
            <w:noWrap/>
            <w:vAlign w:val="center"/>
            <w:hideMark/>
          </w:tcPr>
          <w:p w14:paraId="307F83C7" w14:textId="17619F52"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26EF3B6B" w14:textId="1729CBBB"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(3.487.596)</w:t>
            </w:r>
          </w:p>
        </w:tc>
        <w:tc>
          <w:tcPr>
            <w:tcW w:w="1522" w:type="dxa"/>
            <w:tcBorders>
              <w:top w:val="nil"/>
              <w:left w:val="nil"/>
              <w:bottom w:val="nil"/>
              <w:right w:val="nil"/>
            </w:tcBorders>
            <w:shd w:val="clear" w:color="auto" w:fill="auto"/>
            <w:noWrap/>
            <w:vAlign w:val="center"/>
            <w:hideMark/>
          </w:tcPr>
          <w:p w14:paraId="42C74559"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158.151.373 </w:t>
            </w:r>
          </w:p>
        </w:tc>
        <w:tc>
          <w:tcPr>
            <w:tcW w:w="666" w:type="dxa"/>
            <w:tcBorders>
              <w:top w:val="nil"/>
              <w:left w:val="nil"/>
              <w:bottom w:val="nil"/>
              <w:right w:val="nil"/>
            </w:tcBorders>
            <w:shd w:val="clear" w:color="auto" w:fill="auto"/>
            <w:noWrap/>
            <w:vAlign w:val="center"/>
            <w:hideMark/>
          </w:tcPr>
          <w:p w14:paraId="71BC3A20"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w:t>
            </w:r>
          </w:p>
        </w:tc>
      </w:tr>
      <w:tr w:rsidR="000C54C6" w14:paraId="4CF0F236" w14:textId="77777777" w:rsidTr="000C54C6">
        <w:trPr>
          <w:trHeight w:val="300"/>
        </w:trPr>
        <w:tc>
          <w:tcPr>
            <w:tcW w:w="3097" w:type="dxa"/>
            <w:tcBorders>
              <w:top w:val="nil"/>
              <w:left w:val="nil"/>
              <w:bottom w:val="nil"/>
              <w:right w:val="nil"/>
            </w:tcBorders>
            <w:shd w:val="clear" w:color="auto" w:fill="auto"/>
            <w:noWrap/>
            <w:vAlign w:val="center"/>
            <w:hideMark/>
          </w:tcPr>
          <w:p w14:paraId="1CBA52B3" w14:textId="77777777" w:rsidR="000C54C6" w:rsidRDefault="000C54C6">
            <w:pPr>
              <w:rPr>
                <w:rFonts w:ascii="Calibri" w:hAnsi="Calibri" w:cs="Calibri"/>
                <w:color w:val="000000"/>
                <w:sz w:val="16"/>
                <w:szCs w:val="16"/>
              </w:rPr>
            </w:pPr>
            <w:r>
              <w:rPr>
                <w:rFonts w:ascii="Calibri" w:hAnsi="Calibri" w:cs="Calibri"/>
                <w:color w:val="000000"/>
                <w:sz w:val="16"/>
                <w:szCs w:val="16"/>
              </w:rPr>
              <w:t xml:space="preserve">      FNS - Porto Nacional/TO - Anápolis/GO</w:t>
            </w:r>
          </w:p>
        </w:tc>
        <w:tc>
          <w:tcPr>
            <w:tcW w:w="1486" w:type="dxa"/>
            <w:tcBorders>
              <w:top w:val="nil"/>
              <w:left w:val="nil"/>
              <w:bottom w:val="nil"/>
              <w:right w:val="nil"/>
            </w:tcBorders>
            <w:shd w:val="clear" w:color="auto" w:fill="auto"/>
            <w:noWrap/>
            <w:vAlign w:val="center"/>
            <w:hideMark/>
          </w:tcPr>
          <w:p w14:paraId="33036E67" w14:textId="075FFF8A"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237" w:type="dxa"/>
            <w:tcBorders>
              <w:top w:val="nil"/>
              <w:left w:val="nil"/>
              <w:bottom w:val="nil"/>
              <w:right w:val="nil"/>
            </w:tcBorders>
            <w:shd w:val="clear" w:color="auto" w:fill="auto"/>
            <w:noWrap/>
            <w:vAlign w:val="center"/>
            <w:hideMark/>
          </w:tcPr>
          <w:p w14:paraId="25AF22F0" w14:textId="7DD8E684"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167" w:type="dxa"/>
            <w:tcBorders>
              <w:top w:val="nil"/>
              <w:left w:val="nil"/>
              <w:bottom w:val="nil"/>
              <w:right w:val="nil"/>
            </w:tcBorders>
            <w:shd w:val="clear" w:color="auto" w:fill="auto"/>
            <w:noWrap/>
            <w:vAlign w:val="center"/>
            <w:hideMark/>
          </w:tcPr>
          <w:p w14:paraId="4ADC0989" w14:textId="5CAF6655"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76669705" w14:textId="304552CF"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522" w:type="dxa"/>
            <w:tcBorders>
              <w:top w:val="nil"/>
              <w:left w:val="nil"/>
              <w:bottom w:val="nil"/>
              <w:right w:val="nil"/>
            </w:tcBorders>
            <w:shd w:val="clear" w:color="auto" w:fill="auto"/>
            <w:noWrap/>
            <w:vAlign w:val="center"/>
            <w:hideMark/>
          </w:tcPr>
          <w:p w14:paraId="58BC9B3E" w14:textId="497B6A2F"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666" w:type="dxa"/>
            <w:tcBorders>
              <w:top w:val="nil"/>
              <w:left w:val="nil"/>
              <w:bottom w:val="nil"/>
              <w:right w:val="nil"/>
            </w:tcBorders>
            <w:shd w:val="clear" w:color="auto" w:fill="auto"/>
            <w:noWrap/>
            <w:vAlign w:val="bottom"/>
            <w:hideMark/>
          </w:tcPr>
          <w:p w14:paraId="569C8040" w14:textId="77777777" w:rsidR="000C54C6" w:rsidRDefault="000C54C6">
            <w:pPr>
              <w:jc w:val="right"/>
              <w:rPr>
                <w:rFonts w:ascii="Calibri" w:hAnsi="Calibri" w:cs="Calibri"/>
                <w:color w:val="000000"/>
                <w:sz w:val="16"/>
                <w:szCs w:val="16"/>
              </w:rPr>
            </w:pPr>
          </w:p>
        </w:tc>
      </w:tr>
      <w:tr w:rsidR="000C54C6" w14:paraId="246E42DC" w14:textId="77777777" w:rsidTr="000C54C6">
        <w:trPr>
          <w:trHeight w:val="300"/>
        </w:trPr>
        <w:tc>
          <w:tcPr>
            <w:tcW w:w="3097" w:type="dxa"/>
            <w:tcBorders>
              <w:top w:val="nil"/>
              <w:left w:val="nil"/>
              <w:bottom w:val="nil"/>
              <w:right w:val="nil"/>
            </w:tcBorders>
            <w:shd w:val="clear" w:color="auto" w:fill="auto"/>
            <w:noWrap/>
            <w:vAlign w:val="center"/>
            <w:hideMark/>
          </w:tcPr>
          <w:p w14:paraId="5288EF16" w14:textId="77777777" w:rsidR="000C54C6" w:rsidRDefault="000C54C6">
            <w:pPr>
              <w:rPr>
                <w:rFonts w:ascii="Calibri" w:hAnsi="Calibri" w:cs="Calibri"/>
                <w:color w:val="000000"/>
                <w:sz w:val="16"/>
                <w:szCs w:val="16"/>
              </w:rPr>
            </w:pPr>
            <w:r>
              <w:rPr>
                <w:rFonts w:ascii="Calibri" w:hAnsi="Calibri" w:cs="Calibri"/>
                <w:color w:val="000000"/>
                <w:sz w:val="16"/>
                <w:szCs w:val="16"/>
              </w:rPr>
              <w:lastRenderedPageBreak/>
              <w:t xml:space="preserve">      FIOL - Ferrovia de Integração Oeste-Leste </w:t>
            </w:r>
          </w:p>
        </w:tc>
        <w:tc>
          <w:tcPr>
            <w:tcW w:w="1486" w:type="dxa"/>
            <w:tcBorders>
              <w:top w:val="nil"/>
              <w:left w:val="nil"/>
              <w:bottom w:val="nil"/>
              <w:right w:val="nil"/>
            </w:tcBorders>
            <w:shd w:val="clear" w:color="auto" w:fill="auto"/>
            <w:noWrap/>
            <w:vAlign w:val="center"/>
            <w:hideMark/>
          </w:tcPr>
          <w:p w14:paraId="6A49074A"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4.128.336 </w:t>
            </w:r>
          </w:p>
        </w:tc>
        <w:tc>
          <w:tcPr>
            <w:tcW w:w="1237" w:type="dxa"/>
            <w:tcBorders>
              <w:top w:val="nil"/>
              <w:left w:val="nil"/>
              <w:bottom w:val="nil"/>
              <w:right w:val="nil"/>
            </w:tcBorders>
            <w:shd w:val="clear" w:color="auto" w:fill="auto"/>
            <w:noWrap/>
            <w:vAlign w:val="center"/>
            <w:hideMark/>
          </w:tcPr>
          <w:p w14:paraId="0EA99C18" w14:textId="7A111F25"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167" w:type="dxa"/>
            <w:tcBorders>
              <w:top w:val="nil"/>
              <w:left w:val="nil"/>
              <w:bottom w:val="nil"/>
              <w:right w:val="nil"/>
            </w:tcBorders>
            <w:shd w:val="clear" w:color="auto" w:fill="auto"/>
            <w:noWrap/>
            <w:vAlign w:val="center"/>
            <w:hideMark/>
          </w:tcPr>
          <w:p w14:paraId="1BD60203" w14:textId="5C0CA74D"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7C17F6E4" w14:textId="6C7B1554"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(3.487.596)</w:t>
            </w:r>
          </w:p>
        </w:tc>
        <w:tc>
          <w:tcPr>
            <w:tcW w:w="1522" w:type="dxa"/>
            <w:tcBorders>
              <w:top w:val="nil"/>
              <w:left w:val="nil"/>
              <w:bottom w:val="nil"/>
              <w:right w:val="nil"/>
            </w:tcBorders>
            <w:shd w:val="clear" w:color="auto" w:fill="auto"/>
            <w:noWrap/>
            <w:vAlign w:val="center"/>
            <w:hideMark/>
          </w:tcPr>
          <w:p w14:paraId="3E6785CF" w14:textId="45FDD6DD"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640.740 </w:t>
            </w:r>
          </w:p>
        </w:tc>
        <w:tc>
          <w:tcPr>
            <w:tcW w:w="666" w:type="dxa"/>
            <w:tcBorders>
              <w:top w:val="nil"/>
              <w:left w:val="nil"/>
              <w:bottom w:val="nil"/>
              <w:right w:val="nil"/>
            </w:tcBorders>
            <w:shd w:val="clear" w:color="auto" w:fill="auto"/>
            <w:noWrap/>
            <w:vAlign w:val="bottom"/>
            <w:hideMark/>
          </w:tcPr>
          <w:p w14:paraId="24852F24" w14:textId="77777777" w:rsidR="000C54C6" w:rsidRDefault="000C54C6">
            <w:pPr>
              <w:jc w:val="right"/>
              <w:rPr>
                <w:rFonts w:ascii="Calibri" w:hAnsi="Calibri" w:cs="Calibri"/>
                <w:color w:val="000000"/>
                <w:sz w:val="16"/>
                <w:szCs w:val="16"/>
              </w:rPr>
            </w:pPr>
          </w:p>
        </w:tc>
      </w:tr>
      <w:tr w:rsidR="000C54C6" w14:paraId="2FD1521B" w14:textId="77777777" w:rsidTr="000C54C6">
        <w:trPr>
          <w:trHeight w:val="300"/>
        </w:trPr>
        <w:tc>
          <w:tcPr>
            <w:tcW w:w="3097" w:type="dxa"/>
            <w:tcBorders>
              <w:top w:val="nil"/>
              <w:left w:val="nil"/>
              <w:bottom w:val="nil"/>
              <w:right w:val="nil"/>
            </w:tcBorders>
            <w:shd w:val="clear" w:color="auto" w:fill="auto"/>
            <w:noWrap/>
            <w:vAlign w:val="center"/>
            <w:hideMark/>
          </w:tcPr>
          <w:p w14:paraId="3507B00A" w14:textId="77777777" w:rsidR="000C54C6" w:rsidRDefault="000C54C6">
            <w:pPr>
              <w:rPr>
                <w:rFonts w:ascii="Calibri" w:hAnsi="Calibri" w:cs="Calibri"/>
                <w:color w:val="000000"/>
                <w:sz w:val="16"/>
                <w:szCs w:val="16"/>
              </w:rPr>
            </w:pPr>
            <w:r>
              <w:rPr>
                <w:rFonts w:ascii="Calibri" w:hAnsi="Calibri" w:cs="Calibri"/>
                <w:color w:val="000000"/>
                <w:sz w:val="16"/>
                <w:szCs w:val="16"/>
              </w:rPr>
              <w:t xml:space="preserve">      Ferrovia Transcontinental</w:t>
            </w:r>
          </w:p>
        </w:tc>
        <w:tc>
          <w:tcPr>
            <w:tcW w:w="1486" w:type="dxa"/>
            <w:tcBorders>
              <w:top w:val="nil"/>
              <w:left w:val="nil"/>
              <w:bottom w:val="nil"/>
              <w:right w:val="nil"/>
            </w:tcBorders>
            <w:shd w:val="clear" w:color="auto" w:fill="auto"/>
            <w:noWrap/>
            <w:vAlign w:val="center"/>
            <w:hideMark/>
          </w:tcPr>
          <w:p w14:paraId="02F9395E"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131.977.882 </w:t>
            </w:r>
          </w:p>
        </w:tc>
        <w:tc>
          <w:tcPr>
            <w:tcW w:w="1237" w:type="dxa"/>
            <w:tcBorders>
              <w:top w:val="nil"/>
              <w:left w:val="nil"/>
              <w:bottom w:val="nil"/>
              <w:right w:val="nil"/>
            </w:tcBorders>
            <w:shd w:val="clear" w:color="auto" w:fill="auto"/>
            <w:noWrap/>
            <w:vAlign w:val="center"/>
            <w:hideMark/>
          </w:tcPr>
          <w:p w14:paraId="2E1A746F" w14:textId="7380BABF"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7.66</w:t>
            </w:r>
            <w:r w:rsidR="009800F2">
              <w:rPr>
                <w:rFonts w:ascii="Calibri" w:hAnsi="Calibri" w:cs="Calibri"/>
                <w:color w:val="000000"/>
                <w:sz w:val="16"/>
                <w:szCs w:val="16"/>
              </w:rPr>
              <w:t>4</w:t>
            </w:r>
            <w:r>
              <w:rPr>
                <w:rFonts w:ascii="Calibri" w:hAnsi="Calibri" w:cs="Calibri"/>
                <w:color w:val="000000"/>
                <w:sz w:val="16"/>
                <w:szCs w:val="16"/>
              </w:rPr>
              <w:t xml:space="preserve"> </w:t>
            </w:r>
          </w:p>
        </w:tc>
        <w:tc>
          <w:tcPr>
            <w:tcW w:w="1167" w:type="dxa"/>
            <w:tcBorders>
              <w:top w:val="nil"/>
              <w:left w:val="nil"/>
              <w:bottom w:val="nil"/>
              <w:right w:val="nil"/>
            </w:tcBorders>
            <w:shd w:val="clear" w:color="auto" w:fill="auto"/>
            <w:noWrap/>
            <w:vAlign w:val="center"/>
            <w:hideMark/>
          </w:tcPr>
          <w:p w14:paraId="47F1A363" w14:textId="24B0B181"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1C15EE60" w14:textId="14E56DCE"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522" w:type="dxa"/>
            <w:tcBorders>
              <w:top w:val="nil"/>
              <w:left w:val="nil"/>
              <w:bottom w:val="nil"/>
              <w:right w:val="nil"/>
            </w:tcBorders>
            <w:shd w:val="clear" w:color="auto" w:fill="auto"/>
            <w:noWrap/>
            <w:vAlign w:val="center"/>
            <w:hideMark/>
          </w:tcPr>
          <w:p w14:paraId="10669173"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131.985.546 </w:t>
            </w:r>
          </w:p>
        </w:tc>
        <w:tc>
          <w:tcPr>
            <w:tcW w:w="666" w:type="dxa"/>
            <w:tcBorders>
              <w:top w:val="nil"/>
              <w:left w:val="nil"/>
              <w:bottom w:val="nil"/>
              <w:right w:val="nil"/>
            </w:tcBorders>
            <w:shd w:val="clear" w:color="auto" w:fill="auto"/>
            <w:noWrap/>
            <w:vAlign w:val="bottom"/>
            <w:hideMark/>
          </w:tcPr>
          <w:p w14:paraId="49E6A193" w14:textId="77777777" w:rsidR="000C54C6" w:rsidRDefault="000C54C6">
            <w:pPr>
              <w:jc w:val="right"/>
              <w:rPr>
                <w:rFonts w:ascii="Calibri" w:hAnsi="Calibri" w:cs="Calibri"/>
                <w:color w:val="000000"/>
                <w:sz w:val="16"/>
                <w:szCs w:val="16"/>
              </w:rPr>
            </w:pPr>
          </w:p>
        </w:tc>
      </w:tr>
      <w:tr w:rsidR="000C54C6" w14:paraId="02FFEE52" w14:textId="77777777" w:rsidTr="000C54C6">
        <w:trPr>
          <w:trHeight w:val="300"/>
        </w:trPr>
        <w:tc>
          <w:tcPr>
            <w:tcW w:w="3097" w:type="dxa"/>
            <w:tcBorders>
              <w:top w:val="nil"/>
              <w:left w:val="nil"/>
              <w:bottom w:val="nil"/>
              <w:right w:val="nil"/>
            </w:tcBorders>
            <w:shd w:val="clear" w:color="auto" w:fill="auto"/>
            <w:noWrap/>
            <w:vAlign w:val="center"/>
            <w:hideMark/>
          </w:tcPr>
          <w:p w14:paraId="0C479726" w14:textId="77777777" w:rsidR="000C54C6" w:rsidRDefault="000C54C6">
            <w:pPr>
              <w:rPr>
                <w:rFonts w:ascii="Calibri" w:hAnsi="Calibri" w:cs="Calibri"/>
                <w:color w:val="000000"/>
                <w:sz w:val="16"/>
                <w:szCs w:val="16"/>
              </w:rPr>
            </w:pPr>
            <w:r>
              <w:rPr>
                <w:rFonts w:ascii="Calibri" w:hAnsi="Calibri" w:cs="Calibri"/>
                <w:color w:val="000000"/>
                <w:sz w:val="16"/>
                <w:szCs w:val="16"/>
              </w:rPr>
              <w:t xml:space="preserve">      Outros Empreendimentos</w:t>
            </w:r>
          </w:p>
        </w:tc>
        <w:tc>
          <w:tcPr>
            <w:tcW w:w="1486" w:type="dxa"/>
            <w:tcBorders>
              <w:top w:val="nil"/>
              <w:left w:val="nil"/>
              <w:bottom w:val="nil"/>
              <w:right w:val="nil"/>
            </w:tcBorders>
            <w:shd w:val="clear" w:color="auto" w:fill="auto"/>
            <w:noWrap/>
            <w:vAlign w:val="center"/>
            <w:hideMark/>
          </w:tcPr>
          <w:p w14:paraId="317E4F44"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25.525.087 </w:t>
            </w:r>
          </w:p>
        </w:tc>
        <w:tc>
          <w:tcPr>
            <w:tcW w:w="1237" w:type="dxa"/>
            <w:tcBorders>
              <w:top w:val="nil"/>
              <w:left w:val="nil"/>
              <w:bottom w:val="nil"/>
              <w:right w:val="nil"/>
            </w:tcBorders>
            <w:shd w:val="clear" w:color="auto" w:fill="auto"/>
            <w:noWrap/>
            <w:vAlign w:val="center"/>
            <w:hideMark/>
          </w:tcPr>
          <w:p w14:paraId="55B3C1F6" w14:textId="5BF22D53"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167" w:type="dxa"/>
            <w:tcBorders>
              <w:top w:val="nil"/>
              <w:left w:val="nil"/>
              <w:bottom w:val="nil"/>
              <w:right w:val="nil"/>
            </w:tcBorders>
            <w:shd w:val="clear" w:color="auto" w:fill="auto"/>
            <w:noWrap/>
            <w:vAlign w:val="center"/>
            <w:hideMark/>
          </w:tcPr>
          <w:p w14:paraId="6C24E789" w14:textId="4396BBF2"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5ED3658F" w14:textId="758F028E"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522" w:type="dxa"/>
            <w:tcBorders>
              <w:top w:val="nil"/>
              <w:left w:val="nil"/>
              <w:bottom w:val="nil"/>
              <w:right w:val="nil"/>
            </w:tcBorders>
            <w:shd w:val="clear" w:color="auto" w:fill="auto"/>
            <w:noWrap/>
            <w:vAlign w:val="center"/>
            <w:hideMark/>
          </w:tcPr>
          <w:p w14:paraId="6EEC0347"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25.525.087 </w:t>
            </w:r>
          </w:p>
        </w:tc>
        <w:tc>
          <w:tcPr>
            <w:tcW w:w="666" w:type="dxa"/>
            <w:tcBorders>
              <w:top w:val="nil"/>
              <w:left w:val="nil"/>
              <w:bottom w:val="nil"/>
              <w:right w:val="nil"/>
            </w:tcBorders>
            <w:shd w:val="clear" w:color="auto" w:fill="auto"/>
            <w:noWrap/>
            <w:vAlign w:val="bottom"/>
            <w:hideMark/>
          </w:tcPr>
          <w:p w14:paraId="6F469CF2" w14:textId="77777777" w:rsidR="000C54C6" w:rsidRDefault="000C54C6">
            <w:pPr>
              <w:jc w:val="right"/>
              <w:rPr>
                <w:rFonts w:ascii="Calibri" w:hAnsi="Calibri" w:cs="Calibri"/>
                <w:color w:val="000000"/>
                <w:sz w:val="16"/>
                <w:szCs w:val="16"/>
              </w:rPr>
            </w:pPr>
          </w:p>
        </w:tc>
      </w:tr>
      <w:tr w:rsidR="000C54C6" w14:paraId="35047558" w14:textId="77777777" w:rsidTr="000C54C6">
        <w:trPr>
          <w:trHeight w:val="300"/>
        </w:trPr>
        <w:tc>
          <w:tcPr>
            <w:tcW w:w="3097" w:type="dxa"/>
            <w:tcBorders>
              <w:top w:val="nil"/>
              <w:left w:val="nil"/>
              <w:bottom w:val="nil"/>
              <w:right w:val="nil"/>
            </w:tcBorders>
            <w:shd w:val="clear" w:color="auto" w:fill="auto"/>
            <w:noWrap/>
            <w:vAlign w:val="center"/>
            <w:hideMark/>
          </w:tcPr>
          <w:p w14:paraId="2F6683C0" w14:textId="77777777" w:rsidR="000C54C6" w:rsidRDefault="000C54C6">
            <w:pPr>
              <w:rPr>
                <w:rFonts w:ascii="Calibri" w:hAnsi="Calibri" w:cs="Calibri"/>
                <w:color w:val="000000"/>
                <w:sz w:val="16"/>
                <w:szCs w:val="16"/>
              </w:rPr>
            </w:pPr>
            <w:r>
              <w:rPr>
                <w:rFonts w:ascii="Calibri" w:hAnsi="Calibri" w:cs="Calibri"/>
                <w:color w:val="000000"/>
                <w:sz w:val="16"/>
                <w:szCs w:val="16"/>
              </w:rPr>
              <w:t>Implantação - Ferrovias</w:t>
            </w:r>
          </w:p>
        </w:tc>
        <w:tc>
          <w:tcPr>
            <w:tcW w:w="1486" w:type="dxa"/>
            <w:tcBorders>
              <w:top w:val="nil"/>
              <w:left w:val="nil"/>
              <w:bottom w:val="nil"/>
              <w:right w:val="nil"/>
            </w:tcBorders>
            <w:shd w:val="clear" w:color="auto" w:fill="auto"/>
            <w:noWrap/>
            <w:vAlign w:val="center"/>
            <w:hideMark/>
          </w:tcPr>
          <w:p w14:paraId="0AD92CEE"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5.324.234.547 </w:t>
            </w:r>
          </w:p>
        </w:tc>
        <w:tc>
          <w:tcPr>
            <w:tcW w:w="1237" w:type="dxa"/>
            <w:tcBorders>
              <w:top w:val="nil"/>
              <w:left w:val="nil"/>
              <w:bottom w:val="nil"/>
              <w:right w:val="nil"/>
            </w:tcBorders>
            <w:shd w:val="clear" w:color="auto" w:fill="auto"/>
            <w:noWrap/>
            <w:vAlign w:val="center"/>
            <w:hideMark/>
          </w:tcPr>
          <w:p w14:paraId="489D5837"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265.854.065 </w:t>
            </w:r>
          </w:p>
        </w:tc>
        <w:tc>
          <w:tcPr>
            <w:tcW w:w="1167" w:type="dxa"/>
            <w:tcBorders>
              <w:top w:val="nil"/>
              <w:left w:val="nil"/>
              <w:bottom w:val="nil"/>
              <w:right w:val="nil"/>
            </w:tcBorders>
            <w:shd w:val="clear" w:color="auto" w:fill="auto"/>
            <w:noWrap/>
            <w:vAlign w:val="center"/>
            <w:hideMark/>
          </w:tcPr>
          <w:p w14:paraId="574E00D5" w14:textId="7B417E95"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(163)</w:t>
            </w:r>
          </w:p>
        </w:tc>
        <w:tc>
          <w:tcPr>
            <w:tcW w:w="1345" w:type="dxa"/>
            <w:tcBorders>
              <w:top w:val="nil"/>
              <w:left w:val="nil"/>
              <w:bottom w:val="nil"/>
              <w:right w:val="nil"/>
            </w:tcBorders>
            <w:shd w:val="clear" w:color="auto" w:fill="auto"/>
            <w:noWrap/>
            <w:vAlign w:val="center"/>
            <w:hideMark/>
          </w:tcPr>
          <w:p w14:paraId="6682D6D3"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(3.563.319.222)</w:t>
            </w:r>
          </w:p>
        </w:tc>
        <w:tc>
          <w:tcPr>
            <w:tcW w:w="1522" w:type="dxa"/>
            <w:tcBorders>
              <w:top w:val="nil"/>
              <w:left w:val="nil"/>
              <w:bottom w:val="nil"/>
              <w:right w:val="nil"/>
            </w:tcBorders>
            <w:shd w:val="clear" w:color="auto" w:fill="auto"/>
            <w:noWrap/>
            <w:vAlign w:val="center"/>
            <w:hideMark/>
          </w:tcPr>
          <w:p w14:paraId="447848A0"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2.026.769.227 </w:t>
            </w:r>
          </w:p>
        </w:tc>
        <w:tc>
          <w:tcPr>
            <w:tcW w:w="666" w:type="dxa"/>
            <w:tcBorders>
              <w:top w:val="nil"/>
              <w:left w:val="nil"/>
              <w:bottom w:val="nil"/>
              <w:right w:val="nil"/>
            </w:tcBorders>
            <w:shd w:val="clear" w:color="auto" w:fill="auto"/>
            <w:noWrap/>
            <w:vAlign w:val="bottom"/>
            <w:hideMark/>
          </w:tcPr>
          <w:p w14:paraId="5586F226" w14:textId="77777777" w:rsidR="000C54C6" w:rsidRDefault="000C54C6">
            <w:pPr>
              <w:jc w:val="right"/>
              <w:rPr>
                <w:rFonts w:ascii="Calibri" w:hAnsi="Calibri" w:cs="Calibri"/>
                <w:color w:val="000000"/>
                <w:sz w:val="16"/>
                <w:szCs w:val="16"/>
              </w:rPr>
            </w:pPr>
          </w:p>
        </w:tc>
      </w:tr>
      <w:tr w:rsidR="000C54C6" w14:paraId="28423007" w14:textId="77777777" w:rsidTr="000C54C6">
        <w:trPr>
          <w:trHeight w:val="300"/>
        </w:trPr>
        <w:tc>
          <w:tcPr>
            <w:tcW w:w="3097" w:type="dxa"/>
            <w:tcBorders>
              <w:top w:val="nil"/>
              <w:left w:val="nil"/>
              <w:bottom w:val="nil"/>
              <w:right w:val="nil"/>
            </w:tcBorders>
            <w:shd w:val="clear" w:color="auto" w:fill="auto"/>
            <w:noWrap/>
            <w:vAlign w:val="center"/>
            <w:hideMark/>
          </w:tcPr>
          <w:p w14:paraId="07168D22" w14:textId="77777777" w:rsidR="000C54C6" w:rsidRDefault="000C54C6">
            <w:pPr>
              <w:rPr>
                <w:rFonts w:ascii="Calibri" w:hAnsi="Calibri" w:cs="Calibri"/>
                <w:color w:val="000000"/>
                <w:sz w:val="16"/>
                <w:szCs w:val="16"/>
              </w:rPr>
            </w:pPr>
            <w:r>
              <w:rPr>
                <w:rFonts w:ascii="Calibri" w:hAnsi="Calibri" w:cs="Calibri"/>
                <w:color w:val="000000"/>
                <w:sz w:val="16"/>
                <w:szCs w:val="16"/>
              </w:rPr>
              <w:t xml:space="preserve">     FNS - Porto Nacional/TO - Anápolis/GO</w:t>
            </w:r>
          </w:p>
        </w:tc>
        <w:tc>
          <w:tcPr>
            <w:tcW w:w="1486" w:type="dxa"/>
            <w:tcBorders>
              <w:top w:val="nil"/>
              <w:left w:val="nil"/>
              <w:bottom w:val="nil"/>
              <w:right w:val="nil"/>
            </w:tcBorders>
            <w:shd w:val="clear" w:color="auto" w:fill="auto"/>
            <w:noWrap/>
            <w:vAlign w:val="center"/>
            <w:hideMark/>
          </w:tcPr>
          <w:p w14:paraId="073114DE"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237" w:type="dxa"/>
            <w:tcBorders>
              <w:top w:val="nil"/>
              <w:left w:val="nil"/>
              <w:bottom w:val="nil"/>
              <w:right w:val="nil"/>
            </w:tcBorders>
            <w:shd w:val="clear" w:color="auto" w:fill="auto"/>
            <w:noWrap/>
            <w:vAlign w:val="center"/>
            <w:hideMark/>
          </w:tcPr>
          <w:p w14:paraId="00FA2F04"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167" w:type="dxa"/>
            <w:tcBorders>
              <w:top w:val="nil"/>
              <w:left w:val="nil"/>
              <w:bottom w:val="nil"/>
              <w:right w:val="nil"/>
            </w:tcBorders>
            <w:shd w:val="clear" w:color="auto" w:fill="auto"/>
            <w:noWrap/>
            <w:vAlign w:val="center"/>
            <w:hideMark/>
          </w:tcPr>
          <w:p w14:paraId="18EA5FEE"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726EFF22"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522" w:type="dxa"/>
            <w:tcBorders>
              <w:top w:val="nil"/>
              <w:left w:val="nil"/>
              <w:bottom w:val="nil"/>
              <w:right w:val="nil"/>
            </w:tcBorders>
            <w:shd w:val="clear" w:color="auto" w:fill="auto"/>
            <w:noWrap/>
            <w:vAlign w:val="center"/>
            <w:hideMark/>
          </w:tcPr>
          <w:p w14:paraId="273EA03F"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666" w:type="dxa"/>
            <w:tcBorders>
              <w:top w:val="nil"/>
              <w:left w:val="nil"/>
              <w:bottom w:val="nil"/>
              <w:right w:val="nil"/>
            </w:tcBorders>
            <w:shd w:val="clear" w:color="auto" w:fill="auto"/>
            <w:noWrap/>
            <w:vAlign w:val="bottom"/>
            <w:hideMark/>
          </w:tcPr>
          <w:p w14:paraId="28964783" w14:textId="77777777" w:rsidR="000C54C6" w:rsidRDefault="000C54C6">
            <w:pPr>
              <w:jc w:val="right"/>
              <w:rPr>
                <w:rFonts w:ascii="Calibri" w:hAnsi="Calibri" w:cs="Calibri"/>
                <w:color w:val="000000"/>
                <w:sz w:val="16"/>
                <w:szCs w:val="16"/>
              </w:rPr>
            </w:pPr>
          </w:p>
        </w:tc>
      </w:tr>
      <w:tr w:rsidR="000C54C6" w14:paraId="04E37A22" w14:textId="77777777" w:rsidTr="000C54C6">
        <w:trPr>
          <w:trHeight w:val="300"/>
        </w:trPr>
        <w:tc>
          <w:tcPr>
            <w:tcW w:w="3097" w:type="dxa"/>
            <w:tcBorders>
              <w:top w:val="nil"/>
              <w:left w:val="nil"/>
              <w:bottom w:val="nil"/>
              <w:right w:val="nil"/>
            </w:tcBorders>
            <w:shd w:val="clear" w:color="auto" w:fill="auto"/>
            <w:noWrap/>
            <w:vAlign w:val="center"/>
            <w:hideMark/>
          </w:tcPr>
          <w:p w14:paraId="0E39424E" w14:textId="77777777" w:rsidR="000C54C6" w:rsidRDefault="000C54C6">
            <w:pPr>
              <w:rPr>
                <w:rFonts w:ascii="Calibri" w:hAnsi="Calibri" w:cs="Calibri"/>
                <w:color w:val="000000"/>
                <w:sz w:val="16"/>
                <w:szCs w:val="16"/>
              </w:rPr>
            </w:pPr>
            <w:r>
              <w:rPr>
                <w:rFonts w:ascii="Calibri" w:hAnsi="Calibri" w:cs="Calibri"/>
                <w:color w:val="000000"/>
                <w:sz w:val="16"/>
                <w:szCs w:val="16"/>
              </w:rPr>
              <w:t xml:space="preserve">     FNS - Ouro Verde/GO - Estrela D'Oeste/SP</w:t>
            </w:r>
          </w:p>
        </w:tc>
        <w:tc>
          <w:tcPr>
            <w:tcW w:w="1486" w:type="dxa"/>
            <w:tcBorders>
              <w:top w:val="nil"/>
              <w:left w:val="nil"/>
              <w:bottom w:val="nil"/>
              <w:right w:val="nil"/>
            </w:tcBorders>
            <w:shd w:val="clear" w:color="auto" w:fill="auto"/>
            <w:noWrap/>
            <w:vAlign w:val="center"/>
            <w:hideMark/>
          </w:tcPr>
          <w:p w14:paraId="45B161EF"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49.144.521 </w:t>
            </w:r>
          </w:p>
        </w:tc>
        <w:tc>
          <w:tcPr>
            <w:tcW w:w="1237" w:type="dxa"/>
            <w:tcBorders>
              <w:top w:val="nil"/>
              <w:left w:val="nil"/>
              <w:bottom w:val="nil"/>
              <w:right w:val="nil"/>
            </w:tcBorders>
            <w:shd w:val="clear" w:color="auto" w:fill="auto"/>
            <w:noWrap/>
            <w:vAlign w:val="center"/>
            <w:hideMark/>
          </w:tcPr>
          <w:p w14:paraId="4106DF1F"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11.481.613 </w:t>
            </w:r>
          </w:p>
        </w:tc>
        <w:tc>
          <w:tcPr>
            <w:tcW w:w="1167" w:type="dxa"/>
            <w:tcBorders>
              <w:top w:val="nil"/>
              <w:left w:val="nil"/>
              <w:bottom w:val="nil"/>
              <w:right w:val="nil"/>
            </w:tcBorders>
            <w:shd w:val="clear" w:color="auto" w:fill="auto"/>
            <w:noWrap/>
            <w:vAlign w:val="center"/>
            <w:hideMark/>
          </w:tcPr>
          <w:p w14:paraId="3FAA852C"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0BC3CBD1"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(60.626.134)</w:t>
            </w:r>
          </w:p>
        </w:tc>
        <w:tc>
          <w:tcPr>
            <w:tcW w:w="1522" w:type="dxa"/>
            <w:tcBorders>
              <w:top w:val="nil"/>
              <w:left w:val="nil"/>
              <w:bottom w:val="nil"/>
              <w:right w:val="nil"/>
            </w:tcBorders>
            <w:shd w:val="clear" w:color="auto" w:fill="auto"/>
            <w:noWrap/>
            <w:vAlign w:val="center"/>
            <w:hideMark/>
          </w:tcPr>
          <w:p w14:paraId="716EDACD"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666" w:type="dxa"/>
            <w:tcBorders>
              <w:top w:val="nil"/>
              <w:left w:val="nil"/>
              <w:bottom w:val="nil"/>
              <w:right w:val="nil"/>
            </w:tcBorders>
            <w:shd w:val="clear" w:color="auto" w:fill="auto"/>
            <w:noWrap/>
            <w:vAlign w:val="bottom"/>
            <w:hideMark/>
          </w:tcPr>
          <w:p w14:paraId="44CCEE6C" w14:textId="77777777" w:rsidR="000C54C6" w:rsidRDefault="000C54C6">
            <w:pPr>
              <w:jc w:val="right"/>
              <w:rPr>
                <w:rFonts w:ascii="Calibri" w:hAnsi="Calibri" w:cs="Calibri"/>
                <w:color w:val="000000"/>
                <w:sz w:val="16"/>
                <w:szCs w:val="16"/>
              </w:rPr>
            </w:pPr>
          </w:p>
        </w:tc>
      </w:tr>
      <w:tr w:rsidR="000C54C6" w14:paraId="2A49C8FF" w14:textId="77777777" w:rsidTr="000C54C6">
        <w:trPr>
          <w:trHeight w:val="300"/>
        </w:trPr>
        <w:tc>
          <w:tcPr>
            <w:tcW w:w="3097" w:type="dxa"/>
            <w:tcBorders>
              <w:top w:val="nil"/>
              <w:left w:val="nil"/>
              <w:bottom w:val="nil"/>
              <w:right w:val="nil"/>
            </w:tcBorders>
            <w:shd w:val="clear" w:color="auto" w:fill="auto"/>
            <w:noWrap/>
            <w:vAlign w:val="center"/>
            <w:hideMark/>
          </w:tcPr>
          <w:p w14:paraId="25D1161D" w14:textId="77777777" w:rsidR="000C54C6" w:rsidRDefault="000C54C6">
            <w:pPr>
              <w:rPr>
                <w:rFonts w:ascii="Calibri" w:hAnsi="Calibri" w:cs="Calibri"/>
                <w:color w:val="000000"/>
                <w:sz w:val="16"/>
                <w:szCs w:val="16"/>
              </w:rPr>
            </w:pPr>
            <w:r>
              <w:rPr>
                <w:rFonts w:ascii="Calibri" w:hAnsi="Calibri" w:cs="Calibri"/>
                <w:color w:val="000000"/>
                <w:sz w:val="16"/>
                <w:szCs w:val="16"/>
              </w:rPr>
              <w:t xml:space="preserve">     FIOL - Ferrovia de Integração Oeste-Leste </w:t>
            </w:r>
          </w:p>
        </w:tc>
        <w:tc>
          <w:tcPr>
            <w:tcW w:w="1486" w:type="dxa"/>
            <w:tcBorders>
              <w:top w:val="nil"/>
              <w:left w:val="nil"/>
              <w:bottom w:val="nil"/>
              <w:right w:val="nil"/>
            </w:tcBorders>
            <w:shd w:val="clear" w:color="auto" w:fill="auto"/>
            <w:noWrap/>
            <w:vAlign w:val="center"/>
            <w:hideMark/>
          </w:tcPr>
          <w:p w14:paraId="614A0D02"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5.275.090.026 </w:t>
            </w:r>
          </w:p>
        </w:tc>
        <w:tc>
          <w:tcPr>
            <w:tcW w:w="1237" w:type="dxa"/>
            <w:tcBorders>
              <w:top w:val="nil"/>
              <w:left w:val="nil"/>
              <w:bottom w:val="nil"/>
              <w:right w:val="nil"/>
            </w:tcBorders>
            <w:shd w:val="clear" w:color="auto" w:fill="auto"/>
            <w:noWrap/>
            <w:vAlign w:val="center"/>
            <w:hideMark/>
          </w:tcPr>
          <w:p w14:paraId="70E1E196"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254.372.452 </w:t>
            </w:r>
          </w:p>
        </w:tc>
        <w:tc>
          <w:tcPr>
            <w:tcW w:w="1167" w:type="dxa"/>
            <w:tcBorders>
              <w:top w:val="nil"/>
              <w:left w:val="nil"/>
              <w:bottom w:val="nil"/>
              <w:right w:val="nil"/>
            </w:tcBorders>
            <w:shd w:val="clear" w:color="auto" w:fill="auto"/>
            <w:noWrap/>
            <w:vAlign w:val="center"/>
            <w:hideMark/>
          </w:tcPr>
          <w:p w14:paraId="24982BDC" w14:textId="3D43917D"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(163)</w:t>
            </w:r>
          </w:p>
        </w:tc>
        <w:tc>
          <w:tcPr>
            <w:tcW w:w="1345" w:type="dxa"/>
            <w:tcBorders>
              <w:top w:val="nil"/>
              <w:left w:val="nil"/>
              <w:bottom w:val="nil"/>
              <w:right w:val="nil"/>
            </w:tcBorders>
            <w:shd w:val="clear" w:color="auto" w:fill="auto"/>
            <w:noWrap/>
            <w:vAlign w:val="center"/>
            <w:hideMark/>
          </w:tcPr>
          <w:p w14:paraId="7CD74DD7"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(3.502.693.088)</w:t>
            </w:r>
          </w:p>
        </w:tc>
        <w:tc>
          <w:tcPr>
            <w:tcW w:w="1522" w:type="dxa"/>
            <w:tcBorders>
              <w:top w:val="nil"/>
              <w:left w:val="nil"/>
              <w:bottom w:val="nil"/>
              <w:right w:val="nil"/>
            </w:tcBorders>
            <w:shd w:val="clear" w:color="auto" w:fill="auto"/>
            <w:noWrap/>
            <w:vAlign w:val="center"/>
            <w:hideMark/>
          </w:tcPr>
          <w:p w14:paraId="6AD236C6"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2.026.769.227 </w:t>
            </w:r>
          </w:p>
        </w:tc>
        <w:tc>
          <w:tcPr>
            <w:tcW w:w="666" w:type="dxa"/>
            <w:tcBorders>
              <w:top w:val="nil"/>
              <w:left w:val="nil"/>
              <w:bottom w:val="nil"/>
              <w:right w:val="nil"/>
            </w:tcBorders>
            <w:shd w:val="clear" w:color="auto" w:fill="auto"/>
            <w:noWrap/>
            <w:vAlign w:val="bottom"/>
            <w:hideMark/>
          </w:tcPr>
          <w:p w14:paraId="1D8C4BEF" w14:textId="77777777" w:rsidR="000C54C6" w:rsidRDefault="000C54C6">
            <w:pPr>
              <w:jc w:val="right"/>
              <w:rPr>
                <w:rFonts w:ascii="Calibri" w:hAnsi="Calibri" w:cs="Calibri"/>
                <w:color w:val="000000"/>
                <w:sz w:val="16"/>
                <w:szCs w:val="16"/>
              </w:rPr>
            </w:pPr>
          </w:p>
        </w:tc>
      </w:tr>
      <w:tr w:rsidR="000C54C6" w14:paraId="0697E2C4" w14:textId="77777777" w:rsidTr="000C54C6">
        <w:trPr>
          <w:trHeight w:val="300"/>
        </w:trPr>
        <w:tc>
          <w:tcPr>
            <w:tcW w:w="3097" w:type="dxa"/>
            <w:tcBorders>
              <w:top w:val="nil"/>
              <w:left w:val="nil"/>
              <w:bottom w:val="nil"/>
              <w:right w:val="nil"/>
            </w:tcBorders>
            <w:shd w:val="clear" w:color="auto" w:fill="auto"/>
            <w:noWrap/>
            <w:vAlign w:val="center"/>
            <w:hideMark/>
          </w:tcPr>
          <w:p w14:paraId="6BB0A8D0" w14:textId="77777777" w:rsidR="000C54C6" w:rsidRDefault="000C54C6">
            <w:pPr>
              <w:rPr>
                <w:rFonts w:ascii="Calibri" w:hAnsi="Calibri" w:cs="Calibri"/>
                <w:color w:val="000000"/>
                <w:sz w:val="16"/>
                <w:szCs w:val="16"/>
              </w:rPr>
            </w:pPr>
            <w:r>
              <w:rPr>
                <w:rFonts w:ascii="Calibri" w:hAnsi="Calibri" w:cs="Calibri"/>
                <w:color w:val="000000"/>
                <w:sz w:val="16"/>
                <w:szCs w:val="16"/>
              </w:rPr>
              <w:t>Ativos de Concessão</w:t>
            </w:r>
          </w:p>
        </w:tc>
        <w:tc>
          <w:tcPr>
            <w:tcW w:w="1486" w:type="dxa"/>
            <w:tcBorders>
              <w:top w:val="nil"/>
              <w:left w:val="nil"/>
              <w:bottom w:val="nil"/>
              <w:right w:val="nil"/>
            </w:tcBorders>
            <w:shd w:val="clear" w:color="auto" w:fill="auto"/>
            <w:noWrap/>
            <w:vAlign w:val="center"/>
            <w:hideMark/>
          </w:tcPr>
          <w:p w14:paraId="73492D05"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12.230.673.128 </w:t>
            </w:r>
          </w:p>
        </w:tc>
        <w:tc>
          <w:tcPr>
            <w:tcW w:w="1237" w:type="dxa"/>
            <w:tcBorders>
              <w:top w:val="nil"/>
              <w:left w:val="nil"/>
              <w:bottom w:val="nil"/>
              <w:right w:val="nil"/>
            </w:tcBorders>
            <w:shd w:val="clear" w:color="auto" w:fill="auto"/>
            <w:noWrap/>
            <w:vAlign w:val="center"/>
            <w:hideMark/>
          </w:tcPr>
          <w:p w14:paraId="59510397" w14:textId="4602956A"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167" w:type="dxa"/>
            <w:tcBorders>
              <w:top w:val="nil"/>
              <w:left w:val="nil"/>
              <w:bottom w:val="nil"/>
              <w:right w:val="nil"/>
            </w:tcBorders>
            <w:shd w:val="clear" w:color="auto" w:fill="auto"/>
            <w:noWrap/>
            <w:vAlign w:val="center"/>
            <w:hideMark/>
          </w:tcPr>
          <w:p w14:paraId="14038B8E" w14:textId="0E75BF81"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(2.151)</w:t>
            </w:r>
          </w:p>
        </w:tc>
        <w:tc>
          <w:tcPr>
            <w:tcW w:w="1345" w:type="dxa"/>
            <w:tcBorders>
              <w:top w:val="nil"/>
              <w:left w:val="nil"/>
              <w:bottom w:val="nil"/>
              <w:right w:val="nil"/>
            </w:tcBorders>
            <w:shd w:val="clear" w:color="auto" w:fill="auto"/>
            <w:noWrap/>
            <w:vAlign w:val="center"/>
            <w:hideMark/>
          </w:tcPr>
          <w:p w14:paraId="670D75F0"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3.566.816.898 </w:t>
            </w:r>
          </w:p>
        </w:tc>
        <w:tc>
          <w:tcPr>
            <w:tcW w:w="1522" w:type="dxa"/>
            <w:tcBorders>
              <w:top w:val="nil"/>
              <w:left w:val="nil"/>
              <w:bottom w:val="nil"/>
              <w:right w:val="nil"/>
            </w:tcBorders>
            <w:shd w:val="clear" w:color="auto" w:fill="auto"/>
            <w:noWrap/>
            <w:vAlign w:val="center"/>
            <w:hideMark/>
          </w:tcPr>
          <w:p w14:paraId="0A72709A"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15.797.487.875 </w:t>
            </w:r>
          </w:p>
        </w:tc>
        <w:tc>
          <w:tcPr>
            <w:tcW w:w="666" w:type="dxa"/>
            <w:tcBorders>
              <w:top w:val="nil"/>
              <w:left w:val="nil"/>
              <w:bottom w:val="nil"/>
              <w:right w:val="nil"/>
            </w:tcBorders>
            <w:shd w:val="clear" w:color="auto" w:fill="auto"/>
            <w:noWrap/>
            <w:vAlign w:val="bottom"/>
            <w:hideMark/>
          </w:tcPr>
          <w:p w14:paraId="63567373" w14:textId="77777777" w:rsidR="000C54C6" w:rsidRDefault="000C54C6">
            <w:pPr>
              <w:jc w:val="right"/>
              <w:rPr>
                <w:rFonts w:ascii="Calibri" w:hAnsi="Calibri" w:cs="Calibri"/>
                <w:color w:val="000000"/>
                <w:sz w:val="16"/>
                <w:szCs w:val="16"/>
              </w:rPr>
            </w:pPr>
          </w:p>
        </w:tc>
      </w:tr>
      <w:tr w:rsidR="000C54C6" w14:paraId="58616F36" w14:textId="77777777" w:rsidTr="000C54C6">
        <w:trPr>
          <w:trHeight w:val="300"/>
        </w:trPr>
        <w:tc>
          <w:tcPr>
            <w:tcW w:w="3097" w:type="dxa"/>
            <w:tcBorders>
              <w:top w:val="nil"/>
              <w:left w:val="nil"/>
              <w:bottom w:val="nil"/>
              <w:right w:val="nil"/>
            </w:tcBorders>
            <w:shd w:val="clear" w:color="auto" w:fill="auto"/>
            <w:noWrap/>
            <w:vAlign w:val="center"/>
            <w:hideMark/>
          </w:tcPr>
          <w:p w14:paraId="0BE32078" w14:textId="77777777" w:rsidR="000C54C6" w:rsidRDefault="000C54C6">
            <w:pPr>
              <w:rPr>
                <w:rFonts w:ascii="Calibri" w:hAnsi="Calibri" w:cs="Calibri"/>
                <w:color w:val="000000"/>
                <w:sz w:val="16"/>
                <w:szCs w:val="16"/>
              </w:rPr>
            </w:pPr>
            <w:r>
              <w:rPr>
                <w:rFonts w:ascii="Calibri" w:hAnsi="Calibri" w:cs="Calibri"/>
                <w:color w:val="000000"/>
                <w:sz w:val="16"/>
                <w:szCs w:val="16"/>
              </w:rPr>
              <w:t xml:space="preserve">    FNS - Açailândia/MA - Palmas/TO</w:t>
            </w:r>
          </w:p>
        </w:tc>
        <w:tc>
          <w:tcPr>
            <w:tcW w:w="1486" w:type="dxa"/>
            <w:tcBorders>
              <w:top w:val="nil"/>
              <w:left w:val="nil"/>
              <w:bottom w:val="nil"/>
              <w:right w:val="nil"/>
            </w:tcBorders>
            <w:shd w:val="clear" w:color="auto" w:fill="auto"/>
            <w:noWrap/>
            <w:vAlign w:val="center"/>
            <w:hideMark/>
          </w:tcPr>
          <w:p w14:paraId="236155F7"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2.606.984.696 </w:t>
            </w:r>
          </w:p>
        </w:tc>
        <w:tc>
          <w:tcPr>
            <w:tcW w:w="1237" w:type="dxa"/>
            <w:tcBorders>
              <w:top w:val="nil"/>
              <w:left w:val="nil"/>
              <w:bottom w:val="nil"/>
              <w:right w:val="nil"/>
            </w:tcBorders>
            <w:shd w:val="clear" w:color="auto" w:fill="auto"/>
            <w:noWrap/>
            <w:vAlign w:val="center"/>
            <w:hideMark/>
          </w:tcPr>
          <w:p w14:paraId="682BAB50" w14:textId="6D39249D"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167" w:type="dxa"/>
            <w:tcBorders>
              <w:top w:val="nil"/>
              <w:left w:val="nil"/>
              <w:bottom w:val="nil"/>
              <w:right w:val="nil"/>
            </w:tcBorders>
            <w:shd w:val="clear" w:color="auto" w:fill="auto"/>
            <w:noWrap/>
            <w:vAlign w:val="center"/>
            <w:hideMark/>
          </w:tcPr>
          <w:p w14:paraId="6E57F9F2" w14:textId="5D13E83A"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401CA99B" w14:textId="0356C719"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283.968 </w:t>
            </w:r>
          </w:p>
        </w:tc>
        <w:tc>
          <w:tcPr>
            <w:tcW w:w="1522" w:type="dxa"/>
            <w:tcBorders>
              <w:top w:val="nil"/>
              <w:left w:val="nil"/>
              <w:bottom w:val="nil"/>
              <w:right w:val="nil"/>
            </w:tcBorders>
            <w:shd w:val="clear" w:color="auto" w:fill="auto"/>
            <w:noWrap/>
            <w:vAlign w:val="center"/>
            <w:hideMark/>
          </w:tcPr>
          <w:p w14:paraId="26A38058"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2.607.268.664 </w:t>
            </w:r>
          </w:p>
        </w:tc>
        <w:tc>
          <w:tcPr>
            <w:tcW w:w="666" w:type="dxa"/>
            <w:tcBorders>
              <w:top w:val="nil"/>
              <w:left w:val="nil"/>
              <w:bottom w:val="nil"/>
              <w:right w:val="nil"/>
            </w:tcBorders>
            <w:shd w:val="clear" w:color="auto" w:fill="auto"/>
            <w:noWrap/>
            <w:vAlign w:val="center"/>
            <w:hideMark/>
          </w:tcPr>
          <w:p w14:paraId="697F6C0F"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4 e 2,86</w:t>
            </w:r>
          </w:p>
        </w:tc>
      </w:tr>
      <w:tr w:rsidR="000C54C6" w14:paraId="2D806E03" w14:textId="77777777" w:rsidTr="000C54C6">
        <w:trPr>
          <w:trHeight w:val="300"/>
        </w:trPr>
        <w:tc>
          <w:tcPr>
            <w:tcW w:w="3097" w:type="dxa"/>
            <w:tcBorders>
              <w:top w:val="nil"/>
              <w:left w:val="nil"/>
              <w:bottom w:val="nil"/>
              <w:right w:val="nil"/>
            </w:tcBorders>
            <w:shd w:val="clear" w:color="auto" w:fill="auto"/>
            <w:noWrap/>
            <w:vAlign w:val="center"/>
            <w:hideMark/>
          </w:tcPr>
          <w:p w14:paraId="2CF45CCF" w14:textId="77777777" w:rsidR="000C54C6" w:rsidRDefault="000C54C6">
            <w:pPr>
              <w:rPr>
                <w:rFonts w:ascii="Calibri" w:hAnsi="Calibri" w:cs="Calibri"/>
                <w:color w:val="000000"/>
                <w:sz w:val="16"/>
                <w:szCs w:val="16"/>
              </w:rPr>
            </w:pPr>
            <w:r>
              <w:rPr>
                <w:rFonts w:ascii="Calibri" w:hAnsi="Calibri" w:cs="Calibri"/>
                <w:color w:val="000000"/>
                <w:sz w:val="16"/>
                <w:szCs w:val="16"/>
              </w:rPr>
              <w:t xml:space="preserve">    FNS - Porto Nacional/TO - Anápolis/GO</w:t>
            </w:r>
          </w:p>
        </w:tc>
        <w:tc>
          <w:tcPr>
            <w:tcW w:w="1486" w:type="dxa"/>
            <w:tcBorders>
              <w:top w:val="nil"/>
              <w:left w:val="nil"/>
              <w:bottom w:val="nil"/>
              <w:right w:val="nil"/>
            </w:tcBorders>
            <w:shd w:val="clear" w:color="auto" w:fill="auto"/>
            <w:noWrap/>
            <w:vAlign w:val="center"/>
            <w:hideMark/>
          </w:tcPr>
          <w:p w14:paraId="35994425"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4.928.867.968 </w:t>
            </w:r>
          </w:p>
        </w:tc>
        <w:tc>
          <w:tcPr>
            <w:tcW w:w="1237" w:type="dxa"/>
            <w:tcBorders>
              <w:top w:val="nil"/>
              <w:left w:val="nil"/>
              <w:bottom w:val="nil"/>
              <w:right w:val="nil"/>
            </w:tcBorders>
            <w:shd w:val="clear" w:color="auto" w:fill="auto"/>
            <w:noWrap/>
            <w:vAlign w:val="center"/>
            <w:hideMark/>
          </w:tcPr>
          <w:p w14:paraId="53D81C34" w14:textId="6EBAC145"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167" w:type="dxa"/>
            <w:tcBorders>
              <w:top w:val="nil"/>
              <w:left w:val="nil"/>
              <w:bottom w:val="nil"/>
              <w:right w:val="nil"/>
            </w:tcBorders>
            <w:shd w:val="clear" w:color="auto" w:fill="auto"/>
            <w:noWrap/>
            <w:vAlign w:val="center"/>
            <w:hideMark/>
          </w:tcPr>
          <w:p w14:paraId="24BECBC9" w14:textId="38F9540E"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469CB024" w14:textId="6E43797D"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522" w:type="dxa"/>
            <w:tcBorders>
              <w:top w:val="nil"/>
              <w:left w:val="nil"/>
              <w:bottom w:val="nil"/>
              <w:right w:val="nil"/>
            </w:tcBorders>
            <w:shd w:val="clear" w:color="auto" w:fill="auto"/>
            <w:noWrap/>
            <w:vAlign w:val="center"/>
            <w:hideMark/>
          </w:tcPr>
          <w:p w14:paraId="041E31EB"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4.928.867.968 </w:t>
            </w:r>
          </w:p>
        </w:tc>
        <w:tc>
          <w:tcPr>
            <w:tcW w:w="666" w:type="dxa"/>
            <w:tcBorders>
              <w:top w:val="nil"/>
              <w:left w:val="nil"/>
              <w:bottom w:val="nil"/>
              <w:right w:val="nil"/>
            </w:tcBorders>
            <w:shd w:val="clear" w:color="auto" w:fill="auto"/>
            <w:noWrap/>
            <w:vAlign w:val="center"/>
            <w:hideMark/>
          </w:tcPr>
          <w:p w14:paraId="156DB9DF"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4 e 2,86</w:t>
            </w:r>
          </w:p>
        </w:tc>
      </w:tr>
      <w:tr w:rsidR="000C54C6" w14:paraId="2C1B8278" w14:textId="77777777" w:rsidTr="000C54C6">
        <w:trPr>
          <w:trHeight w:val="300"/>
        </w:trPr>
        <w:tc>
          <w:tcPr>
            <w:tcW w:w="3097" w:type="dxa"/>
            <w:tcBorders>
              <w:top w:val="nil"/>
              <w:left w:val="nil"/>
              <w:bottom w:val="nil"/>
              <w:right w:val="nil"/>
            </w:tcBorders>
            <w:shd w:val="clear" w:color="auto" w:fill="auto"/>
            <w:noWrap/>
            <w:vAlign w:val="center"/>
            <w:hideMark/>
          </w:tcPr>
          <w:p w14:paraId="3309464D" w14:textId="77777777" w:rsidR="000C54C6" w:rsidRDefault="000C54C6">
            <w:pPr>
              <w:rPr>
                <w:rFonts w:ascii="Calibri" w:hAnsi="Calibri" w:cs="Calibri"/>
                <w:color w:val="000000"/>
                <w:sz w:val="16"/>
                <w:szCs w:val="16"/>
              </w:rPr>
            </w:pPr>
            <w:r>
              <w:rPr>
                <w:rFonts w:ascii="Calibri" w:hAnsi="Calibri" w:cs="Calibri"/>
                <w:color w:val="000000"/>
                <w:sz w:val="16"/>
                <w:szCs w:val="16"/>
              </w:rPr>
              <w:t xml:space="preserve">    FNS - Ouro Verde/GO - Estrela D'Oeste/SP</w:t>
            </w:r>
          </w:p>
        </w:tc>
        <w:tc>
          <w:tcPr>
            <w:tcW w:w="1486" w:type="dxa"/>
            <w:tcBorders>
              <w:top w:val="nil"/>
              <w:left w:val="nil"/>
              <w:bottom w:val="nil"/>
              <w:right w:val="nil"/>
            </w:tcBorders>
            <w:shd w:val="clear" w:color="auto" w:fill="auto"/>
            <w:noWrap/>
            <w:vAlign w:val="center"/>
            <w:hideMark/>
          </w:tcPr>
          <w:p w14:paraId="05DAD051"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4.685.811.003 </w:t>
            </w:r>
          </w:p>
        </w:tc>
        <w:tc>
          <w:tcPr>
            <w:tcW w:w="1237" w:type="dxa"/>
            <w:tcBorders>
              <w:top w:val="nil"/>
              <w:left w:val="nil"/>
              <w:bottom w:val="nil"/>
              <w:right w:val="nil"/>
            </w:tcBorders>
            <w:shd w:val="clear" w:color="auto" w:fill="auto"/>
            <w:noWrap/>
            <w:vAlign w:val="center"/>
            <w:hideMark/>
          </w:tcPr>
          <w:p w14:paraId="36766CD2" w14:textId="071952C8"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167" w:type="dxa"/>
            <w:tcBorders>
              <w:top w:val="nil"/>
              <w:left w:val="nil"/>
              <w:bottom w:val="nil"/>
              <w:right w:val="nil"/>
            </w:tcBorders>
            <w:shd w:val="clear" w:color="auto" w:fill="auto"/>
            <w:noWrap/>
            <w:vAlign w:val="center"/>
            <w:hideMark/>
          </w:tcPr>
          <w:p w14:paraId="7839935F" w14:textId="41D92446"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(2.151)</w:t>
            </w:r>
          </w:p>
        </w:tc>
        <w:tc>
          <w:tcPr>
            <w:tcW w:w="1345" w:type="dxa"/>
            <w:tcBorders>
              <w:top w:val="nil"/>
              <w:left w:val="nil"/>
              <w:bottom w:val="nil"/>
              <w:right w:val="nil"/>
            </w:tcBorders>
            <w:shd w:val="clear" w:color="auto" w:fill="auto"/>
            <w:noWrap/>
            <w:vAlign w:val="center"/>
            <w:hideMark/>
          </w:tcPr>
          <w:p w14:paraId="53D7909B"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60.626.134 </w:t>
            </w:r>
          </w:p>
        </w:tc>
        <w:tc>
          <w:tcPr>
            <w:tcW w:w="1522" w:type="dxa"/>
            <w:tcBorders>
              <w:top w:val="nil"/>
              <w:left w:val="nil"/>
              <w:bottom w:val="nil"/>
              <w:right w:val="nil"/>
            </w:tcBorders>
            <w:shd w:val="clear" w:color="auto" w:fill="auto"/>
            <w:noWrap/>
            <w:vAlign w:val="center"/>
            <w:hideMark/>
          </w:tcPr>
          <w:p w14:paraId="0FD37622"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4.746.434.986 </w:t>
            </w:r>
          </w:p>
        </w:tc>
        <w:tc>
          <w:tcPr>
            <w:tcW w:w="666" w:type="dxa"/>
            <w:tcBorders>
              <w:top w:val="nil"/>
              <w:left w:val="nil"/>
              <w:bottom w:val="nil"/>
              <w:right w:val="nil"/>
            </w:tcBorders>
            <w:shd w:val="clear" w:color="auto" w:fill="auto"/>
            <w:noWrap/>
            <w:vAlign w:val="bottom"/>
            <w:hideMark/>
          </w:tcPr>
          <w:p w14:paraId="3E67B870" w14:textId="77777777" w:rsidR="000C54C6" w:rsidRDefault="000C54C6">
            <w:pPr>
              <w:jc w:val="right"/>
              <w:rPr>
                <w:rFonts w:ascii="Calibri" w:hAnsi="Calibri" w:cs="Calibri"/>
                <w:color w:val="000000"/>
                <w:sz w:val="16"/>
                <w:szCs w:val="16"/>
              </w:rPr>
            </w:pPr>
          </w:p>
        </w:tc>
      </w:tr>
      <w:tr w:rsidR="000C54C6" w14:paraId="705C90A2" w14:textId="77777777" w:rsidTr="000C54C6">
        <w:trPr>
          <w:trHeight w:val="300"/>
        </w:trPr>
        <w:tc>
          <w:tcPr>
            <w:tcW w:w="3097" w:type="dxa"/>
            <w:tcBorders>
              <w:top w:val="nil"/>
              <w:left w:val="nil"/>
              <w:bottom w:val="nil"/>
              <w:right w:val="nil"/>
            </w:tcBorders>
            <w:shd w:val="clear" w:color="auto" w:fill="auto"/>
            <w:noWrap/>
            <w:vAlign w:val="center"/>
            <w:hideMark/>
          </w:tcPr>
          <w:p w14:paraId="36691102" w14:textId="77777777" w:rsidR="000C54C6" w:rsidRDefault="000C54C6">
            <w:pPr>
              <w:rPr>
                <w:rFonts w:ascii="Calibri" w:hAnsi="Calibri" w:cs="Calibri"/>
                <w:color w:val="000000"/>
                <w:sz w:val="16"/>
                <w:szCs w:val="16"/>
              </w:rPr>
            </w:pPr>
            <w:r>
              <w:rPr>
                <w:rFonts w:ascii="Calibri" w:hAnsi="Calibri" w:cs="Calibri"/>
                <w:color w:val="000000"/>
                <w:sz w:val="16"/>
                <w:szCs w:val="16"/>
              </w:rPr>
              <w:t xml:space="preserve">    FIOL - Trecho I</w:t>
            </w:r>
          </w:p>
        </w:tc>
        <w:tc>
          <w:tcPr>
            <w:tcW w:w="1486" w:type="dxa"/>
            <w:tcBorders>
              <w:top w:val="nil"/>
              <w:left w:val="nil"/>
              <w:bottom w:val="nil"/>
              <w:right w:val="nil"/>
            </w:tcBorders>
            <w:shd w:val="clear" w:color="auto" w:fill="auto"/>
            <w:noWrap/>
            <w:vAlign w:val="center"/>
            <w:hideMark/>
          </w:tcPr>
          <w:p w14:paraId="77BE4447" w14:textId="3BB9F411"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237" w:type="dxa"/>
            <w:tcBorders>
              <w:top w:val="nil"/>
              <w:left w:val="nil"/>
              <w:bottom w:val="nil"/>
              <w:right w:val="nil"/>
            </w:tcBorders>
            <w:shd w:val="clear" w:color="auto" w:fill="auto"/>
            <w:noWrap/>
            <w:vAlign w:val="center"/>
            <w:hideMark/>
          </w:tcPr>
          <w:p w14:paraId="594E4DBB" w14:textId="56CC2F10"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167" w:type="dxa"/>
            <w:tcBorders>
              <w:top w:val="nil"/>
              <w:left w:val="nil"/>
              <w:bottom w:val="nil"/>
              <w:right w:val="nil"/>
            </w:tcBorders>
            <w:shd w:val="clear" w:color="auto" w:fill="auto"/>
            <w:noWrap/>
            <w:vAlign w:val="center"/>
            <w:hideMark/>
          </w:tcPr>
          <w:p w14:paraId="2C08D52D" w14:textId="2A2A358A"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69E6FBCF"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3.505.906.796 </w:t>
            </w:r>
          </w:p>
        </w:tc>
        <w:tc>
          <w:tcPr>
            <w:tcW w:w="1522" w:type="dxa"/>
            <w:tcBorders>
              <w:top w:val="nil"/>
              <w:left w:val="nil"/>
              <w:bottom w:val="nil"/>
              <w:right w:val="nil"/>
            </w:tcBorders>
            <w:shd w:val="clear" w:color="auto" w:fill="auto"/>
            <w:noWrap/>
            <w:vAlign w:val="center"/>
            <w:hideMark/>
          </w:tcPr>
          <w:p w14:paraId="5D571395"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3.505.906.796 </w:t>
            </w:r>
          </w:p>
        </w:tc>
        <w:tc>
          <w:tcPr>
            <w:tcW w:w="666" w:type="dxa"/>
            <w:tcBorders>
              <w:top w:val="nil"/>
              <w:left w:val="nil"/>
              <w:bottom w:val="nil"/>
              <w:right w:val="nil"/>
            </w:tcBorders>
            <w:shd w:val="clear" w:color="auto" w:fill="auto"/>
            <w:noWrap/>
            <w:vAlign w:val="bottom"/>
            <w:hideMark/>
          </w:tcPr>
          <w:p w14:paraId="70971DBB" w14:textId="77777777" w:rsidR="000C54C6" w:rsidRDefault="000C54C6">
            <w:pPr>
              <w:jc w:val="right"/>
              <w:rPr>
                <w:rFonts w:ascii="Calibri" w:hAnsi="Calibri" w:cs="Calibri"/>
                <w:color w:val="000000"/>
                <w:sz w:val="16"/>
                <w:szCs w:val="16"/>
              </w:rPr>
            </w:pPr>
          </w:p>
        </w:tc>
      </w:tr>
      <w:tr w:rsidR="000C54C6" w14:paraId="6BD96135" w14:textId="77777777" w:rsidTr="000C54C6">
        <w:trPr>
          <w:trHeight w:val="300"/>
        </w:trPr>
        <w:tc>
          <w:tcPr>
            <w:tcW w:w="3097" w:type="dxa"/>
            <w:tcBorders>
              <w:top w:val="nil"/>
              <w:left w:val="nil"/>
              <w:bottom w:val="nil"/>
              <w:right w:val="nil"/>
            </w:tcBorders>
            <w:shd w:val="clear" w:color="auto" w:fill="auto"/>
            <w:noWrap/>
            <w:vAlign w:val="center"/>
            <w:hideMark/>
          </w:tcPr>
          <w:p w14:paraId="2A2580E0" w14:textId="77777777" w:rsidR="000C54C6" w:rsidRDefault="000C54C6">
            <w:pPr>
              <w:rPr>
                <w:rFonts w:ascii="Calibri" w:hAnsi="Calibri" w:cs="Calibri"/>
                <w:color w:val="000000"/>
                <w:sz w:val="16"/>
                <w:szCs w:val="16"/>
              </w:rPr>
            </w:pPr>
            <w:r>
              <w:rPr>
                <w:rFonts w:ascii="Calibri" w:hAnsi="Calibri" w:cs="Calibri"/>
                <w:color w:val="000000"/>
                <w:sz w:val="16"/>
                <w:szCs w:val="16"/>
              </w:rPr>
              <w:t xml:space="preserve">    Pátio Porto Franco</w:t>
            </w:r>
          </w:p>
        </w:tc>
        <w:tc>
          <w:tcPr>
            <w:tcW w:w="1486" w:type="dxa"/>
            <w:tcBorders>
              <w:top w:val="nil"/>
              <w:left w:val="nil"/>
              <w:bottom w:val="nil"/>
              <w:right w:val="nil"/>
            </w:tcBorders>
            <w:shd w:val="clear" w:color="auto" w:fill="auto"/>
            <w:noWrap/>
            <w:vAlign w:val="center"/>
            <w:hideMark/>
          </w:tcPr>
          <w:p w14:paraId="7BCDEC1C" w14:textId="7AC007E3"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9.009.461 </w:t>
            </w:r>
          </w:p>
        </w:tc>
        <w:tc>
          <w:tcPr>
            <w:tcW w:w="1237" w:type="dxa"/>
            <w:tcBorders>
              <w:top w:val="nil"/>
              <w:left w:val="nil"/>
              <w:bottom w:val="nil"/>
              <w:right w:val="nil"/>
            </w:tcBorders>
            <w:shd w:val="clear" w:color="auto" w:fill="auto"/>
            <w:noWrap/>
            <w:vAlign w:val="center"/>
            <w:hideMark/>
          </w:tcPr>
          <w:p w14:paraId="25E7ED1A" w14:textId="55DDCCA4"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167" w:type="dxa"/>
            <w:tcBorders>
              <w:top w:val="nil"/>
              <w:left w:val="nil"/>
              <w:bottom w:val="nil"/>
              <w:right w:val="nil"/>
            </w:tcBorders>
            <w:shd w:val="clear" w:color="auto" w:fill="auto"/>
            <w:noWrap/>
            <w:vAlign w:val="center"/>
            <w:hideMark/>
          </w:tcPr>
          <w:p w14:paraId="4D7FCCE5" w14:textId="655C9744"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3AE44DD9" w14:textId="33107B2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522" w:type="dxa"/>
            <w:tcBorders>
              <w:top w:val="nil"/>
              <w:left w:val="nil"/>
              <w:bottom w:val="nil"/>
              <w:right w:val="nil"/>
            </w:tcBorders>
            <w:shd w:val="clear" w:color="auto" w:fill="auto"/>
            <w:noWrap/>
            <w:vAlign w:val="center"/>
            <w:hideMark/>
          </w:tcPr>
          <w:p w14:paraId="638B63CF"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9.009.461 </w:t>
            </w:r>
          </w:p>
        </w:tc>
        <w:tc>
          <w:tcPr>
            <w:tcW w:w="666" w:type="dxa"/>
            <w:tcBorders>
              <w:top w:val="nil"/>
              <w:left w:val="nil"/>
              <w:bottom w:val="nil"/>
              <w:right w:val="nil"/>
            </w:tcBorders>
            <w:shd w:val="clear" w:color="auto" w:fill="auto"/>
            <w:noWrap/>
            <w:vAlign w:val="center"/>
            <w:hideMark/>
          </w:tcPr>
          <w:p w14:paraId="7580DE34"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5 a 30</w:t>
            </w:r>
          </w:p>
        </w:tc>
      </w:tr>
      <w:tr w:rsidR="000C54C6" w14:paraId="0BC82455" w14:textId="77777777" w:rsidTr="000C54C6">
        <w:trPr>
          <w:trHeight w:val="300"/>
        </w:trPr>
        <w:tc>
          <w:tcPr>
            <w:tcW w:w="3097" w:type="dxa"/>
            <w:tcBorders>
              <w:top w:val="nil"/>
              <w:left w:val="nil"/>
              <w:bottom w:val="nil"/>
              <w:right w:val="nil"/>
            </w:tcBorders>
            <w:shd w:val="clear" w:color="auto" w:fill="auto"/>
            <w:noWrap/>
            <w:vAlign w:val="center"/>
            <w:hideMark/>
          </w:tcPr>
          <w:p w14:paraId="0D7312E3" w14:textId="77777777" w:rsidR="000C54C6" w:rsidRDefault="000C54C6">
            <w:pPr>
              <w:rPr>
                <w:rFonts w:ascii="Calibri" w:hAnsi="Calibri" w:cs="Calibri"/>
                <w:color w:val="000000"/>
                <w:sz w:val="16"/>
                <w:szCs w:val="16"/>
              </w:rPr>
            </w:pPr>
            <w:r>
              <w:rPr>
                <w:rFonts w:ascii="Calibri" w:hAnsi="Calibri" w:cs="Calibri"/>
                <w:color w:val="000000"/>
                <w:sz w:val="16"/>
                <w:szCs w:val="16"/>
              </w:rPr>
              <w:t>CMT Lei 8.200/91</w:t>
            </w:r>
          </w:p>
        </w:tc>
        <w:tc>
          <w:tcPr>
            <w:tcW w:w="1486" w:type="dxa"/>
            <w:tcBorders>
              <w:top w:val="nil"/>
              <w:left w:val="nil"/>
              <w:bottom w:val="nil"/>
              <w:right w:val="nil"/>
            </w:tcBorders>
            <w:shd w:val="clear" w:color="auto" w:fill="auto"/>
            <w:noWrap/>
            <w:vAlign w:val="center"/>
            <w:hideMark/>
          </w:tcPr>
          <w:p w14:paraId="12A83FD8"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283.967 </w:t>
            </w:r>
          </w:p>
        </w:tc>
        <w:tc>
          <w:tcPr>
            <w:tcW w:w="1237" w:type="dxa"/>
            <w:tcBorders>
              <w:top w:val="nil"/>
              <w:left w:val="nil"/>
              <w:bottom w:val="nil"/>
              <w:right w:val="nil"/>
            </w:tcBorders>
            <w:shd w:val="clear" w:color="auto" w:fill="auto"/>
            <w:noWrap/>
            <w:vAlign w:val="center"/>
            <w:hideMark/>
          </w:tcPr>
          <w:p w14:paraId="5BA60FD8" w14:textId="20B23BEC"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167" w:type="dxa"/>
            <w:tcBorders>
              <w:top w:val="nil"/>
              <w:left w:val="nil"/>
              <w:bottom w:val="nil"/>
              <w:right w:val="nil"/>
            </w:tcBorders>
            <w:shd w:val="clear" w:color="auto" w:fill="auto"/>
            <w:noWrap/>
            <w:vAlign w:val="center"/>
            <w:hideMark/>
          </w:tcPr>
          <w:p w14:paraId="0CBAAB29" w14:textId="6770482E"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704507A1" w14:textId="36A6E04E"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(283.967)</w:t>
            </w:r>
          </w:p>
        </w:tc>
        <w:tc>
          <w:tcPr>
            <w:tcW w:w="1522" w:type="dxa"/>
            <w:tcBorders>
              <w:top w:val="nil"/>
              <w:left w:val="nil"/>
              <w:bottom w:val="nil"/>
              <w:right w:val="nil"/>
            </w:tcBorders>
            <w:shd w:val="clear" w:color="auto" w:fill="auto"/>
            <w:noWrap/>
            <w:vAlign w:val="center"/>
            <w:hideMark/>
          </w:tcPr>
          <w:p w14:paraId="23428D1F" w14:textId="2B6443CD"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666" w:type="dxa"/>
            <w:tcBorders>
              <w:top w:val="nil"/>
              <w:left w:val="nil"/>
              <w:bottom w:val="nil"/>
              <w:right w:val="nil"/>
            </w:tcBorders>
            <w:shd w:val="clear" w:color="auto" w:fill="auto"/>
            <w:noWrap/>
            <w:vAlign w:val="bottom"/>
            <w:hideMark/>
          </w:tcPr>
          <w:p w14:paraId="4B2CABD0" w14:textId="77777777" w:rsidR="000C54C6" w:rsidRDefault="000C54C6">
            <w:pPr>
              <w:jc w:val="right"/>
              <w:rPr>
                <w:rFonts w:ascii="Calibri" w:hAnsi="Calibri" w:cs="Calibri"/>
                <w:color w:val="000000"/>
                <w:sz w:val="16"/>
                <w:szCs w:val="16"/>
              </w:rPr>
            </w:pPr>
          </w:p>
        </w:tc>
      </w:tr>
      <w:tr w:rsidR="000C54C6" w14:paraId="3E12AB7B" w14:textId="77777777" w:rsidTr="000C54C6">
        <w:trPr>
          <w:trHeight w:val="75"/>
        </w:trPr>
        <w:tc>
          <w:tcPr>
            <w:tcW w:w="3097" w:type="dxa"/>
            <w:tcBorders>
              <w:top w:val="nil"/>
              <w:left w:val="nil"/>
              <w:bottom w:val="nil"/>
              <w:right w:val="nil"/>
            </w:tcBorders>
            <w:shd w:val="clear" w:color="auto" w:fill="auto"/>
            <w:noWrap/>
            <w:vAlign w:val="bottom"/>
            <w:hideMark/>
          </w:tcPr>
          <w:p w14:paraId="18267539" w14:textId="77777777" w:rsidR="000C54C6" w:rsidRDefault="000C54C6">
            <w:pPr>
              <w:rPr>
                <w:sz w:val="20"/>
                <w:szCs w:val="20"/>
              </w:rPr>
            </w:pPr>
          </w:p>
        </w:tc>
        <w:tc>
          <w:tcPr>
            <w:tcW w:w="1486" w:type="dxa"/>
            <w:tcBorders>
              <w:top w:val="nil"/>
              <w:left w:val="nil"/>
              <w:bottom w:val="nil"/>
              <w:right w:val="nil"/>
            </w:tcBorders>
            <w:shd w:val="clear" w:color="auto" w:fill="auto"/>
            <w:noWrap/>
            <w:vAlign w:val="bottom"/>
            <w:hideMark/>
          </w:tcPr>
          <w:p w14:paraId="166BC2DB" w14:textId="77777777" w:rsidR="000C54C6" w:rsidRDefault="000C54C6">
            <w:pPr>
              <w:rPr>
                <w:sz w:val="20"/>
                <w:szCs w:val="20"/>
              </w:rPr>
            </w:pPr>
          </w:p>
        </w:tc>
        <w:tc>
          <w:tcPr>
            <w:tcW w:w="1237" w:type="dxa"/>
            <w:tcBorders>
              <w:top w:val="nil"/>
              <w:left w:val="nil"/>
              <w:bottom w:val="nil"/>
              <w:right w:val="nil"/>
            </w:tcBorders>
            <w:shd w:val="clear" w:color="auto" w:fill="auto"/>
            <w:noWrap/>
            <w:vAlign w:val="bottom"/>
            <w:hideMark/>
          </w:tcPr>
          <w:p w14:paraId="3F1F1969" w14:textId="77777777" w:rsidR="000C54C6" w:rsidRDefault="000C54C6">
            <w:pPr>
              <w:rPr>
                <w:sz w:val="20"/>
                <w:szCs w:val="20"/>
              </w:rPr>
            </w:pPr>
          </w:p>
        </w:tc>
        <w:tc>
          <w:tcPr>
            <w:tcW w:w="1167" w:type="dxa"/>
            <w:tcBorders>
              <w:top w:val="nil"/>
              <w:left w:val="nil"/>
              <w:bottom w:val="nil"/>
              <w:right w:val="nil"/>
            </w:tcBorders>
            <w:shd w:val="clear" w:color="auto" w:fill="auto"/>
            <w:noWrap/>
            <w:vAlign w:val="bottom"/>
            <w:hideMark/>
          </w:tcPr>
          <w:p w14:paraId="271EA06C" w14:textId="77777777" w:rsidR="000C54C6" w:rsidRDefault="000C54C6">
            <w:pPr>
              <w:rPr>
                <w:sz w:val="20"/>
                <w:szCs w:val="20"/>
              </w:rPr>
            </w:pPr>
          </w:p>
        </w:tc>
        <w:tc>
          <w:tcPr>
            <w:tcW w:w="1345" w:type="dxa"/>
            <w:tcBorders>
              <w:top w:val="nil"/>
              <w:left w:val="nil"/>
              <w:bottom w:val="nil"/>
              <w:right w:val="nil"/>
            </w:tcBorders>
            <w:shd w:val="clear" w:color="auto" w:fill="auto"/>
            <w:noWrap/>
            <w:vAlign w:val="bottom"/>
            <w:hideMark/>
          </w:tcPr>
          <w:p w14:paraId="5CFD0974" w14:textId="77777777" w:rsidR="000C54C6" w:rsidRDefault="000C54C6">
            <w:pPr>
              <w:rPr>
                <w:sz w:val="20"/>
                <w:szCs w:val="20"/>
              </w:rPr>
            </w:pPr>
          </w:p>
        </w:tc>
        <w:tc>
          <w:tcPr>
            <w:tcW w:w="1522" w:type="dxa"/>
            <w:tcBorders>
              <w:top w:val="nil"/>
              <w:left w:val="nil"/>
              <w:bottom w:val="nil"/>
              <w:right w:val="nil"/>
            </w:tcBorders>
            <w:shd w:val="clear" w:color="auto" w:fill="auto"/>
            <w:noWrap/>
            <w:vAlign w:val="bottom"/>
            <w:hideMark/>
          </w:tcPr>
          <w:p w14:paraId="72608626" w14:textId="77777777" w:rsidR="000C54C6" w:rsidRDefault="000C54C6">
            <w:pPr>
              <w:rPr>
                <w:sz w:val="20"/>
                <w:szCs w:val="20"/>
              </w:rPr>
            </w:pPr>
          </w:p>
        </w:tc>
        <w:tc>
          <w:tcPr>
            <w:tcW w:w="666" w:type="dxa"/>
            <w:tcBorders>
              <w:top w:val="nil"/>
              <w:left w:val="nil"/>
              <w:bottom w:val="nil"/>
              <w:right w:val="nil"/>
            </w:tcBorders>
            <w:shd w:val="clear" w:color="auto" w:fill="auto"/>
            <w:noWrap/>
            <w:vAlign w:val="bottom"/>
            <w:hideMark/>
          </w:tcPr>
          <w:p w14:paraId="7C0745EE" w14:textId="77777777" w:rsidR="000C54C6" w:rsidRDefault="000C54C6">
            <w:pPr>
              <w:rPr>
                <w:sz w:val="20"/>
                <w:szCs w:val="20"/>
              </w:rPr>
            </w:pPr>
          </w:p>
        </w:tc>
      </w:tr>
      <w:tr w:rsidR="000C54C6" w14:paraId="5C9D930A" w14:textId="77777777" w:rsidTr="000C54C6">
        <w:trPr>
          <w:trHeight w:val="315"/>
        </w:trPr>
        <w:tc>
          <w:tcPr>
            <w:tcW w:w="3097" w:type="dxa"/>
            <w:tcBorders>
              <w:top w:val="single" w:sz="8" w:space="0" w:color="auto"/>
              <w:left w:val="nil"/>
              <w:bottom w:val="single" w:sz="8" w:space="0" w:color="auto"/>
              <w:right w:val="nil"/>
            </w:tcBorders>
            <w:shd w:val="clear" w:color="auto" w:fill="auto"/>
            <w:noWrap/>
            <w:vAlign w:val="center"/>
            <w:hideMark/>
          </w:tcPr>
          <w:p w14:paraId="6D495670" w14:textId="77777777" w:rsidR="000C54C6" w:rsidRDefault="000C54C6">
            <w:pPr>
              <w:rPr>
                <w:rFonts w:ascii="Calibri" w:hAnsi="Calibri" w:cs="Calibri"/>
                <w:b/>
                <w:bCs/>
                <w:color w:val="000000"/>
                <w:sz w:val="16"/>
                <w:szCs w:val="16"/>
              </w:rPr>
            </w:pPr>
            <w:r>
              <w:rPr>
                <w:rFonts w:ascii="Calibri" w:hAnsi="Calibri" w:cs="Calibri"/>
                <w:b/>
                <w:bCs/>
                <w:color w:val="000000"/>
                <w:sz w:val="16"/>
                <w:szCs w:val="16"/>
              </w:rPr>
              <w:t>Total Bens Imóveis (2)</w:t>
            </w:r>
          </w:p>
        </w:tc>
        <w:tc>
          <w:tcPr>
            <w:tcW w:w="1486" w:type="dxa"/>
            <w:tcBorders>
              <w:top w:val="single" w:sz="8" w:space="0" w:color="auto"/>
              <w:left w:val="nil"/>
              <w:bottom w:val="single" w:sz="8" w:space="0" w:color="auto"/>
              <w:right w:val="nil"/>
            </w:tcBorders>
            <w:shd w:val="clear" w:color="auto" w:fill="auto"/>
            <w:noWrap/>
            <w:vAlign w:val="center"/>
            <w:hideMark/>
          </w:tcPr>
          <w:p w14:paraId="3185EED7"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 xml:space="preserve">   18.128.025.421 </w:t>
            </w:r>
          </w:p>
        </w:tc>
        <w:tc>
          <w:tcPr>
            <w:tcW w:w="1237" w:type="dxa"/>
            <w:tcBorders>
              <w:top w:val="single" w:sz="8" w:space="0" w:color="auto"/>
              <w:left w:val="nil"/>
              <w:bottom w:val="single" w:sz="8" w:space="0" w:color="auto"/>
              <w:right w:val="nil"/>
            </w:tcBorders>
            <w:shd w:val="clear" w:color="auto" w:fill="auto"/>
            <w:noWrap/>
            <w:vAlign w:val="center"/>
            <w:hideMark/>
          </w:tcPr>
          <w:p w14:paraId="7A287429"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 xml:space="preserve">     267.300.784 </w:t>
            </w:r>
          </w:p>
        </w:tc>
        <w:tc>
          <w:tcPr>
            <w:tcW w:w="1167" w:type="dxa"/>
            <w:tcBorders>
              <w:top w:val="single" w:sz="8" w:space="0" w:color="auto"/>
              <w:left w:val="nil"/>
              <w:bottom w:val="single" w:sz="8" w:space="0" w:color="auto"/>
              <w:right w:val="nil"/>
            </w:tcBorders>
            <w:shd w:val="clear" w:color="auto" w:fill="auto"/>
            <w:noWrap/>
            <w:vAlign w:val="center"/>
            <w:hideMark/>
          </w:tcPr>
          <w:p w14:paraId="7CFD42B9"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 xml:space="preserve">       (3.965.449)</w:t>
            </w:r>
          </w:p>
        </w:tc>
        <w:tc>
          <w:tcPr>
            <w:tcW w:w="1345" w:type="dxa"/>
            <w:tcBorders>
              <w:top w:val="single" w:sz="8" w:space="0" w:color="auto"/>
              <w:left w:val="nil"/>
              <w:bottom w:val="single" w:sz="8" w:space="0" w:color="auto"/>
              <w:right w:val="nil"/>
            </w:tcBorders>
            <w:shd w:val="clear" w:color="auto" w:fill="auto"/>
            <w:noWrap/>
            <w:vAlign w:val="center"/>
            <w:hideMark/>
          </w:tcPr>
          <w:p w14:paraId="1AF5C0E6" w14:textId="01AF42F1"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 xml:space="preserve">               (273.888)</w:t>
            </w:r>
          </w:p>
        </w:tc>
        <w:tc>
          <w:tcPr>
            <w:tcW w:w="1522" w:type="dxa"/>
            <w:tcBorders>
              <w:top w:val="single" w:sz="8" w:space="0" w:color="auto"/>
              <w:left w:val="nil"/>
              <w:bottom w:val="single" w:sz="8" w:space="0" w:color="auto"/>
              <w:right w:val="nil"/>
            </w:tcBorders>
            <w:shd w:val="clear" w:color="auto" w:fill="auto"/>
            <w:noWrap/>
            <w:vAlign w:val="center"/>
            <w:hideMark/>
          </w:tcPr>
          <w:p w14:paraId="60F5FD9C"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 xml:space="preserve">     18.391.086.869 </w:t>
            </w:r>
          </w:p>
        </w:tc>
        <w:tc>
          <w:tcPr>
            <w:tcW w:w="666" w:type="dxa"/>
            <w:tcBorders>
              <w:top w:val="single" w:sz="8" w:space="0" w:color="auto"/>
              <w:left w:val="nil"/>
              <w:bottom w:val="single" w:sz="8" w:space="0" w:color="auto"/>
              <w:right w:val="nil"/>
            </w:tcBorders>
            <w:shd w:val="clear" w:color="auto" w:fill="auto"/>
            <w:noWrap/>
            <w:vAlign w:val="center"/>
            <w:hideMark/>
          </w:tcPr>
          <w:p w14:paraId="580F4381"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w:t>
            </w:r>
          </w:p>
        </w:tc>
      </w:tr>
      <w:tr w:rsidR="000C54C6" w14:paraId="4E1782A4" w14:textId="77777777" w:rsidTr="000C54C6">
        <w:trPr>
          <w:trHeight w:val="120"/>
        </w:trPr>
        <w:tc>
          <w:tcPr>
            <w:tcW w:w="3097" w:type="dxa"/>
            <w:tcBorders>
              <w:top w:val="nil"/>
              <w:left w:val="nil"/>
              <w:bottom w:val="nil"/>
              <w:right w:val="nil"/>
            </w:tcBorders>
            <w:shd w:val="clear" w:color="auto" w:fill="auto"/>
            <w:noWrap/>
            <w:vAlign w:val="bottom"/>
            <w:hideMark/>
          </w:tcPr>
          <w:p w14:paraId="241EC50B" w14:textId="77777777" w:rsidR="000C54C6" w:rsidRDefault="000C54C6">
            <w:pPr>
              <w:jc w:val="right"/>
              <w:rPr>
                <w:rFonts w:ascii="Calibri" w:hAnsi="Calibri" w:cs="Calibri"/>
                <w:b/>
                <w:bCs/>
                <w:color w:val="000000"/>
                <w:sz w:val="16"/>
                <w:szCs w:val="16"/>
              </w:rPr>
            </w:pPr>
          </w:p>
        </w:tc>
        <w:tc>
          <w:tcPr>
            <w:tcW w:w="1486" w:type="dxa"/>
            <w:tcBorders>
              <w:top w:val="nil"/>
              <w:left w:val="nil"/>
              <w:bottom w:val="nil"/>
              <w:right w:val="nil"/>
            </w:tcBorders>
            <w:shd w:val="clear" w:color="auto" w:fill="auto"/>
            <w:noWrap/>
            <w:vAlign w:val="bottom"/>
            <w:hideMark/>
          </w:tcPr>
          <w:p w14:paraId="4B7A0BBD" w14:textId="77777777" w:rsidR="000C54C6" w:rsidRDefault="000C54C6">
            <w:pPr>
              <w:rPr>
                <w:sz w:val="20"/>
                <w:szCs w:val="20"/>
              </w:rPr>
            </w:pPr>
          </w:p>
        </w:tc>
        <w:tc>
          <w:tcPr>
            <w:tcW w:w="1237" w:type="dxa"/>
            <w:tcBorders>
              <w:top w:val="nil"/>
              <w:left w:val="nil"/>
              <w:bottom w:val="nil"/>
              <w:right w:val="nil"/>
            </w:tcBorders>
            <w:shd w:val="clear" w:color="auto" w:fill="auto"/>
            <w:noWrap/>
            <w:vAlign w:val="bottom"/>
            <w:hideMark/>
          </w:tcPr>
          <w:p w14:paraId="24213C36" w14:textId="77777777" w:rsidR="000C54C6" w:rsidRDefault="000C54C6">
            <w:pPr>
              <w:rPr>
                <w:sz w:val="20"/>
                <w:szCs w:val="20"/>
              </w:rPr>
            </w:pPr>
          </w:p>
        </w:tc>
        <w:tc>
          <w:tcPr>
            <w:tcW w:w="1167" w:type="dxa"/>
            <w:tcBorders>
              <w:top w:val="nil"/>
              <w:left w:val="nil"/>
              <w:bottom w:val="nil"/>
              <w:right w:val="nil"/>
            </w:tcBorders>
            <w:shd w:val="clear" w:color="auto" w:fill="auto"/>
            <w:noWrap/>
            <w:vAlign w:val="bottom"/>
            <w:hideMark/>
          </w:tcPr>
          <w:p w14:paraId="2A0FA255" w14:textId="77777777" w:rsidR="000C54C6" w:rsidRDefault="000C54C6">
            <w:pPr>
              <w:rPr>
                <w:sz w:val="20"/>
                <w:szCs w:val="20"/>
              </w:rPr>
            </w:pPr>
          </w:p>
        </w:tc>
        <w:tc>
          <w:tcPr>
            <w:tcW w:w="1345" w:type="dxa"/>
            <w:tcBorders>
              <w:top w:val="nil"/>
              <w:left w:val="nil"/>
              <w:bottom w:val="nil"/>
              <w:right w:val="nil"/>
            </w:tcBorders>
            <w:shd w:val="clear" w:color="auto" w:fill="auto"/>
            <w:noWrap/>
            <w:vAlign w:val="bottom"/>
            <w:hideMark/>
          </w:tcPr>
          <w:p w14:paraId="34D371FE" w14:textId="77777777" w:rsidR="000C54C6" w:rsidRDefault="000C54C6">
            <w:pPr>
              <w:rPr>
                <w:sz w:val="20"/>
                <w:szCs w:val="20"/>
              </w:rPr>
            </w:pPr>
          </w:p>
        </w:tc>
        <w:tc>
          <w:tcPr>
            <w:tcW w:w="1522" w:type="dxa"/>
            <w:tcBorders>
              <w:top w:val="nil"/>
              <w:left w:val="nil"/>
              <w:bottom w:val="nil"/>
              <w:right w:val="nil"/>
            </w:tcBorders>
            <w:shd w:val="clear" w:color="auto" w:fill="auto"/>
            <w:noWrap/>
            <w:vAlign w:val="bottom"/>
            <w:hideMark/>
          </w:tcPr>
          <w:p w14:paraId="2EC8F252" w14:textId="77777777" w:rsidR="000C54C6" w:rsidRDefault="000C54C6">
            <w:pPr>
              <w:rPr>
                <w:sz w:val="20"/>
                <w:szCs w:val="20"/>
              </w:rPr>
            </w:pPr>
          </w:p>
        </w:tc>
        <w:tc>
          <w:tcPr>
            <w:tcW w:w="666" w:type="dxa"/>
            <w:tcBorders>
              <w:top w:val="nil"/>
              <w:left w:val="nil"/>
              <w:bottom w:val="nil"/>
              <w:right w:val="nil"/>
            </w:tcBorders>
            <w:shd w:val="clear" w:color="auto" w:fill="auto"/>
            <w:noWrap/>
            <w:vAlign w:val="bottom"/>
            <w:hideMark/>
          </w:tcPr>
          <w:p w14:paraId="6E04ED7B" w14:textId="77777777" w:rsidR="000C54C6" w:rsidRDefault="000C54C6">
            <w:pPr>
              <w:rPr>
                <w:sz w:val="20"/>
                <w:szCs w:val="20"/>
              </w:rPr>
            </w:pPr>
          </w:p>
        </w:tc>
      </w:tr>
      <w:tr w:rsidR="000C54C6" w14:paraId="42129943" w14:textId="77777777" w:rsidTr="000C54C6">
        <w:trPr>
          <w:trHeight w:val="315"/>
        </w:trPr>
        <w:tc>
          <w:tcPr>
            <w:tcW w:w="3097" w:type="dxa"/>
            <w:tcBorders>
              <w:top w:val="single" w:sz="8" w:space="0" w:color="auto"/>
              <w:left w:val="nil"/>
              <w:bottom w:val="single" w:sz="8" w:space="0" w:color="auto"/>
              <w:right w:val="nil"/>
            </w:tcBorders>
            <w:shd w:val="clear" w:color="auto" w:fill="auto"/>
            <w:noWrap/>
            <w:vAlign w:val="center"/>
            <w:hideMark/>
          </w:tcPr>
          <w:p w14:paraId="76FBAA43" w14:textId="77777777" w:rsidR="000C54C6" w:rsidRDefault="000C54C6">
            <w:pPr>
              <w:rPr>
                <w:rFonts w:ascii="Calibri" w:hAnsi="Calibri" w:cs="Calibri"/>
                <w:b/>
                <w:bCs/>
                <w:color w:val="000000"/>
                <w:sz w:val="16"/>
                <w:szCs w:val="16"/>
              </w:rPr>
            </w:pPr>
            <w:r>
              <w:rPr>
                <w:rFonts w:ascii="Calibri" w:hAnsi="Calibri" w:cs="Calibri"/>
                <w:b/>
                <w:bCs/>
                <w:color w:val="000000"/>
                <w:sz w:val="16"/>
                <w:szCs w:val="16"/>
              </w:rPr>
              <w:t>(Redução ao Valor Recuperável - FNS) (3)</w:t>
            </w:r>
          </w:p>
        </w:tc>
        <w:tc>
          <w:tcPr>
            <w:tcW w:w="1486" w:type="dxa"/>
            <w:tcBorders>
              <w:top w:val="single" w:sz="8" w:space="0" w:color="auto"/>
              <w:left w:val="nil"/>
              <w:bottom w:val="single" w:sz="8" w:space="0" w:color="auto"/>
              <w:right w:val="nil"/>
            </w:tcBorders>
            <w:shd w:val="clear" w:color="auto" w:fill="auto"/>
            <w:noWrap/>
            <w:vAlign w:val="center"/>
            <w:hideMark/>
          </w:tcPr>
          <w:p w14:paraId="2FBFC0A1"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 xml:space="preserve"> (11.354.416.372)</w:t>
            </w:r>
          </w:p>
        </w:tc>
        <w:tc>
          <w:tcPr>
            <w:tcW w:w="1237" w:type="dxa"/>
            <w:tcBorders>
              <w:top w:val="single" w:sz="8" w:space="0" w:color="auto"/>
              <w:left w:val="nil"/>
              <w:bottom w:val="single" w:sz="8" w:space="0" w:color="auto"/>
              <w:right w:val="nil"/>
            </w:tcBorders>
            <w:shd w:val="clear" w:color="auto" w:fill="auto"/>
            <w:noWrap/>
            <w:vAlign w:val="center"/>
            <w:hideMark/>
          </w:tcPr>
          <w:p w14:paraId="6A4DB6BA" w14:textId="1264C784"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167" w:type="dxa"/>
            <w:tcBorders>
              <w:top w:val="single" w:sz="8" w:space="0" w:color="auto"/>
              <w:left w:val="nil"/>
              <w:bottom w:val="single" w:sz="8" w:space="0" w:color="auto"/>
              <w:right w:val="nil"/>
            </w:tcBorders>
            <w:shd w:val="clear" w:color="auto" w:fill="auto"/>
            <w:noWrap/>
            <w:vAlign w:val="center"/>
            <w:hideMark/>
          </w:tcPr>
          <w:p w14:paraId="42680065" w14:textId="1B6AA24A"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345" w:type="dxa"/>
            <w:tcBorders>
              <w:top w:val="single" w:sz="8" w:space="0" w:color="auto"/>
              <w:left w:val="nil"/>
              <w:bottom w:val="single" w:sz="8" w:space="0" w:color="auto"/>
              <w:right w:val="nil"/>
            </w:tcBorders>
            <w:shd w:val="clear" w:color="auto" w:fill="auto"/>
            <w:noWrap/>
            <w:vAlign w:val="center"/>
            <w:hideMark/>
          </w:tcPr>
          <w:p w14:paraId="2AE40214" w14:textId="26A9AA81"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522" w:type="dxa"/>
            <w:tcBorders>
              <w:top w:val="single" w:sz="8" w:space="0" w:color="auto"/>
              <w:left w:val="nil"/>
              <w:bottom w:val="single" w:sz="8" w:space="0" w:color="auto"/>
              <w:right w:val="nil"/>
            </w:tcBorders>
            <w:shd w:val="clear" w:color="auto" w:fill="auto"/>
            <w:noWrap/>
            <w:vAlign w:val="center"/>
            <w:hideMark/>
          </w:tcPr>
          <w:p w14:paraId="08307583"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 xml:space="preserve">   (11.354.416.372)</w:t>
            </w:r>
          </w:p>
        </w:tc>
        <w:tc>
          <w:tcPr>
            <w:tcW w:w="666" w:type="dxa"/>
            <w:tcBorders>
              <w:top w:val="single" w:sz="8" w:space="0" w:color="auto"/>
              <w:left w:val="nil"/>
              <w:bottom w:val="single" w:sz="8" w:space="0" w:color="auto"/>
              <w:right w:val="nil"/>
            </w:tcBorders>
            <w:shd w:val="clear" w:color="auto" w:fill="auto"/>
            <w:noWrap/>
            <w:vAlign w:val="center"/>
            <w:hideMark/>
          </w:tcPr>
          <w:p w14:paraId="4618D790"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 </w:t>
            </w:r>
          </w:p>
        </w:tc>
      </w:tr>
      <w:tr w:rsidR="000C54C6" w14:paraId="6B465660" w14:textId="77777777" w:rsidTr="000C54C6">
        <w:trPr>
          <w:trHeight w:val="300"/>
        </w:trPr>
        <w:tc>
          <w:tcPr>
            <w:tcW w:w="3097" w:type="dxa"/>
            <w:tcBorders>
              <w:top w:val="nil"/>
              <w:left w:val="nil"/>
              <w:bottom w:val="nil"/>
              <w:right w:val="nil"/>
            </w:tcBorders>
            <w:shd w:val="clear" w:color="auto" w:fill="auto"/>
            <w:noWrap/>
            <w:vAlign w:val="center"/>
            <w:hideMark/>
          </w:tcPr>
          <w:p w14:paraId="5E8E7309" w14:textId="77777777" w:rsidR="000C54C6" w:rsidRDefault="000C54C6">
            <w:pPr>
              <w:rPr>
                <w:rFonts w:ascii="Calibri" w:hAnsi="Calibri" w:cs="Calibri"/>
                <w:color w:val="000000"/>
                <w:sz w:val="16"/>
                <w:szCs w:val="16"/>
              </w:rPr>
            </w:pPr>
            <w:r>
              <w:rPr>
                <w:rFonts w:ascii="Calibri" w:hAnsi="Calibri" w:cs="Calibri"/>
                <w:color w:val="000000"/>
                <w:sz w:val="16"/>
                <w:szCs w:val="16"/>
              </w:rPr>
              <w:t xml:space="preserve">     Estudos e Projetos - FNS</w:t>
            </w:r>
          </w:p>
        </w:tc>
        <w:tc>
          <w:tcPr>
            <w:tcW w:w="1486" w:type="dxa"/>
            <w:tcBorders>
              <w:top w:val="nil"/>
              <w:left w:val="nil"/>
              <w:bottom w:val="nil"/>
              <w:right w:val="nil"/>
            </w:tcBorders>
            <w:shd w:val="clear" w:color="auto" w:fill="auto"/>
            <w:noWrap/>
            <w:vAlign w:val="center"/>
            <w:hideMark/>
          </w:tcPr>
          <w:p w14:paraId="19DFF5FD" w14:textId="65011591"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0 </w:t>
            </w:r>
          </w:p>
        </w:tc>
        <w:tc>
          <w:tcPr>
            <w:tcW w:w="1237" w:type="dxa"/>
            <w:tcBorders>
              <w:top w:val="nil"/>
              <w:left w:val="nil"/>
              <w:bottom w:val="nil"/>
              <w:right w:val="nil"/>
            </w:tcBorders>
            <w:shd w:val="clear" w:color="auto" w:fill="auto"/>
            <w:noWrap/>
            <w:vAlign w:val="center"/>
            <w:hideMark/>
          </w:tcPr>
          <w:p w14:paraId="3FECBCF5" w14:textId="1B52EB1B"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167" w:type="dxa"/>
            <w:tcBorders>
              <w:top w:val="nil"/>
              <w:left w:val="nil"/>
              <w:bottom w:val="nil"/>
              <w:right w:val="nil"/>
            </w:tcBorders>
            <w:shd w:val="clear" w:color="auto" w:fill="auto"/>
            <w:noWrap/>
            <w:vAlign w:val="center"/>
            <w:hideMark/>
          </w:tcPr>
          <w:p w14:paraId="7819D8DE" w14:textId="4A403364"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12A1C2FF" w14:textId="44A4A232"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522" w:type="dxa"/>
            <w:tcBorders>
              <w:top w:val="nil"/>
              <w:left w:val="nil"/>
              <w:bottom w:val="nil"/>
              <w:right w:val="nil"/>
            </w:tcBorders>
            <w:shd w:val="clear" w:color="auto" w:fill="auto"/>
            <w:noWrap/>
            <w:vAlign w:val="center"/>
            <w:hideMark/>
          </w:tcPr>
          <w:p w14:paraId="62C27E56" w14:textId="0A4307E9"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0 </w:t>
            </w:r>
          </w:p>
        </w:tc>
        <w:tc>
          <w:tcPr>
            <w:tcW w:w="666" w:type="dxa"/>
            <w:tcBorders>
              <w:top w:val="nil"/>
              <w:left w:val="nil"/>
              <w:bottom w:val="nil"/>
              <w:right w:val="nil"/>
            </w:tcBorders>
            <w:shd w:val="clear" w:color="auto" w:fill="auto"/>
            <w:noWrap/>
            <w:vAlign w:val="center"/>
            <w:hideMark/>
          </w:tcPr>
          <w:p w14:paraId="5A7590F1" w14:textId="77777777" w:rsidR="000C54C6" w:rsidRDefault="000C54C6">
            <w:pPr>
              <w:jc w:val="right"/>
              <w:rPr>
                <w:rFonts w:ascii="Calibri" w:hAnsi="Calibri" w:cs="Calibri"/>
                <w:color w:val="000000"/>
                <w:sz w:val="16"/>
                <w:szCs w:val="16"/>
              </w:rPr>
            </w:pPr>
          </w:p>
        </w:tc>
      </w:tr>
      <w:tr w:rsidR="000C54C6" w14:paraId="21476265" w14:textId="77777777" w:rsidTr="000C54C6">
        <w:trPr>
          <w:trHeight w:val="300"/>
        </w:trPr>
        <w:tc>
          <w:tcPr>
            <w:tcW w:w="3097" w:type="dxa"/>
            <w:tcBorders>
              <w:top w:val="nil"/>
              <w:left w:val="nil"/>
              <w:bottom w:val="nil"/>
              <w:right w:val="nil"/>
            </w:tcBorders>
            <w:shd w:val="clear" w:color="auto" w:fill="auto"/>
            <w:noWrap/>
            <w:vAlign w:val="center"/>
            <w:hideMark/>
          </w:tcPr>
          <w:p w14:paraId="046C7F24" w14:textId="77777777" w:rsidR="000C54C6" w:rsidRDefault="000C54C6">
            <w:pPr>
              <w:rPr>
                <w:rFonts w:ascii="Calibri" w:hAnsi="Calibri" w:cs="Calibri"/>
                <w:color w:val="000000"/>
                <w:sz w:val="16"/>
                <w:szCs w:val="16"/>
              </w:rPr>
            </w:pPr>
            <w:r>
              <w:rPr>
                <w:rFonts w:ascii="Calibri" w:hAnsi="Calibri" w:cs="Calibri"/>
                <w:color w:val="000000"/>
                <w:sz w:val="16"/>
                <w:szCs w:val="16"/>
              </w:rPr>
              <w:t xml:space="preserve">     Implantação - Ferrovias - FNS</w:t>
            </w:r>
          </w:p>
        </w:tc>
        <w:tc>
          <w:tcPr>
            <w:tcW w:w="1486" w:type="dxa"/>
            <w:tcBorders>
              <w:top w:val="nil"/>
              <w:left w:val="nil"/>
              <w:bottom w:val="nil"/>
              <w:right w:val="nil"/>
            </w:tcBorders>
            <w:shd w:val="clear" w:color="auto" w:fill="auto"/>
            <w:noWrap/>
            <w:vAlign w:val="center"/>
            <w:hideMark/>
          </w:tcPr>
          <w:p w14:paraId="515628AC" w14:textId="75A53D28"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(49.144.520)</w:t>
            </w:r>
          </w:p>
        </w:tc>
        <w:tc>
          <w:tcPr>
            <w:tcW w:w="1237" w:type="dxa"/>
            <w:tcBorders>
              <w:top w:val="nil"/>
              <w:left w:val="nil"/>
              <w:bottom w:val="nil"/>
              <w:right w:val="nil"/>
            </w:tcBorders>
            <w:shd w:val="clear" w:color="auto" w:fill="auto"/>
            <w:noWrap/>
            <w:vAlign w:val="center"/>
            <w:hideMark/>
          </w:tcPr>
          <w:p w14:paraId="716328D8" w14:textId="39793C4E"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167" w:type="dxa"/>
            <w:tcBorders>
              <w:top w:val="nil"/>
              <w:left w:val="nil"/>
              <w:bottom w:val="nil"/>
              <w:right w:val="nil"/>
            </w:tcBorders>
            <w:shd w:val="clear" w:color="auto" w:fill="auto"/>
            <w:noWrap/>
            <w:vAlign w:val="center"/>
            <w:hideMark/>
          </w:tcPr>
          <w:p w14:paraId="0422E8EC" w14:textId="63F5A029"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4A4E625A" w14:textId="093A9EB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522" w:type="dxa"/>
            <w:tcBorders>
              <w:top w:val="nil"/>
              <w:left w:val="nil"/>
              <w:bottom w:val="nil"/>
              <w:right w:val="nil"/>
            </w:tcBorders>
            <w:shd w:val="clear" w:color="auto" w:fill="auto"/>
            <w:noWrap/>
            <w:vAlign w:val="center"/>
            <w:hideMark/>
          </w:tcPr>
          <w:p w14:paraId="3C1FEE83"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(49.144.520)</w:t>
            </w:r>
          </w:p>
        </w:tc>
        <w:tc>
          <w:tcPr>
            <w:tcW w:w="666" w:type="dxa"/>
            <w:tcBorders>
              <w:top w:val="nil"/>
              <w:left w:val="nil"/>
              <w:bottom w:val="nil"/>
              <w:right w:val="nil"/>
            </w:tcBorders>
            <w:shd w:val="clear" w:color="auto" w:fill="auto"/>
            <w:noWrap/>
            <w:vAlign w:val="center"/>
            <w:hideMark/>
          </w:tcPr>
          <w:p w14:paraId="300DECEF" w14:textId="77777777" w:rsidR="000C54C6" w:rsidRDefault="000C54C6">
            <w:pPr>
              <w:jc w:val="right"/>
              <w:rPr>
                <w:rFonts w:ascii="Calibri" w:hAnsi="Calibri" w:cs="Calibri"/>
                <w:color w:val="000000"/>
                <w:sz w:val="16"/>
                <w:szCs w:val="16"/>
              </w:rPr>
            </w:pPr>
          </w:p>
        </w:tc>
      </w:tr>
      <w:tr w:rsidR="000C54C6" w14:paraId="74FC9ADC" w14:textId="77777777" w:rsidTr="000C54C6">
        <w:trPr>
          <w:trHeight w:val="300"/>
        </w:trPr>
        <w:tc>
          <w:tcPr>
            <w:tcW w:w="3097" w:type="dxa"/>
            <w:tcBorders>
              <w:top w:val="nil"/>
              <w:left w:val="nil"/>
              <w:bottom w:val="nil"/>
              <w:right w:val="nil"/>
            </w:tcBorders>
            <w:shd w:val="clear" w:color="auto" w:fill="auto"/>
            <w:noWrap/>
            <w:vAlign w:val="center"/>
            <w:hideMark/>
          </w:tcPr>
          <w:p w14:paraId="4A9680CD" w14:textId="77777777" w:rsidR="000C54C6" w:rsidRDefault="000C54C6">
            <w:pPr>
              <w:rPr>
                <w:rFonts w:ascii="Calibri" w:hAnsi="Calibri" w:cs="Calibri"/>
                <w:color w:val="000000"/>
                <w:sz w:val="16"/>
                <w:szCs w:val="16"/>
              </w:rPr>
            </w:pPr>
            <w:r>
              <w:rPr>
                <w:rFonts w:ascii="Calibri" w:hAnsi="Calibri" w:cs="Calibri"/>
                <w:color w:val="000000"/>
                <w:sz w:val="16"/>
                <w:szCs w:val="16"/>
              </w:rPr>
              <w:t xml:space="preserve">     Ativos de Concessão Imóveis - FNS</w:t>
            </w:r>
          </w:p>
        </w:tc>
        <w:tc>
          <w:tcPr>
            <w:tcW w:w="1486" w:type="dxa"/>
            <w:tcBorders>
              <w:top w:val="nil"/>
              <w:left w:val="nil"/>
              <w:bottom w:val="nil"/>
              <w:right w:val="nil"/>
            </w:tcBorders>
            <w:shd w:val="clear" w:color="auto" w:fill="auto"/>
            <w:noWrap/>
            <w:vAlign w:val="center"/>
            <w:hideMark/>
          </w:tcPr>
          <w:p w14:paraId="0AD81696"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(12.221.663.667)</w:t>
            </w:r>
          </w:p>
        </w:tc>
        <w:tc>
          <w:tcPr>
            <w:tcW w:w="1237" w:type="dxa"/>
            <w:tcBorders>
              <w:top w:val="nil"/>
              <w:left w:val="nil"/>
              <w:bottom w:val="nil"/>
              <w:right w:val="nil"/>
            </w:tcBorders>
            <w:shd w:val="clear" w:color="auto" w:fill="auto"/>
            <w:noWrap/>
            <w:vAlign w:val="center"/>
            <w:hideMark/>
          </w:tcPr>
          <w:p w14:paraId="1EE7315D" w14:textId="7FFFAAB6"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167" w:type="dxa"/>
            <w:tcBorders>
              <w:top w:val="nil"/>
              <w:left w:val="nil"/>
              <w:bottom w:val="nil"/>
              <w:right w:val="nil"/>
            </w:tcBorders>
            <w:shd w:val="clear" w:color="auto" w:fill="auto"/>
            <w:noWrap/>
            <w:vAlign w:val="center"/>
            <w:hideMark/>
          </w:tcPr>
          <w:p w14:paraId="265D9175" w14:textId="15D967EE"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6EA1F2B8" w14:textId="5E028CD2"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522" w:type="dxa"/>
            <w:tcBorders>
              <w:top w:val="nil"/>
              <w:left w:val="nil"/>
              <w:bottom w:val="nil"/>
              <w:right w:val="nil"/>
            </w:tcBorders>
            <w:shd w:val="clear" w:color="auto" w:fill="auto"/>
            <w:noWrap/>
            <w:vAlign w:val="center"/>
            <w:hideMark/>
          </w:tcPr>
          <w:p w14:paraId="55E9660B"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(12.221.663.667)</w:t>
            </w:r>
          </w:p>
        </w:tc>
        <w:tc>
          <w:tcPr>
            <w:tcW w:w="666" w:type="dxa"/>
            <w:tcBorders>
              <w:top w:val="nil"/>
              <w:left w:val="nil"/>
              <w:bottom w:val="nil"/>
              <w:right w:val="nil"/>
            </w:tcBorders>
            <w:shd w:val="clear" w:color="auto" w:fill="auto"/>
            <w:noWrap/>
            <w:vAlign w:val="center"/>
            <w:hideMark/>
          </w:tcPr>
          <w:p w14:paraId="75FC8EBB" w14:textId="77777777" w:rsidR="000C54C6" w:rsidRDefault="000C54C6">
            <w:pPr>
              <w:jc w:val="right"/>
              <w:rPr>
                <w:rFonts w:ascii="Calibri" w:hAnsi="Calibri" w:cs="Calibri"/>
                <w:color w:val="000000"/>
                <w:sz w:val="16"/>
                <w:szCs w:val="16"/>
              </w:rPr>
            </w:pPr>
          </w:p>
        </w:tc>
      </w:tr>
      <w:tr w:rsidR="000C54C6" w14:paraId="2026A614" w14:textId="77777777" w:rsidTr="000C54C6">
        <w:trPr>
          <w:trHeight w:val="300"/>
        </w:trPr>
        <w:tc>
          <w:tcPr>
            <w:tcW w:w="3097" w:type="dxa"/>
            <w:tcBorders>
              <w:top w:val="nil"/>
              <w:left w:val="nil"/>
              <w:bottom w:val="nil"/>
              <w:right w:val="nil"/>
            </w:tcBorders>
            <w:shd w:val="clear" w:color="auto" w:fill="auto"/>
            <w:noWrap/>
            <w:vAlign w:val="center"/>
            <w:hideMark/>
          </w:tcPr>
          <w:p w14:paraId="19CDDEBD" w14:textId="77777777" w:rsidR="000C54C6" w:rsidRDefault="000C54C6">
            <w:pPr>
              <w:rPr>
                <w:rFonts w:ascii="Calibri" w:hAnsi="Calibri" w:cs="Calibri"/>
                <w:color w:val="000000"/>
                <w:sz w:val="16"/>
                <w:szCs w:val="16"/>
              </w:rPr>
            </w:pPr>
            <w:r>
              <w:rPr>
                <w:rFonts w:ascii="Calibri" w:hAnsi="Calibri" w:cs="Calibri"/>
                <w:color w:val="000000"/>
                <w:sz w:val="16"/>
                <w:szCs w:val="16"/>
              </w:rPr>
              <w:t xml:space="preserve">     CMT Lei 8.200/91</w:t>
            </w:r>
          </w:p>
        </w:tc>
        <w:tc>
          <w:tcPr>
            <w:tcW w:w="1486" w:type="dxa"/>
            <w:tcBorders>
              <w:top w:val="nil"/>
              <w:left w:val="nil"/>
              <w:bottom w:val="nil"/>
              <w:right w:val="nil"/>
            </w:tcBorders>
            <w:shd w:val="clear" w:color="auto" w:fill="auto"/>
            <w:noWrap/>
            <w:vAlign w:val="center"/>
            <w:hideMark/>
          </w:tcPr>
          <w:p w14:paraId="09E6B308"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(283.968)</w:t>
            </w:r>
          </w:p>
        </w:tc>
        <w:tc>
          <w:tcPr>
            <w:tcW w:w="1237" w:type="dxa"/>
            <w:tcBorders>
              <w:top w:val="nil"/>
              <w:left w:val="nil"/>
              <w:bottom w:val="nil"/>
              <w:right w:val="nil"/>
            </w:tcBorders>
            <w:shd w:val="clear" w:color="auto" w:fill="auto"/>
            <w:noWrap/>
            <w:vAlign w:val="center"/>
            <w:hideMark/>
          </w:tcPr>
          <w:p w14:paraId="726F007C" w14:textId="06D1A983"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167" w:type="dxa"/>
            <w:tcBorders>
              <w:top w:val="nil"/>
              <w:left w:val="nil"/>
              <w:bottom w:val="nil"/>
              <w:right w:val="nil"/>
            </w:tcBorders>
            <w:shd w:val="clear" w:color="auto" w:fill="auto"/>
            <w:noWrap/>
            <w:vAlign w:val="center"/>
            <w:hideMark/>
          </w:tcPr>
          <w:p w14:paraId="2772994C" w14:textId="4DBA89A9"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726FC303" w14:textId="2E41537E"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522" w:type="dxa"/>
            <w:tcBorders>
              <w:top w:val="nil"/>
              <w:left w:val="nil"/>
              <w:bottom w:val="nil"/>
              <w:right w:val="nil"/>
            </w:tcBorders>
            <w:shd w:val="clear" w:color="auto" w:fill="auto"/>
            <w:noWrap/>
            <w:vAlign w:val="center"/>
            <w:hideMark/>
          </w:tcPr>
          <w:p w14:paraId="44993217" w14:textId="21BF8C93"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(283.968)</w:t>
            </w:r>
          </w:p>
        </w:tc>
        <w:tc>
          <w:tcPr>
            <w:tcW w:w="666" w:type="dxa"/>
            <w:tcBorders>
              <w:top w:val="nil"/>
              <w:left w:val="nil"/>
              <w:bottom w:val="nil"/>
              <w:right w:val="nil"/>
            </w:tcBorders>
            <w:shd w:val="clear" w:color="auto" w:fill="auto"/>
            <w:noWrap/>
            <w:vAlign w:val="center"/>
            <w:hideMark/>
          </w:tcPr>
          <w:p w14:paraId="44237AB1" w14:textId="77777777" w:rsidR="000C54C6" w:rsidRDefault="000C54C6">
            <w:pPr>
              <w:jc w:val="right"/>
              <w:rPr>
                <w:rFonts w:ascii="Calibri" w:hAnsi="Calibri" w:cs="Calibri"/>
                <w:color w:val="000000"/>
                <w:sz w:val="16"/>
                <w:szCs w:val="16"/>
              </w:rPr>
            </w:pPr>
          </w:p>
        </w:tc>
      </w:tr>
      <w:tr w:rsidR="000C54C6" w14:paraId="330D1182" w14:textId="77777777" w:rsidTr="000C54C6">
        <w:trPr>
          <w:trHeight w:val="315"/>
        </w:trPr>
        <w:tc>
          <w:tcPr>
            <w:tcW w:w="3097" w:type="dxa"/>
            <w:tcBorders>
              <w:top w:val="nil"/>
              <w:left w:val="nil"/>
              <w:bottom w:val="nil"/>
              <w:right w:val="nil"/>
            </w:tcBorders>
            <w:shd w:val="clear" w:color="auto" w:fill="auto"/>
            <w:noWrap/>
            <w:vAlign w:val="center"/>
            <w:hideMark/>
          </w:tcPr>
          <w:p w14:paraId="05BE1593" w14:textId="31877791" w:rsidR="000C54C6" w:rsidRDefault="000C54C6">
            <w:pPr>
              <w:rPr>
                <w:rFonts w:ascii="Calibri" w:hAnsi="Calibri" w:cs="Calibri"/>
                <w:color w:val="000000"/>
                <w:sz w:val="16"/>
                <w:szCs w:val="16"/>
              </w:rPr>
            </w:pPr>
            <w:r>
              <w:rPr>
                <w:rFonts w:ascii="Calibri" w:hAnsi="Calibri" w:cs="Calibri"/>
                <w:color w:val="000000"/>
                <w:sz w:val="16"/>
                <w:szCs w:val="16"/>
              </w:rPr>
              <w:t xml:space="preserve">     Depreciação Acumulada </w:t>
            </w:r>
            <w:r w:rsidR="007B5BAE">
              <w:rPr>
                <w:rFonts w:ascii="Calibri" w:hAnsi="Calibri" w:cs="Calibri"/>
                <w:color w:val="000000"/>
                <w:sz w:val="16"/>
                <w:szCs w:val="16"/>
              </w:rPr>
              <w:t>da</w:t>
            </w:r>
            <w:r>
              <w:rPr>
                <w:rFonts w:ascii="Calibri" w:hAnsi="Calibri" w:cs="Calibri"/>
                <w:color w:val="000000"/>
                <w:sz w:val="16"/>
                <w:szCs w:val="16"/>
              </w:rPr>
              <w:t xml:space="preserve"> FNS</w:t>
            </w:r>
          </w:p>
        </w:tc>
        <w:tc>
          <w:tcPr>
            <w:tcW w:w="1486" w:type="dxa"/>
            <w:tcBorders>
              <w:top w:val="nil"/>
              <w:left w:val="nil"/>
              <w:bottom w:val="nil"/>
              <w:right w:val="nil"/>
            </w:tcBorders>
            <w:shd w:val="clear" w:color="auto" w:fill="auto"/>
            <w:noWrap/>
            <w:vAlign w:val="center"/>
            <w:hideMark/>
          </w:tcPr>
          <w:p w14:paraId="684E66BE"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916.675.783 </w:t>
            </w:r>
          </w:p>
        </w:tc>
        <w:tc>
          <w:tcPr>
            <w:tcW w:w="1237" w:type="dxa"/>
            <w:tcBorders>
              <w:top w:val="nil"/>
              <w:left w:val="nil"/>
              <w:bottom w:val="nil"/>
              <w:right w:val="nil"/>
            </w:tcBorders>
            <w:shd w:val="clear" w:color="auto" w:fill="auto"/>
            <w:noWrap/>
            <w:vAlign w:val="center"/>
            <w:hideMark/>
          </w:tcPr>
          <w:p w14:paraId="22C865A9" w14:textId="5026C723"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167" w:type="dxa"/>
            <w:tcBorders>
              <w:top w:val="nil"/>
              <w:left w:val="nil"/>
              <w:bottom w:val="nil"/>
              <w:right w:val="nil"/>
            </w:tcBorders>
            <w:shd w:val="clear" w:color="auto" w:fill="auto"/>
            <w:noWrap/>
            <w:vAlign w:val="center"/>
            <w:hideMark/>
          </w:tcPr>
          <w:p w14:paraId="7CF0C7AD" w14:textId="2AC789E0"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3C293C65" w14:textId="196B680D"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522" w:type="dxa"/>
            <w:tcBorders>
              <w:top w:val="nil"/>
              <w:left w:val="nil"/>
              <w:bottom w:val="nil"/>
              <w:right w:val="nil"/>
            </w:tcBorders>
            <w:shd w:val="clear" w:color="auto" w:fill="auto"/>
            <w:noWrap/>
            <w:vAlign w:val="center"/>
            <w:hideMark/>
          </w:tcPr>
          <w:p w14:paraId="14FED4F9"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916.675.783 </w:t>
            </w:r>
          </w:p>
        </w:tc>
        <w:tc>
          <w:tcPr>
            <w:tcW w:w="666" w:type="dxa"/>
            <w:tcBorders>
              <w:top w:val="nil"/>
              <w:left w:val="nil"/>
              <w:bottom w:val="nil"/>
              <w:right w:val="nil"/>
            </w:tcBorders>
            <w:shd w:val="clear" w:color="auto" w:fill="auto"/>
            <w:noWrap/>
            <w:vAlign w:val="center"/>
            <w:hideMark/>
          </w:tcPr>
          <w:p w14:paraId="0F3D059D" w14:textId="77777777" w:rsidR="000C54C6" w:rsidRDefault="000C54C6">
            <w:pPr>
              <w:jc w:val="right"/>
              <w:rPr>
                <w:rFonts w:ascii="Calibri" w:hAnsi="Calibri" w:cs="Calibri"/>
                <w:color w:val="000000"/>
                <w:sz w:val="16"/>
                <w:szCs w:val="16"/>
              </w:rPr>
            </w:pPr>
          </w:p>
        </w:tc>
      </w:tr>
      <w:tr w:rsidR="000C54C6" w14:paraId="058B3983" w14:textId="77777777" w:rsidTr="000C54C6">
        <w:trPr>
          <w:trHeight w:val="135"/>
        </w:trPr>
        <w:tc>
          <w:tcPr>
            <w:tcW w:w="3097" w:type="dxa"/>
            <w:tcBorders>
              <w:top w:val="single" w:sz="8" w:space="0" w:color="auto"/>
              <w:left w:val="nil"/>
              <w:bottom w:val="single" w:sz="8" w:space="0" w:color="auto"/>
              <w:right w:val="nil"/>
            </w:tcBorders>
            <w:shd w:val="clear" w:color="auto" w:fill="auto"/>
            <w:noWrap/>
            <w:vAlign w:val="bottom"/>
            <w:hideMark/>
          </w:tcPr>
          <w:p w14:paraId="176567EB" w14:textId="77777777" w:rsidR="000C54C6" w:rsidRDefault="000C54C6">
            <w:pPr>
              <w:rPr>
                <w:color w:val="000000"/>
                <w:sz w:val="20"/>
                <w:szCs w:val="20"/>
              </w:rPr>
            </w:pPr>
            <w:r>
              <w:rPr>
                <w:color w:val="000000"/>
                <w:sz w:val="20"/>
                <w:szCs w:val="20"/>
              </w:rPr>
              <w:t> </w:t>
            </w:r>
          </w:p>
        </w:tc>
        <w:tc>
          <w:tcPr>
            <w:tcW w:w="1486" w:type="dxa"/>
            <w:tcBorders>
              <w:top w:val="single" w:sz="8" w:space="0" w:color="auto"/>
              <w:left w:val="nil"/>
              <w:bottom w:val="single" w:sz="8" w:space="0" w:color="auto"/>
              <w:right w:val="nil"/>
            </w:tcBorders>
            <w:shd w:val="clear" w:color="auto" w:fill="auto"/>
            <w:noWrap/>
            <w:vAlign w:val="bottom"/>
            <w:hideMark/>
          </w:tcPr>
          <w:p w14:paraId="285064FC" w14:textId="77777777" w:rsidR="000C54C6" w:rsidRDefault="000C54C6">
            <w:pPr>
              <w:rPr>
                <w:color w:val="000000"/>
                <w:sz w:val="20"/>
                <w:szCs w:val="20"/>
              </w:rPr>
            </w:pPr>
            <w:r>
              <w:rPr>
                <w:color w:val="000000"/>
                <w:sz w:val="20"/>
                <w:szCs w:val="20"/>
              </w:rPr>
              <w:t> </w:t>
            </w:r>
          </w:p>
        </w:tc>
        <w:tc>
          <w:tcPr>
            <w:tcW w:w="1237" w:type="dxa"/>
            <w:tcBorders>
              <w:top w:val="single" w:sz="8" w:space="0" w:color="auto"/>
              <w:left w:val="nil"/>
              <w:bottom w:val="single" w:sz="8" w:space="0" w:color="auto"/>
              <w:right w:val="nil"/>
            </w:tcBorders>
            <w:shd w:val="clear" w:color="auto" w:fill="auto"/>
            <w:noWrap/>
            <w:vAlign w:val="bottom"/>
            <w:hideMark/>
          </w:tcPr>
          <w:p w14:paraId="2F3EDD62" w14:textId="77777777" w:rsidR="000C54C6" w:rsidRDefault="000C54C6">
            <w:pPr>
              <w:rPr>
                <w:color w:val="000000"/>
                <w:sz w:val="20"/>
                <w:szCs w:val="20"/>
              </w:rPr>
            </w:pPr>
            <w:r>
              <w:rPr>
                <w:color w:val="000000"/>
                <w:sz w:val="20"/>
                <w:szCs w:val="20"/>
              </w:rPr>
              <w:t> </w:t>
            </w:r>
          </w:p>
        </w:tc>
        <w:tc>
          <w:tcPr>
            <w:tcW w:w="1167" w:type="dxa"/>
            <w:tcBorders>
              <w:top w:val="single" w:sz="8" w:space="0" w:color="auto"/>
              <w:left w:val="nil"/>
              <w:bottom w:val="single" w:sz="8" w:space="0" w:color="auto"/>
              <w:right w:val="nil"/>
            </w:tcBorders>
            <w:shd w:val="clear" w:color="auto" w:fill="auto"/>
            <w:noWrap/>
            <w:vAlign w:val="bottom"/>
            <w:hideMark/>
          </w:tcPr>
          <w:p w14:paraId="19BFB72B" w14:textId="77777777" w:rsidR="000C54C6" w:rsidRDefault="000C54C6">
            <w:pPr>
              <w:rPr>
                <w:color w:val="000000"/>
                <w:sz w:val="20"/>
                <w:szCs w:val="20"/>
              </w:rPr>
            </w:pPr>
            <w:r>
              <w:rPr>
                <w:color w:val="000000"/>
                <w:sz w:val="20"/>
                <w:szCs w:val="20"/>
              </w:rPr>
              <w:t> </w:t>
            </w:r>
          </w:p>
        </w:tc>
        <w:tc>
          <w:tcPr>
            <w:tcW w:w="1345" w:type="dxa"/>
            <w:tcBorders>
              <w:top w:val="single" w:sz="8" w:space="0" w:color="auto"/>
              <w:left w:val="nil"/>
              <w:bottom w:val="single" w:sz="8" w:space="0" w:color="auto"/>
              <w:right w:val="nil"/>
            </w:tcBorders>
            <w:shd w:val="clear" w:color="auto" w:fill="auto"/>
            <w:noWrap/>
            <w:vAlign w:val="bottom"/>
            <w:hideMark/>
          </w:tcPr>
          <w:p w14:paraId="6AE2B9CC" w14:textId="77777777" w:rsidR="000C54C6" w:rsidRDefault="000C54C6">
            <w:pPr>
              <w:rPr>
                <w:color w:val="000000"/>
                <w:sz w:val="20"/>
                <w:szCs w:val="20"/>
              </w:rPr>
            </w:pPr>
            <w:r>
              <w:rPr>
                <w:color w:val="000000"/>
                <w:sz w:val="20"/>
                <w:szCs w:val="20"/>
              </w:rPr>
              <w:t> </w:t>
            </w:r>
          </w:p>
        </w:tc>
        <w:tc>
          <w:tcPr>
            <w:tcW w:w="1522" w:type="dxa"/>
            <w:tcBorders>
              <w:top w:val="single" w:sz="8" w:space="0" w:color="auto"/>
              <w:left w:val="nil"/>
              <w:bottom w:val="single" w:sz="8" w:space="0" w:color="auto"/>
              <w:right w:val="nil"/>
            </w:tcBorders>
            <w:shd w:val="clear" w:color="auto" w:fill="auto"/>
            <w:noWrap/>
            <w:vAlign w:val="bottom"/>
            <w:hideMark/>
          </w:tcPr>
          <w:p w14:paraId="16FEA466" w14:textId="77777777" w:rsidR="000C54C6" w:rsidRDefault="000C54C6">
            <w:pPr>
              <w:rPr>
                <w:color w:val="000000"/>
                <w:sz w:val="20"/>
                <w:szCs w:val="20"/>
              </w:rPr>
            </w:pPr>
            <w:r>
              <w:rPr>
                <w:color w:val="000000"/>
                <w:sz w:val="20"/>
                <w:szCs w:val="20"/>
              </w:rPr>
              <w:t> </w:t>
            </w:r>
          </w:p>
        </w:tc>
        <w:tc>
          <w:tcPr>
            <w:tcW w:w="666" w:type="dxa"/>
            <w:tcBorders>
              <w:top w:val="single" w:sz="8" w:space="0" w:color="auto"/>
              <w:left w:val="nil"/>
              <w:bottom w:val="single" w:sz="8" w:space="0" w:color="auto"/>
              <w:right w:val="nil"/>
            </w:tcBorders>
            <w:shd w:val="clear" w:color="auto" w:fill="auto"/>
            <w:noWrap/>
            <w:vAlign w:val="bottom"/>
            <w:hideMark/>
          </w:tcPr>
          <w:p w14:paraId="41F59613" w14:textId="77777777" w:rsidR="000C54C6" w:rsidRDefault="000C54C6">
            <w:pPr>
              <w:rPr>
                <w:color w:val="000000"/>
                <w:sz w:val="20"/>
                <w:szCs w:val="20"/>
              </w:rPr>
            </w:pPr>
            <w:r>
              <w:rPr>
                <w:color w:val="000000"/>
                <w:sz w:val="20"/>
                <w:szCs w:val="20"/>
              </w:rPr>
              <w:t> </w:t>
            </w:r>
          </w:p>
        </w:tc>
      </w:tr>
      <w:tr w:rsidR="000C54C6" w14:paraId="78D899A1" w14:textId="77777777" w:rsidTr="000C54C6">
        <w:trPr>
          <w:trHeight w:val="315"/>
        </w:trPr>
        <w:tc>
          <w:tcPr>
            <w:tcW w:w="3097" w:type="dxa"/>
            <w:tcBorders>
              <w:top w:val="nil"/>
              <w:left w:val="nil"/>
              <w:bottom w:val="single" w:sz="8" w:space="0" w:color="auto"/>
              <w:right w:val="nil"/>
            </w:tcBorders>
            <w:shd w:val="clear" w:color="auto" w:fill="auto"/>
            <w:noWrap/>
            <w:vAlign w:val="center"/>
            <w:hideMark/>
          </w:tcPr>
          <w:p w14:paraId="492A0B90" w14:textId="77777777" w:rsidR="000C54C6" w:rsidRDefault="000C54C6">
            <w:pPr>
              <w:rPr>
                <w:rFonts w:ascii="Calibri" w:hAnsi="Calibri" w:cs="Calibri"/>
                <w:b/>
                <w:bCs/>
                <w:color w:val="000000"/>
                <w:sz w:val="16"/>
                <w:szCs w:val="16"/>
              </w:rPr>
            </w:pPr>
            <w:r>
              <w:rPr>
                <w:rFonts w:ascii="Calibri" w:hAnsi="Calibri" w:cs="Calibri"/>
                <w:b/>
                <w:bCs/>
                <w:color w:val="000000"/>
                <w:sz w:val="16"/>
                <w:szCs w:val="16"/>
              </w:rPr>
              <w:t>(Redução ao Valor Recuperável - FIOL I) (4)</w:t>
            </w:r>
          </w:p>
        </w:tc>
        <w:tc>
          <w:tcPr>
            <w:tcW w:w="1486" w:type="dxa"/>
            <w:tcBorders>
              <w:top w:val="nil"/>
              <w:left w:val="nil"/>
              <w:bottom w:val="single" w:sz="8" w:space="0" w:color="auto"/>
              <w:right w:val="nil"/>
            </w:tcBorders>
            <w:shd w:val="clear" w:color="auto" w:fill="auto"/>
            <w:noWrap/>
            <w:vAlign w:val="center"/>
            <w:hideMark/>
          </w:tcPr>
          <w:p w14:paraId="6D0A7D42"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 xml:space="preserve">    (3.245.937.256)</w:t>
            </w:r>
          </w:p>
        </w:tc>
        <w:tc>
          <w:tcPr>
            <w:tcW w:w="1237" w:type="dxa"/>
            <w:tcBorders>
              <w:top w:val="nil"/>
              <w:left w:val="nil"/>
              <w:bottom w:val="single" w:sz="8" w:space="0" w:color="auto"/>
              <w:right w:val="nil"/>
            </w:tcBorders>
            <w:shd w:val="clear" w:color="auto" w:fill="auto"/>
            <w:noWrap/>
            <w:vAlign w:val="center"/>
            <w:hideMark/>
          </w:tcPr>
          <w:p w14:paraId="46744709" w14:textId="633343D5"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167" w:type="dxa"/>
            <w:tcBorders>
              <w:top w:val="nil"/>
              <w:left w:val="nil"/>
              <w:bottom w:val="single" w:sz="8" w:space="0" w:color="auto"/>
              <w:right w:val="nil"/>
            </w:tcBorders>
            <w:shd w:val="clear" w:color="auto" w:fill="auto"/>
            <w:noWrap/>
            <w:vAlign w:val="center"/>
            <w:hideMark/>
          </w:tcPr>
          <w:p w14:paraId="75D5FA0F" w14:textId="338FD750"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345" w:type="dxa"/>
            <w:tcBorders>
              <w:top w:val="nil"/>
              <w:left w:val="nil"/>
              <w:bottom w:val="single" w:sz="8" w:space="0" w:color="auto"/>
              <w:right w:val="nil"/>
            </w:tcBorders>
            <w:shd w:val="clear" w:color="auto" w:fill="auto"/>
            <w:noWrap/>
            <w:vAlign w:val="center"/>
            <w:hideMark/>
          </w:tcPr>
          <w:p w14:paraId="2CE710D4" w14:textId="798BCBE0"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522" w:type="dxa"/>
            <w:tcBorders>
              <w:top w:val="nil"/>
              <w:left w:val="nil"/>
              <w:bottom w:val="single" w:sz="8" w:space="0" w:color="auto"/>
              <w:right w:val="nil"/>
            </w:tcBorders>
            <w:shd w:val="clear" w:color="auto" w:fill="auto"/>
            <w:noWrap/>
            <w:vAlign w:val="center"/>
            <w:hideMark/>
          </w:tcPr>
          <w:p w14:paraId="377D66C3"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 xml:space="preserve">      (3.245.937.256)</w:t>
            </w:r>
          </w:p>
        </w:tc>
        <w:tc>
          <w:tcPr>
            <w:tcW w:w="666" w:type="dxa"/>
            <w:tcBorders>
              <w:top w:val="nil"/>
              <w:left w:val="nil"/>
              <w:bottom w:val="single" w:sz="8" w:space="0" w:color="auto"/>
              <w:right w:val="nil"/>
            </w:tcBorders>
            <w:shd w:val="clear" w:color="auto" w:fill="auto"/>
            <w:noWrap/>
            <w:vAlign w:val="bottom"/>
            <w:hideMark/>
          </w:tcPr>
          <w:p w14:paraId="60DC2732" w14:textId="77777777" w:rsidR="000C54C6" w:rsidRDefault="000C54C6">
            <w:pPr>
              <w:rPr>
                <w:color w:val="000000"/>
                <w:sz w:val="20"/>
                <w:szCs w:val="20"/>
              </w:rPr>
            </w:pPr>
            <w:r>
              <w:rPr>
                <w:color w:val="000000"/>
                <w:sz w:val="20"/>
                <w:szCs w:val="20"/>
              </w:rPr>
              <w:t> </w:t>
            </w:r>
          </w:p>
        </w:tc>
      </w:tr>
      <w:tr w:rsidR="000C54C6" w14:paraId="04B0F6F2" w14:textId="77777777" w:rsidTr="000C54C6">
        <w:trPr>
          <w:trHeight w:val="135"/>
        </w:trPr>
        <w:tc>
          <w:tcPr>
            <w:tcW w:w="3097" w:type="dxa"/>
            <w:tcBorders>
              <w:top w:val="nil"/>
              <w:left w:val="nil"/>
              <w:bottom w:val="single" w:sz="8" w:space="0" w:color="auto"/>
              <w:right w:val="nil"/>
            </w:tcBorders>
            <w:shd w:val="clear" w:color="auto" w:fill="auto"/>
            <w:noWrap/>
            <w:vAlign w:val="bottom"/>
            <w:hideMark/>
          </w:tcPr>
          <w:p w14:paraId="288AA7FB" w14:textId="77777777" w:rsidR="000C54C6" w:rsidRDefault="000C54C6">
            <w:pPr>
              <w:rPr>
                <w:color w:val="000000"/>
                <w:sz w:val="20"/>
                <w:szCs w:val="20"/>
              </w:rPr>
            </w:pPr>
            <w:r>
              <w:rPr>
                <w:color w:val="000000"/>
                <w:sz w:val="20"/>
                <w:szCs w:val="20"/>
              </w:rPr>
              <w:t> </w:t>
            </w:r>
          </w:p>
        </w:tc>
        <w:tc>
          <w:tcPr>
            <w:tcW w:w="1486" w:type="dxa"/>
            <w:tcBorders>
              <w:top w:val="nil"/>
              <w:left w:val="nil"/>
              <w:bottom w:val="single" w:sz="8" w:space="0" w:color="auto"/>
              <w:right w:val="nil"/>
            </w:tcBorders>
            <w:shd w:val="clear" w:color="auto" w:fill="auto"/>
            <w:noWrap/>
            <w:vAlign w:val="bottom"/>
            <w:hideMark/>
          </w:tcPr>
          <w:p w14:paraId="6A5B10A3" w14:textId="77777777" w:rsidR="000C54C6" w:rsidRDefault="000C54C6">
            <w:pPr>
              <w:rPr>
                <w:color w:val="000000"/>
                <w:sz w:val="20"/>
                <w:szCs w:val="20"/>
              </w:rPr>
            </w:pPr>
            <w:r>
              <w:rPr>
                <w:color w:val="000000"/>
                <w:sz w:val="20"/>
                <w:szCs w:val="20"/>
              </w:rPr>
              <w:t> </w:t>
            </w:r>
          </w:p>
        </w:tc>
        <w:tc>
          <w:tcPr>
            <w:tcW w:w="1237" w:type="dxa"/>
            <w:tcBorders>
              <w:top w:val="nil"/>
              <w:left w:val="nil"/>
              <w:bottom w:val="single" w:sz="8" w:space="0" w:color="auto"/>
              <w:right w:val="nil"/>
            </w:tcBorders>
            <w:shd w:val="clear" w:color="auto" w:fill="auto"/>
            <w:noWrap/>
            <w:vAlign w:val="bottom"/>
            <w:hideMark/>
          </w:tcPr>
          <w:p w14:paraId="429A2FDB" w14:textId="77777777" w:rsidR="000C54C6" w:rsidRDefault="000C54C6">
            <w:pPr>
              <w:rPr>
                <w:color w:val="000000"/>
                <w:sz w:val="20"/>
                <w:szCs w:val="20"/>
              </w:rPr>
            </w:pPr>
            <w:r>
              <w:rPr>
                <w:color w:val="000000"/>
                <w:sz w:val="20"/>
                <w:szCs w:val="20"/>
              </w:rPr>
              <w:t> </w:t>
            </w:r>
          </w:p>
        </w:tc>
        <w:tc>
          <w:tcPr>
            <w:tcW w:w="1167" w:type="dxa"/>
            <w:tcBorders>
              <w:top w:val="nil"/>
              <w:left w:val="nil"/>
              <w:bottom w:val="single" w:sz="8" w:space="0" w:color="auto"/>
              <w:right w:val="nil"/>
            </w:tcBorders>
            <w:shd w:val="clear" w:color="auto" w:fill="auto"/>
            <w:noWrap/>
            <w:vAlign w:val="bottom"/>
            <w:hideMark/>
          </w:tcPr>
          <w:p w14:paraId="302ABAF4" w14:textId="77777777" w:rsidR="000C54C6" w:rsidRDefault="000C54C6">
            <w:pPr>
              <w:rPr>
                <w:color w:val="000000"/>
                <w:sz w:val="20"/>
                <w:szCs w:val="20"/>
              </w:rPr>
            </w:pPr>
            <w:r>
              <w:rPr>
                <w:color w:val="000000"/>
                <w:sz w:val="20"/>
                <w:szCs w:val="20"/>
              </w:rPr>
              <w:t> </w:t>
            </w:r>
          </w:p>
        </w:tc>
        <w:tc>
          <w:tcPr>
            <w:tcW w:w="1345" w:type="dxa"/>
            <w:tcBorders>
              <w:top w:val="nil"/>
              <w:left w:val="nil"/>
              <w:bottom w:val="single" w:sz="8" w:space="0" w:color="auto"/>
              <w:right w:val="nil"/>
            </w:tcBorders>
            <w:shd w:val="clear" w:color="auto" w:fill="auto"/>
            <w:noWrap/>
            <w:vAlign w:val="bottom"/>
            <w:hideMark/>
          </w:tcPr>
          <w:p w14:paraId="7252E6AC" w14:textId="77777777" w:rsidR="000C54C6" w:rsidRDefault="000C54C6">
            <w:pPr>
              <w:rPr>
                <w:color w:val="000000"/>
                <w:sz w:val="20"/>
                <w:szCs w:val="20"/>
              </w:rPr>
            </w:pPr>
            <w:r>
              <w:rPr>
                <w:color w:val="000000"/>
                <w:sz w:val="20"/>
                <w:szCs w:val="20"/>
              </w:rPr>
              <w:t> </w:t>
            </w:r>
          </w:p>
        </w:tc>
        <w:tc>
          <w:tcPr>
            <w:tcW w:w="1522" w:type="dxa"/>
            <w:tcBorders>
              <w:top w:val="nil"/>
              <w:left w:val="nil"/>
              <w:bottom w:val="single" w:sz="8" w:space="0" w:color="auto"/>
              <w:right w:val="nil"/>
            </w:tcBorders>
            <w:shd w:val="clear" w:color="auto" w:fill="auto"/>
            <w:noWrap/>
            <w:vAlign w:val="bottom"/>
            <w:hideMark/>
          </w:tcPr>
          <w:p w14:paraId="716851FD" w14:textId="77777777" w:rsidR="000C54C6" w:rsidRDefault="000C54C6">
            <w:pPr>
              <w:rPr>
                <w:color w:val="000000"/>
                <w:sz w:val="20"/>
                <w:szCs w:val="20"/>
              </w:rPr>
            </w:pPr>
            <w:r>
              <w:rPr>
                <w:color w:val="000000"/>
                <w:sz w:val="20"/>
                <w:szCs w:val="20"/>
              </w:rPr>
              <w:t> </w:t>
            </w:r>
          </w:p>
        </w:tc>
        <w:tc>
          <w:tcPr>
            <w:tcW w:w="666" w:type="dxa"/>
            <w:tcBorders>
              <w:top w:val="nil"/>
              <w:left w:val="nil"/>
              <w:bottom w:val="single" w:sz="8" w:space="0" w:color="auto"/>
              <w:right w:val="nil"/>
            </w:tcBorders>
            <w:shd w:val="clear" w:color="auto" w:fill="auto"/>
            <w:noWrap/>
            <w:vAlign w:val="bottom"/>
            <w:hideMark/>
          </w:tcPr>
          <w:p w14:paraId="4A1E3A57" w14:textId="77777777" w:rsidR="000C54C6" w:rsidRDefault="000C54C6">
            <w:pPr>
              <w:rPr>
                <w:color w:val="000000"/>
                <w:sz w:val="20"/>
                <w:szCs w:val="20"/>
              </w:rPr>
            </w:pPr>
            <w:r>
              <w:rPr>
                <w:color w:val="000000"/>
                <w:sz w:val="20"/>
                <w:szCs w:val="20"/>
              </w:rPr>
              <w:t> </w:t>
            </w:r>
          </w:p>
        </w:tc>
      </w:tr>
      <w:tr w:rsidR="000C54C6" w14:paraId="3A514514" w14:textId="77777777" w:rsidTr="000C54C6">
        <w:trPr>
          <w:trHeight w:val="300"/>
        </w:trPr>
        <w:tc>
          <w:tcPr>
            <w:tcW w:w="3097" w:type="dxa"/>
            <w:tcBorders>
              <w:top w:val="nil"/>
              <w:left w:val="nil"/>
              <w:bottom w:val="single" w:sz="8" w:space="0" w:color="auto"/>
              <w:right w:val="nil"/>
            </w:tcBorders>
            <w:shd w:val="clear" w:color="auto" w:fill="auto"/>
            <w:noWrap/>
            <w:vAlign w:val="center"/>
            <w:hideMark/>
          </w:tcPr>
          <w:p w14:paraId="13FE6581" w14:textId="77777777" w:rsidR="000C54C6" w:rsidRDefault="000C54C6">
            <w:pPr>
              <w:rPr>
                <w:rFonts w:ascii="Calibri" w:hAnsi="Calibri" w:cs="Calibri"/>
                <w:b/>
                <w:bCs/>
                <w:color w:val="000000"/>
                <w:sz w:val="16"/>
                <w:szCs w:val="16"/>
              </w:rPr>
            </w:pPr>
            <w:r>
              <w:rPr>
                <w:rFonts w:ascii="Calibri" w:hAnsi="Calibri" w:cs="Calibri"/>
                <w:b/>
                <w:bCs/>
                <w:color w:val="000000"/>
                <w:sz w:val="16"/>
                <w:szCs w:val="16"/>
              </w:rPr>
              <w:t>Depreciação de Bens Móveis e Imóveis (5)</w:t>
            </w:r>
          </w:p>
        </w:tc>
        <w:tc>
          <w:tcPr>
            <w:tcW w:w="1486" w:type="dxa"/>
            <w:tcBorders>
              <w:top w:val="nil"/>
              <w:left w:val="nil"/>
              <w:bottom w:val="single" w:sz="8" w:space="0" w:color="auto"/>
              <w:right w:val="nil"/>
            </w:tcBorders>
            <w:shd w:val="clear" w:color="auto" w:fill="auto"/>
            <w:noWrap/>
            <w:vAlign w:val="center"/>
            <w:hideMark/>
          </w:tcPr>
          <w:p w14:paraId="2188B332"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 xml:space="preserve">         (949.433.536)</w:t>
            </w:r>
          </w:p>
        </w:tc>
        <w:tc>
          <w:tcPr>
            <w:tcW w:w="1237" w:type="dxa"/>
            <w:tcBorders>
              <w:top w:val="nil"/>
              <w:left w:val="nil"/>
              <w:bottom w:val="single" w:sz="8" w:space="0" w:color="auto"/>
              <w:right w:val="nil"/>
            </w:tcBorders>
            <w:shd w:val="clear" w:color="auto" w:fill="auto"/>
            <w:noWrap/>
            <w:vAlign w:val="center"/>
            <w:hideMark/>
          </w:tcPr>
          <w:p w14:paraId="144F5AE3"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 xml:space="preserve">         (3.107.812)</w:t>
            </w:r>
          </w:p>
        </w:tc>
        <w:tc>
          <w:tcPr>
            <w:tcW w:w="1167" w:type="dxa"/>
            <w:tcBorders>
              <w:top w:val="nil"/>
              <w:left w:val="nil"/>
              <w:bottom w:val="single" w:sz="8" w:space="0" w:color="auto"/>
              <w:right w:val="nil"/>
            </w:tcBorders>
            <w:shd w:val="clear" w:color="auto" w:fill="auto"/>
            <w:noWrap/>
            <w:vAlign w:val="center"/>
            <w:hideMark/>
          </w:tcPr>
          <w:p w14:paraId="435E6226"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 xml:space="preserve">         3.807.305 </w:t>
            </w:r>
          </w:p>
        </w:tc>
        <w:tc>
          <w:tcPr>
            <w:tcW w:w="1345" w:type="dxa"/>
            <w:tcBorders>
              <w:top w:val="nil"/>
              <w:left w:val="nil"/>
              <w:bottom w:val="single" w:sz="8" w:space="0" w:color="auto"/>
              <w:right w:val="nil"/>
            </w:tcBorders>
            <w:shd w:val="clear" w:color="auto" w:fill="auto"/>
            <w:noWrap/>
            <w:vAlign w:val="center"/>
            <w:hideMark/>
          </w:tcPr>
          <w:p w14:paraId="16E821AD" w14:textId="2A01CEC1"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522" w:type="dxa"/>
            <w:tcBorders>
              <w:top w:val="nil"/>
              <w:left w:val="nil"/>
              <w:bottom w:val="single" w:sz="8" w:space="0" w:color="auto"/>
              <w:right w:val="nil"/>
            </w:tcBorders>
            <w:shd w:val="clear" w:color="auto" w:fill="auto"/>
            <w:noWrap/>
            <w:vAlign w:val="center"/>
            <w:hideMark/>
          </w:tcPr>
          <w:p w14:paraId="6260A377"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 xml:space="preserve">          (948.734.044)</w:t>
            </w:r>
          </w:p>
        </w:tc>
        <w:tc>
          <w:tcPr>
            <w:tcW w:w="666" w:type="dxa"/>
            <w:tcBorders>
              <w:top w:val="nil"/>
              <w:left w:val="nil"/>
              <w:bottom w:val="single" w:sz="8" w:space="0" w:color="auto"/>
              <w:right w:val="nil"/>
            </w:tcBorders>
            <w:shd w:val="clear" w:color="auto" w:fill="auto"/>
            <w:noWrap/>
            <w:vAlign w:val="center"/>
            <w:hideMark/>
          </w:tcPr>
          <w:p w14:paraId="306C0039"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 xml:space="preserve"> </w:t>
            </w:r>
          </w:p>
        </w:tc>
      </w:tr>
      <w:tr w:rsidR="000C54C6" w14:paraId="38541D62" w14:textId="77777777" w:rsidTr="000C54C6">
        <w:trPr>
          <w:trHeight w:val="300"/>
        </w:trPr>
        <w:tc>
          <w:tcPr>
            <w:tcW w:w="3097" w:type="dxa"/>
            <w:tcBorders>
              <w:top w:val="nil"/>
              <w:left w:val="nil"/>
              <w:bottom w:val="nil"/>
              <w:right w:val="nil"/>
            </w:tcBorders>
            <w:shd w:val="clear" w:color="auto" w:fill="auto"/>
            <w:noWrap/>
            <w:vAlign w:val="bottom"/>
            <w:hideMark/>
          </w:tcPr>
          <w:p w14:paraId="5AD3D6D9" w14:textId="77777777" w:rsidR="000C54C6" w:rsidRDefault="000C54C6">
            <w:pPr>
              <w:rPr>
                <w:rFonts w:ascii="Calibri" w:hAnsi="Calibri" w:cs="Calibri"/>
                <w:b/>
                <w:bCs/>
                <w:color w:val="000000"/>
                <w:sz w:val="16"/>
                <w:szCs w:val="16"/>
              </w:rPr>
            </w:pPr>
            <w:r>
              <w:rPr>
                <w:rFonts w:ascii="Calibri" w:hAnsi="Calibri" w:cs="Calibri"/>
                <w:b/>
                <w:bCs/>
                <w:color w:val="000000"/>
                <w:sz w:val="16"/>
                <w:szCs w:val="16"/>
              </w:rPr>
              <w:t xml:space="preserve">Depreciação de Bens Móveis </w:t>
            </w:r>
          </w:p>
        </w:tc>
        <w:tc>
          <w:tcPr>
            <w:tcW w:w="1486" w:type="dxa"/>
            <w:tcBorders>
              <w:top w:val="nil"/>
              <w:left w:val="nil"/>
              <w:bottom w:val="nil"/>
              <w:right w:val="nil"/>
            </w:tcBorders>
            <w:shd w:val="clear" w:color="auto" w:fill="auto"/>
            <w:noWrap/>
            <w:vAlign w:val="bottom"/>
            <w:hideMark/>
          </w:tcPr>
          <w:p w14:paraId="0BE620B8"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 xml:space="preserve">            (26.263.300)</w:t>
            </w:r>
          </w:p>
        </w:tc>
        <w:tc>
          <w:tcPr>
            <w:tcW w:w="1237" w:type="dxa"/>
            <w:tcBorders>
              <w:top w:val="nil"/>
              <w:left w:val="nil"/>
              <w:bottom w:val="nil"/>
              <w:right w:val="nil"/>
            </w:tcBorders>
            <w:shd w:val="clear" w:color="auto" w:fill="auto"/>
            <w:noWrap/>
            <w:vAlign w:val="bottom"/>
            <w:hideMark/>
          </w:tcPr>
          <w:p w14:paraId="1681FD2D"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 xml:space="preserve">         (2.580.287)</w:t>
            </w:r>
          </w:p>
        </w:tc>
        <w:tc>
          <w:tcPr>
            <w:tcW w:w="1167" w:type="dxa"/>
            <w:tcBorders>
              <w:top w:val="nil"/>
              <w:left w:val="nil"/>
              <w:bottom w:val="nil"/>
              <w:right w:val="nil"/>
            </w:tcBorders>
            <w:shd w:val="clear" w:color="auto" w:fill="auto"/>
            <w:noWrap/>
            <w:vAlign w:val="bottom"/>
            <w:hideMark/>
          </w:tcPr>
          <w:p w14:paraId="13DA6205"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 xml:space="preserve">                   9.347 </w:t>
            </w:r>
          </w:p>
        </w:tc>
        <w:tc>
          <w:tcPr>
            <w:tcW w:w="1345" w:type="dxa"/>
            <w:tcBorders>
              <w:top w:val="nil"/>
              <w:left w:val="nil"/>
              <w:bottom w:val="nil"/>
              <w:right w:val="nil"/>
            </w:tcBorders>
            <w:shd w:val="clear" w:color="auto" w:fill="auto"/>
            <w:noWrap/>
            <w:vAlign w:val="bottom"/>
            <w:hideMark/>
          </w:tcPr>
          <w:p w14:paraId="3BEF15E9"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522" w:type="dxa"/>
            <w:tcBorders>
              <w:top w:val="nil"/>
              <w:left w:val="nil"/>
              <w:bottom w:val="nil"/>
              <w:right w:val="nil"/>
            </w:tcBorders>
            <w:shd w:val="clear" w:color="auto" w:fill="auto"/>
            <w:noWrap/>
            <w:vAlign w:val="bottom"/>
            <w:hideMark/>
          </w:tcPr>
          <w:p w14:paraId="5E28590B"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 xml:space="preserve">             (28.834.240)</w:t>
            </w:r>
          </w:p>
        </w:tc>
        <w:tc>
          <w:tcPr>
            <w:tcW w:w="666" w:type="dxa"/>
            <w:tcBorders>
              <w:top w:val="nil"/>
              <w:left w:val="nil"/>
              <w:bottom w:val="nil"/>
              <w:right w:val="nil"/>
            </w:tcBorders>
            <w:shd w:val="clear" w:color="auto" w:fill="auto"/>
            <w:noWrap/>
            <w:vAlign w:val="bottom"/>
            <w:hideMark/>
          </w:tcPr>
          <w:p w14:paraId="4CECED30" w14:textId="77777777" w:rsidR="000C54C6" w:rsidRDefault="000C54C6">
            <w:pPr>
              <w:jc w:val="right"/>
              <w:rPr>
                <w:rFonts w:ascii="Calibri" w:hAnsi="Calibri" w:cs="Calibri"/>
                <w:b/>
                <w:bCs/>
                <w:color w:val="000000"/>
                <w:sz w:val="16"/>
                <w:szCs w:val="16"/>
              </w:rPr>
            </w:pPr>
          </w:p>
        </w:tc>
      </w:tr>
      <w:tr w:rsidR="000C54C6" w14:paraId="467F9671" w14:textId="77777777" w:rsidTr="000C54C6">
        <w:trPr>
          <w:trHeight w:val="300"/>
        </w:trPr>
        <w:tc>
          <w:tcPr>
            <w:tcW w:w="3097" w:type="dxa"/>
            <w:tcBorders>
              <w:top w:val="nil"/>
              <w:left w:val="nil"/>
              <w:bottom w:val="nil"/>
              <w:right w:val="nil"/>
            </w:tcBorders>
            <w:shd w:val="clear" w:color="auto" w:fill="auto"/>
            <w:noWrap/>
            <w:vAlign w:val="bottom"/>
            <w:hideMark/>
          </w:tcPr>
          <w:p w14:paraId="0DF8155E" w14:textId="77777777" w:rsidR="000C54C6" w:rsidRDefault="000C54C6">
            <w:pPr>
              <w:rPr>
                <w:rFonts w:ascii="Calibri" w:hAnsi="Calibri" w:cs="Calibri"/>
                <w:b/>
                <w:bCs/>
                <w:color w:val="000000"/>
                <w:sz w:val="16"/>
                <w:szCs w:val="16"/>
              </w:rPr>
            </w:pPr>
            <w:r>
              <w:rPr>
                <w:rFonts w:ascii="Calibri" w:hAnsi="Calibri" w:cs="Calibri"/>
                <w:b/>
                <w:bCs/>
                <w:color w:val="000000"/>
                <w:sz w:val="16"/>
                <w:szCs w:val="16"/>
              </w:rPr>
              <w:t xml:space="preserve">Depreciação de Bens Imóveis </w:t>
            </w:r>
          </w:p>
        </w:tc>
        <w:tc>
          <w:tcPr>
            <w:tcW w:w="1486" w:type="dxa"/>
            <w:tcBorders>
              <w:top w:val="nil"/>
              <w:left w:val="nil"/>
              <w:bottom w:val="nil"/>
              <w:right w:val="nil"/>
            </w:tcBorders>
            <w:shd w:val="clear" w:color="auto" w:fill="auto"/>
            <w:noWrap/>
            <w:vAlign w:val="bottom"/>
            <w:hideMark/>
          </w:tcPr>
          <w:p w14:paraId="015865AF"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 xml:space="preserve">         (923.170.236)</w:t>
            </w:r>
          </w:p>
        </w:tc>
        <w:tc>
          <w:tcPr>
            <w:tcW w:w="1237" w:type="dxa"/>
            <w:tcBorders>
              <w:top w:val="nil"/>
              <w:left w:val="nil"/>
              <w:bottom w:val="nil"/>
              <w:right w:val="nil"/>
            </w:tcBorders>
            <w:shd w:val="clear" w:color="auto" w:fill="auto"/>
            <w:noWrap/>
            <w:vAlign w:val="bottom"/>
            <w:hideMark/>
          </w:tcPr>
          <w:p w14:paraId="37419655"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 xml:space="preserve">              (527.525)</w:t>
            </w:r>
          </w:p>
        </w:tc>
        <w:tc>
          <w:tcPr>
            <w:tcW w:w="1167" w:type="dxa"/>
            <w:tcBorders>
              <w:top w:val="nil"/>
              <w:left w:val="nil"/>
              <w:bottom w:val="nil"/>
              <w:right w:val="nil"/>
            </w:tcBorders>
            <w:shd w:val="clear" w:color="auto" w:fill="auto"/>
            <w:noWrap/>
            <w:vAlign w:val="bottom"/>
            <w:hideMark/>
          </w:tcPr>
          <w:p w14:paraId="6A3117B7"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 xml:space="preserve">         3.797.957 </w:t>
            </w:r>
          </w:p>
        </w:tc>
        <w:tc>
          <w:tcPr>
            <w:tcW w:w="1345" w:type="dxa"/>
            <w:tcBorders>
              <w:top w:val="nil"/>
              <w:left w:val="nil"/>
              <w:bottom w:val="nil"/>
              <w:right w:val="nil"/>
            </w:tcBorders>
            <w:shd w:val="clear" w:color="auto" w:fill="auto"/>
            <w:noWrap/>
            <w:vAlign w:val="bottom"/>
            <w:hideMark/>
          </w:tcPr>
          <w:p w14:paraId="7867AECE"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522" w:type="dxa"/>
            <w:tcBorders>
              <w:top w:val="nil"/>
              <w:left w:val="nil"/>
              <w:bottom w:val="nil"/>
              <w:right w:val="nil"/>
            </w:tcBorders>
            <w:shd w:val="clear" w:color="auto" w:fill="auto"/>
            <w:noWrap/>
            <w:vAlign w:val="bottom"/>
            <w:hideMark/>
          </w:tcPr>
          <w:p w14:paraId="3CAA012F"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 xml:space="preserve">          (919.899.804)</w:t>
            </w:r>
          </w:p>
        </w:tc>
        <w:tc>
          <w:tcPr>
            <w:tcW w:w="666" w:type="dxa"/>
            <w:tcBorders>
              <w:top w:val="nil"/>
              <w:left w:val="nil"/>
              <w:bottom w:val="nil"/>
              <w:right w:val="nil"/>
            </w:tcBorders>
            <w:shd w:val="clear" w:color="auto" w:fill="auto"/>
            <w:noWrap/>
            <w:vAlign w:val="bottom"/>
            <w:hideMark/>
          </w:tcPr>
          <w:p w14:paraId="60FC34B9" w14:textId="77777777" w:rsidR="000C54C6" w:rsidRDefault="000C54C6">
            <w:pPr>
              <w:jc w:val="right"/>
              <w:rPr>
                <w:rFonts w:ascii="Calibri" w:hAnsi="Calibri" w:cs="Calibri"/>
                <w:b/>
                <w:bCs/>
                <w:color w:val="000000"/>
                <w:sz w:val="16"/>
                <w:szCs w:val="16"/>
              </w:rPr>
            </w:pPr>
          </w:p>
        </w:tc>
      </w:tr>
      <w:tr w:rsidR="000C54C6" w14:paraId="07DEE057" w14:textId="77777777" w:rsidTr="000C54C6">
        <w:trPr>
          <w:trHeight w:val="300"/>
        </w:trPr>
        <w:tc>
          <w:tcPr>
            <w:tcW w:w="3097" w:type="dxa"/>
            <w:tcBorders>
              <w:top w:val="nil"/>
              <w:left w:val="nil"/>
              <w:bottom w:val="nil"/>
              <w:right w:val="nil"/>
            </w:tcBorders>
            <w:shd w:val="clear" w:color="auto" w:fill="auto"/>
            <w:noWrap/>
            <w:vAlign w:val="bottom"/>
            <w:hideMark/>
          </w:tcPr>
          <w:p w14:paraId="27BB42D8" w14:textId="77777777" w:rsidR="000C54C6" w:rsidRDefault="000C54C6">
            <w:pPr>
              <w:rPr>
                <w:rFonts w:ascii="Calibri" w:hAnsi="Calibri" w:cs="Calibri"/>
                <w:color w:val="000000"/>
                <w:sz w:val="16"/>
                <w:szCs w:val="16"/>
              </w:rPr>
            </w:pPr>
            <w:r>
              <w:rPr>
                <w:rFonts w:ascii="Calibri" w:hAnsi="Calibri" w:cs="Calibri"/>
                <w:color w:val="000000"/>
                <w:sz w:val="16"/>
                <w:szCs w:val="16"/>
              </w:rPr>
              <w:t xml:space="preserve">     Salas e Escritórios</w:t>
            </w:r>
          </w:p>
        </w:tc>
        <w:tc>
          <w:tcPr>
            <w:tcW w:w="1486" w:type="dxa"/>
            <w:tcBorders>
              <w:top w:val="nil"/>
              <w:left w:val="nil"/>
              <w:bottom w:val="nil"/>
              <w:right w:val="nil"/>
            </w:tcBorders>
            <w:shd w:val="clear" w:color="auto" w:fill="auto"/>
            <w:noWrap/>
            <w:vAlign w:val="bottom"/>
            <w:hideMark/>
          </w:tcPr>
          <w:p w14:paraId="5600317C"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(5.680.648)</w:t>
            </w:r>
          </w:p>
        </w:tc>
        <w:tc>
          <w:tcPr>
            <w:tcW w:w="1237" w:type="dxa"/>
            <w:tcBorders>
              <w:top w:val="nil"/>
              <w:left w:val="nil"/>
              <w:bottom w:val="nil"/>
              <w:right w:val="nil"/>
            </w:tcBorders>
            <w:shd w:val="clear" w:color="auto" w:fill="auto"/>
            <w:noWrap/>
            <w:vAlign w:val="bottom"/>
            <w:hideMark/>
          </w:tcPr>
          <w:p w14:paraId="607733CB"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(256.257)</w:t>
            </w:r>
          </w:p>
        </w:tc>
        <w:tc>
          <w:tcPr>
            <w:tcW w:w="1167" w:type="dxa"/>
            <w:tcBorders>
              <w:top w:val="nil"/>
              <w:left w:val="nil"/>
              <w:bottom w:val="nil"/>
              <w:right w:val="nil"/>
            </w:tcBorders>
            <w:shd w:val="clear" w:color="auto" w:fill="auto"/>
            <w:noWrap/>
            <w:vAlign w:val="bottom"/>
            <w:hideMark/>
          </w:tcPr>
          <w:p w14:paraId="580AD31A"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3.797.957 </w:t>
            </w:r>
          </w:p>
        </w:tc>
        <w:tc>
          <w:tcPr>
            <w:tcW w:w="1345" w:type="dxa"/>
            <w:tcBorders>
              <w:top w:val="nil"/>
              <w:left w:val="nil"/>
              <w:bottom w:val="nil"/>
              <w:right w:val="nil"/>
            </w:tcBorders>
            <w:shd w:val="clear" w:color="auto" w:fill="auto"/>
            <w:noWrap/>
            <w:vAlign w:val="bottom"/>
            <w:hideMark/>
          </w:tcPr>
          <w:p w14:paraId="32517CEA"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522" w:type="dxa"/>
            <w:tcBorders>
              <w:top w:val="nil"/>
              <w:left w:val="nil"/>
              <w:bottom w:val="nil"/>
              <w:right w:val="nil"/>
            </w:tcBorders>
            <w:shd w:val="clear" w:color="auto" w:fill="auto"/>
            <w:noWrap/>
            <w:vAlign w:val="bottom"/>
            <w:hideMark/>
          </w:tcPr>
          <w:p w14:paraId="7B31E922"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(2.138.948)</w:t>
            </w:r>
          </w:p>
        </w:tc>
        <w:tc>
          <w:tcPr>
            <w:tcW w:w="666" w:type="dxa"/>
            <w:tcBorders>
              <w:top w:val="nil"/>
              <w:left w:val="nil"/>
              <w:bottom w:val="nil"/>
              <w:right w:val="nil"/>
            </w:tcBorders>
            <w:shd w:val="clear" w:color="auto" w:fill="auto"/>
            <w:noWrap/>
            <w:vAlign w:val="bottom"/>
            <w:hideMark/>
          </w:tcPr>
          <w:p w14:paraId="44C9AC2C" w14:textId="77777777" w:rsidR="000C54C6" w:rsidRDefault="000C54C6">
            <w:pPr>
              <w:jc w:val="right"/>
              <w:rPr>
                <w:rFonts w:ascii="Calibri" w:hAnsi="Calibri" w:cs="Calibri"/>
                <w:color w:val="000000"/>
                <w:sz w:val="16"/>
                <w:szCs w:val="16"/>
              </w:rPr>
            </w:pPr>
          </w:p>
        </w:tc>
      </w:tr>
      <w:tr w:rsidR="000C54C6" w14:paraId="176442D0" w14:textId="77777777" w:rsidTr="000C54C6">
        <w:trPr>
          <w:trHeight w:val="300"/>
        </w:trPr>
        <w:tc>
          <w:tcPr>
            <w:tcW w:w="3097" w:type="dxa"/>
            <w:tcBorders>
              <w:top w:val="nil"/>
              <w:left w:val="nil"/>
              <w:bottom w:val="nil"/>
              <w:right w:val="nil"/>
            </w:tcBorders>
            <w:shd w:val="clear" w:color="auto" w:fill="auto"/>
            <w:noWrap/>
            <w:vAlign w:val="bottom"/>
            <w:hideMark/>
          </w:tcPr>
          <w:p w14:paraId="0C51209B" w14:textId="77777777" w:rsidR="000C54C6" w:rsidRDefault="000C54C6">
            <w:pPr>
              <w:rPr>
                <w:rFonts w:ascii="Calibri" w:hAnsi="Calibri" w:cs="Calibri"/>
                <w:color w:val="000000"/>
                <w:sz w:val="16"/>
                <w:szCs w:val="16"/>
              </w:rPr>
            </w:pPr>
            <w:r>
              <w:rPr>
                <w:rFonts w:ascii="Calibri" w:hAnsi="Calibri" w:cs="Calibri"/>
                <w:color w:val="000000"/>
                <w:sz w:val="16"/>
                <w:szCs w:val="16"/>
              </w:rPr>
              <w:t xml:space="preserve">     FNS - Açailândia/MA - Palmas/TO</w:t>
            </w:r>
          </w:p>
        </w:tc>
        <w:tc>
          <w:tcPr>
            <w:tcW w:w="1486" w:type="dxa"/>
            <w:tcBorders>
              <w:top w:val="nil"/>
              <w:left w:val="nil"/>
              <w:bottom w:val="nil"/>
              <w:right w:val="nil"/>
            </w:tcBorders>
            <w:shd w:val="clear" w:color="auto" w:fill="auto"/>
            <w:noWrap/>
            <w:vAlign w:val="bottom"/>
            <w:hideMark/>
          </w:tcPr>
          <w:p w14:paraId="1F5C9A3A"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(293.414.824)</w:t>
            </w:r>
          </w:p>
        </w:tc>
        <w:tc>
          <w:tcPr>
            <w:tcW w:w="1237" w:type="dxa"/>
            <w:tcBorders>
              <w:top w:val="nil"/>
              <w:left w:val="nil"/>
              <w:bottom w:val="nil"/>
              <w:right w:val="nil"/>
            </w:tcBorders>
            <w:shd w:val="clear" w:color="auto" w:fill="auto"/>
            <w:noWrap/>
            <w:vAlign w:val="bottom"/>
            <w:hideMark/>
          </w:tcPr>
          <w:p w14:paraId="3E955439"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167" w:type="dxa"/>
            <w:tcBorders>
              <w:top w:val="nil"/>
              <w:left w:val="nil"/>
              <w:bottom w:val="nil"/>
              <w:right w:val="nil"/>
            </w:tcBorders>
            <w:shd w:val="clear" w:color="auto" w:fill="auto"/>
            <w:noWrap/>
            <w:vAlign w:val="bottom"/>
            <w:hideMark/>
          </w:tcPr>
          <w:p w14:paraId="01CCEE8B"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bottom"/>
            <w:hideMark/>
          </w:tcPr>
          <w:p w14:paraId="2DE80A30"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522" w:type="dxa"/>
            <w:tcBorders>
              <w:top w:val="nil"/>
              <w:left w:val="nil"/>
              <w:bottom w:val="nil"/>
              <w:right w:val="nil"/>
            </w:tcBorders>
            <w:shd w:val="clear" w:color="auto" w:fill="auto"/>
            <w:noWrap/>
            <w:vAlign w:val="bottom"/>
            <w:hideMark/>
          </w:tcPr>
          <w:p w14:paraId="39DB960D"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(293.414.824)</w:t>
            </w:r>
          </w:p>
        </w:tc>
        <w:tc>
          <w:tcPr>
            <w:tcW w:w="666" w:type="dxa"/>
            <w:tcBorders>
              <w:top w:val="nil"/>
              <w:left w:val="nil"/>
              <w:bottom w:val="nil"/>
              <w:right w:val="nil"/>
            </w:tcBorders>
            <w:shd w:val="clear" w:color="auto" w:fill="auto"/>
            <w:noWrap/>
            <w:vAlign w:val="bottom"/>
            <w:hideMark/>
          </w:tcPr>
          <w:p w14:paraId="38184D8F" w14:textId="77777777" w:rsidR="000C54C6" w:rsidRDefault="000C54C6">
            <w:pPr>
              <w:jc w:val="right"/>
              <w:rPr>
                <w:rFonts w:ascii="Calibri" w:hAnsi="Calibri" w:cs="Calibri"/>
                <w:color w:val="000000"/>
                <w:sz w:val="16"/>
                <w:szCs w:val="16"/>
              </w:rPr>
            </w:pPr>
          </w:p>
        </w:tc>
      </w:tr>
      <w:tr w:rsidR="000C54C6" w14:paraId="48C83001" w14:textId="77777777" w:rsidTr="000C54C6">
        <w:trPr>
          <w:trHeight w:val="300"/>
        </w:trPr>
        <w:tc>
          <w:tcPr>
            <w:tcW w:w="3097" w:type="dxa"/>
            <w:tcBorders>
              <w:top w:val="nil"/>
              <w:left w:val="nil"/>
              <w:bottom w:val="nil"/>
              <w:right w:val="nil"/>
            </w:tcBorders>
            <w:shd w:val="clear" w:color="auto" w:fill="auto"/>
            <w:noWrap/>
            <w:vAlign w:val="bottom"/>
            <w:hideMark/>
          </w:tcPr>
          <w:p w14:paraId="7C63F38F" w14:textId="77777777" w:rsidR="000C54C6" w:rsidRDefault="000C54C6">
            <w:pPr>
              <w:rPr>
                <w:rFonts w:ascii="Calibri" w:hAnsi="Calibri" w:cs="Calibri"/>
                <w:color w:val="000000"/>
                <w:sz w:val="16"/>
                <w:szCs w:val="16"/>
              </w:rPr>
            </w:pPr>
            <w:r>
              <w:rPr>
                <w:rFonts w:ascii="Calibri" w:hAnsi="Calibri" w:cs="Calibri"/>
                <w:color w:val="000000"/>
                <w:sz w:val="16"/>
                <w:szCs w:val="16"/>
              </w:rPr>
              <w:t xml:space="preserve">     FNS - Porto Nacional/TO - Anápolis/GO</w:t>
            </w:r>
          </w:p>
        </w:tc>
        <w:tc>
          <w:tcPr>
            <w:tcW w:w="1486" w:type="dxa"/>
            <w:tcBorders>
              <w:top w:val="nil"/>
              <w:left w:val="nil"/>
              <w:bottom w:val="nil"/>
              <w:right w:val="nil"/>
            </w:tcBorders>
            <w:shd w:val="clear" w:color="auto" w:fill="auto"/>
            <w:noWrap/>
            <w:vAlign w:val="bottom"/>
            <w:hideMark/>
          </w:tcPr>
          <w:p w14:paraId="2183B887"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(623.260.959)</w:t>
            </w:r>
          </w:p>
        </w:tc>
        <w:tc>
          <w:tcPr>
            <w:tcW w:w="1237" w:type="dxa"/>
            <w:tcBorders>
              <w:top w:val="nil"/>
              <w:left w:val="nil"/>
              <w:bottom w:val="nil"/>
              <w:right w:val="nil"/>
            </w:tcBorders>
            <w:shd w:val="clear" w:color="auto" w:fill="auto"/>
            <w:noWrap/>
            <w:vAlign w:val="bottom"/>
            <w:hideMark/>
          </w:tcPr>
          <w:p w14:paraId="554AC505"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167" w:type="dxa"/>
            <w:tcBorders>
              <w:top w:val="nil"/>
              <w:left w:val="nil"/>
              <w:bottom w:val="nil"/>
              <w:right w:val="nil"/>
            </w:tcBorders>
            <w:shd w:val="clear" w:color="auto" w:fill="auto"/>
            <w:noWrap/>
            <w:vAlign w:val="bottom"/>
            <w:hideMark/>
          </w:tcPr>
          <w:p w14:paraId="30753093"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bottom"/>
            <w:hideMark/>
          </w:tcPr>
          <w:p w14:paraId="1AD5567D"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522" w:type="dxa"/>
            <w:tcBorders>
              <w:top w:val="nil"/>
              <w:left w:val="nil"/>
              <w:bottom w:val="nil"/>
              <w:right w:val="nil"/>
            </w:tcBorders>
            <w:shd w:val="clear" w:color="auto" w:fill="auto"/>
            <w:noWrap/>
            <w:vAlign w:val="bottom"/>
            <w:hideMark/>
          </w:tcPr>
          <w:p w14:paraId="0563C025"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(623.260.959)</w:t>
            </w:r>
          </w:p>
        </w:tc>
        <w:tc>
          <w:tcPr>
            <w:tcW w:w="666" w:type="dxa"/>
            <w:tcBorders>
              <w:top w:val="nil"/>
              <w:left w:val="nil"/>
              <w:bottom w:val="nil"/>
              <w:right w:val="nil"/>
            </w:tcBorders>
            <w:shd w:val="clear" w:color="auto" w:fill="auto"/>
            <w:noWrap/>
            <w:vAlign w:val="bottom"/>
            <w:hideMark/>
          </w:tcPr>
          <w:p w14:paraId="5ECF10E6" w14:textId="77777777" w:rsidR="000C54C6" w:rsidRDefault="000C54C6">
            <w:pPr>
              <w:jc w:val="right"/>
              <w:rPr>
                <w:rFonts w:ascii="Calibri" w:hAnsi="Calibri" w:cs="Calibri"/>
                <w:color w:val="000000"/>
                <w:sz w:val="16"/>
                <w:szCs w:val="16"/>
              </w:rPr>
            </w:pPr>
          </w:p>
        </w:tc>
      </w:tr>
      <w:tr w:rsidR="000C54C6" w14:paraId="643B7169" w14:textId="77777777" w:rsidTr="000C54C6">
        <w:trPr>
          <w:trHeight w:val="300"/>
        </w:trPr>
        <w:tc>
          <w:tcPr>
            <w:tcW w:w="3097" w:type="dxa"/>
            <w:tcBorders>
              <w:top w:val="nil"/>
              <w:left w:val="nil"/>
              <w:bottom w:val="single" w:sz="8" w:space="0" w:color="000000"/>
              <w:right w:val="nil"/>
            </w:tcBorders>
            <w:shd w:val="clear" w:color="auto" w:fill="auto"/>
            <w:vAlign w:val="bottom"/>
            <w:hideMark/>
          </w:tcPr>
          <w:p w14:paraId="42E67825" w14:textId="77777777" w:rsidR="000C54C6" w:rsidRDefault="000C54C6">
            <w:pPr>
              <w:rPr>
                <w:rFonts w:ascii="Calibri" w:hAnsi="Calibri" w:cs="Calibri"/>
                <w:color w:val="000000"/>
                <w:sz w:val="16"/>
                <w:szCs w:val="16"/>
              </w:rPr>
            </w:pPr>
            <w:r>
              <w:rPr>
                <w:rFonts w:ascii="Calibri" w:hAnsi="Calibri" w:cs="Calibri"/>
                <w:color w:val="000000"/>
                <w:sz w:val="16"/>
                <w:szCs w:val="16"/>
              </w:rPr>
              <w:t xml:space="preserve">     Pátio Porto Franco</w:t>
            </w:r>
          </w:p>
        </w:tc>
        <w:tc>
          <w:tcPr>
            <w:tcW w:w="1486" w:type="dxa"/>
            <w:tcBorders>
              <w:top w:val="nil"/>
              <w:left w:val="nil"/>
              <w:bottom w:val="single" w:sz="8" w:space="0" w:color="000000"/>
              <w:right w:val="nil"/>
            </w:tcBorders>
            <w:shd w:val="clear" w:color="auto" w:fill="auto"/>
            <w:noWrap/>
            <w:vAlign w:val="bottom"/>
            <w:hideMark/>
          </w:tcPr>
          <w:p w14:paraId="1E9BFEDB"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(813.805)</w:t>
            </w:r>
          </w:p>
        </w:tc>
        <w:tc>
          <w:tcPr>
            <w:tcW w:w="1237" w:type="dxa"/>
            <w:tcBorders>
              <w:top w:val="nil"/>
              <w:left w:val="nil"/>
              <w:bottom w:val="single" w:sz="8" w:space="0" w:color="000000"/>
              <w:right w:val="nil"/>
            </w:tcBorders>
            <w:shd w:val="clear" w:color="auto" w:fill="auto"/>
            <w:noWrap/>
            <w:vAlign w:val="bottom"/>
            <w:hideMark/>
          </w:tcPr>
          <w:p w14:paraId="618CE21C"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(271.268)</w:t>
            </w:r>
          </w:p>
        </w:tc>
        <w:tc>
          <w:tcPr>
            <w:tcW w:w="1167" w:type="dxa"/>
            <w:tcBorders>
              <w:top w:val="nil"/>
              <w:left w:val="nil"/>
              <w:bottom w:val="single" w:sz="8" w:space="0" w:color="000000"/>
              <w:right w:val="nil"/>
            </w:tcBorders>
            <w:shd w:val="clear" w:color="auto" w:fill="auto"/>
            <w:noWrap/>
            <w:vAlign w:val="bottom"/>
            <w:hideMark/>
          </w:tcPr>
          <w:p w14:paraId="74CB421B"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single" w:sz="8" w:space="0" w:color="000000"/>
              <w:right w:val="nil"/>
            </w:tcBorders>
            <w:shd w:val="clear" w:color="auto" w:fill="auto"/>
            <w:noWrap/>
            <w:vAlign w:val="bottom"/>
            <w:hideMark/>
          </w:tcPr>
          <w:p w14:paraId="34B40244"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522" w:type="dxa"/>
            <w:tcBorders>
              <w:top w:val="nil"/>
              <w:left w:val="nil"/>
              <w:bottom w:val="single" w:sz="8" w:space="0" w:color="auto"/>
              <w:right w:val="nil"/>
            </w:tcBorders>
            <w:shd w:val="clear" w:color="auto" w:fill="auto"/>
            <w:noWrap/>
            <w:vAlign w:val="bottom"/>
            <w:hideMark/>
          </w:tcPr>
          <w:p w14:paraId="78C7B94D"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(1.085.073)</w:t>
            </w:r>
          </w:p>
        </w:tc>
        <w:tc>
          <w:tcPr>
            <w:tcW w:w="666" w:type="dxa"/>
            <w:tcBorders>
              <w:top w:val="nil"/>
              <w:left w:val="nil"/>
              <w:bottom w:val="single" w:sz="8" w:space="0" w:color="000000"/>
              <w:right w:val="nil"/>
            </w:tcBorders>
            <w:shd w:val="clear" w:color="auto" w:fill="auto"/>
            <w:noWrap/>
            <w:vAlign w:val="bottom"/>
            <w:hideMark/>
          </w:tcPr>
          <w:p w14:paraId="211CAD92" w14:textId="77777777" w:rsidR="000C54C6" w:rsidRDefault="000C54C6">
            <w:pPr>
              <w:rPr>
                <w:rFonts w:ascii="Calibri" w:hAnsi="Calibri" w:cs="Calibri"/>
                <w:color w:val="000000"/>
                <w:sz w:val="16"/>
                <w:szCs w:val="16"/>
              </w:rPr>
            </w:pPr>
            <w:r>
              <w:rPr>
                <w:rFonts w:ascii="Calibri" w:hAnsi="Calibri" w:cs="Calibri"/>
                <w:color w:val="000000"/>
                <w:sz w:val="16"/>
                <w:szCs w:val="16"/>
              </w:rPr>
              <w:t> </w:t>
            </w:r>
          </w:p>
        </w:tc>
      </w:tr>
      <w:tr w:rsidR="000C54C6" w14:paraId="1D9791CD" w14:textId="77777777" w:rsidTr="000C54C6">
        <w:trPr>
          <w:trHeight w:val="150"/>
        </w:trPr>
        <w:tc>
          <w:tcPr>
            <w:tcW w:w="3097" w:type="dxa"/>
            <w:tcBorders>
              <w:top w:val="nil"/>
              <w:left w:val="nil"/>
              <w:bottom w:val="nil"/>
              <w:right w:val="nil"/>
            </w:tcBorders>
            <w:shd w:val="clear" w:color="auto" w:fill="auto"/>
            <w:vAlign w:val="center"/>
            <w:hideMark/>
          </w:tcPr>
          <w:p w14:paraId="577AABE6" w14:textId="77777777" w:rsidR="000C54C6" w:rsidRDefault="000C54C6">
            <w:pPr>
              <w:rPr>
                <w:rFonts w:ascii="Calibri" w:hAnsi="Calibri" w:cs="Calibri"/>
                <w:color w:val="000000"/>
                <w:sz w:val="16"/>
                <w:szCs w:val="16"/>
              </w:rPr>
            </w:pPr>
          </w:p>
        </w:tc>
        <w:tc>
          <w:tcPr>
            <w:tcW w:w="1486" w:type="dxa"/>
            <w:tcBorders>
              <w:top w:val="nil"/>
              <w:left w:val="nil"/>
              <w:bottom w:val="nil"/>
              <w:right w:val="nil"/>
            </w:tcBorders>
            <w:shd w:val="clear" w:color="auto" w:fill="auto"/>
            <w:noWrap/>
            <w:vAlign w:val="center"/>
            <w:hideMark/>
          </w:tcPr>
          <w:p w14:paraId="18217FD5" w14:textId="77777777" w:rsidR="000C54C6" w:rsidRDefault="000C54C6">
            <w:pPr>
              <w:rPr>
                <w:sz w:val="20"/>
                <w:szCs w:val="20"/>
              </w:rPr>
            </w:pPr>
          </w:p>
        </w:tc>
        <w:tc>
          <w:tcPr>
            <w:tcW w:w="1237" w:type="dxa"/>
            <w:tcBorders>
              <w:top w:val="nil"/>
              <w:left w:val="nil"/>
              <w:bottom w:val="nil"/>
              <w:right w:val="nil"/>
            </w:tcBorders>
            <w:shd w:val="clear" w:color="auto" w:fill="auto"/>
            <w:noWrap/>
            <w:vAlign w:val="center"/>
            <w:hideMark/>
          </w:tcPr>
          <w:p w14:paraId="5831C9B9" w14:textId="77777777" w:rsidR="000C54C6" w:rsidRDefault="000C54C6">
            <w:pPr>
              <w:jc w:val="right"/>
              <w:rPr>
                <w:sz w:val="20"/>
                <w:szCs w:val="20"/>
              </w:rPr>
            </w:pPr>
          </w:p>
        </w:tc>
        <w:tc>
          <w:tcPr>
            <w:tcW w:w="1167" w:type="dxa"/>
            <w:tcBorders>
              <w:top w:val="nil"/>
              <w:left w:val="nil"/>
              <w:bottom w:val="nil"/>
              <w:right w:val="nil"/>
            </w:tcBorders>
            <w:shd w:val="clear" w:color="auto" w:fill="auto"/>
            <w:noWrap/>
            <w:vAlign w:val="center"/>
            <w:hideMark/>
          </w:tcPr>
          <w:p w14:paraId="091492A8" w14:textId="77777777" w:rsidR="000C54C6" w:rsidRDefault="000C54C6">
            <w:pPr>
              <w:jc w:val="right"/>
              <w:rPr>
                <w:sz w:val="20"/>
                <w:szCs w:val="20"/>
              </w:rPr>
            </w:pPr>
          </w:p>
        </w:tc>
        <w:tc>
          <w:tcPr>
            <w:tcW w:w="1345" w:type="dxa"/>
            <w:tcBorders>
              <w:top w:val="nil"/>
              <w:left w:val="nil"/>
              <w:bottom w:val="nil"/>
              <w:right w:val="nil"/>
            </w:tcBorders>
            <w:shd w:val="clear" w:color="auto" w:fill="auto"/>
            <w:noWrap/>
            <w:vAlign w:val="center"/>
            <w:hideMark/>
          </w:tcPr>
          <w:p w14:paraId="754ADF57" w14:textId="77777777" w:rsidR="000C54C6" w:rsidRDefault="000C54C6">
            <w:pPr>
              <w:jc w:val="right"/>
              <w:rPr>
                <w:sz w:val="20"/>
                <w:szCs w:val="20"/>
              </w:rPr>
            </w:pPr>
          </w:p>
        </w:tc>
        <w:tc>
          <w:tcPr>
            <w:tcW w:w="1522" w:type="dxa"/>
            <w:tcBorders>
              <w:top w:val="nil"/>
              <w:left w:val="nil"/>
              <w:bottom w:val="nil"/>
              <w:right w:val="nil"/>
            </w:tcBorders>
            <w:shd w:val="clear" w:color="auto" w:fill="auto"/>
            <w:noWrap/>
            <w:vAlign w:val="center"/>
            <w:hideMark/>
          </w:tcPr>
          <w:p w14:paraId="5467022B" w14:textId="77777777" w:rsidR="000C54C6" w:rsidRDefault="000C54C6">
            <w:pPr>
              <w:jc w:val="right"/>
              <w:rPr>
                <w:sz w:val="20"/>
                <w:szCs w:val="20"/>
              </w:rPr>
            </w:pPr>
          </w:p>
        </w:tc>
        <w:tc>
          <w:tcPr>
            <w:tcW w:w="666" w:type="dxa"/>
            <w:tcBorders>
              <w:top w:val="nil"/>
              <w:left w:val="nil"/>
              <w:bottom w:val="nil"/>
              <w:right w:val="nil"/>
            </w:tcBorders>
            <w:shd w:val="clear" w:color="auto" w:fill="auto"/>
            <w:noWrap/>
            <w:vAlign w:val="center"/>
            <w:hideMark/>
          </w:tcPr>
          <w:p w14:paraId="0ECB0550" w14:textId="77777777" w:rsidR="000C54C6" w:rsidRDefault="000C54C6">
            <w:pPr>
              <w:jc w:val="right"/>
              <w:rPr>
                <w:sz w:val="20"/>
                <w:szCs w:val="20"/>
              </w:rPr>
            </w:pPr>
          </w:p>
        </w:tc>
      </w:tr>
      <w:tr w:rsidR="000C54C6" w14:paraId="455E3615" w14:textId="77777777" w:rsidTr="000C54C6">
        <w:trPr>
          <w:trHeight w:val="315"/>
        </w:trPr>
        <w:tc>
          <w:tcPr>
            <w:tcW w:w="3097" w:type="dxa"/>
            <w:tcBorders>
              <w:top w:val="single" w:sz="8" w:space="0" w:color="auto"/>
              <w:left w:val="nil"/>
              <w:bottom w:val="single" w:sz="8" w:space="0" w:color="auto"/>
              <w:right w:val="nil"/>
            </w:tcBorders>
            <w:shd w:val="clear" w:color="auto" w:fill="auto"/>
            <w:noWrap/>
            <w:vAlign w:val="center"/>
            <w:hideMark/>
          </w:tcPr>
          <w:p w14:paraId="5AC120BD" w14:textId="77777777" w:rsidR="000C54C6" w:rsidRDefault="000C54C6">
            <w:pPr>
              <w:rPr>
                <w:rFonts w:ascii="Calibri" w:hAnsi="Calibri" w:cs="Calibri"/>
                <w:b/>
                <w:bCs/>
                <w:color w:val="000000"/>
                <w:sz w:val="16"/>
                <w:szCs w:val="16"/>
              </w:rPr>
            </w:pPr>
            <w:r>
              <w:rPr>
                <w:rFonts w:ascii="Calibri" w:hAnsi="Calibri" w:cs="Calibri"/>
                <w:b/>
                <w:bCs/>
                <w:color w:val="000000"/>
                <w:sz w:val="16"/>
                <w:szCs w:val="16"/>
              </w:rPr>
              <w:t>Total Líquido (5) =1+ 2+3+4+5</w:t>
            </w:r>
          </w:p>
        </w:tc>
        <w:tc>
          <w:tcPr>
            <w:tcW w:w="1486" w:type="dxa"/>
            <w:tcBorders>
              <w:top w:val="single" w:sz="8" w:space="0" w:color="auto"/>
              <w:left w:val="nil"/>
              <w:bottom w:val="single" w:sz="8" w:space="0" w:color="auto"/>
              <w:right w:val="nil"/>
            </w:tcBorders>
            <w:shd w:val="clear" w:color="auto" w:fill="auto"/>
            <w:noWrap/>
            <w:vAlign w:val="center"/>
            <w:hideMark/>
          </w:tcPr>
          <w:p w14:paraId="3E11E680"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 xml:space="preserve">      2.615.171.590 </w:t>
            </w:r>
          </w:p>
        </w:tc>
        <w:tc>
          <w:tcPr>
            <w:tcW w:w="1237" w:type="dxa"/>
            <w:tcBorders>
              <w:top w:val="single" w:sz="8" w:space="0" w:color="auto"/>
              <w:left w:val="nil"/>
              <w:bottom w:val="single" w:sz="8" w:space="0" w:color="auto"/>
              <w:right w:val="nil"/>
            </w:tcBorders>
            <w:shd w:val="clear" w:color="auto" w:fill="auto"/>
            <w:noWrap/>
            <w:vAlign w:val="center"/>
            <w:hideMark/>
          </w:tcPr>
          <w:p w14:paraId="4FC48F4C"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 xml:space="preserve">     265.393.851 </w:t>
            </w:r>
          </w:p>
        </w:tc>
        <w:tc>
          <w:tcPr>
            <w:tcW w:w="1167" w:type="dxa"/>
            <w:tcBorders>
              <w:top w:val="single" w:sz="8" w:space="0" w:color="auto"/>
              <w:left w:val="nil"/>
              <w:bottom w:val="single" w:sz="8" w:space="0" w:color="auto"/>
              <w:right w:val="nil"/>
            </w:tcBorders>
            <w:shd w:val="clear" w:color="auto" w:fill="auto"/>
            <w:noWrap/>
            <w:vAlign w:val="center"/>
            <w:hideMark/>
          </w:tcPr>
          <w:p w14:paraId="42BA256F"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 xml:space="preserve">           (167.491)</w:t>
            </w:r>
          </w:p>
        </w:tc>
        <w:tc>
          <w:tcPr>
            <w:tcW w:w="1345" w:type="dxa"/>
            <w:tcBorders>
              <w:top w:val="single" w:sz="8" w:space="0" w:color="auto"/>
              <w:left w:val="nil"/>
              <w:bottom w:val="single" w:sz="8" w:space="0" w:color="auto"/>
              <w:right w:val="nil"/>
            </w:tcBorders>
            <w:shd w:val="clear" w:color="auto" w:fill="auto"/>
            <w:noWrap/>
            <w:vAlign w:val="center"/>
            <w:hideMark/>
          </w:tcPr>
          <w:p w14:paraId="7A3AF075" w14:textId="1F282CEF"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522" w:type="dxa"/>
            <w:tcBorders>
              <w:top w:val="single" w:sz="8" w:space="0" w:color="auto"/>
              <w:left w:val="nil"/>
              <w:bottom w:val="single" w:sz="8" w:space="0" w:color="auto"/>
              <w:right w:val="nil"/>
            </w:tcBorders>
            <w:shd w:val="clear" w:color="auto" w:fill="auto"/>
            <w:noWrap/>
            <w:vAlign w:val="center"/>
            <w:hideMark/>
          </w:tcPr>
          <w:p w14:paraId="4227B03D"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 xml:space="preserve">        2.880.397.951 </w:t>
            </w:r>
          </w:p>
        </w:tc>
        <w:tc>
          <w:tcPr>
            <w:tcW w:w="666" w:type="dxa"/>
            <w:tcBorders>
              <w:top w:val="single" w:sz="8" w:space="0" w:color="auto"/>
              <w:left w:val="nil"/>
              <w:bottom w:val="single" w:sz="8" w:space="0" w:color="auto"/>
              <w:right w:val="nil"/>
            </w:tcBorders>
            <w:shd w:val="clear" w:color="auto" w:fill="auto"/>
            <w:noWrap/>
            <w:vAlign w:val="center"/>
            <w:hideMark/>
          </w:tcPr>
          <w:p w14:paraId="07A0F831" w14:textId="77777777" w:rsidR="000C54C6" w:rsidRDefault="000C54C6">
            <w:pPr>
              <w:rPr>
                <w:rFonts w:ascii="Calibri" w:hAnsi="Calibri" w:cs="Calibri"/>
                <w:b/>
                <w:bCs/>
                <w:color w:val="000000"/>
                <w:sz w:val="16"/>
                <w:szCs w:val="16"/>
              </w:rPr>
            </w:pPr>
            <w:r>
              <w:rPr>
                <w:rFonts w:ascii="Calibri" w:hAnsi="Calibri" w:cs="Calibri"/>
                <w:b/>
                <w:bCs/>
                <w:color w:val="000000"/>
                <w:sz w:val="16"/>
                <w:szCs w:val="16"/>
              </w:rPr>
              <w:t xml:space="preserve">   </w:t>
            </w:r>
          </w:p>
        </w:tc>
      </w:tr>
      <w:tr w:rsidR="000C54C6" w14:paraId="3BC72B55" w14:textId="77777777" w:rsidTr="000C54C6">
        <w:trPr>
          <w:trHeight w:val="105"/>
        </w:trPr>
        <w:tc>
          <w:tcPr>
            <w:tcW w:w="3097" w:type="dxa"/>
            <w:tcBorders>
              <w:top w:val="nil"/>
              <w:left w:val="nil"/>
              <w:bottom w:val="nil"/>
              <w:right w:val="nil"/>
            </w:tcBorders>
            <w:shd w:val="clear" w:color="auto" w:fill="auto"/>
            <w:noWrap/>
            <w:vAlign w:val="bottom"/>
            <w:hideMark/>
          </w:tcPr>
          <w:p w14:paraId="4A4DAC01" w14:textId="77777777" w:rsidR="000C54C6" w:rsidRDefault="000C54C6">
            <w:pPr>
              <w:rPr>
                <w:rFonts w:ascii="Calibri" w:hAnsi="Calibri" w:cs="Calibri"/>
                <w:b/>
                <w:bCs/>
                <w:color w:val="000000"/>
                <w:sz w:val="16"/>
                <w:szCs w:val="16"/>
              </w:rPr>
            </w:pPr>
          </w:p>
        </w:tc>
        <w:tc>
          <w:tcPr>
            <w:tcW w:w="1486" w:type="dxa"/>
            <w:tcBorders>
              <w:top w:val="nil"/>
              <w:left w:val="nil"/>
              <w:bottom w:val="nil"/>
              <w:right w:val="nil"/>
            </w:tcBorders>
            <w:shd w:val="clear" w:color="auto" w:fill="auto"/>
            <w:noWrap/>
            <w:vAlign w:val="bottom"/>
            <w:hideMark/>
          </w:tcPr>
          <w:p w14:paraId="20CC7D2E" w14:textId="77777777" w:rsidR="000C54C6" w:rsidRDefault="000C54C6">
            <w:pPr>
              <w:rPr>
                <w:sz w:val="20"/>
                <w:szCs w:val="20"/>
              </w:rPr>
            </w:pPr>
          </w:p>
        </w:tc>
        <w:tc>
          <w:tcPr>
            <w:tcW w:w="1237" w:type="dxa"/>
            <w:tcBorders>
              <w:top w:val="nil"/>
              <w:left w:val="nil"/>
              <w:bottom w:val="nil"/>
              <w:right w:val="nil"/>
            </w:tcBorders>
            <w:shd w:val="clear" w:color="auto" w:fill="auto"/>
            <w:noWrap/>
            <w:vAlign w:val="bottom"/>
            <w:hideMark/>
          </w:tcPr>
          <w:p w14:paraId="5FEB06E1" w14:textId="77777777" w:rsidR="000C54C6" w:rsidRDefault="000C54C6">
            <w:pPr>
              <w:rPr>
                <w:sz w:val="20"/>
                <w:szCs w:val="20"/>
              </w:rPr>
            </w:pPr>
          </w:p>
        </w:tc>
        <w:tc>
          <w:tcPr>
            <w:tcW w:w="1167" w:type="dxa"/>
            <w:tcBorders>
              <w:top w:val="nil"/>
              <w:left w:val="nil"/>
              <w:bottom w:val="nil"/>
              <w:right w:val="nil"/>
            </w:tcBorders>
            <w:shd w:val="clear" w:color="auto" w:fill="auto"/>
            <w:noWrap/>
            <w:vAlign w:val="bottom"/>
            <w:hideMark/>
          </w:tcPr>
          <w:p w14:paraId="5673D648" w14:textId="77777777" w:rsidR="000C54C6" w:rsidRDefault="000C54C6">
            <w:pPr>
              <w:rPr>
                <w:sz w:val="20"/>
                <w:szCs w:val="20"/>
              </w:rPr>
            </w:pPr>
          </w:p>
        </w:tc>
        <w:tc>
          <w:tcPr>
            <w:tcW w:w="1345" w:type="dxa"/>
            <w:tcBorders>
              <w:top w:val="nil"/>
              <w:left w:val="nil"/>
              <w:bottom w:val="nil"/>
              <w:right w:val="nil"/>
            </w:tcBorders>
            <w:shd w:val="clear" w:color="auto" w:fill="auto"/>
            <w:noWrap/>
            <w:vAlign w:val="bottom"/>
            <w:hideMark/>
          </w:tcPr>
          <w:p w14:paraId="34F05B41" w14:textId="77777777" w:rsidR="000C54C6" w:rsidRDefault="000C54C6">
            <w:pPr>
              <w:rPr>
                <w:sz w:val="20"/>
                <w:szCs w:val="20"/>
              </w:rPr>
            </w:pPr>
          </w:p>
        </w:tc>
        <w:tc>
          <w:tcPr>
            <w:tcW w:w="1522" w:type="dxa"/>
            <w:tcBorders>
              <w:top w:val="nil"/>
              <w:left w:val="nil"/>
              <w:bottom w:val="nil"/>
              <w:right w:val="nil"/>
            </w:tcBorders>
            <w:shd w:val="clear" w:color="auto" w:fill="auto"/>
            <w:noWrap/>
            <w:vAlign w:val="bottom"/>
            <w:hideMark/>
          </w:tcPr>
          <w:p w14:paraId="03E990F4" w14:textId="77777777" w:rsidR="000C54C6" w:rsidRDefault="000C54C6">
            <w:pPr>
              <w:rPr>
                <w:sz w:val="20"/>
                <w:szCs w:val="20"/>
              </w:rPr>
            </w:pPr>
          </w:p>
        </w:tc>
        <w:tc>
          <w:tcPr>
            <w:tcW w:w="666" w:type="dxa"/>
            <w:tcBorders>
              <w:top w:val="nil"/>
              <w:left w:val="nil"/>
              <w:bottom w:val="nil"/>
              <w:right w:val="nil"/>
            </w:tcBorders>
            <w:shd w:val="clear" w:color="auto" w:fill="auto"/>
            <w:noWrap/>
            <w:vAlign w:val="bottom"/>
            <w:hideMark/>
          </w:tcPr>
          <w:p w14:paraId="326A86EE" w14:textId="77777777" w:rsidR="000C54C6" w:rsidRDefault="000C54C6">
            <w:pPr>
              <w:rPr>
                <w:sz w:val="20"/>
                <w:szCs w:val="20"/>
              </w:rPr>
            </w:pPr>
          </w:p>
        </w:tc>
      </w:tr>
      <w:tr w:rsidR="000C54C6" w14:paraId="156643CD" w14:textId="77777777" w:rsidTr="000C54C6">
        <w:trPr>
          <w:trHeight w:val="465"/>
        </w:trPr>
        <w:tc>
          <w:tcPr>
            <w:tcW w:w="3097" w:type="dxa"/>
            <w:tcBorders>
              <w:top w:val="nil"/>
              <w:left w:val="nil"/>
              <w:bottom w:val="single" w:sz="8" w:space="0" w:color="auto"/>
              <w:right w:val="nil"/>
            </w:tcBorders>
            <w:shd w:val="clear" w:color="auto" w:fill="auto"/>
            <w:vAlign w:val="center"/>
            <w:hideMark/>
          </w:tcPr>
          <w:p w14:paraId="62D631AC" w14:textId="77777777" w:rsidR="000C54C6" w:rsidRDefault="000C54C6">
            <w:pPr>
              <w:rPr>
                <w:rFonts w:ascii="Calibri" w:hAnsi="Calibri" w:cs="Calibri"/>
                <w:b/>
                <w:bCs/>
                <w:color w:val="000000"/>
                <w:sz w:val="16"/>
                <w:szCs w:val="16"/>
              </w:rPr>
            </w:pPr>
            <w:r>
              <w:rPr>
                <w:rFonts w:ascii="Calibri" w:hAnsi="Calibri" w:cs="Calibri"/>
                <w:b/>
                <w:bCs/>
                <w:color w:val="000000"/>
                <w:sz w:val="16"/>
                <w:szCs w:val="16"/>
              </w:rPr>
              <w:t>IMOBILIZADO CONSOLIDADO</w:t>
            </w:r>
          </w:p>
        </w:tc>
        <w:tc>
          <w:tcPr>
            <w:tcW w:w="1486" w:type="dxa"/>
            <w:tcBorders>
              <w:top w:val="nil"/>
              <w:left w:val="nil"/>
              <w:bottom w:val="single" w:sz="8" w:space="0" w:color="auto"/>
              <w:right w:val="nil"/>
            </w:tcBorders>
            <w:shd w:val="clear" w:color="auto" w:fill="auto"/>
            <w:vAlign w:val="center"/>
            <w:hideMark/>
          </w:tcPr>
          <w:p w14:paraId="4E3C6C80"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SALDO EM 31/12/2020</w:t>
            </w:r>
          </w:p>
        </w:tc>
        <w:tc>
          <w:tcPr>
            <w:tcW w:w="1237" w:type="dxa"/>
            <w:tcBorders>
              <w:top w:val="nil"/>
              <w:left w:val="nil"/>
              <w:bottom w:val="single" w:sz="8" w:space="0" w:color="auto"/>
              <w:right w:val="nil"/>
            </w:tcBorders>
            <w:shd w:val="clear" w:color="auto" w:fill="auto"/>
            <w:vAlign w:val="center"/>
            <w:hideMark/>
          </w:tcPr>
          <w:p w14:paraId="7F1B3C3E"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ENTRADAS</w:t>
            </w:r>
          </w:p>
        </w:tc>
        <w:tc>
          <w:tcPr>
            <w:tcW w:w="1167" w:type="dxa"/>
            <w:tcBorders>
              <w:top w:val="nil"/>
              <w:left w:val="nil"/>
              <w:bottom w:val="single" w:sz="8" w:space="0" w:color="auto"/>
              <w:right w:val="nil"/>
            </w:tcBorders>
            <w:shd w:val="clear" w:color="auto" w:fill="auto"/>
            <w:vAlign w:val="center"/>
            <w:hideMark/>
          </w:tcPr>
          <w:p w14:paraId="52E31D3E"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BAIXAS</w:t>
            </w:r>
          </w:p>
        </w:tc>
        <w:tc>
          <w:tcPr>
            <w:tcW w:w="1345" w:type="dxa"/>
            <w:tcBorders>
              <w:top w:val="nil"/>
              <w:left w:val="nil"/>
              <w:bottom w:val="single" w:sz="8" w:space="0" w:color="auto"/>
              <w:right w:val="nil"/>
            </w:tcBorders>
            <w:shd w:val="clear" w:color="auto" w:fill="auto"/>
            <w:vAlign w:val="center"/>
            <w:hideMark/>
          </w:tcPr>
          <w:p w14:paraId="6DE5C423"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TRANSF.</w:t>
            </w:r>
          </w:p>
        </w:tc>
        <w:tc>
          <w:tcPr>
            <w:tcW w:w="1522" w:type="dxa"/>
            <w:tcBorders>
              <w:top w:val="nil"/>
              <w:left w:val="nil"/>
              <w:bottom w:val="single" w:sz="8" w:space="0" w:color="auto"/>
              <w:right w:val="nil"/>
            </w:tcBorders>
            <w:shd w:val="clear" w:color="auto" w:fill="auto"/>
            <w:vAlign w:val="center"/>
            <w:hideMark/>
          </w:tcPr>
          <w:p w14:paraId="22A27325"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SALDO EM 30/09/2021</w:t>
            </w:r>
          </w:p>
        </w:tc>
        <w:tc>
          <w:tcPr>
            <w:tcW w:w="666" w:type="dxa"/>
            <w:tcBorders>
              <w:top w:val="nil"/>
              <w:left w:val="nil"/>
              <w:bottom w:val="single" w:sz="8" w:space="0" w:color="auto"/>
              <w:right w:val="nil"/>
            </w:tcBorders>
            <w:shd w:val="clear" w:color="auto" w:fill="auto"/>
            <w:vAlign w:val="center"/>
            <w:hideMark/>
          </w:tcPr>
          <w:p w14:paraId="4D2812CE"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 </w:t>
            </w:r>
          </w:p>
        </w:tc>
      </w:tr>
      <w:tr w:rsidR="000C54C6" w14:paraId="3A332231" w14:textId="77777777" w:rsidTr="000C54C6">
        <w:trPr>
          <w:trHeight w:val="300"/>
        </w:trPr>
        <w:tc>
          <w:tcPr>
            <w:tcW w:w="3097" w:type="dxa"/>
            <w:tcBorders>
              <w:top w:val="nil"/>
              <w:left w:val="nil"/>
              <w:bottom w:val="nil"/>
              <w:right w:val="nil"/>
            </w:tcBorders>
            <w:shd w:val="clear" w:color="auto" w:fill="auto"/>
            <w:noWrap/>
            <w:vAlign w:val="center"/>
            <w:hideMark/>
          </w:tcPr>
          <w:p w14:paraId="0F43D695" w14:textId="77777777" w:rsidR="000C54C6" w:rsidRDefault="000C54C6">
            <w:pPr>
              <w:rPr>
                <w:rFonts w:ascii="Calibri" w:hAnsi="Calibri" w:cs="Calibri"/>
                <w:color w:val="000000"/>
                <w:sz w:val="16"/>
                <w:szCs w:val="16"/>
              </w:rPr>
            </w:pPr>
            <w:r>
              <w:rPr>
                <w:rFonts w:ascii="Calibri" w:hAnsi="Calibri" w:cs="Calibri"/>
                <w:color w:val="000000"/>
                <w:sz w:val="16"/>
                <w:szCs w:val="16"/>
              </w:rPr>
              <w:t>Total Bens Móveis (1)</w:t>
            </w:r>
          </w:p>
        </w:tc>
        <w:tc>
          <w:tcPr>
            <w:tcW w:w="1486" w:type="dxa"/>
            <w:tcBorders>
              <w:top w:val="nil"/>
              <w:left w:val="nil"/>
              <w:bottom w:val="nil"/>
              <w:right w:val="nil"/>
            </w:tcBorders>
            <w:shd w:val="clear" w:color="auto" w:fill="auto"/>
            <w:noWrap/>
            <w:vAlign w:val="center"/>
            <w:hideMark/>
          </w:tcPr>
          <w:p w14:paraId="388BD411"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36.933.333 </w:t>
            </w:r>
          </w:p>
        </w:tc>
        <w:tc>
          <w:tcPr>
            <w:tcW w:w="1237" w:type="dxa"/>
            <w:tcBorders>
              <w:top w:val="nil"/>
              <w:left w:val="nil"/>
              <w:bottom w:val="nil"/>
              <w:right w:val="nil"/>
            </w:tcBorders>
            <w:shd w:val="clear" w:color="auto" w:fill="auto"/>
            <w:noWrap/>
            <w:vAlign w:val="center"/>
            <w:hideMark/>
          </w:tcPr>
          <w:p w14:paraId="67536405"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1.200.880 </w:t>
            </w:r>
          </w:p>
        </w:tc>
        <w:tc>
          <w:tcPr>
            <w:tcW w:w="1167" w:type="dxa"/>
            <w:tcBorders>
              <w:top w:val="nil"/>
              <w:left w:val="nil"/>
              <w:bottom w:val="nil"/>
              <w:right w:val="nil"/>
            </w:tcBorders>
            <w:shd w:val="clear" w:color="auto" w:fill="auto"/>
            <w:noWrap/>
            <w:vAlign w:val="center"/>
            <w:hideMark/>
          </w:tcPr>
          <w:p w14:paraId="0530F77A" w14:textId="6616CF04"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(9.347)</w:t>
            </w:r>
          </w:p>
        </w:tc>
        <w:tc>
          <w:tcPr>
            <w:tcW w:w="1345" w:type="dxa"/>
            <w:tcBorders>
              <w:top w:val="nil"/>
              <w:left w:val="nil"/>
              <w:bottom w:val="nil"/>
              <w:right w:val="nil"/>
            </w:tcBorders>
            <w:shd w:val="clear" w:color="auto" w:fill="auto"/>
            <w:noWrap/>
            <w:vAlign w:val="center"/>
            <w:hideMark/>
          </w:tcPr>
          <w:p w14:paraId="4292A6C3" w14:textId="1410BF2C"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273.888 </w:t>
            </w:r>
          </w:p>
        </w:tc>
        <w:tc>
          <w:tcPr>
            <w:tcW w:w="1522" w:type="dxa"/>
            <w:tcBorders>
              <w:top w:val="nil"/>
              <w:left w:val="nil"/>
              <w:bottom w:val="nil"/>
              <w:right w:val="nil"/>
            </w:tcBorders>
            <w:shd w:val="clear" w:color="auto" w:fill="auto"/>
            <w:noWrap/>
            <w:vAlign w:val="center"/>
            <w:hideMark/>
          </w:tcPr>
          <w:p w14:paraId="0F145D76"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38.398.754 </w:t>
            </w:r>
          </w:p>
        </w:tc>
        <w:tc>
          <w:tcPr>
            <w:tcW w:w="666" w:type="dxa"/>
            <w:tcBorders>
              <w:top w:val="nil"/>
              <w:left w:val="nil"/>
              <w:bottom w:val="nil"/>
              <w:right w:val="nil"/>
            </w:tcBorders>
            <w:shd w:val="clear" w:color="auto" w:fill="auto"/>
            <w:noWrap/>
            <w:vAlign w:val="bottom"/>
            <w:hideMark/>
          </w:tcPr>
          <w:p w14:paraId="1B522A72" w14:textId="77777777" w:rsidR="000C54C6" w:rsidRDefault="000C54C6">
            <w:pPr>
              <w:jc w:val="right"/>
              <w:rPr>
                <w:rFonts w:ascii="Calibri" w:hAnsi="Calibri" w:cs="Calibri"/>
                <w:color w:val="000000"/>
                <w:sz w:val="16"/>
                <w:szCs w:val="16"/>
              </w:rPr>
            </w:pPr>
          </w:p>
        </w:tc>
      </w:tr>
      <w:tr w:rsidR="000C54C6" w14:paraId="177428F1" w14:textId="77777777" w:rsidTr="000C54C6">
        <w:trPr>
          <w:trHeight w:val="300"/>
        </w:trPr>
        <w:tc>
          <w:tcPr>
            <w:tcW w:w="3097" w:type="dxa"/>
            <w:tcBorders>
              <w:top w:val="nil"/>
              <w:left w:val="nil"/>
              <w:bottom w:val="nil"/>
              <w:right w:val="nil"/>
            </w:tcBorders>
            <w:shd w:val="clear" w:color="auto" w:fill="auto"/>
            <w:noWrap/>
            <w:vAlign w:val="center"/>
            <w:hideMark/>
          </w:tcPr>
          <w:p w14:paraId="56B39647" w14:textId="77777777" w:rsidR="000C54C6" w:rsidRDefault="000C54C6">
            <w:pPr>
              <w:rPr>
                <w:rFonts w:ascii="Calibri" w:hAnsi="Calibri" w:cs="Calibri"/>
                <w:color w:val="000000"/>
                <w:sz w:val="16"/>
                <w:szCs w:val="16"/>
              </w:rPr>
            </w:pPr>
            <w:r>
              <w:rPr>
                <w:rFonts w:ascii="Calibri" w:hAnsi="Calibri" w:cs="Calibri"/>
                <w:color w:val="000000"/>
                <w:sz w:val="16"/>
                <w:szCs w:val="16"/>
              </w:rPr>
              <w:t>Total Bens Imóveis (2)</w:t>
            </w:r>
          </w:p>
        </w:tc>
        <w:tc>
          <w:tcPr>
            <w:tcW w:w="1486" w:type="dxa"/>
            <w:tcBorders>
              <w:top w:val="nil"/>
              <w:left w:val="nil"/>
              <w:bottom w:val="nil"/>
              <w:right w:val="nil"/>
            </w:tcBorders>
            <w:shd w:val="clear" w:color="auto" w:fill="auto"/>
            <w:noWrap/>
            <w:vAlign w:val="center"/>
            <w:hideMark/>
          </w:tcPr>
          <w:p w14:paraId="429911E3"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18.128.025.421 </w:t>
            </w:r>
          </w:p>
        </w:tc>
        <w:tc>
          <w:tcPr>
            <w:tcW w:w="1237" w:type="dxa"/>
            <w:tcBorders>
              <w:top w:val="nil"/>
              <w:left w:val="nil"/>
              <w:bottom w:val="nil"/>
              <w:right w:val="nil"/>
            </w:tcBorders>
            <w:shd w:val="clear" w:color="auto" w:fill="auto"/>
            <w:noWrap/>
            <w:vAlign w:val="center"/>
            <w:hideMark/>
          </w:tcPr>
          <w:p w14:paraId="0550011E"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267.300.784 </w:t>
            </w:r>
          </w:p>
        </w:tc>
        <w:tc>
          <w:tcPr>
            <w:tcW w:w="1167" w:type="dxa"/>
            <w:tcBorders>
              <w:top w:val="nil"/>
              <w:left w:val="nil"/>
              <w:bottom w:val="nil"/>
              <w:right w:val="nil"/>
            </w:tcBorders>
            <w:shd w:val="clear" w:color="auto" w:fill="auto"/>
            <w:noWrap/>
            <w:vAlign w:val="center"/>
            <w:hideMark/>
          </w:tcPr>
          <w:p w14:paraId="69479298"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(3.965.449)</w:t>
            </w:r>
          </w:p>
        </w:tc>
        <w:tc>
          <w:tcPr>
            <w:tcW w:w="1345" w:type="dxa"/>
            <w:tcBorders>
              <w:top w:val="nil"/>
              <w:left w:val="nil"/>
              <w:bottom w:val="nil"/>
              <w:right w:val="nil"/>
            </w:tcBorders>
            <w:shd w:val="clear" w:color="auto" w:fill="auto"/>
            <w:noWrap/>
            <w:vAlign w:val="center"/>
            <w:hideMark/>
          </w:tcPr>
          <w:p w14:paraId="79CFC1FC" w14:textId="6182B1FB"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(273.888)</w:t>
            </w:r>
          </w:p>
        </w:tc>
        <w:tc>
          <w:tcPr>
            <w:tcW w:w="1522" w:type="dxa"/>
            <w:tcBorders>
              <w:top w:val="nil"/>
              <w:left w:val="nil"/>
              <w:bottom w:val="nil"/>
              <w:right w:val="nil"/>
            </w:tcBorders>
            <w:shd w:val="clear" w:color="auto" w:fill="auto"/>
            <w:noWrap/>
            <w:vAlign w:val="center"/>
            <w:hideMark/>
          </w:tcPr>
          <w:p w14:paraId="3251C88C"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18.391.086.868 </w:t>
            </w:r>
          </w:p>
        </w:tc>
        <w:tc>
          <w:tcPr>
            <w:tcW w:w="666" w:type="dxa"/>
            <w:tcBorders>
              <w:top w:val="nil"/>
              <w:left w:val="nil"/>
              <w:bottom w:val="nil"/>
              <w:right w:val="nil"/>
            </w:tcBorders>
            <w:shd w:val="clear" w:color="auto" w:fill="auto"/>
            <w:noWrap/>
            <w:vAlign w:val="bottom"/>
            <w:hideMark/>
          </w:tcPr>
          <w:p w14:paraId="06878133" w14:textId="77777777" w:rsidR="000C54C6" w:rsidRDefault="000C54C6">
            <w:pPr>
              <w:jc w:val="right"/>
              <w:rPr>
                <w:rFonts w:ascii="Calibri" w:hAnsi="Calibri" w:cs="Calibri"/>
                <w:color w:val="000000"/>
                <w:sz w:val="16"/>
                <w:szCs w:val="16"/>
              </w:rPr>
            </w:pPr>
          </w:p>
        </w:tc>
      </w:tr>
      <w:tr w:rsidR="000C54C6" w14:paraId="74C56C9A" w14:textId="77777777" w:rsidTr="000C54C6">
        <w:trPr>
          <w:trHeight w:val="300"/>
        </w:trPr>
        <w:tc>
          <w:tcPr>
            <w:tcW w:w="3097" w:type="dxa"/>
            <w:tcBorders>
              <w:top w:val="nil"/>
              <w:left w:val="nil"/>
              <w:bottom w:val="nil"/>
              <w:right w:val="nil"/>
            </w:tcBorders>
            <w:shd w:val="clear" w:color="auto" w:fill="auto"/>
            <w:noWrap/>
            <w:vAlign w:val="center"/>
            <w:hideMark/>
          </w:tcPr>
          <w:p w14:paraId="5E536DDB" w14:textId="77777777" w:rsidR="000C54C6" w:rsidRDefault="000C54C6">
            <w:pPr>
              <w:rPr>
                <w:rFonts w:ascii="Calibri" w:hAnsi="Calibri" w:cs="Calibri"/>
                <w:color w:val="000000"/>
                <w:sz w:val="16"/>
                <w:szCs w:val="16"/>
              </w:rPr>
            </w:pPr>
            <w:r>
              <w:rPr>
                <w:rFonts w:ascii="Calibri" w:hAnsi="Calibri" w:cs="Calibri"/>
                <w:color w:val="000000"/>
                <w:sz w:val="16"/>
                <w:szCs w:val="16"/>
              </w:rPr>
              <w:t>(Redução ao Valor Recuperável - FNS) (3)</w:t>
            </w:r>
          </w:p>
        </w:tc>
        <w:tc>
          <w:tcPr>
            <w:tcW w:w="1486" w:type="dxa"/>
            <w:tcBorders>
              <w:top w:val="nil"/>
              <w:left w:val="nil"/>
              <w:bottom w:val="nil"/>
              <w:right w:val="nil"/>
            </w:tcBorders>
            <w:shd w:val="clear" w:color="auto" w:fill="auto"/>
            <w:noWrap/>
            <w:vAlign w:val="center"/>
            <w:hideMark/>
          </w:tcPr>
          <w:p w14:paraId="41AA4F43"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(11.354.416.372)</w:t>
            </w:r>
          </w:p>
        </w:tc>
        <w:tc>
          <w:tcPr>
            <w:tcW w:w="1237" w:type="dxa"/>
            <w:tcBorders>
              <w:top w:val="nil"/>
              <w:left w:val="nil"/>
              <w:bottom w:val="nil"/>
              <w:right w:val="nil"/>
            </w:tcBorders>
            <w:shd w:val="clear" w:color="auto" w:fill="auto"/>
            <w:noWrap/>
            <w:vAlign w:val="center"/>
            <w:hideMark/>
          </w:tcPr>
          <w:p w14:paraId="3DAF9BFA"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167" w:type="dxa"/>
            <w:tcBorders>
              <w:top w:val="nil"/>
              <w:left w:val="nil"/>
              <w:bottom w:val="nil"/>
              <w:right w:val="nil"/>
            </w:tcBorders>
            <w:shd w:val="clear" w:color="auto" w:fill="auto"/>
            <w:noWrap/>
            <w:vAlign w:val="center"/>
            <w:hideMark/>
          </w:tcPr>
          <w:p w14:paraId="14FF891C"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2A3BAEFF"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522" w:type="dxa"/>
            <w:tcBorders>
              <w:top w:val="nil"/>
              <w:left w:val="nil"/>
              <w:bottom w:val="nil"/>
              <w:right w:val="nil"/>
            </w:tcBorders>
            <w:shd w:val="clear" w:color="auto" w:fill="auto"/>
            <w:noWrap/>
            <w:vAlign w:val="center"/>
            <w:hideMark/>
          </w:tcPr>
          <w:p w14:paraId="4EB52C7A"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(11.354.416.372)</w:t>
            </w:r>
          </w:p>
        </w:tc>
        <w:tc>
          <w:tcPr>
            <w:tcW w:w="666" w:type="dxa"/>
            <w:tcBorders>
              <w:top w:val="nil"/>
              <w:left w:val="nil"/>
              <w:bottom w:val="nil"/>
              <w:right w:val="nil"/>
            </w:tcBorders>
            <w:shd w:val="clear" w:color="auto" w:fill="auto"/>
            <w:noWrap/>
            <w:vAlign w:val="bottom"/>
            <w:hideMark/>
          </w:tcPr>
          <w:p w14:paraId="177814DF" w14:textId="77777777" w:rsidR="000C54C6" w:rsidRDefault="000C54C6">
            <w:pPr>
              <w:jc w:val="right"/>
              <w:rPr>
                <w:rFonts w:ascii="Calibri" w:hAnsi="Calibri" w:cs="Calibri"/>
                <w:color w:val="000000"/>
                <w:sz w:val="16"/>
                <w:szCs w:val="16"/>
              </w:rPr>
            </w:pPr>
          </w:p>
        </w:tc>
      </w:tr>
      <w:tr w:rsidR="000C54C6" w14:paraId="1DCE1BE7" w14:textId="77777777" w:rsidTr="000C54C6">
        <w:trPr>
          <w:trHeight w:val="300"/>
        </w:trPr>
        <w:tc>
          <w:tcPr>
            <w:tcW w:w="3097" w:type="dxa"/>
            <w:tcBorders>
              <w:top w:val="nil"/>
              <w:left w:val="nil"/>
              <w:bottom w:val="nil"/>
              <w:right w:val="nil"/>
            </w:tcBorders>
            <w:shd w:val="clear" w:color="auto" w:fill="auto"/>
            <w:noWrap/>
            <w:vAlign w:val="center"/>
            <w:hideMark/>
          </w:tcPr>
          <w:p w14:paraId="54E4359F" w14:textId="77777777" w:rsidR="000C54C6" w:rsidRDefault="000C54C6">
            <w:pPr>
              <w:rPr>
                <w:rFonts w:ascii="Calibri" w:hAnsi="Calibri" w:cs="Calibri"/>
                <w:color w:val="000000"/>
                <w:sz w:val="16"/>
                <w:szCs w:val="16"/>
              </w:rPr>
            </w:pPr>
            <w:r>
              <w:rPr>
                <w:rFonts w:ascii="Calibri" w:hAnsi="Calibri" w:cs="Calibri"/>
                <w:color w:val="000000"/>
                <w:sz w:val="16"/>
                <w:szCs w:val="16"/>
              </w:rPr>
              <w:t>(Redução ao Valor Recuperável - FIOL I) (4)</w:t>
            </w:r>
          </w:p>
        </w:tc>
        <w:tc>
          <w:tcPr>
            <w:tcW w:w="1486" w:type="dxa"/>
            <w:tcBorders>
              <w:top w:val="nil"/>
              <w:left w:val="nil"/>
              <w:bottom w:val="nil"/>
              <w:right w:val="nil"/>
            </w:tcBorders>
            <w:shd w:val="clear" w:color="auto" w:fill="auto"/>
            <w:noWrap/>
            <w:vAlign w:val="center"/>
            <w:hideMark/>
          </w:tcPr>
          <w:p w14:paraId="51EA0155"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(3.245.937.256)</w:t>
            </w:r>
          </w:p>
        </w:tc>
        <w:tc>
          <w:tcPr>
            <w:tcW w:w="1237" w:type="dxa"/>
            <w:tcBorders>
              <w:top w:val="nil"/>
              <w:left w:val="nil"/>
              <w:bottom w:val="nil"/>
              <w:right w:val="nil"/>
            </w:tcBorders>
            <w:shd w:val="clear" w:color="auto" w:fill="auto"/>
            <w:noWrap/>
            <w:vAlign w:val="center"/>
            <w:hideMark/>
          </w:tcPr>
          <w:p w14:paraId="1941FB4A" w14:textId="217DC161"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167" w:type="dxa"/>
            <w:tcBorders>
              <w:top w:val="nil"/>
              <w:left w:val="nil"/>
              <w:bottom w:val="nil"/>
              <w:right w:val="nil"/>
            </w:tcBorders>
            <w:shd w:val="clear" w:color="auto" w:fill="auto"/>
            <w:noWrap/>
            <w:vAlign w:val="center"/>
            <w:hideMark/>
          </w:tcPr>
          <w:p w14:paraId="1351FE75" w14:textId="6E823D21"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345" w:type="dxa"/>
            <w:tcBorders>
              <w:top w:val="nil"/>
              <w:left w:val="nil"/>
              <w:bottom w:val="nil"/>
              <w:right w:val="nil"/>
            </w:tcBorders>
            <w:shd w:val="clear" w:color="auto" w:fill="auto"/>
            <w:noWrap/>
            <w:vAlign w:val="center"/>
            <w:hideMark/>
          </w:tcPr>
          <w:p w14:paraId="4B9B874D" w14:textId="11FBDEC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522" w:type="dxa"/>
            <w:tcBorders>
              <w:top w:val="nil"/>
              <w:left w:val="nil"/>
              <w:bottom w:val="nil"/>
              <w:right w:val="nil"/>
            </w:tcBorders>
            <w:shd w:val="clear" w:color="auto" w:fill="auto"/>
            <w:noWrap/>
            <w:vAlign w:val="center"/>
            <w:hideMark/>
          </w:tcPr>
          <w:p w14:paraId="28A262AD"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(3.245.937.256)</w:t>
            </w:r>
          </w:p>
        </w:tc>
        <w:tc>
          <w:tcPr>
            <w:tcW w:w="666" w:type="dxa"/>
            <w:tcBorders>
              <w:top w:val="nil"/>
              <w:left w:val="nil"/>
              <w:bottom w:val="nil"/>
              <w:right w:val="nil"/>
            </w:tcBorders>
            <w:shd w:val="clear" w:color="auto" w:fill="auto"/>
            <w:noWrap/>
            <w:vAlign w:val="bottom"/>
            <w:hideMark/>
          </w:tcPr>
          <w:p w14:paraId="78B0482F" w14:textId="77777777" w:rsidR="000C54C6" w:rsidRDefault="000C54C6">
            <w:pPr>
              <w:jc w:val="right"/>
              <w:rPr>
                <w:rFonts w:ascii="Calibri" w:hAnsi="Calibri" w:cs="Calibri"/>
                <w:color w:val="000000"/>
                <w:sz w:val="16"/>
                <w:szCs w:val="16"/>
              </w:rPr>
            </w:pPr>
          </w:p>
        </w:tc>
      </w:tr>
      <w:tr w:rsidR="000C54C6" w14:paraId="2E838814" w14:textId="77777777" w:rsidTr="000C54C6">
        <w:trPr>
          <w:trHeight w:val="315"/>
        </w:trPr>
        <w:tc>
          <w:tcPr>
            <w:tcW w:w="3097" w:type="dxa"/>
            <w:tcBorders>
              <w:top w:val="nil"/>
              <w:left w:val="nil"/>
              <w:bottom w:val="nil"/>
              <w:right w:val="nil"/>
            </w:tcBorders>
            <w:shd w:val="clear" w:color="auto" w:fill="auto"/>
            <w:noWrap/>
            <w:vAlign w:val="center"/>
            <w:hideMark/>
          </w:tcPr>
          <w:p w14:paraId="071124E5" w14:textId="77777777" w:rsidR="000C54C6" w:rsidRDefault="000C54C6">
            <w:pPr>
              <w:rPr>
                <w:rFonts w:ascii="Calibri" w:hAnsi="Calibri" w:cs="Calibri"/>
                <w:color w:val="000000"/>
                <w:sz w:val="16"/>
                <w:szCs w:val="16"/>
              </w:rPr>
            </w:pPr>
            <w:r>
              <w:rPr>
                <w:rFonts w:ascii="Calibri" w:hAnsi="Calibri" w:cs="Calibri"/>
                <w:color w:val="000000"/>
                <w:sz w:val="16"/>
                <w:szCs w:val="16"/>
              </w:rPr>
              <w:t xml:space="preserve">Depreciação Acumulada (5) </w:t>
            </w:r>
          </w:p>
        </w:tc>
        <w:tc>
          <w:tcPr>
            <w:tcW w:w="1486" w:type="dxa"/>
            <w:tcBorders>
              <w:top w:val="nil"/>
              <w:left w:val="nil"/>
              <w:bottom w:val="nil"/>
              <w:right w:val="nil"/>
            </w:tcBorders>
            <w:shd w:val="clear" w:color="auto" w:fill="auto"/>
            <w:noWrap/>
            <w:vAlign w:val="center"/>
            <w:hideMark/>
          </w:tcPr>
          <w:p w14:paraId="37C10C9B"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(949.433.536)</w:t>
            </w:r>
          </w:p>
        </w:tc>
        <w:tc>
          <w:tcPr>
            <w:tcW w:w="1237" w:type="dxa"/>
            <w:tcBorders>
              <w:top w:val="nil"/>
              <w:left w:val="nil"/>
              <w:bottom w:val="nil"/>
              <w:right w:val="nil"/>
            </w:tcBorders>
            <w:shd w:val="clear" w:color="auto" w:fill="auto"/>
            <w:noWrap/>
            <w:vAlign w:val="center"/>
            <w:hideMark/>
          </w:tcPr>
          <w:p w14:paraId="040D5E9E"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(3.107.812)</w:t>
            </w:r>
          </w:p>
        </w:tc>
        <w:tc>
          <w:tcPr>
            <w:tcW w:w="1167" w:type="dxa"/>
            <w:tcBorders>
              <w:top w:val="nil"/>
              <w:left w:val="nil"/>
              <w:bottom w:val="nil"/>
              <w:right w:val="nil"/>
            </w:tcBorders>
            <w:shd w:val="clear" w:color="auto" w:fill="auto"/>
            <w:noWrap/>
            <w:vAlign w:val="center"/>
            <w:hideMark/>
          </w:tcPr>
          <w:p w14:paraId="0FF391BE"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3.807.305 </w:t>
            </w:r>
          </w:p>
        </w:tc>
        <w:tc>
          <w:tcPr>
            <w:tcW w:w="1345" w:type="dxa"/>
            <w:tcBorders>
              <w:top w:val="nil"/>
              <w:left w:val="nil"/>
              <w:bottom w:val="nil"/>
              <w:right w:val="nil"/>
            </w:tcBorders>
            <w:shd w:val="clear" w:color="auto" w:fill="auto"/>
            <w:noWrap/>
            <w:vAlign w:val="center"/>
            <w:hideMark/>
          </w:tcPr>
          <w:p w14:paraId="0E2ADE4C" w14:textId="2138AA53"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   </w:t>
            </w:r>
          </w:p>
        </w:tc>
        <w:tc>
          <w:tcPr>
            <w:tcW w:w="1522" w:type="dxa"/>
            <w:tcBorders>
              <w:top w:val="nil"/>
              <w:left w:val="nil"/>
              <w:bottom w:val="nil"/>
              <w:right w:val="nil"/>
            </w:tcBorders>
            <w:shd w:val="clear" w:color="auto" w:fill="auto"/>
            <w:noWrap/>
            <w:vAlign w:val="center"/>
            <w:hideMark/>
          </w:tcPr>
          <w:p w14:paraId="1D9ECCE6" w14:textId="77777777" w:rsidR="000C54C6" w:rsidRDefault="000C54C6">
            <w:pPr>
              <w:jc w:val="right"/>
              <w:rPr>
                <w:rFonts w:ascii="Calibri" w:hAnsi="Calibri" w:cs="Calibri"/>
                <w:color w:val="000000"/>
                <w:sz w:val="16"/>
                <w:szCs w:val="16"/>
              </w:rPr>
            </w:pPr>
            <w:r>
              <w:rPr>
                <w:rFonts w:ascii="Calibri" w:hAnsi="Calibri" w:cs="Calibri"/>
                <w:color w:val="000000"/>
                <w:sz w:val="16"/>
                <w:szCs w:val="16"/>
              </w:rPr>
              <w:t xml:space="preserve">          (948.734.044)</w:t>
            </w:r>
          </w:p>
        </w:tc>
        <w:tc>
          <w:tcPr>
            <w:tcW w:w="666" w:type="dxa"/>
            <w:tcBorders>
              <w:top w:val="nil"/>
              <w:left w:val="nil"/>
              <w:bottom w:val="nil"/>
              <w:right w:val="nil"/>
            </w:tcBorders>
            <w:shd w:val="clear" w:color="auto" w:fill="auto"/>
            <w:noWrap/>
            <w:vAlign w:val="center"/>
            <w:hideMark/>
          </w:tcPr>
          <w:p w14:paraId="70274B60" w14:textId="77777777" w:rsidR="000C54C6" w:rsidRDefault="000C54C6">
            <w:pPr>
              <w:rPr>
                <w:rFonts w:ascii="Calibri" w:hAnsi="Calibri" w:cs="Calibri"/>
                <w:color w:val="000000"/>
                <w:sz w:val="16"/>
                <w:szCs w:val="16"/>
              </w:rPr>
            </w:pPr>
            <w:r>
              <w:rPr>
                <w:rFonts w:ascii="Calibri" w:hAnsi="Calibri" w:cs="Calibri"/>
                <w:color w:val="000000"/>
                <w:sz w:val="16"/>
                <w:szCs w:val="16"/>
              </w:rPr>
              <w:t xml:space="preserve"> </w:t>
            </w:r>
          </w:p>
        </w:tc>
      </w:tr>
      <w:tr w:rsidR="000C54C6" w14:paraId="7E9D173A" w14:textId="77777777" w:rsidTr="000C54C6">
        <w:trPr>
          <w:trHeight w:val="315"/>
        </w:trPr>
        <w:tc>
          <w:tcPr>
            <w:tcW w:w="3097" w:type="dxa"/>
            <w:tcBorders>
              <w:top w:val="single" w:sz="8" w:space="0" w:color="auto"/>
              <w:left w:val="nil"/>
              <w:bottom w:val="single" w:sz="8" w:space="0" w:color="auto"/>
              <w:right w:val="nil"/>
            </w:tcBorders>
            <w:shd w:val="clear" w:color="auto" w:fill="auto"/>
            <w:noWrap/>
            <w:vAlign w:val="center"/>
            <w:hideMark/>
          </w:tcPr>
          <w:p w14:paraId="070837D1" w14:textId="77777777" w:rsidR="000C54C6" w:rsidRDefault="000C54C6">
            <w:pPr>
              <w:rPr>
                <w:rFonts w:ascii="Calibri" w:hAnsi="Calibri" w:cs="Calibri"/>
                <w:b/>
                <w:bCs/>
                <w:color w:val="000000"/>
                <w:sz w:val="16"/>
                <w:szCs w:val="16"/>
              </w:rPr>
            </w:pPr>
            <w:r>
              <w:rPr>
                <w:rFonts w:ascii="Calibri" w:hAnsi="Calibri" w:cs="Calibri"/>
                <w:b/>
                <w:bCs/>
                <w:color w:val="000000"/>
                <w:sz w:val="16"/>
                <w:szCs w:val="16"/>
              </w:rPr>
              <w:t xml:space="preserve">TOTAL DO IMOBILIZADO </w:t>
            </w:r>
          </w:p>
        </w:tc>
        <w:tc>
          <w:tcPr>
            <w:tcW w:w="1486" w:type="dxa"/>
            <w:tcBorders>
              <w:top w:val="single" w:sz="8" w:space="0" w:color="auto"/>
              <w:left w:val="nil"/>
              <w:bottom w:val="single" w:sz="8" w:space="0" w:color="auto"/>
              <w:right w:val="nil"/>
            </w:tcBorders>
            <w:shd w:val="clear" w:color="auto" w:fill="auto"/>
            <w:noWrap/>
            <w:vAlign w:val="center"/>
            <w:hideMark/>
          </w:tcPr>
          <w:p w14:paraId="61520A84"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 xml:space="preserve">      2.615.171.590 </w:t>
            </w:r>
          </w:p>
        </w:tc>
        <w:tc>
          <w:tcPr>
            <w:tcW w:w="1237" w:type="dxa"/>
            <w:tcBorders>
              <w:top w:val="single" w:sz="8" w:space="0" w:color="auto"/>
              <w:left w:val="nil"/>
              <w:bottom w:val="single" w:sz="8" w:space="0" w:color="auto"/>
              <w:right w:val="nil"/>
            </w:tcBorders>
            <w:shd w:val="clear" w:color="auto" w:fill="auto"/>
            <w:noWrap/>
            <w:vAlign w:val="center"/>
            <w:hideMark/>
          </w:tcPr>
          <w:p w14:paraId="236A4FA2"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 xml:space="preserve">     265.393.852 </w:t>
            </w:r>
          </w:p>
        </w:tc>
        <w:tc>
          <w:tcPr>
            <w:tcW w:w="1167" w:type="dxa"/>
            <w:tcBorders>
              <w:top w:val="single" w:sz="8" w:space="0" w:color="auto"/>
              <w:left w:val="nil"/>
              <w:bottom w:val="single" w:sz="8" w:space="0" w:color="auto"/>
              <w:right w:val="nil"/>
            </w:tcBorders>
            <w:shd w:val="clear" w:color="auto" w:fill="auto"/>
            <w:noWrap/>
            <w:vAlign w:val="center"/>
            <w:hideMark/>
          </w:tcPr>
          <w:p w14:paraId="407DBFFC"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 xml:space="preserve">           (167.491)</w:t>
            </w:r>
          </w:p>
        </w:tc>
        <w:tc>
          <w:tcPr>
            <w:tcW w:w="1345" w:type="dxa"/>
            <w:tcBorders>
              <w:top w:val="single" w:sz="8" w:space="0" w:color="auto"/>
              <w:left w:val="nil"/>
              <w:bottom w:val="single" w:sz="8" w:space="0" w:color="auto"/>
              <w:right w:val="nil"/>
            </w:tcBorders>
            <w:shd w:val="clear" w:color="auto" w:fill="auto"/>
            <w:noWrap/>
            <w:vAlign w:val="center"/>
            <w:hideMark/>
          </w:tcPr>
          <w:p w14:paraId="333B00FD" w14:textId="7FC64E79"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 xml:space="preserve">                               -   </w:t>
            </w:r>
          </w:p>
        </w:tc>
        <w:tc>
          <w:tcPr>
            <w:tcW w:w="1522" w:type="dxa"/>
            <w:tcBorders>
              <w:top w:val="single" w:sz="8" w:space="0" w:color="auto"/>
              <w:left w:val="nil"/>
              <w:bottom w:val="single" w:sz="8" w:space="0" w:color="auto"/>
              <w:right w:val="nil"/>
            </w:tcBorders>
            <w:shd w:val="clear" w:color="auto" w:fill="auto"/>
            <w:noWrap/>
            <w:vAlign w:val="center"/>
            <w:hideMark/>
          </w:tcPr>
          <w:p w14:paraId="79A1A699"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 xml:space="preserve">        2.880.397.951 </w:t>
            </w:r>
          </w:p>
        </w:tc>
        <w:tc>
          <w:tcPr>
            <w:tcW w:w="666" w:type="dxa"/>
            <w:tcBorders>
              <w:top w:val="single" w:sz="8" w:space="0" w:color="auto"/>
              <w:left w:val="nil"/>
              <w:bottom w:val="single" w:sz="8" w:space="0" w:color="auto"/>
              <w:right w:val="nil"/>
            </w:tcBorders>
            <w:shd w:val="clear" w:color="auto" w:fill="auto"/>
            <w:noWrap/>
            <w:vAlign w:val="center"/>
            <w:hideMark/>
          </w:tcPr>
          <w:p w14:paraId="498140BB" w14:textId="77777777" w:rsidR="000C54C6" w:rsidRDefault="000C54C6">
            <w:pPr>
              <w:jc w:val="right"/>
              <w:rPr>
                <w:rFonts w:ascii="Calibri" w:hAnsi="Calibri" w:cs="Calibri"/>
                <w:b/>
                <w:bCs/>
                <w:color w:val="000000"/>
                <w:sz w:val="16"/>
                <w:szCs w:val="16"/>
              </w:rPr>
            </w:pPr>
            <w:r>
              <w:rPr>
                <w:rFonts w:ascii="Calibri" w:hAnsi="Calibri" w:cs="Calibri"/>
                <w:b/>
                <w:bCs/>
                <w:color w:val="000000"/>
                <w:sz w:val="16"/>
                <w:szCs w:val="16"/>
              </w:rPr>
              <w:t> </w:t>
            </w:r>
          </w:p>
        </w:tc>
      </w:tr>
      <w:tr w:rsidR="000C54C6" w14:paraId="1688BDE8" w14:textId="77777777" w:rsidTr="000C54C6">
        <w:trPr>
          <w:trHeight w:val="300"/>
        </w:trPr>
        <w:tc>
          <w:tcPr>
            <w:tcW w:w="3097" w:type="dxa"/>
            <w:tcBorders>
              <w:top w:val="nil"/>
              <w:left w:val="nil"/>
              <w:bottom w:val="nil"/>
              <w:right w:val="nil"/>
            </w:tcBorders>
            <w:shd w:val="clear" w:color="auto" w:fill="auto"/>
            <w:noWrap/>
            <w:vAlign w:val="bottom"/>
            <w:hideMark/>
          </w:tcPr>
          <w:p w14:paraId="6B910F58" w14:textId="77777777" w:rsidR="000C54C6" w:rsidRDefault="000C54C6">
            <w:pPr>
              <w:jc w:val="right"/>
              <w:rPr>
                <w:rFonts w:ascii="Calibri" w:hAnsi="Calibri" w:cs="Calibri"/>
                <w:b/>
                <w:bCs/>
                <w:color w:val="000000"/>
                <w:sz w:val="16"/>
                <w:szCs w:val="16"/>
              </w:rPr>
            </w:pPr>
          </w:p>
        </w:tc>
        <w:tc>
          <w:tcPr>
            <w:tcW w:w="1486" w:type="dxa"/>
            <w:tcBorders>
              <w:top w:val="nil"/>
              <w:left w:val="nil"/>
              <w:bottom w:val="nil"/>
              <w:right w:val="nil"/>
            </w:tcBorders>
            <w:shd w:val="clear" w:color="auto" w:fill="auto"/>
            <w:noWrap/>
            <w:vAlign w:val="bottom"/>
            <w:hideMark/>
          </w:tcPr>
          <w:p w14:paraId="370685CD" w14:textId="77777777" w:rsidR="000C54C6" w:rsidRDefault="000C54C6">
            <w:pPr>
              <w:rPr>
                <w:sz w:val="20"/>
                <w:szCs w:val="20"/>
              </w:rPr>
            </w:pPr>
          </w:p>
        </w:tc>
        <w:tc>
          <w:tcPr>
            <w:tcW w:w="1237" w:type="dxa"/>
            <w:tcBorders>
              <w:top w:val="nil"/>
              <w:left w:val="nil"/>
              <w:bottom w:val="nil"/>
              <w:right w:val="nil"/>
            </w:tcBorders>
            <w:shd w:val="clear" w:color="auto" w:fill="auto"/>
            <w:noWrap/>
            <w:vAlign w:val="bottom"/>
            <w:hideMark/>
          </w:tcPr>
          <w:p w14:paraId="1047D36E" w14:textId="77777777" w:rsidR="000C54C6" w:rsidRDefault="000C54C6">
            <w:pPr>
              <w:rPr>
                <w:sz w:val="20"/>
                <w:szCs w:val="20"/>
              </w:rPr>
            </w:pPr>
          </w:p>
        </w:tc>
        <w:tc>
          <w:tcPr>
            <w:tcW w:w="1167" w:type="dxa"/>
            <w:tcBorders>
              <w:top w:val="nil"/>
              <w:left w:val="nil"/>
              <w:bottom w:val="nil"/>
              <w:right w:val="nil"/>
            </w:tcBorders>
            <w:shd w:val="clear" w:color="auto" w:fill="auto"/>
            <w:noWrap/>
            <w:vAlign w:val="bottom"/>
            <w:hideMark/>
          </w:tcPr>
          <w:p w14:paraId="2E86E127" w14:textId="77777777" w:rsidR="000C54C6" w:rsidRDefault="000C54C6">
            <w:pPr>
              <w:rPr>
                <w:sz w:val="20"/>
                <w:szCs w:val="20"/>
              </w:rPr>
            </w:pPr>
          </w:p>
        </w:tc>
        <w:tc>
          <w:tcPr>
            <w:tcW w:w="1345" w:type="dxa"/>
            <w:tcBorders>
              <w:top w:val="nil"/>
              <w:left w:val="nil"/>
              <w:bottom w:val="nil"/>
              <w:right w:val="nil"/>
            </w:tcBorders>
            <w:shd w:val="clear" w:color="auto" w:fill="auto"/>
            <w:noWrap/>
            <w:vAlign w:val="bottom"/>
            <w:hideMark/>
          </w:tcPr>
          <w:p w14:paraId="077865DF" w14:textId="77777777" w:rsidR="000C54C6" w:rsidRDefault="000C54C6">
            <w:pPr>
              <w:rPr>
                <w:sz w:val="20"/>
                <w:szCs w:val="20"/>
              </w:rPr>
            </w:pPr>
          </w:p>
        </w:tc>
        <w:tc>
          <w:tcPr>
            <w:tcW w:w="1522" w:type="dxa"/>
            <w:tcBorders>
              <w:top w:val="nil"/>
              <w:left w:val="nil"/>
              <w:bottom w:val="nil"/>
              <w:right w:val="nil"/>
            </w:tcBorders>
            <w:shd w:val="clear" w:color="auto" w:fill="auto"/>
            <w:noWrap/>
            <w:vAlign w:val="bottom"/>
            <w:hideMark/>
          </w:tcPr>
          <w:p w14:paraId="30E8C12D" w14:textId="77777777" w:rsidR="000C54C6" w:rsidRDefault="000C54C6">
            <w:pPr>
              <w:rPr>
                <w:sz w:val="20"/>
                <w:szCs w:val="20"/>
              </w:rPr>
            </w:pPr>
          </w:p>
        </w:tc>
        <w:tc>
          <w:tcPr>
            <w:tcW w:w="666" w:type="dxa"/>
            <w:tcBorders>
              <w:top w:val="nil"/>
              <w:left w:val="nil"/>
              <w:bottom w:val="nil"/>
              <w:right w:val="nil"/>
            </w:tcBorders>
            <w:shd w:val="clear" w:color="auto" w:fill="auto"/>
            <w:noWrap/>
            <w:vAlign w:val="bottom"/>
            <w:hideMark/>
          </w:tcPr>
          <w:p w14:paraId="6C47B8C8" w14:textId="77777777" w:rsidR="000C54C6" w:rsidRDefault="000C54C6">
            <w:pPr>
              <w:rPr>
                <w:sz w:val="20"/>
                <w:szCs w:val="20"/>
              </w:rPr>
            </w:pPr>
          </w:p>
        </w:tc>
      </w:tr>
    </w:tbl>
    <w:p w14:paraId="39899948" w14:textId="7CEE4103" w:rsidR="00C07BEB" w:rsidRPr="002E2B5B" w:rsidRDefault="00C07BEB" w:rsidP="002E2B5B">
      <w:pPr>
        <w:numPr>
          <w:ilvl w:val="0"/>
          <w:numId w:val="15"/>
        </w:numPr>
        <w:spacing w:after="120"/>
        <w:ind w:right="57"/>
        <w:jc w:val="both"/>
        <w:rPr>
          <w:rFonts w:ascii="Calibri" w:hAnsi="Calibri" w:cs="Calibri"/>
          <w:sz w:val="22"/>
          <w:szCs w:val="22"/>
        </w:rPr>
      </w:pPr>
      <w:r w:rsidRPr="002E2B5B">
        <w:rPr>
          <w:rFonts w:ascii="Calibri" w:hAnsi="Calibri" w:cs="Calibri"/>
          <w:sz w:val="22"/>
          <w:szCs w:val="22"/>
        </w:rPr>
        <w:t xml:space="preserve">Os bens corpóreos </w:t>
      </w:r>
      <w:r w:rsidR="00054CE1" w:rsidRPr="002E2B5B">
        <w:rPr>
          <w:rFonts w:ascii="Calibri" w:hAnsi="Calibri" w:cs="Calibri"/>
          <w:sz w:val="22"/>
          <w:szCs w:val="22"/>
        </w:rPr>
        <w:t xml:space="preserve">são </w:t>
      </w:r>
      <w:r w:rsidRPr="002E2B5B">
        <w:rPr>
          <w:rFonts w:ascii="Calibri" w:hAnsi="Calibri" w:cs="Calibri"/>
          <w:sz w:val="22"/>
          <w:szCs w:val="22"/>
        </w:rPr>
        <w:t>reconhecid</w:t>
      </w:r>
      <w:r w:rsidR="00054CE1" w:rsidRPr="002E2B5B">
        <w:rPr>
          <w:rFonts w:ascii="Calibri" w:hAnsi="Calibri" w:cs="Calibri"/>
          <w:sz w:val="22"/>
          <w:szCs w:val="22"/>
        </w:rPr>
        <w:t>o</w:t>
      </w:r>
      <w:r w:rsidRPr="002E2B5B">
        <w:rPr>
          <w:rFonts w:ascii="Calibri" w:hAnsi="Calibri" w:cs="Calibri"/>
          <w:sz w:val="22"/>
          <w:szCs w:val="22"/>
        </w:rPr>
        <w:t xml:space="preserve">s pelo registro original do bem. </w:t>
      </w:r>
      <w:r w:rsidR="00505049" w:rsidRPr="002E2B5B">
        <w:rPr>
          <w:rFonts w:ascii="Calibri" w:hAnsi="Calibri" w:cs="Calibri"/>
          <w:sz w:val="22"/>
          <w:szCs w:val="22"/>
        </w:rPr>
        <w:t xml:space="preserve">Devido ao desgaste e </w:t>
      </w:r>
      <w:r w:rsidRPr="002E2B5B">
        <w:rPr>
          <w:rFonts w:ascii="Calibri" w:hAnsi="Calibri" w:cs="Calibri"/>
          <w:sz w:val="22"/>
          <w:szCs w:val="22"/>
        </w:rPr>
        <w:t>a obsolescência</w:t>
      </w:r>
      <w:r w:rsidR="00A40B2C" w:rsidRPr="002E2B5B">
        <w:rPr>
          <w:rFonts w:ascii="Calibri" w:hAnsi="Calibri" w:cs="Calibri"/>
          <w:sz w:val="22"/>
          <w:szCs w:val="22"/>
        </w:rPr>
        <w:t xml:space="preserve"> desses bens</w:t>
      </w:r>
      <w:r w:rsidRPr="002E2B5B">
        <w:rPr>
          <w:rFonts w:ascii="Calibri" w:hAnsi="Calibri" w:cs="Calibri"/>
          <w:sz w:val="22"/>
          <w:szCs w:val="22"/>
        </w:rPr>
        <w:t xml:space="preserve"> ao longo do tempo, exigem-se o reconhecimento da despesa em virtude da depreciação calculada por meio do método linear, em função de taxas estabelecidas e do tempo de vida útil, fixadas por espécies de bens</w:t>
      </w:r>
      <w:r w:rsidR="00054CE1" w:rsidRPr="002E2B5B">
        <w:rPr>
          <w:rFonts w:ascii="Calibri" w:hAnsi="Calibri" w:cs="Calibri"/>
          <w:sz w:val="22"/>
          <w:szCs w:val="22"/>
        </w:rPr>
        <w:t>;</w:t>
      </w:r>
    </w:p>
    <w:p w14:paraId="6ECA2F7A" w14:textId="77777777" w:rsidR="00D54B55" w:rsidRPr="002E2B5B" w:rsidRDefault="00D54B55" w:rsidP="002E2B5B">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As ferrovias construídas foram depreciadas retroativamente pela tabela fisco até 31 de dezembro de 2016, a partir dessa data foi utilizada a tabela da ANTT, conforme Resolução ANTT N° 4540, de 19 de dezembro de 2014</w:t>
      </w:r>
      <w:r w:rsidR="00054CE1" w:rsidRPr="002E2B5B">
        <w:rPr>
          <w:rFonts w:ascii="Calibri" w:hAnsi="Calibri" w:cs="Calibri"/>
          <w:sz w:val="22"/>
          <w:szCs w:val="22"/>
        </w:rPr>
        <w:t>;</w:t>
      </w:r>
    </w:p>
    <w:p w14:paraId="5D8C50BB" w14:textId="77777777" w:rsidR="00D54B55" w:rsidRPr="002E2B5B" w:rsidRDefault="00D54B55" w:rsidP="002E2B5B">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Anualmente, é realizado o inventário dos bens móveis da VALEC e verificado in loco as condições de uso dos bens. Os bens que se apresentam como inservíveis são reparados, doados ou baixados do sistema patrimonial bem como da contabilidade</w:t>
      </w:r>
      <w:r w:rsidR="00054CE1" w:rsidRPr="002E2B5B">
        <w:rPr>
          <w:rFonts w:ascii="Calibri" w:hAnsi="Calibri" w:cs="Calibri"/>
          <w:sz w:val="22"/>
          <w:szCs w:val="22"/>
        </w:rPr>
        <w:t>;</w:t>
      </w:r>
    </w:p>
    <w:p w14:paraId="6B02080C" w14:textId="6DDAD049" w:rsidR="00D54B55" w:rsidRDefault="00D54B55" w:rsidP="002E2B5B">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Os Ativos Imobilizados da VALEC são registrados em um sistema informatizado que permite controlar sequencialmente os bens móveis</w:t>
      </w:r>
      <w:r w:rsidR="00B54457" w:rsidRPr="002E2B5B">
        <w:rPr>
          <w:rFonts w:ascii="Calibri" w:hAnsi="Calibri" w:cs="Calibri"/>
          <w:sz w:val="22"/>
          <w:szCs w:val="22"/>
        </w:rPr>
        <w:t>,</w:t>
      </w:r>
      <w:r w:rsidRPr="002E2B5B">
        <w:rPr>
          <w:rFonts w:ascii="Calibri" w:hAnsi="Calibri" w:cs="Calibri"/>
          <w:sz w:val="22"/>
          <w:szCs w:val="22"/>
        </w:rPr>
        <w:t xml:space="preserve"> gerando relatórios por localidade ou descrição do bem e são depreciados periodicamente</w:t>
      </w:r>
      <w:r w:rsidR="00054CE1" w:rsidRPr="002E2B5B">
        <w:rPr>
          <w:rFonts w:ascii="Calibri" w:hAnsi="Calibri" w:cs="Calibri"/>
          <w:sz w:val="22"/>
          <w:szCs w:val="22"/>
        </w:rPr>
        <w:t>;</w:t>
      </w:r>
    </w:p>
    <w:p w14:paraId="7E756F2F" w14:textId="4D1BFDC7" w:rsidR="007D5C15" w:rsidRDefault="007D5C15" w:rsidP="002E2B5B">
      <w:pPr>
        <w:pStyle w:val="NormalWeb"/>
        <w:numPr>
          <w:ilvl w:val="0"/>
          <w:numId w:val="15"/>
        </w:numPr>
        <w:spacing w:before="0" w:beforeAutospacing="0" w:after="120" w:afterAutospacing="0"/>
        <w:jc w:val="both"/>
        <w:rPr>
          <w:rFonts w:ascii="Calibri" w:hAnsi="Calibri" w:cs="Calibri"/>
          <w:sz w:val="22"/>
          <w:szCs w:val="22"/>
        </w:rPr>
      </w:pPr>
      <w:r>
        <w:rPr>
          <w:rFonts w:ascii="Calibri" w:hAnsi="Calibri" w:cs="Calibri"/>
          <w:sz w:val="22"/>
          <w:szCs w:val="22"/>
        </w:rPr>
        <w:t>Em março de 2021, fo</w:t>
      </w:r>
      <w:r w:rsidRPr="007D5C15">
        <w:rPr>
          <w:rFonts w:ascii="Calibri" w:hAnsi="Calibri" w:cs="Calibri"/>
          <w:sz w:val="22"/>
          <w:szCs w:val="22"/>
        </w:rPr>
        <w:t>ram adquiridos Aparelhos e Equipamentos de Comunicação</w:t>
      </w:r>
      <w:r>
        <w:rPr>
          <w:rFonts w:ascii="Calibri" w:hAnsi="Calibri" w:cs="Calibri"/>
          <w:sz w:val="22"/>
          <w:szCs w:val="22"/>
        </w:rPr>
        <w:t xml:space="preserve"> </w:t>
      </w:r>
      <w:r w:rsidRPr="007D5C15">
        <w:rPr>
          <w:rFonts w:ascii="Calibri" w:hAnsi="Calibri" w:cs="Calibri"/>
          <w:sz w:val="22"/>
          <w:szCs w:val="22"/>
        </w:rPr>
        <w:t>no valor de R$ 46</w:t>
      </w:r>
      <w:r w:rsidR="00D67F9D">
        <w:rPr>
          <w:rFonts w:ascii="Calibri" w:hAnsi="Calibri" w:cs="Calibri"/>
          <w:sz w:val="22"/>
          <w:szCs w:val="22"/>
        </w:rPr>
        <w:t xml:space="preserve"> mil</w:t>
      </w:r>
      <w:r w:rsidRPr="007D5C15">
        <w:rPr>
          <w:rFonts w:ascii="Calibri" w:hAnsi="Calibri" w:cs="Calibri"/>
          <w:sz w:val="22"/>
          <w:szCs w:val="22"/>
        </w:rPr>
        <w:t>;</w:t>
      </w:r>
    </w:p>
    <w:p w14:paraId="45E3A76A" w14:textId="5D344B0F" w:rsidR="000C54C6" w:rsidRPr="002E2B5B" w:rsidRDefault="000C54C6" w:rsidP="002E2B5B">
      <w:pPr>
        <w:pStyle w:val="NormalWeb"/>
        <w:numPr>
          <w:ilvl w:val="0"/>
          <w:numId w:val="15"/>
        </w:numPr>
        <w:spacing w:before="0" w:beforeAutospacing="0" w:after="120" w:afterAutospacing="0"/>
        <w:jc w:val="both"/>
        <w:rPr>
          <w:rFonts w:ascii="Calibri" w:hAnsi="Calibri" w:cs="Calibri"/>
          <w:sz w:val="22"/>
          <w:szCs w:val="22"/>
        </w:rPr>
      </w:pPr>
      <w:r>
        <w:rPr>
          <w:rFonts w:ascii="Calibri" w:hAnsi="Calibri" w:cs="Calibri"/>
          <w:sz w:val="22"/>
          <w:szCs w:val="22"/>
        </w:rPr>
        <w:t xml:space="preserve">Em setembro de 2021, foram adquiridos </w:t>
      </w:r>
      <w:r w:rsidRPr="000C54C6">
        <w:rPr>
          <w:rFonts w:ascii="Calibri" w:hAnsi="Calibri" w:cs="Calibri"/>
          <w:sz w:val="22"/>
          <w:szCs w:val="22"/>
        </w:rPr>
        <w:t>Equipamentos de TI e Comunicação no valor de R$ 1</w:t>
      </w:r>
      <w:r>
        <w:rPr>
          <w:rFonts w:ascii="Calibri" w:hAnsi="Calibri" w:cs="Calibri"/>
          <w:sz w:val="22"/>
          <w:szCs w:val="22"/>
        </w:rPr>
        <w:t>,</w:t>
      </w:r>
      <w:r w:rsidRPr="000C54C6">
        <w:rPr>
          <w:rFonts w:ascii="Calibri" w:hAnsi="Calibri" w:cs="Calibri"/>
          <w:sz w:val="22"/>
          <w:szCs w:val="22"/>
        </w:rPr>
        <w:t>15</w:t>
      </w:r>
      <w:r>
        <w:rPr>
          <w:rFonts w:ascii="Calibri" w:hAnsi="Calibri" w:cs="Calibri"/>
          <w:sz w:val="22"/>
          <w:szCs w:val="22"/>
        </w:rPr>
        <w:t xml:space="preserve"> milhão</w:t>
      </w:r>
      <w:r w:rsidRPr="000C54C6">
        <w:rPr>
          <w:rFonts w:ascii="Calibri" w:hAnsi="Calibri" w:cs="Calibri"/>
          <w:sz w:val="22"/>
          <w:szCs w:val="22"/>
        </w:rPr>
        <w:t>.</w:t>
      </w:r>
    </w:p>
    <w:p w14:paraId="1C370210" w14:textId="77777777" w:rsidR="00054CE1" w:rsidRPr="002E2B5B" w:rsidRDefault="00054CE1" w:rsidP="002E2B5B">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A provisão para “Redução ao valor Recuperável – Móveis” no valor de R$ 17.094 se refere ao valor contábil de 292 bens patrimoniais furtados ou extraviados, mas que se encontram com o processo administrativo de sindicância em andamento, conforme Laudo expedido pela Gerência de Patrimônio em 04 de março de 2021 (Laudo de Avaliação nº 1/2021/GEPAT/SUADM/VALEC - referente aos bens móveis em 31 de dezembro de 2019). Ao final da instrução processual, com a devida autorização da Diretoria Executiva, esses bens serão efetivamente baixados do patrimônio da VALEC;  </w:t>
      </w:r>
    </w:p>
    <w:p w14:paraId="0556DBE9" w14:textId="67E8D061" w:rsidR="009856AD" w:rsidRPr="002E2B5B" w:rsidRDefault="009856AD" w:rsidP="002E2B5B">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A rubrica contábil “Terrenos” é composta pelos custos relacionados aos processos de desapropriação dos respectivos Terrenos. Mensalmente são realizados pagamentos de custas do processo, taxas cartoriais, entre outros que compõem o Custo do Terreno</w:t>
      </w:r>
      <w:r w:rsidR="000A7B39" w:rsidRPr="002E2B5B">
        <w:rPr>
          <w:rFonts w:ascii="Calibri" w:hAnsi="Calibri" w:cs="Calibri"/>
          <w:sz w:val="22"/>
          <w:szCs w:val="22"/>
        </w:rPr>
        <w:t>;</w:t>
      </w:r>
    </w:p>
    <w:p w14:paraId="703F20AE" w14:textId="77777777" w:rsidR="00CF03BE" w:rsidRPr="002E2B5B" w:rsidRDefault="00CF03BE" w:rsidP="002E2B5B">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A rubrica contábil “Estudos e Projetos” é composta pelos custos relacionados ao desenvolvimento </w:t>
      </w:r>
      <w:r w:rsidRPr="002E2B5B">
        <w:rPr>
          <w:rFonts w:ascii="Calibri" w:hAnsi="Calibri" w:cs="Calibri"/>
          <w:sz w:val="22"/>
          <w:szCs w:val="22"/>
          <w:shd w:val="clear" w:color="auto" w:fill="FFFFFF"/>
        </w:rPr>
        <w:t>de estudos e projetos de obras de infraestrutura ferroviária. Os Estudos e Projetos compreendem os Estudos de Viabilidade Técnica, Econômica e Ambiental – EVTEA, o Projeto Básico – PB e o Projeto Executivo – PE;</w:t>
      </w:r>
    </w:p>
    <w:p w14:paraId="1FBA50D3" w14:textId="5D2CF4AF" w:rsidR="007D5C15" w:rsidRPr="0039796F" w:rsidRDefault="00CC7E45" w:rsidP="0039796F">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A rubrica contábil “Implantação – Ferrovias” é formada pelos custos das obras de construção das ferrovias que ainda se encontram em andamento, após o término das obras e a autorização para tráfego emitida pela ANTT, esses custos são transferidos para a rubrica “Ferrovias Construídas” e a partir de então, a ferrovia passa a sofrer depreciação. Após as subconcessões dos trechos, os ativos subconcedidos são transferidos para a rubrica “Ativos de Concessão”</w:t>
      </w:r>
      <w:r w:rsidR="000A7B39" w:rsidRPr="002E2B5B">
        <w:rPr>
          <w:rFonts w:ascii="Calibri" w:hAnsi="Calibri" w:cs="Calibri"/>
          <w:sz w:val="22"/>
          <w:szCs w:val="22"/>
        </w:rPr>
        <w:t>;</w:t>
      </w:r>
    </w:p>
    <w:p w14:paraId="63BA538B" w14:textId="18234464" w:rsidR="00342FBF" w:rsidRDefault="00C07BEB" w:rsidP="002E2B5B">
      <w:pPr>
        <w:pStyle w:val="NormalWeb"/>
        <w:numPr>
          <w:ilvl w:val="0"/>
          <w:numId w:val="15"/>
        </w:numPr>
        <w:spacing w:before="0" w:beforeAutospacing="0" w:after="120" w:afterAutospacing="0"/>
        <w:jc w:val="both"/>
        <w:rPr>
          <w:rFonts w:ascii="Calibri" w:hAnsi="Calibri" w:cs="Calibri"/>
          <w:sz w:val="22"/>
          <w:szCs w:val="22"/>
        </w:rPr>
      </w:pPr>
      <w:r w:rsidRPr="002E2B5B">
        <w:rPr>
          <w:rFonts w:ascii="Calibri" w:hAnsi="Calibri" w:cs="Calibri"/>
          <w:sz w:val="22"/>
          <w:szCs w:val="22"/>
        </w:rPr>
        <w:t>Um item do ativo imobilizado é baixado quando doado ou quando nenhum benefício econômico futuro for esperado pelo seu uso. Eventual perda resultante da baixa do ativo (representada pelo valor residual do ativo) é incluída no resultado do exercício em que o ativo for baixado.</w:t>
      </w:r>
      <w:r w:rsidR="0039796F">
        <w:rPr>
          <w:rFonts w:ascii="Calibri" w:hAnsi="Calibri" w:cs="Calibri"/>
          <w:sz w:val="22"/>
          <w:szCs w:val="22"/>
        </w:rPr>
        <w:t xml:space="preserve"> </w:t>
      </w:r>
      <w:r w:rsidR="00605D1B">
        <w:rPr>
          <w:rFonts w:ascii="Calibri" w:hAnsi="Calibri" w:cs="Calibri"/>
          <w:sz w:val="22"/>
          <w:szCs w:val="22"/>
        </w:rPr>
        <w:t xml:space="preserve">Em 2021, até o </w:t>
      </w:r>
      <w:r w:rsidR="000C54C6">
        <w:rPr>
          <w:rFonts w:ascii="Calibri" w:hAnsi="Calibri" w:cs="Calibri"/>
          <w:sz w:val="22"/>
          <w:szCs w:val="22"/>
        </w:rPr>
        <w:t>terceiro</w:t>
      </w:r>
      <w:r w:rsidR="00605D1B">
        <w:rPr>
          <w:rFonts w:ascii="Calibri" w:hAnsi="Calibri" w:cs="Calibri"/>
          <w:sz w:val="22"/>
          <w:szCs w:val="22"/>
        </w:rPr>
        <w:t xml:space="preserve"> trimestre</w:t>
      </w:r>
      <w:r w:rsidR="00CC7E45" w:rsidRPr="002E2B5B">
        <w:rPr>
          <w:rFonts w:ascii="Calibri" w:hAnsi="Calibri" w:cs="Calibri"/>
          <w:sz w:val="22"/>
          <w:szCs w:val="22"/>
        </w:rPr>
        <w:t xml:space="preserve">, ocorreram as seguintes baixas: </w:t>
      </w:r>
      <w:bookmarkStart w:id="3" w:name="_Hlk34328143"/>
    </w:p>
    <w:p w14:paraId="7E23F6C0" w14:textId="0C872C3A" w:rsidR="00AC4DE3" w:rsidRPr="002E2B5B" w:rsidRDefault="0039796F" w:rsidP="002E2B5B">
      <w:pPr>
        <w:pStyle w:val="Corpodetexto"/>
        <w:numPr>
          <w:ilvl w:val="1"/>
          <w:numId w:val="15"/>
        </w:numPr>
        <w:spacing w:after="120" w:line="240" w:lineRule="auto"/>
        <w:ind w:right="57"/>
        <w:rPr>
          <w:rFonts w:ascii="Calibri" w:hAnsi="Calibri" w:cs="Calibri"/>
          <w:sz w:val="22"/>
          <w:szCs w:val="22"/>
        </w:rPr>
      </w:pPr>
      <w:bookmarkStart w:id="4" w:name="_Hlk34328261"/>
      <w:bookmarkEnd w:id="3"/>
      <w:r>
        <w:rPr>
          <w:rFonts w:ascii="Calibri" w:hAnsi="Calibri" w:cs="Calibri"/>
          <w:sz w:val="22"/>
          <w:szCs w:val="22"/>
        </w:rPr>
        <w:t>B</w:t>
      </w:r>
      <w:r w:rsidRPr="007D5C15">
        <w:rPr>
          <w:rFonts w:ascii="Calibri" w:hAnsi="Calibri" w:cs="Calibri"/>
          <w:sz w:val="22"/>
          <w:szCs w:val="22"/>
        </w:rPr>
        <w:t>aixa de</w:t>
      </w:r>
      <w:r>
        <w:rPr>
          <w:rFonts w:ascii="Calibri" w:hAnsi="Calibri" w:cs="Calibri"/>
          <w:sz w:val="22"/>
          <w:szCs w:val="22"/>
        </w:rPr>
        <w:t xml:space="preserve"> 6 bens patrimoniais, localizados no canteiro de obras de Indiara/GO, totalizando o valor de</w:t>
      </w:r>
      <w:r w:rsidRPr="007D5C15">
        <w:rPr>
          <w:rFonts w:ascii="Calibri" w:hAnsi="Calibri" w:cs="Calibri"/>
          <w:sz w:val="22"/>
          <w:szCs w:val="22"/>
        </w:rPr>
        <w:t xml:space="preserve"> R$ 871</w:t>
      </w:r>
      <w:r w:rsidR="00874E8F">
        <w:rPr>
          <w:rFonts w:ascii="Calibri" w:hAnsi="Calibri" w:cs="Calibri"/>
          <w:sz w:val="22"/>
          <w:szCs w:val="22"/>
        </w:rPr>
        <w:t xml:space="preserve">,8 mil </w:t>
      </w:r>
      <w:r w:rsidRPr="007D5C15">
        <w:rPr>
          <w:rFonts w:ascii="Calibri" w:hAnsi="Calibri" w:cs="Calibri"/>
          <w:sz w:val="22"/>
          <w:szCs w:val="22"/>
        </w:rPr>
        <w:t xml:space="preserve">na conta de Salas e Escritórios, devido </w:t>
      </w:r>
      <w:r>
        <w:rPr>
          <w:rFonts w:ascii="Calibri" w:hAnsi="Calibri" w:cs="Calibri"/>
          <w:sz w:val="22"/>
          <w:szCs w:val="22"/>
        </w:rPr>
        <w:t>à</w:t>
      </w:r>
      <w:r w:rsidRPr="007D5C15">
        <w:rPr>
          <w:rFonts w:ascii="Calibri" w:hAnsi="Calibri" w:cs="Calibri"/>
          <w:sz w:val="22"/>
          <w:szCs w:val="22"/>
        </w:rPr>
        <w:t xml:space="preserve"> irrecuperabilidade dos bens conforme Processo 51402.200788/2018-10</w:t>
      </w:r>
      <w:r w:rsidR="004C3C18" w:rsidRPr="002E2B5B">
        <w:rPr>
          <w:rFonts w:ascii="Calibri" w:hAnsi="Calibri" w:cs="Calibri"/>
          <w:sz w:val="22"/>
          <w:szCs w:val="22"/>
        </w:rPr>
        <w:t>;</w:t>
      </w:r>
      <w:r w:rsidR="00AC4DE3" w:rsidRPr="002E2B5B">
        <w:rPr>
          <w:rFonts w:ascii="Calibri" w:hAnsi="Calibri" w:cs="Calibri"/>
          <w:sz w:val="22"/>
          <w:szCs w:val="22"/>
        </w:rPr>
        <w:t xml:space="preserve"> </w:t>
      </w:r>
      <w:r w:rsidR="00F74D7B" w:rsidRPr="00F74D7B">
        <w:rPr>
          <w:rFonts w:ascii="Calibri" w:hAnsi="Calibri" w:cs="Calibri"/>
          <w:sz w:val="22"/>
          <w:szCs w:val="22"/>
        </w:rPr>
        <w:t>Do valor total baixado, R$ 828.215,89 correspondem à depreciação acumulada dos referidos bens;</w:t>
      </w:r>
    </w:p>
    <w:bookmarkEnd w:id="4"/>
    <w:p w14:paraId="6DD02DE4" w14:textId="38B868F0" w:rsidR="00106EB8" w:rsidRPr="002E2B5B" w:rsidRDefault="00106EB8" w:rsidP="002E2B5B">
      <w:pPr>
        <w:pStyle w:val="Corpodetexto"/>
        <w:numPr>
          <w:ilvl w:val="1"/>
          <w:numId w:val="15"/>
        </w:numPr>
        <w:spacing w:after="120" w:line="240" w:lineRule="auto"/>
        <w:ind w:left="1434" w:right="57" w:hanging="357"/>
        <w:rPr>
          <w:rFonts w:ascii="Calibri" w:hAnsi="Calibri" w:cs="Calibri"/>
          <w:sz w:val="22"/>
          <w:szCs w:val="22"/>
        </w:rPr>
      </w:pPr>
      <w:r w:rsidRPr="002E2B5B">
        <w:rPr>
          <w:rFonts w:ascii="Calibri" w:hAnsi="Calibri" w:cs="Calibri"/>
          <w:sz w:val="22"/>
          <w:szCs w:val="22"/>
        </w:rPr>
        <w:t xml:space="preserve">Baixa de R$ </w:t>
      </w:r>
      <w:r w:rsidR="0039796F">
        <w:rPr>
          <w:rFonts w:ascii="Calibri" w:hAnsi="Calibri" w:cs="Calibri"/>
          <w:sz w:val="22"/>
          <w:szCs w:val="22"/>
        </w:rPr>
        <w:t>163</w:t>
      </w:r>
      <w:r w:rsidRPr="002E2B5B">
        <w:rPr>
          <w:rFonts w:ascii="Calibri" w:hAnsi="Calibri" w:cs="Calibri"/>
          <w:sz w:val="22"/>
          <w:szCs w:val="22"/>
        </w:rPr>
        <w:t xml:space="preserve"> na conta de Implantação – Ferrovias devido à baixa de saldo correspondente na Conta de Depósitos Retidos de Fornecedores, tendo em vista os </w:t>
      </w:r>
      <w:r w:rsidR="00CF03BE" w:rsidRPr="002E2B5B">
        <w:rPr>
          <w:rFonts w:ascii="Calibri" w:hAnsi="Calibri" w:cs="Calibri"/>
          <w:sz w:val="22"/>
          <w:szCs w:val="22"/>
        </w:rPr>
        <w:t>contratos encerrados e não reclamados administrativamente pelos fornecedores;</w:t>
      </w:r>
      <w:r w:rsidR="0039796F">
        <w:rPr>
          <w:rFonts w:ascii="Calibri" w:hAnsi="Calibri" w:cs="Calibri"/>
          <w:sz w:val="22"/>
          <w:szCs w:val="22"/>
        </w:rPr>
        <w:t xml:space="preserve"> </w:t>
      </w:r>
    </w:p>
    <w:p w14:paraId="78057B3D" w14:textId="159E9E0D" w:rsidR="00F146BF" w:rsidRDefault="00106EB8" w:rsidP="0039796F">
      <w:pPr>
        <w:pStyle w:val="Corpodetexto"/>
        <w:numPr>
          <w:ilvl w:val="1"/>
          <w:numId w:val="15"/>
        </w:numPr>
        <w:spacing w:after="120" w:line="240" w:lineRule="auto"/>
        <w:ind w:left="1434" w:right="57" w:hanging="357"/>
        <w:rPr>
          <w:rFonts w:ascii="Calibri" w:hAnsi="Calibri" w:cs="Calibri"/>
          <w:sz w:val="22"/>
          <w:szCs w:val="22"/>
        </w:rPr>
      </w:pPr>
      <w:r w:rsidRPr="002E2B5B">
        <w:rPr>
          <w:rFonts w:ascii="Calibri" w:hAnsi="Calibri" w:cs="Calibri"/>
          <w:sz w:val="22"/>
          <w:szCs w:val="22"/>
        </w:rPr>
        <w:lastRenderedPageBreak/>
        <w:t xml:space="preserve">Baixa de R$ </w:t>
      </w:r>
      <w:r w:rsidR="0039796F">
        <w:rPr>
          <w:rFonts w:ascii="Calibri" w:hAnsi="Calibri" w:cs="Calibri"/>
          <w:sz w:val="22"/>
          <w:szCs w:val="22"/>
        </w:rPr>
        <w:t>2</w:t>
      </w:r>
      <w:r w:rsidR="00874E8F">
        <w:rPr>
          <w:rFonts w:ascii="Calibri" w:hAnsi="Calibri" w:cs="Calibri"/>
          <w:sz w:val="22"/>
          <w:szCs w:val="22"/>
        </w:rPr>
        <w:t xml:space="preserve"> mil</w:t>
      </w:r>
      <w:r w:rsidRPr="002E2B5B">
        <w:rPr>
          <w:rFonts w:ascii="Calibri" w:hAnsi="Calibri" w:cs="Calibri"/>
          <w:sz w:val="22"/>
          <w:szCs w:val="22"/>
        </w:rPr>
        <w:t xml:space="preserve"> na conta Ativos de Concessão devido à baixa de saldo correspondente na Conta de Depósitos Retidos de Fornecedores, tendo </w:t>
      </w:r>
      <w:r w:rsidR="00CF03BE" w:rsidRPr="002E2B5B">
        <w:rPr>
          <w:rFonts w:ascii="Calibri" w:hAnsi="Calibri" w:cs="Calibri"/>
          <w:sz w:val="22"/>
          <w:szCs w:val="22"/>
        </w:rPr>
        <w:t>em vista os contratos encerrados e não reclamados administrativamente pelos fornecedores</w:t>
      </w:r>
      <w:r w:rsidR="0039796F">
        <w:rPr>
          <w:rFonts w:ascii="Calibri" w:hAnsi="Calibri" w:cs="Calibri"/>
          <w:sz w:val="22"/>
          <w:szCs w:val="22"/>
        </w:rPr>
        <w:t>.</w:t>
      </w:r>
    </w:p>
    <w:p w14:paraId="01220A8E" w14:textId="2D9A7092" w:rsidR="00F74D7B" w:rsidRDefault="00F74D7B" w:rsidP="0039796F">
      <w:pPr>
        <w:pStyle w:val="Corpodetexto"/>
        <w:numPr>
          <w:ilvl w:val="1"/>
          <w:numId w:val="15"/>
        </w:numPr>
        <w:spacing w:after="120" w:line="240" w:lineRule="auto"/>
        <w:ind w:left="1434" w:right="57" w:hanging="357"/>
        <w:rPr>
          <w:rFonts w:ascii="Calibri" w:hAnsi="Calibri" w:cs="Calibri"/>
          <w:sz w:val="22"/>
          <w:szCs w:val="22"/>
        </w:rPr>
      </w:pPr>
      <w:r>
        <w:rPr>
          <w:rFonts w:ascii="Calibri" w:hAnsi="Calibri" w:cs="Calibri"/>
          <w:sz w:val="22"/>
          <w:szCs w:val="22"/>
        </w:rPr>
        <w:t>B</w:t>
      </w:r>
      <w:r w:rsidRPr="00F74D7B">
        <w:rPr>
          <w:rFonts w:ascii="Calibri" w:hAnsi="Calibri" w:cs="Calibri"/>
          <w:sz w:val="22"/>
          <w:szCs w:val="22"/>
        </w:rPr>
        <w:t>aixa de R$ 9</w:t>
      </w:r>
      <w:r>
        <w:rPr>
          <w:rFonts w:ascii="Calibri" w:hAnsi="Calibri" w:cs="Calibri"/>
          <w:sz w:val="22"/>
          <w:szCs w:val="22"/>
        </w:rPr>
        <w:t xml:space="preserve"> mil</w:t>
      </w:r>
      <w:r w:rsidRPr="00F74D7B">
        <w:rPr>
          <w:rFonts w:ascii="Calibri" w:hAnsi="Calibri" w:cs="Calibri"/>
          <w:sz w:val="22"/>
          <w:szCs w:val="22"/>
        </w:rPr>
        <w:t xml:space="preserve"> na conta Equipamentos de TI e Comunicação, devido ao furto de 06 bens patrimoniais conforme Processo 51402.012330/2012-10. Os bens baixados já se encontravam totalmente depreciados.</w:t>
      </w:r>
    </w:p>
    <w:p w14:paraId="488EADB7" w14:textId="477D6763" w:rsidR="000C54C6" w:rsidRPr="002E2B5B" w:rsidRDefault="000C54C6" w:rsidP="0039796F">
      <w:pPr>
        <w:pStyle w:val="Corpodetexto"/>
        <w:numPr>
          <w:ilvl w:val="1"/>
          <w:numId w:val="15"/>
        </w:numPr>
        <w:spacing w:after="120" w:line="240" w:lineRule="auto"/>
        <w:ind w:left="1434" w:right="57" w:hanging="357"/>
        <w:rPr>
          <w:rFonts w:ascii="Calibri" w:hAnsi="Calibri" w:cs="Calibri"/>
          <w:sz w:val="22"/>
          <w:szCs w:val="22"/>
        </w:rPr>
      </w:pPr>
      <w:r>
        <w:rPr>
          <w:rFonts w:ascii="Calibri" w:hAnsi="Calibri" w:cs="Calibri"/>
          <w:sz w:val="22"/>
          <w:szCs w:val="22"/>
        </w:rPr>
        <w:t>B</w:t>
      </w:r>
      <w:r w:rsidRPr="000C54C6">
        <w:rPr>
          <w:rFonts w:ascii="Calibri" w:hAnsi="Calibri" w:cs="Calibri"/>
          <w:sz w:val="22"/>
          <w:szCs w:val="22"/>
        </w:rPr>
        <w:t>aixa de R$ 3</w:t>
      </w:r>
      <w:r>
        <w:rPr>
          <w:rFonts w:ascii="Calibri" w:hAnsi="Calibri" w:cs="Calibri"/>
          <w:sz w:val="22"/>
          <w:szCs w:val="22"/>
        </w:rPr>
        <w:t>,</w:t>
      </w:r>
      <w:r w:rsidRPr="000C54C6">
        <w:rPr>
          <w:rFonts w:ascii="Calibri" w:hAnsi="Calibri" w:cs="Calibri"/>
          <w:sz w:val="22"/>
          <w:szCs w:val="22"/>
        </w:rPr>
        <w:t>09</w:t>
      </w:r>
      <w:r>
        <w:rPr>
          <w:rFonts w:ascii="Calibri" w:hAnsi="Calibri" w:cs="Calibri"/>
          <w:sz w:val="22"/>
          <w:szCs w:val="22"/>
        </w:rPr>
        <w:t xml:space="preserve"> milhões</w:t>
      </w:r>
      <w:r w:rsidRPr="000C54C6">
        <w:rPr>
          <w:rFonts w:ascii="Calibri" w:hAnsi="Calibri" w:cs="Calibri"/>
          <w:sz w:val="22"/>
          <w:szCs w:val="22"/>
        </w:rPr>
        <w:t xml:space="preserve"> na conta de Salas e Escritórios, devido a irrecuperabilidade dos bens conforme Processo 51402.100475/2021-46. Do valor total baixado, R$ 2</w:t>
      </w:r>
      <w:r>
        <w:rPr>
          <w:rFonts w:ascii="Calibri" w:hAnsi="Calibri" w:cs="Calibri"/>
          <w:sz w:val="22"/>
          <w:szCs w:val="22"/>
        </w:rPr>
        <w:t>,</w:t>
      </w:r>
      <w:r w:rsidRPr="000C54C6">
        <w:rPr>
          <w:rFonts w:ascii="Calibri" w:hAnsi="Calibri" w:cs="Calibri"/>
          <w:sz w:val="22"/>
          <w:szCs w:val="22"/>
        </w:rPr>
        <w:t>96</w:t>
      </w:r>
      <w:r>
        <w:rPr>
          <w:rFonts w:ascii="Calibri" w:hAnsi="Calibri" w:cs="Calibri"/>
          <w:sz w:val="22"/>
          <w:szCs w:val="22"/>
        </w:rPr>
        <w:t xml:space="preserve"> milhões</w:t>
      </w:r>
      <w:r w:rsidRPr="000C54C6">
        <w:rPr>
          <w:rFonts w:ascii="Calibri" w:hAnsi="Calibri" w:cs="Calibri"/>
          <w:sz w:val="22"/>
          <w:szCs w:val="22"/>
        </w:rPr>
        <w:t xml:space="preserve"> correspondem à depreciação acumulada dos referidos bens;                 </w:t>
      </w:r>
    </w:p>
    <w:p w14:paraId="0555B937" w14:textId="45BF9516" w:rsidR="00AB04E1" w:rsidRPr="002E2B5B" w:rsidRDefault="004C3C18" w:rsidP="002E2B5B">
      <w:pPr>
        <w:pStyle w:val="Corpodetexto"/>
        <w:numPr>
          <w:ilvl w:val="0"/>
          <w:numId w:val="15"/>
        </w:numPr>
        <w:spacing w:after="120" w:line="240" w:lineRule="auto"/>
        <w:rPr>
          <w:rFonts w:ascii="Calibri" w:hAnsi="Calibri" w:cs="Calibri"/>
          <w:sz w:val="22"/>
          <w:szCs w:val="22"/>
        </w:rPr>
      </w:pPr>
      <w:r w:rsidRPr="002E2B5B">
        <w:rPr>
          <w:rFonts w:ascii="Calibri" w:hAnsi="Calibri" w:cs="Calibri"/>
          <w:sz w:val="22"/>
          <w:szCs w:val="22"/>
        </w:rPr>
        <w:t>A coluna “transferências” da Tabela que apresenta o fluxo de movimentação do Imobilizado representa os saldos que são transferidos a outras rubricas</w:t>
      </w:r>
      <w:r w:rsidR="00FF7932" w:rsidRPr="002E2B5B">
        <w:rPr>
          <w:rFonts w:ascii="Calibri" w:hAnsi="Calibri" w:cs="Calibri"/>
          <w:sz w:val="22"/>
          <w:szCs w:val="22"/>
        </w:rPr>
        <w:t xml:space="preserve"> do Imobilizado</w:t>
      </w:r>
      <w:r w:rsidRPr="002E2B5B">
        <w:rPr>
          <w:rFonts w:ascii="Calibri" w:hAnsi="Calibri" w:cs="Calibri"/>
          <w:sz w:val="22"/>
          <w:szCs w:val="22"/>
        </w:rPr>
        <w:t xml:space="preserve">, em geral por motivo de subconcessão de trechos da Ferrovia ou por encerramento dos respectivos contratos. </w:t>
      </w:r>
      <w:r w:rsidR="0039796F">
        <w:rPr>
          <w:rFonts w:ascii="Calibri" w:hAnsi="Calibri" w:cs="Calibri"/>
          <w:sz w:val="22"/>
          <w:szCs w:val="22"/>
        </w:rPr>
        <w:t xml:space="preserve">No </w:t>
      </w:r>
      <w:r w:rsidR="00605D1B">
        <w:rPr>
          <w:rFonts w:ascii="Calibri" w:hAnsi="Calibri" w:cs="Calibri"/>
          <w:sz w:val="22"/>
          <w:szCs w:val="22"/>
        </w:rPr>
        <w:t>ano</w:t>
      </w:r>
      <w:r w:rsidR="0039796F">
        <w:rPr>
          <w:rFonts w:ascii="Calibri" w:hAnsi="Calibri" w:cs="Calibri"/>
          <w:sz w:val="22"/>
          <w:szCs w:val="22"/>
        </w:rPr>
        <w:t xml:space="preserve"> de 2</w:t>
      </w:r>
      <w:r w:rsidRPr="002E2B5B">
        <w:rPr>
          <w:rFonts w:ascii="Calibri" w:hAnsi="Calibri" w:cs="Calibri"/>
          <w:sz w:val="22"/>
          <w:szCs w:val="22"/>
        </w:rPr>
        <w:t>02</w:t>
      </w:r>
      <w:r w:rsidR="0039796F">
        <w:rPr>
          <w:rFonts w:ascii="Calibri" w:hAnsi="Calibri" w:cs="Calibri"/>
          <w:sz w:val="22"/>
          <w:szCs w:val="22"/>
        </w:rPr>
        <w:t>1</w:t>
      </w:r>
      <w:r w:rsidR="00AB04E1" w:rsidRPr="002E2B5B">
        <w:rPr>
          <w:rFonts w:ascii="Calibri" w:hAnsi="Calibri" w:cs="Calibri"/>
          <w:sz w:val="22"/>
          <w:szCs w:val="22"/>
        </w:rPr>
        <w:t xml:space="preserve">, </w:t>
      </w:r>
      <w:r w:rsidR="00605D1B">
        <w:rPr>
          <w:rFonts w:ascii="Calibri" w:hAnsi="Calibri" w:cs="Calibri"/>
          <w:sz w:val="22"/>
          <w:szCs w:val="22"/>
        </w:rPr>
        <w:t xml:space="preserve">até o </w:t>
      </w:r>
      <w:r w:rsidR="000C54C6">
        <w:rPr>
          <w:rFonts w:ascii="Calibri" w:hAnsi="Calibri" w:cs="Calibri"/>
          <w:sz w:val="22"/>
          <w:szCs w:val="22"/>
        </w:rPr>
        <w:t>terceiro</w:t>
      </w:r>
      <w:r w:rsidR="00605D1B">
        <w:rPr>
          <w:rFonts w:ascii="Calibri" w:hAnsi="Calibri" w:cs="Calibri"/>
          <w:sz w:val="22"/>
          <w:szCs w:val="22"/>
        </w:rPr>
        <w:t xml:space="preserve"> trimestre, </w:t>
      </w:r>
      <w:r w:rsidR="00AB04E1" w:rsidRPr="002E2B5B">
        <w:rPr>
          <w:rFonts w:ascii="Calibri" w:hAnsi="Calibri" w:cs="Calibri"/>
          <w:sz w:val="22"/>
          <w:szCs w:val="22"/>
        </w:rPr>
        <w:t>fo</w:t>
      </w:r>
      <w:r w:rsidR="00874E8F">
        <w:rPr>
          <w:rFonts w:ascii="Calibri" w:hAnsi="Calibri" w:cs="Calibri"/>
          <w:sz w:val="22"/>
          <w:szCs w:val="22"/>
        </w:rPr>
        <w:t xml:space="preserve">i </w:t>
      </w:r>
      <w:r w:rsidR="00AB04E1" w:rsidRPr="002E2B5B">
        <w:rPr>
          <w:rFonts w:ascii="Calibri" w:hAnsi="Calibri" w:cs="Calibri"/>
          <w:sz w:val="22"/>
          <w:szCs w:val="22"/>
        </w:rPr>
        <w:t>realizada a seguinte transferência entre contas do ativo imobilizado:</w:t>
      </w:r>
    </w:p>
    <w:p w14:paraId="486EDB03" w14:textId="61C74615" w:rsidR="00E707FE" w:rsidRDefault="0039796F" w:rsidP="0039796F">
      <w:pPr>
        <w:pStyle w:val="Corpodetexto"/>
        <w:numPr>
          <w:ilvl w:val="1"/>
          <w:numId w:val="15"/>
        </w:numPr>
        <w:spacing w:after="120" w:line="240" w:lineRule="auto"/>
        <w:ind w:right="57"/>
        <w:rPr>
          <w:rFonts w:ascii="Calibri" w:hAnsi="Calibri" w:cs="Calibri"/>
          <w:sz w:val="22"/>
          <w:szCs w:val="22"/>
        </w:rPr>
      </w:pPr>
      <w:r w:rsidRPr="007D5C15">
        <w:rPr>
          <w:rFonts w:ascii="Calibri" w:hAnsi="Calibri" w:cs="Calibri"/>
          <w:sz w:val="22"/>
          <w:szCs w:val="22"/>
        </w:rPr>
        <w:t>Foi transferido da conta Implantação – Ferrovias o valor de R$ 186</w:t>
      </w:r>
      <w:r w:rsidR="00874E8F">
        <w:rPr>
          <w:rFonts w:ascii="Calibri" w:hAnsi="Calibri" w:cs="Calibri"/>
          <w:sz w:val="22"/>
          <w:szCs w:val="22"/>
        </w:rPr>
        <w:t>,4 mil</w:t>
      </w:r>
      <w:r w:rsidRPr="007D5C15">
        <w:rPr>
          <w:rFonts w:ascii="Calibri" w:hAnsi="Calibri" w:cs="Calibri"/>
          <w:sz w:val="22"/>
          <w:szCs w:val="22"/>
        </w:rPr>
        <w:t>, sendo R$ 1</w:t>
      </w:r>
      <w:r w:rsidR="00874E8F">
        <w:rPr>
          <w:rFonts w:ascii="Calibri" w:hAnsi="Calibri" w:cs="Calibri"/>
          <w:sz w:val="22"/>
          <w:szCs w:val="22"/>
        </w:rPr>
        <w:t xml:space="preserve"> mil</w:t>
      </w:r>
      <w:r w:rsidRPr="007D5C15">
        <w:rPr>
          <w:rFonts w:ascii="Calibri" w:hAnsi="Calibri" w:cs="Calibri"/>
          <w:sz w:val="22"/>
          <w:szCs w:val="22"/>
        </w:rPr>
        <w:t xml:space="preserve"> para a conta Equipamentos de TI e Comunicação, R$ 103</w:t>
      </w:r>
      <w:r w:rsidR="00874E8F">
        <w:rPr>
          <w:rFonts w:ascii="Calibri" w:hAnsi="Calibri" w:cs="Calibri"/>
          <w:sz w:val="22"/>
          <w:szCs w:val="22"/>
        </w:rPr>
        <w:t>,5 mil</w:t>
      </w:r>
      <w:r w:rsidRPr="007D5C15">
        <w:rPr>
          <w:rFonts w:ascii="Calibri" w:hAnsi="Calibri" w:cs="Calibri"/>
          <w:sz w:val="22"/>
          <w:szCs w:val="22"/>
        </w:rPr>
        <w:t xml:space="preserve"> para a conta Mobiliário em Geral e R$ 81</w:t>
      </w:r>
      <w:r w:rsidR="00874E8F">
        <w:rPr>
          <w:rFonts w:ascii="Calibri" w:hAnsi="Calibri" w:cs="Calibri"/>
          <w:sz w:val="22"/>
          <w:szCs w:val="22"/>
        </w:rPr>
        <w:t>,6 mil</w:t>
      </w:r>
      <w:r w:rsidRPr="007D5C15">
        <w:rPr>
          <w:rFonts w:ascii="Calibri" w:hAnsi="Calibri" w:cs="Calibri"/>
          <w:sz w:val="22"/>
          <w:szCs w:val="22"/>
        </w:rPr>
        <w:t xml:space="preserve"> para a conta Utensílios de Escritório, devido ao recebimento e tombamento dos referidos bens localizados no canteiro de obras de Jequié/BA</w:t>
      </w:r>
      <w:r>
        <w:rPr>
          <w:rFonts w:ascii="Calibri" w:hAnsi="Calibri" w:cs="Calibri"/>
          <w:sz w:val="22"/>
          <w:szCs w:val="22"/>
        </w:rPr>
        <w:t>.</w:t>
      </w:r>
    </w:p>
    <w:p w14:paraId="34D86C58" w14:textId="0A8093FE" w:rsidR="000C54C6" w:rsidRDefault="000C54C6" w:rsidP="0039796F">
      <w:pPr>
        <w:pStyle w:val="Corpodetexto"/>
        <w:numPr>
          <w:ilvl w:val="1"/>
          <w:numId w:val="15"/>
        </w:numPr>
        <w:spacing w:after="120" w:line="240" w:lineRule="auto"/>
        <w:ind w:right="57"/>
        <w:rPr>
          <w:rFonts w:ascii="Calibri" w:hAnsi="Calibri" w:cs="Calibri"/>
          <w:sz w:val="22"/>
          <w:szCs w:val="22"/>
        </w:rPr>
      </w:pPr>
      <w:r w:rsidRPr="000C54C6">
        <w:rPr>
          <w:rFonts w:ascii="Calibri" w:hAnsi="Calibri" w:cs="Calibri"/>
          <w:sz w:val="22"/>
          <w:szCs w:val="22"/>
        </w:rPr>
        <w:t xml:space="preserve">Foi transferido da conta Implantação - Ferrovias o valor de R$ </w:t>
      </w:r>
      <w:r>
        <w:rPr>
          <w:rFonts w:ascii="Calibri" w:hAnsi="Calibri" w:cs="Calibri"/>
          <w:sz w:val="22"/>
          <w:szCs w:val="22"/>
        </w:rPr>
        <w:t>87,5 mil</w:t>
      </w:r>
      <w:r w:rsidRPr="000C54C6">
        <w:rPr>
          <w:rFonts w:ascii="Calibri" w:hAnsi="Calibri" w:cs="Calibri"/>
          <w:sz w:val="22"/>
          <w:szCs w:val="22"/>
        </w:rPr>
        <w:t>, sendo R$ 45</w:t>
      </w:r>
      <w:r>
        <w:rPr>
          <w:rFonts w:ascii="Calibri" w:hAnsi="Calibri" w:cs="Calibri"/>
          <w:sz w:val="22"/>
          <w:szCs w:val="22"/>
        </w:rPr>
        <w:t>,8 mil</w:t>
      </w:r>
      <w:r w:rsidRPr="000C54C6">
        <w:rPr>
          <w:rFonts w:ascii="Calibri" w:hAnsi="Calibri" w:cs="Calibri"/>
          <w:sz w:val="22"/>
          <w:szCs w:val="22"/>
        </w:rPr>
        <w:t xml:space="preserve"> para a conta Utensílios de Escritório e R$ 41</w:t>
      </w:r>
      <w:r>
        <w:rPr>
          <w:rFonts w:ascii="Calibri" w:hAnsi="Calibri" w:cs="Calibri"/>
          <w:sz w:val="22"/>
          <w:szCs w:val="22"/>
        </w:rPr>
        <w:t>,</w:t>
      </w:r>
      <w:r w:rsidRPr="000C54C6">
        <w:rPr>
          <w:rFonts w:ascii="Calibri" w:hAnsi="Calibri" w:cs="Calibri"/>
          <w:sz w:val="22"/>
          <w:szCs w:val="22"/>
        </w:rPr>
        <w:t xml:space="preserve">6 para a conta Mobiliário em Geral, devido ao recebimento e tombamento dos referidos bens localizados no canteiro de obras de Tanhaçu/BA.  </w:t>
      </w:r>
    </w:p>
    <w:p w14:paraId="1412E6F1" w14:textId="6AD69A53" w:rsidR="002502B3" w:rsidRDefault="002502B3" w:rsidP="0039796F">
      <w:pPr>
        <w:pStyle w:val="Corpodetexto"/>
        <w:numPr>
          <w:ilvl w:val="1"/>
          <w:numId w:val="15"/>
        </w:numPr>
        <w:spacing w:after="120" w:line="240" w:lineRule="auto"/>
        <w:ind w:right="57"/>
        <w:rPr>
          <w:rFonts w:ascii="Calibri" w:hAnsi="Calibri" w:cs="Calibri"/>
          <w:sz w:val="22"/>
          <w:szCs w:val="22"/>
        </w:rPr>
      </w:pPr>
      <w:r>
        <w:rPr>
          <w:rFonts w:ascii="Calibri" w:hAnsi="Calibri" w:cs="Calibri"/>
          <w:sz w:val="22"/>
          <w:szCs w:val="22"/>
        </w:rPr>
        <w:t xml:space="preserve">Foi transferido para a conta de Ativos de Concessão FIOL – Trecho I o valor de 3,5 bilhões, sendo 3,4 milhões provenientes da conta Estudos e Projetos e 3,502 bilhões da conta Implantação – Ferrovias. A referida transferência foi efetuada em razão da Subconcessão da Ferrovia FIOL - Trecho I ocorrida em agosto de 2021. </w:t>
      </w:r>
    </w:p>
    <w:p w14:paraId="74D8B307" w14:textId="77777777" w:rsidR="00251F5E" w:rsidRDefault="00251F5E" w:rsidP="00251F5E">
      <w:pPr>
        <w:pStyle w:val="Corpodetexto"/>
        <w:numPr>
          <w:ilvl w:val="1"/>
          <w:numId w:val="15"/>
        </w:numPr>
        <w:spacing w:after="120" w:line="240" w:lineRule="auto"/>
        <w:ind w:right="57"/>
        <w:rPr>
          <w:rFonts w:ascii="Calibri" w:hAnsi="Calibri" w:cs="Calibri"/>
          <w:sz w:val="22"/>
          <w:szCs w:val="22"/>
        </w:rPr>
      </w:pPr>
      <w:r>
        <w:rPr>
          <w:rFonts w:ascii="Calibri" w:hAnsi="Calibri" w:cs="Calibri"/>
          <w:sz w:val="22"/>
          <w:szCs w:val="22"/>
        </w:rPr>
        <w:t xml:space="preserve">Foi reclassificado para a conta de Ativos de Concessão </w:t>
      </w:r>
      <w:r w:rsidRPr="00251F5E">
        <w:rPr>
          <w:rFonts w:ascii="Calibri" w:hAnsi="Calibri" w:cs="Calibri"/>
          <w:sz w:val="22"/>
          <w:szCs w:val="22"/>
        </w:rPr>
        <w:t xml:space="preserve">FNS - Açailândia/MA - Palmas/TO </w:t>
      </w:r>
      <w:r>
        <w:rPr>
          <w:rFonts w:ascii="Calibri" w:hAnsi="Calibri" w:cs="Calibri"/>
          <w:sz w:val="22"/>
          <w:szCs w:val="22"/>
        </w:rPr>
        <w:t xml:space="preserve">o valor de 283 mil proveniente da conta </w:t>
      </w:r>
      <w:r w:rsidRPr="00251F5E">
        <w:rPr>
          <w:rFonts w:ascii="Calibri" w:hAnsi="Calibri" w:cs="Calibri"/>
          <w:sz w:val="22"/>
          <w:szCs w:val="22"/>
        </w:rPr>
        <w:t>CMT Lei 8.200/91</w:t>
      </w:r>
      <w:r>
        <w:rPr>
          <w:rFonts w:ascii="Calibri" w:hAnsi="Calibri" w:cs="Calibri"/>
          <w:sz w:val="22"/>
          <w:szCs w:val="22"/>
        </w:rPr>
        <w:t>, considerando que o referido trecho já está subconcedido.</w:t>
      </w:r>
    </w:p>
    <w:p w14:paraId="3E4EECA1" w14:textId="7CFAC87B" w:rsidR="00251F5E" w:rsidRPr="00251F5E" w:rsidRDefault="00251F5E" w:rsidP="00251F5E">
      <w:pPr>
        <w:pStyle w:val="Corpodetexto"/>
        <w:numPr>
          <w:ilvl w:val="1"/>
          <w:numId w:val="15"/>
        </w:numPr>
        <w:spacing w:after="120" w:line="240" w:lineRule="auto"/>
        <w:ind w:right="57"/>
        <w:rPr>
          <w:rFonts w:ascii="Calibri" w:hAnsi="Calibri" w:cs="Calibri"/>
          <w:sz w:val="22"/>
          <w:szCs w:val="22"/>
        </w:rPr>
      </w:pPr>
      <w:r>
        <w:rPr>
          <w:rFonts w:ascii="Calibri" w:hAnsi="Calibri" w:cs="Calibri"/>
          <w:sz w:val="22"/>
          <w:szCs w:val="22"/>
        </w:rPr>
        <w:t xml:space="preserve">Foi reclassificado para a conta de Ativos de Concessão </w:t>
      </w:r>
      <w:r w:rsidRPr="00251F5E">
        <w:rPr>
          <w:rFonts w:ascii="Calibri" w:hAnsi="Calibri" w:cs="Calibri"/>
          <w:sz w:val="22"/>
          <w:szCs w:val="22"/>
        </w:rPr>
        <w:t>FNS - Ouro Verde/GO - Estrela D'Oeste/SP o</w:t>
      </w:r>
      <w:r>
        <w:rPr>
          <w:rFonts w:ascii="Calibri" w:hAnsi="Calibri" w:cs="Calibri"/>
          <w:sz w:val="22"/>
          <w:szCs w:val="22"/>
        </w:rPr>
        <w:t xml:space="preserve"> valor de 60,6 milhões proveniente da conta Implantação de Ferrovias, considerando que o referido trecho já está subconcedido.</w:t>
      </w:r>
    </w:p>
    <w:p w14:paraId="5C05E4EF" w14:textId="257AA22A" w:rsidR="00B7580D" w:rsidRPr="00874E8F" w:rsidRDefault="00AB04E1" w:rsidP="002E2B5B">
      <w:pPr>
        <w:pStyle w:val="Corpodetexto"/>
        <w:numPr>
          <w:ilvl w:val="0"/>
          <w:numId w:val="15"/>
        </w:numPr>
        <w:spacing w:after="120" w:line="240" w:lineRule="auto"/>
        <w:ind w:right="57"/>
        <w:rPr>
          <w:rFonts w:ascii="Calibri" w:hAnsi="Calibri" w:cs="Calibri"/>
          <w:sz w:val="22"/>
          <w:szCs w:val="22"/>
        </w:rPr>
      </w:pPr>
      <w:bookmarkStart w:id="5" w:name="_Hlk34328563"/>
      <w:r w:rsidRPr="002E2B5B">
        <w:rPr>
          <w:rFonts w:ascii="Calibri" w:hAnsi="Calibri" w:cs="Calibri"/>
          <w:sz w:val="22"/>
          <w:szCs w:val="22"/>
        </w:rPr>
        <w:t>Os Ativos de Concessão – Bens Móveis, no valor de R$ 5</w:t>
      </w:r>
      <w:r w:rsidR="00874E8F">
        <w:rPr>
          <w:rFonts w:ascii="Calibri" w:hAnsi="Calibri" w:cs="Calibri"/>
          <w:sz w:val="22"/>
          <w:szCs w:val="22"/>
        </w:rPr>
        <w:t>,5 mil</w:t>
      </w:r>
      <w:r w:rsidR="00605D1B">
        <w:rPr>
          <w:rFonts w:ascii="Calibri" w:hAnsi="Calibri" w:cs="Calibri"/>
          <w:sz w:val="22"/>
          <w:szCs w:val="22"/>
        </w:rPr>
        <w:t>h</w:t>
      </w:r>
      <w:r w:rsidR="00874E8F">
        <w:rPr>
          <w:rFonts w:ascii="Calibri" w:hAnsi="Calibri" w:cs="Calibri"/>
          <w:sz w:val="22"/>
          <w:szCs w:val="22"/>
        </w:rPr>
        <w:t>ões</w:t>
      </w:r>
      <w:r w:rsidRPr="002E2B5B">
        <w:rPr>
          <w:rFonts w:ascii="Calibri" w:hAnsi="Calibri" w:cs="Calibri"/>
          <w:sz w:val="22"/>
          <w:szCs w:val="22"/>
        </w:rPr>
        <w:t>, e os  Ativos de Concessão – Bens Imóveis, no valor de R$ 9</w:t>
      </w:r>
      <w:r w:rsidR="00874E8F">
        <w:rPr>
          <w:rFonts w:ascii="Calibri" w:hAnsi="Calibri" w:cs="Calibri"/>
          <w:sz w:val="22"/>
          <w:szCs w:val="22"/>
        </w:rPr>
        <w:t xml:space="preserve"> milhões</w:t>
      </w:r>
      <w:r w:rsidRPr="002E2B5B">
        <w:rPr>
          <w:rFonts w:ascii="Calibri" w:hAnsi="Calibri" w:cs="Calibri"/>
          <w:sz w:val="22"/>
          <w:szCs w:val="22"/>
        </w:rPr>
        <w:t xml:space="preserve"> são provindos do tombamento dos bens do pátio de Transbordo de Porto Franco/MA referente ao Contrato nº 001/2002 celebrado entre a VALEC e a Multigrain S/A, o qual foi rescindido pelo Termo de Rescisão Contratual amigável datado de 26 de fevereiro de 2019, conforme Processo Administrativo nº 51402.205501/2018-26, em que a Multigrain cede de forma não onerosa à VALEC as benfeitorias que </w:t>
      </w:r>
      <w:r w:rsidRPr="00874E8F">
        <w:rPr>
          <w:rFonts w:ascii="Calibri" w:hAnsi="Calibri" w:cs="Calibri"/>
          <w:sz w:val="22"/>
          <w:szCs w:val="22"/>
        </w:rPr>
        <w:t>compõem o Pátio de Porto Franco</w:t>
      </w:r>
      <w:bookmarkEnd w:id="5"/>
      <w:r w:rsidR="00B7580D" w:rsidRPr="00874E8F">
        <w:rPr>
          <w:rFonts w:ascii="Calibri" w:hAnsi="Calibri" w:cs="Calibri"/>
          <w:sz w:val="22"/>
          <w:szCs w:val="22"/>
        </w:rPr>
        <w:t>;</w:t>
      </w:r>
      <w:r w:rsidR="00B87A63" w:rsidRPr="00874E8F">
        <w:rPr>
          <w:rFonts w:ascii="Calibri" w:hAnsi="Calibri" w:cs="Calibri"/>
          <w:sz w:val="22"/>
          <w:szCs w:val="22"/>
        </w:rPr>
        <w:t xml:space="preserve"> e</w:t>
      </w:r>
    </w:p>
    <w:p w14:paraId="692C8F98" w14:textId="77777777" w:rsidR="00AB04E1" w:rsidRPr="00874E8F" w:rsidRDefault="00AB04E1" w:rsidP="002E2B5B">
      <w:pPr>
        <w:pStyle w:val="Corpodetexto"/>
        <w:numPr>
          <w:ilvl w:val="0"/>
          <w:numId w:val="15"/>
        </w:numPr>
        <w:spacing w:line="240" w:lineRule="auto"/>
        <w:ind w:right="57"/>
        <w:rPr>
          <w:rFonts w:ascii="Calibri" w:hAnsi="Calibri" w:cs="Calibri"/>
          <w:sz w:val="22"/>
          <w:szCs w:val="22"/>
        </w:rPr>
      </w:pPr>
      <w:r w:rsidRPr="00874E8F">
        <w:rPr>
          <w:rFonts w:ascii="Calibri" w:hAnsi="Calibri" w:cs="Calibri"/>
          <w:sz w:val="22"/>
          <w:szCs w:val="22"/>
        </w:rPr>
        <w:t xml:space="preserve"> </w:t>
      </w:r>
      <w:r w:rsidR="00B7580D" w:rsidRPr="00874E8F">
        <w:rPr>
          <w:rFonts w:ascii="Calibri" w:hAnsi="Calibri" w:cs="Calibri"/>
          <w:sz w:val="22"/>
          <w:szCs w:val="22"/>
        </w:rPr>
        <w:t>Por meio do Laudo de Avaliação nº 1/2021/GEPAT/SUADM/VALEC, emitido em 04 de março de 2021, a Gerência de Patrimônio certifica que todos os bens patrimoniais contabilizados, com exceção dos provisionados por redução ao valor recuperável, estão em condições de funcionamento. Informa, ainda, que não há indicativo de perda sobre os bens patrimoniais, portanto, não se verificou a necessidade de teste de recuperabilidade dos bens móveis, bem como dos Ativos de Concessão relacionados ao Pátio de Porto Franco</w:t>
      </w:r>
      <w:r w:rsidR="00F857D2" w:rsidRPr="00874E8F">
        <w:rPr>
          <w:rFonts w:ascii="Calibri" w:hAnsi="Calibri" w:cs="Calibri"/>
          <w:sz w:val="22"/>
          <w:szCs w:val="22"/>
        </w:rPr>
        <w:t>.</w:t>
      </w:r>
    </w:p>
    <w:p w14:paraId="6D8DB433" w14:textId="77777777" w:rsidR="00C051E5" w:rsidRPr="00874E8F" w:rsidRDefault="00C051E5" w:rsidP="002E2B5B">
      <w:pPr>
        <w:pStyle w:val="Corpodetexto"/>
        <w:spacing w:line="240" w:lineRule="auto"/>
        <w:rPr>
          <w:rFonts w:ascii="Calibri" w:hAnsi="Calibri" w:cs="Calibri"/>
          <w:b/>
          <w:bCs/>
          <w:sz w:val="22"/>
          <w:szCs w:val="22"/>
        </w:rPr>
      </w:pPr>
    </w:p>
    <w:p w14:paraId="7046FDA3" w14:textId="77777777" w:rsidR="00D54B55" w:rsidRPr="002E2B5B" w:rsidRDefault="00CC7E45" w:rsidP="002E2B5B">
      <w:pPr>
        <w:pStyle w:val="NormalWeb"/>
        <w:spacing w:before="0" w:beforeAutospacing="0" w:after="0" w:afterAutospacing="0"/>
        <w:jc w:val="both"/>
        <w:rPr>
          <w:rFonts w:ascii="Calibri" w:hAnsi="Calibri" w:cs="Calibri"/>
          <w:b/>
          <w:bCs/>
          <w:sz w:val="22"/>
          <w:szCs w:val="22"/>
        </w:rPr>
      </w:pPr>
      <w:r w:rsidRPr="00874E8F">
        <w:rPr>
          <w:rFonts w:ascii="Calibri" w:hAnsi="Calibri" w:cs="Calibri"/>
          <w:b/>
          <w:bCs/>
          <w:sz w:val="22"/>
          <w:szCs w:val="22"/>
        </w:rPr>
        <w:t xml:space="preserve">II </w:t>
      </w:r>
      <w:r w:rsidR="00D54B55" w:rsidRPr="00874E8F">
        <w:rPr>
          <w:rFonts w:ascii="Calibri" w:hAnsi="Calibri" w:cs="Calibri"/>
          <w:b/>
          <w:bCs/>
          <w:sz w:val="22"/>
          <w:szCs w:val="22"/>
        </w:rPr>
        <w:t>–</w:t>
      </w:r>
      <w:r w:rsidRPr="00874E8F">
        <w:rPr>
          <w:rFonts w:ascii="Calibri" w:hAnsi="Calibri" w:cs="Calibri"/>
          <w:b/>
          <w:bCs/>
          <w:sz w:val="22"/>
          <w:szCs w:val="22"/>
        </w:rPr>
        <w:t xml:space="preserve"> FERROVIA</w:t>
      </w:r>
      <w:r w:rsidR="00F7094D" w:rsidRPr="00874E8F">
        <w:rPr>
          <w:rFonts w:ascii="Calibri" w:hAnsi="Calibri" w:cs="Calibri"/>
          <w:b/>
          <w:bCs/>
          <w:sz w:val="22"/>
          <w:szCs w:val="22"/>
        </w:rPr>
        <w:t xml:space="preserve"> NORTE SUL</w:t>
      </w:r>
      <w:r w:rsidR="000C1923" w:rsidRPr="00874E8F">
        <w:rPr>
          <w:rFonts w:ascii="Calibri" w:hAnsi="Calibri" w:cs="Calibri"/>
          <w:b/>
          <w:bCs/>
          <w:sz w:val="22"/>
          <w:szCs w:val="22"/>
        </w:rPr>
        <w:t xml:space="preserve"> (FNS)</w:t>
      </w:r>
    </w:p>
    <w:p w14:paraId="791B981E" w14:textId="52B90F0A" w:rsidR="009165D8" w:rsidRPr="002E2B5B" w:rsidRDefault="005938E4"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A</w:t>
      </w:r>
      <w:r w:rsidR="00400A96" w:rsidRPr="002E2B5B">
        <w:rPr>
          <w:rFonts w:ascii="Calibri" w:hAnsi="Calibri" w:cs="Calibri"/>
          <w:sz w:val="22"/>
          <w:szCs w:val="22"/>
        </w:rPr>
        <w:t xml:space="preserve"> VALEC </w:t>
      </w:r>
      <w:proofErr w:type="spellStart"/>
      <w:r w:rsidR="00400A96" w:rsidRPr="002E2B5B">
        <w:rPr>
          <w:rFonts w:ascii="Calibri" w:hAnsi="Calibri" w:cs="Calibri"/>
          <w:sz w:val="22"/>
          <w:szCs w:val="22"/>
        </w:rPr>
        <w:t>subconcedeu</w:t>
      </w:r>
      <w:proofErr w:type="spellEnd"/>
      <w:r w:rsidR="00400A96" w:rsidRPr="002E2B5B">
        <w:rPr>
          <w:rFonts w:ascii="Calibri" w:hAnsi="Calibri" w:cs="Calibri"/>
          <w:sz w:val="22"/>
          <w:szCs w:val="22"/>
        </w:rPr>
        <w:t xml:space="preserve">, em 2007, o trecho da Ferrovia Norte Sul que liga Açailândia/MA a Palmas/TO para a Ferrovia Norte Sul S/A. </w:t>
      </w:r>
      <w:r w:rsidR="00D54B55" w:rsidRPr="002E2B5B">
        <w:rPr>
          <w:rFonts w:ascii="Calibri" w:hAnsi="Calibri" w:cs="Calibri"/>
          <w:sz w:val="22"/>
          <w:szCs w:val="22"/>
        </w:rPr>
        <w:t>De acordo com o Contrato de Subconcessão n° 033/07, de 20 de dezembro de 2007, nos termos do Edital de Licitação n° 001/2006</w:t>
      </w:r>
      <w:r w:rsidR="005D1995" w:rsidRPr="002E2B5B">
        <w:rPr>
          <w:rFonts w:ascii="Calibri" w:hAnsi="Calibri" w:cs="Calibri"/>
          <w:sz w:val="22"/>
          <w:szCs w:val="22"/>
        </w:rPr>
        <w:t>, a</w:t>
      </w:r>
      <w:r w:rsidR="00D54B55" w:rsidRPr="002E2B5B">
        <w:rPr>
          <w:rFonts w:ascii="Calibri" w:hAnsi="Calibri" w:cs="Calibri"/>
          <w:sz w:val="22"/>
          <w:szCs w:val="22"/>
        </w:rPr>
        <w:t xml:space="preserve"> subconcessão</w:t>
      </w:r>
      <w:r w:rsidR="005D1995" w:rsidRPr="002E2B5B">
        <w:rPr>
          <w:rFonts w:ascii="Calibri" w:hAnsi="Calibri" w:cs="Calibri"/>
          <w:sz w:val="22"/>
          <w:szCs w:val="22"/>
        </w:rPr>
        <w:t xml:space="preserve"> foi</w:t>
      </w:r>
      <w:r w:rsidR="00D54B55" w:rsidRPr="002E2B5B">
        <w:rPr>
          <w:rFonts w:ascii="Calibri" w:hAnsi="Calibri" w:cs="Calibri"/>
          <w:sz w:val="22"/>
          <w:szCs w:val="22"/>
        </w:rPr>
        <w:t xml:space="preserve"> assinada por um prazo de 30 anos, previa o pagamento</w:t>
      </w:r>
      <w:r w:rsidR="005D1995" w:rsidRPr="002E2B5B">
        <w:rPr>
          <w:rFonts w:ascii="Calibri" w:hAnsi="Calibri" w:cs="Calibri"/>
          <w:sz w:val="22"/>
          <w:szCs w:val="22"/>
        </w:rPr>
        <w:t xml:space="preserve"> a título de </w:t>
      </w:r>
      <w:r w:rsidR="005D1995" w:rsidRPr="002E2B5B">
        <w:rPr>
          <w:rFonts w:ascii="Calibri" w:hAnsi="Calibri" w:cs="Calibri"/>
          <w:sz w:val="22"/>
          <w:szCs w:val="22"/>
        </w:rPr>
        <w:lastRenderedPageBreak/>
        <w:t>outorga de</w:t>
      </w:r>
      <w:r w:rsidR="00400A96" w:rsidRPr="002E2B5B">
        <w:rPr>
          <w:rFonts w:ascii="Calibri" w:hAnsi="Calibri" w:cs="Calibri"/>
          <w:sz w:val="22"/>
          <w:szCs w:val="22"/>
        </w:rPr>
        <w:t xml:space="preserve"> R$ 1</w:t>
      </w:r>
      <w:r w:rsidR="00322AE4">
        <w:rPr>
          <w:rFonts w:ascii="Calibri" w:hAnsi="Calibri" w:cs="Calibri"/>
          <w:sz w:val="22"/>
          <w:szCs w:val="22"/>
        </w:rPr>
        <w:t>,</w:t>
      </w:r>
      <w:r w:rsidR="00400A96" w:rsidRPr="002E2B5B">
        <w:rPr>
          <w:rFonts w:ascii="Calibri" w:hAnsi="Calibri" w:cs="Calibri"/>
          <w:sz w:val="22"/>
          <w:szCs w:val="22"/>
        </w:rPr>
        <w:t>47</w:t>
      </w:r>
      <w:r w:rsidR="00322AE4">
        <w:rPr>
          <w:rFonts w:ascii="Calibri" w:hAnsi="Calibri" w:cs="Calibri"/>
          <w:sz w:val="22"/>
          <w:szCs w:val="22"/>
        </w:rPr>
        <w:t xml:space="preserve"> bilhão</w:t>
      </w:r>
      <w:r w:rsidR="005D1995" w:rsidRPr="002E2B5B">
        <w:rPr>
          <w:rFonts w:ascii="Calibri" w:hAnsi="Calibri" w:cs="Calibri"/>
          <w:sz w:val="22"/>
          <w:szCs w:val="22"/>
        </w:rPr>
        <w:t>,</w:t>
      </w:r>
      <w:r w:rsidR="00400A96" w:rsidRPr="002E2B5B">
        <w:rPr>
          <w:rFonts w:ascii="Calibri" w:hAnsi="Calibri" w:cs="Calibri"/>
          <w:sz w:val="22"/>
          <w:szCs w:val="22"/>
        </w:rPr>
        <w:t xml:space="preserve"> dividid</w:t>
      </w:r>
      <w:r w:rsidR="005D1995" w:rsidRPr="002E2B5B">
        <w:rPr>
          <w:rFonts w:ascii="Calibri" w:hAnsi="Calibri" w:cs="Calibri"/>
          <w:sz w:val="22"/>
          <w:szCs w:val="22"/>
        </w:rPr>
        <w:t>o</w:t>
      </w:r>
      <w:r w:rsidR="00400A96" w:rsidRPr="002E2B5B">
        <w:rPr>
          <w:rFonts w:ascii="Calibri" w:hAnsi="Calibri" w:cs="Calibri"/>
          <w:sz w:val="22"/>
          <w:szCs w:val="22"/>
        </w:rPr>
        <w:t xml:space="preserve"> em três parcelas corrigidas pelo IGP-DI e juros de 1% ao mês (até maio de 2010), sendo 50% à vista, 25% na entrega do 1º trecho e 25% na entrega do 2º trecho. A primeira parcela foi recebida em dezembro de 2007 no valor de R$ 739</w:t>
      </w:r>
      <w:r w:rsidR="00322AE4">
        <w:rPr>
          <w:rFonts w:ascii="Calibri" w:hAnsi="Calibri" w:cs="Calibri"/>
          <w:sz w:val="22"/>
          <w:szCs w:val="22"/>
        </w:rPr>
        <w:t xml:space="preserve"> milhões</w:t>
      </w:r>
      <w:r w:rsidR="00400A96" w:rsidRPr="002E2B5B">
        <w:rPr>
          <w:rFonts w:ascii="Calibri" w:hAnsi="Calibri" w:cs="Calibri"/>
          <w:sz w:val="22"/>
          <w:szCs w:val="22"/>
        </w:rPr>
        <w:t>, a segunda parcela no valor de R$ 461</w:t>
      </w:r>
      <w:r w:rsidR="00322AE4">
        <w:rPr>
          <w:rFonts w:ascii="Calibri" w:hAnsi="Calibri" w:cs="Calibri"/>
          <w:sz w:val="22"/>
          <w:szCs w:val="22"/>
        </w:rPr>
        <w:t>,8 milhões</w:t>
      </w:r>
      <w:r w:rsidR="00400A96" w:rsidRPr="002E2B5B">
        <w:rPr>
          <w:rFonts w:ascii="Calibri" w:hAnsi="Calibri" w:cs="Calibri"/>
          <w:sz w:val="22"/>
          <w:szCs w:val="22"/>
        </w:rPr>
        <w:t xml:space="preserve"> foi recebida em maio de 2009 e parte da terceira parcela, o valor de R$ 453</w:t>
      </w:r>
      <w:r w:rsidR="00322AE4">
        <w:rPr>
          <w:rFonts w:ascii="Calibri" w:hAnsi="Calibri" w:cs="Calibri"/>
          <w:sz w:val="22"/>
          <w:szCs w:val="22"/>
        </w:rPr>
        <w:t>,5 milhõe</w:t>
      </w:r>
      <w:r w:rsidR="00214011">
        <w:rPr>
          <w:rFonts w:ascii="Calibri" w:hAnsi="Calibri" w:cs="Calibri"/>
          <w:sz w:val="22"/>
          <w:szCs w:val="22"/>
        </w:rPr>
        <w:t>s</w:t>
      </w:r>
      <w:r w:rsidR="00400A96" w:rsidRPr="002E2B5B">
        <w:rPr>
          <w:rFonts w:ascii="Calibri" w:hAnsi="Calibri" w:cs="Calibri"/>
          <w:sz w:val="22"/>
          <w:szCs w:val="22"/>
        </w:rPr>
        <w:t xml:space="preserve">, foi recebida em dezembro de 2010. Conforme 2º Termo Aditivo, assinado em 10 de dezembro de 2010, o pagamento do valor correspondente à 20% da terceira parcela foi condicionado à entrega pela VALEC de obras remanescentes. </w:t>
      </w:r>
      <w:r w:rsidR="005D1995" w:rsidRPr="002E2B5B">
        <w:rPr>
          <w:rFonts w:ascii="Calibri" w:hAnsi="Calibri" w:cs="Calibri"/>
          <w:sz w:val="22"/>
          <w:szCs w:val="22"/>
        </w:rPr>
        <w:t xml:space="preserve">Os recursos recebidos provenientes desta outorga foram repassados </w:t>
      </w:r>
      <w:r w:rsidR="00421830" w:rsidRPr="002E2B5B">
        <w:rPr>
          <w:rFonts w:ascii="Calibri" w:hAnsi="Calibri" w:cs="Calibri"/>
          <w:sz w:val="22"/>
          <w:szCs w:val="22"/>
        </w:rPr>
        <w:t xml:space="preserve">diretamente </w:t>
      </w:r>
      <w:r w:rsidR="005D1995" w:rsidRPr="002E2B5B">
        <w:rPr>
          <w:rFonts w:ascii="Calibri" w:hAnsi="Calibri" w:cs="Calibri"/>
          <w:sz w:val="22"/>
          <w:szCs w:val="22"/>
        </w:rPr>
        <w:t>ao Tesouro Nacional</w:t>
      </w:r>
      <w:r w:rsidR="00421830" w:rsidRPr="002E2B5B">
        <w:rPr>
          <w:rFonts w:ascii="Calibri" w:hAnsi="Calibri" w:cs="Calibri"/>
          <w:sz w:val="22"/>
          <w:szCs w:val="22"/>
        </w:rPr>
        <w:t>.</w:t>
      </w:r>
    </w:p>
    <w:p w14:paraId="015F34B3" w14:textId="2B131DB3" w:rsidR="004C64B8" w:rsidRPr="002E2B5B" w:rsidRDefault="00D54B55" w:rsidP="002E2B5B">
      <w:pPr>
        <w:pStyle w:val="NormalWeb"/>
        <w:spacing w:before="0" w:beforeAutospacing="0" w:after="120" w:afterAutospacing="0"/>
        <w:jc w:val="both"/>
        <w:rPr>
          <w:rFonts w:ascii="Calibri" w:hAnsi="Calibri" w:cs="Calibri"/>
          <w:sz w:val="22"/>
          <w:szCs w:val="22"/>
        </w:rPr>
      </w:pPr>
      <w:r w:rsidRPr="002E2B5B">
        <w:rPr>
          <w:rFonts w:ascii="Calibri" w:hAnsi="Calibri" w:cs="Calibri"/>
          <w:sz w:val="22"/>
          <w:szCs w:val="22"/>
        </w:rPr>
        <w:t xml:space="preserve">O trecho da Ferrovia Norte Sul compreendido entre Porto Nacional, no Estado do Tocantins e Estrela D’Oeste, no Estado de São Paulo foi subconcedido à Rumo Malha Central S/A, conforme Contrato de Subconcessão do Edital de Concorrência Internacional nº 002/2018, assinado em 31 de julho de 2019. Esse contrato foi assinado entre a União, representada pela Agência Nacional de Transportes Terrestres - ANTT, a VALEC – Engenharia, Construções e Ferrovias S/A, como interveniente subconcedente e a Rumo Malha Central S/A como subconcessionária. O valor do lance da outorga no leilão foi de R$ 2,7 bilhões. Os direitos creditórios e as receitas provenientes dessa subconcessão serão da Agência Nacional de Transportes Terrestres – ANTT, conforme o artigo 77 da Lei </w:t>
      </w:r>
      <w:r w:rsidR="00214011">
        <w:rPr>
          <w:rFonts w:ascii="Calibri" w:hAnsi="Calibri" w:cs="Calibri"/>
          <w:sz w:val="22"/>
          <w:szCs w:val="22"/>
        </w:rPr>
        <w:t xml:space="preserve">nº </w:t>
      </w:r>
      <w:r w:rsidRPr="002E2B5B">
        <w:rPr>
          <w:rFonts w:ascii="Calibri" w:hAnsi="Calibri" w:cs="Calibri"/>
          <w:sz w:val="22"/>
          <w:szCs w:val="22"/>
        </w:rPr>
        <w:t>10.233, de 05 de junho de 2001, que dispõe sobre a criação da Agência, e estabelece que é receita da ANTT os recursos provenientes dos instrumentos de outorga administrados pela agência.</w:t>
      </w:r>
    </w:p>
    <w:p w14:paraId="784EC3B7" w14:textId="70D59702" w:rsidR="000C1923" w:rsidRDefault="005C2491" w:rsidP="002E2B5B">
      <w:pPr>
        <w:pStyle w:val="NormalWeb"/>
        <w:spacing w:before="0" w:beforeAutospacing="0" w:after="0" w:afterAutospacing="0"/>
        <w:jc w:val="both"/>
        <w:rPr>
          <w:rFonts w:ascii="Calibri" w:hAnsi="Calibri" w:cs="Calibri"/>
          <w:sz w:val="22"/>
          <w:szCs w:val="22"/>
        </w:rPr>
      </w:pPr>
      <w:r w:rsidRPr="002E2B5B">
        <w:rPr>
          <w:rFonts w:ascii="Calibri" w:hAnsi="Calibri" w:cs="Calibri"/>
          <w:sz w:val="22"/>
          <w:szCs w:val="22"/>
        </w:rPr>
        <w:t>A</w:t>
      </w:r>
      <w:r w:rsidR="009F46D4" w:rsidRPr="002E2B5B">
        <w:rPr>
          <w:rFonts w:ascii="Calibri" w:hAnsi="Calibri" w:cs="Calibri"/>
          <w:sz w:val="22"/>
          <w:szCs w:val="22"/>
        </w:rPr>
        <w:t xml:space="preserve"> VALEC realizou </w:t>
      </w:r>
      <w:r w:rsidR="004850E5" w:rsidRPr="002E2B5B">
        <w:rPr>
          <w:rFonts w:ascii="Calibri" w:hAnsi="Calibri" w:cs="Calibri"/>
          <w:sz w:val="22"/>
          <w:szCs w:val="22"/>
        </w:rPr>
        <w:t>o teste de recuperabilidade dos ativos relacionados à Ferrovia Norte Sul e, devido à falta benefícios econômicos para a empresa durante o</w:t>
      </w:r>
      <w:r w:rsidRPr="002E2B5B">
        <w:rPr>
          <w:rFonts w:ascii="Calibri" w:hAnsi="Calibri" w:cs="Calibri"/>
          <w:sz w:val="22"/>
          <w:szCs w:val="22"/>
        </w:rPr>
        <w:t>s</w:t>
      </w:r>
      <w:r w:rsidR="004850E5" w:rsidRPr="002E2B5B">
        <w:rPr>
          <w:rFonts w:ascii="Calibri" w:hAnsi="Calibri" w:cs="Calibri"/>
          <w:sz w:val="22"/>
          <w:szCs w:val="22"/>
        </w:rPr>
        <w:t xml:space="preserve"> prazo</w:t>
      </w:r>
      <w:r w:rsidRPr="002E2B5B">
        <w:rPr>
          <w:rFonts w:ascii="Calibri" w:hAnsi="Calibri" w:cs="Calibri"/>
          <w:sz w:val="22"/>
          <w:szCs w:val="22"/>
        </w:rPr>
        <w:t>s</w:t>
      </w:r>
      <w:r w:rsidR="004850E5" w:rsidRPr="002E2B5B">
        <w:rPr>
          <w:rFonts w:ascii="Calibri" w:hAnsi="Calibri" w:cs="Calibri"/>
          <w:sz w:val="22"/>
          <w:szCs w:val="22"/>
        </w:rPr>
        <w:t xml:space="preserve"> contratua</w:t>
      </w:r>
      <w:r w:rsidRPr="002E2B5B">
        <w:rPr>
          <w:rFonts w:ascii="Calibri" w:hAnsi="Calibri" w:cs="Calibri"/>
          <w:sz w:val="22"/>
          <w:szCs w:val="22"/>
        </w:rPr>
        <w:t>is</w:t>
      </w:r>
      <w:r w:rsidR="004850E5" w:rsidRPr="002E2B5B">
        <w:rPr>
          <w:rFonts w:ascii="Calibri" w:hAnsi="Calibri" w:cs="Calibri"/>
          <w:sz w:val="22"/>
          <w:szCs w:val="22"/>
        </w:rPr>
        <w:t xml:space="preserve"> d</w:t>
      </w:r>
      <w:r w:rsidRPr="002E2B5B">
        <w:rPr>
          <w:rFonts w:ascii="Calibri" w:hAnsi="Calibri" w:cs="Calibri"/>
          <w:sz w:val="22"/>
          <w:szCs w:val="22"/>
        </w:rPr>
        <w:t>as</w:t>
      </w:r>
      <w:r w:rsidR="004850E5" w:rsidRPr="002E2B5B">
        <w:rPr>
          <w:rFonts w:ascii="Calibri" w:hAnsi="Calibri" w:cs="Calibri"/>
          <w:sz w:val="22"/>
          <w:szCs w:val="22"/>
        </w:rPr>
        <w:t xml:space="preserve"> subconcess</w:t>
      </w:r>
      <w:r w:rsidRPr="002E2B5B">
        <w:rPr>
          <w:rFonts w:ascii="Calibri" w:hAnsi="Calibri" w:cs="Calibri"/>
          <w:sz w:val="22"/>
          <w:szCs w:val="22"/>
        </w:rPr>
        <w:t>ões</w:t>
      </w:r>
      <w:r w:rsidR="004850E5" w:rsidRPr="002E2B5B">
        <w:rPr>
          <w:rFonts w:ascii="Calibri" w:hAnsi="Calibri" w:cs="Calibri"/>
          <w:sz w:val="22"/>
          <w:szCs w:val="22"/>
        </w:rPr>
        <w:t xml:space="preserve">, reconheceu </w:t>
      </w:r>
      <w:r w:rsidR="009F46D4" w:rsidRPr="002E2B5B">
        <w:rPr>
          <w:rFonts w:ascii="Calibri" w:hAnsi="Calibri" w:cs="Calibri"/>
          <w:sz w:val="22"/>
          <w:szCs w:val="22"/>
        </w:rPr>
        <w:t xml:space="preserve">a </w:t>
      </w:r>
      <w:r w:rsidR="00A3783D" w:rsidRPr="002E2B5B">
        <w:rPr>
          <w:rFonts w:ascii="Calibri" w:hAnsi="Calibri" w:cs="Calibri"/>
          <w:sz w:val="22"/>
          <w:szCs w:val="22"/>
        </w:rPr>
        <w:t>provisão para perda ao valor recuperável dos ativos</w:t>
      </w:r>
      <w:r w:rsidR="009F46D4" w:rsidRPr="002E2B5B">
        <w:rPr>
          <w:rFonts w:ascii="Calibri" w:hAnsi="Calibri" w:cs="Calibri"/>
          <w:sz w:val="22"/>
          <w:szCs w:val="22"/>
        </w:rPr>
        <w:t>.</w:t>
      </w:r>
      <w:r w:rsidR="00C80DC6" w:rsidRPr="002E2B5B">
        <w:rPr>
          <w:rFonts w:ascii="Calibri" w:hAnsi="Calibri" w:cs="Calibri"/>
          <w:sz w:val="22"/>
          <w:szCs w:val="22"/>
        </w:rPr>
        <w:t xml:space="preserve"> </w:t>
      </w:r>
      <w:r w:rsidRPr="002E2B5B">
        <w:rPr>
          <w:rFonts w:ascii="Calibri" w:hAnsi="Calibri" w:cs="Calibri"/>
          <w:sz w:val="22"/>
          <w:szCs w:val="22"/>
        </w:rPr>
        <w:t xml:space="preserve">As provisões foram reconhecidas desde </w:t>
      </w:r>
      <w:r w:rsidR="00C80DC6" w:rsidRPr="002E2B5B">
        <w:rPr>
          <w:rFonts w:ascii="Calibri" w:hAnsi="Calibri" w:cs="Calibri"/>
          <w:sz w:val="22"/>
          <w:szCs w:val="22"/>
        </w:rPr>
        <w:t>o ano 2007</w:t>
      </w:r>
      <w:r w:rsidR="00322AE4">
        <w:rPr>
          <w:rFonts w:ascii="Calibri" w:hAnsi="Calibri" w:cs="Calibri"/>
          <w:sz w:val="22"/>
          <w:szCs w:val="22"/>
        </w:rPr>
        <w:t xml:space="preserve"> </w:t>
      </w:r>
      <w:r w:rsidR="00367905" w:rsidRPr="002E2B5B">
        <w:rPr>
          <w:rFonts w:ascii="Calibri" w:hAnsi="Calibri" w:cs="Calibri"/>
          <w:sz w:val="22"/>
          <w:szCs w:val="22"/>
        </w:rPr>
        <w:t xml:space="preserve">- </w:t>
      </w:r>
      <w:r w:rsidR="00C80DC6" w:rsidRPr="002E2B5B">
        <w:rPr>
          <w:rFonts w:ascii="Calibri" w:hAnsi="Calibri" w:cs="Calibri"/>
          <w:sz w:val="22"/>
          <w:szCs w:val="22"/>
        </w:rPr>
        <w:t>quando ocorreu a primeira subconcessão</w:t>
      </w:r>
      <w:r w:rsidR="00322AE4">
        <w:rPr>
          <w:rFonts w:ascii="Calibri" w:hAnsi="Calibri" w:cs="Calibri"/>
          <w:sz w:val="22"/>
          <w:szCs w:val="22"/>
        </w:rPr>
        <w:t xml:space="preserve"> até a dezembro de 2020. </w:t>
      </w:r>
    </w:p>
    <w:p w14:paraId="4D0F1AD1" w14:textId="57849DC4" w:rsidR="00322AE4" w:rsidRDefault="00322AE4" w:rsidP="002E2B5B">
      <w:pPr>
        <w:pStyle w:val="NormalWeb"/>
        <w:spacing w:before="0" w:beforeAutospacing="0" w:after="0" w:afterAutospacing="0"/>
        <w:jc w:val="both"/>
        <w:rPr>
          <w:rFonts w:ascii="Calibri" w:hAnsi="Calibri" w:cs="Calibri"/>
          <w:sz w:val="22"/>
          <w:szCs w:val="22"/>
        </w:rPr>
      </w:pPr>
    </w:p>
    <w:p w14:paraId="15A539E1" w14:textId="716F0152" w:rsidR="00322AE4" w:rsidRPr="002E2B5B" w:rsidRDefault="00322AE4" w:rsidP="002E2B5B">
      <w:pPr>
        <w:pStyle w:val="NormalWeb"/>
        <w:spacing w:before="0" w:beforeAutospacing="0" w:after="0" w:afterAutospacing="0"/>
        <w:jc w:val="both"/>
        <w:rPr>
          <w:rFonts w:ascii="Calibri" w:hAnsi="Calibri" w:cs="Calibri"/>
          <w:sz w:val="22"/>
          <w:szCs w:val="22"/>
        </w:rPr>
      </w:pPr>
      <w:r>
        <w:rPr>
          <w:rFonts w:ascii="Calibri" w:hAnsi="Calibri" w:cs="Calibri"/>
          <w:sz w:val="22"/>
          <w:szCs w:val="22"/>
        </w:rPr>
        <w:t>Por ocasião do encerramento do exercício de 2021, será realizado um novo teste de recuperabilidade nos ativos relacionados à FNS.</w:t>
      </w:r>
    </w:p>
    <w:p w14:paraId="0C6B8799" w14:textId="77777777" w:rsidR="00A00571" w:rsidRPr="002E2B5B" w:rsidRDefault="00A00571" w:rsidP="002E2B5B">
      <w:pPr>
        <w:pStyle w:val="NormalWeb"/>
        <w:spacing w:before="0" w:beforeAutospacing="0" w:after="0" w:afterAutospacing="0"/>
        <w:jc w:val="both"/>
        <w:rPr>
          <w:rFonts w:ascii="Calibri" w:hAnsi="Calibri" w:cs="Calibri"/>
          <w:sz w:val="22"/>
          <w:szCs w:val="22"/>
        </w:rPr>
      </w:pPr>
    </w:p>
    <w:p w14:paraId="00B74171" w14:textId="77777777" w:rsidR="000F5E21" w:rsidRPr="002E2B5B" w:rsidRDefault="000C1923" w:rsidP="002E2B5B">
      <w:pPr>
        <w:pStyle w:val="NormalWeb"/>
        <w:spacing w:before="0" w:beforeAutospacing="0" w:after="0" w:afterAutospacing="0"/>
        <w:jc w:val="both"/>
        <w:rPr>
          <w:rFonts w:ascii="Calibri" w:hAnsi="Calibri" w:cs="Calibri"/>
          <w:b/>
          <w:bCs/>
          <w:sz w:val="22"/>
          <w:szCs w:val="22"/>
        </w:rPr>
      </w:pPr>
      <w:r w:rsidRPr="002E2B5B">
        <w:rPr>
          <w:rFonts w:ascii="Calibri" w:hAnsi="Calibri" w:cs="Calibri"/>
          <w:b/>
          <w:bCs/>
          <w:sz w:val="22"/>
          <w:szCs w:val="22"/>
        </w:rPr>
        <w:t>I</w:t>
      </w:r>
      <w:r w:rsidR="000B56DF" w:rsidRPr="002E2B5B">
        <w:rPr>
          <w:rFonts w:ascii="Calibri" w:hAnsi="Calibri" w:cs="Calibri"/>
          <w:b/>
          <w:bCs/>
          <w:sz w:val="22"/>
          <w:szCs w:val="22"/>
        </w:rPr>
        <w:t>II</w:t>
      </w:r>
      <w:r w:rsidRPr="002E2B5B">
        <w:rPr>
          <w:rFonts w:ascii="Calibri" w:hAnsi="Calibri" w:cs="Calibri"/>
          <w:b/>
          <w:bCs/>
          <w:sz w:val="22"/>
          <w:szCs w:val="22"/>
        </w:rPr>
        <w:t xml:space="preserve"> </w:t>
      </w:r>
      <w:r w:rsidR="000F5E21" w:rsidRPr="002E2B5B">
        <w:rPr>
          <w:rFonts w:ascii="Calibri" w:hAnsi="Calibri" w:cs="Calibri"/>
          <w:b/>
          <w:bCs/>
          <w:sz w:val="22"/>
          <w:szCs w:val="22"/>
        </w:rPr>
        <w:t>– FERROVIA DE INTEGRAÇÃO OESTE LESTE (FIOL)</w:t>
      </w:r>
    </w:p>
    <w:p w14:paraId="18352112" w14:textId="65849346" w:rsidR="005E12AA" w:rsidRPr="005E12AA" w:rsidRDefault="005E12AA" w:rsidP="002E2B5B">
      <w:pPr>
        <w:pStyle w:val="Textoembloco"/>
        <w:spacing w:after="120" w:line="240" w:lineRule="auto"/>
        <w:ind w:left="0" w:right="57"/>
        <w:rPr>
          <w:rFonts w:ascii="Calibri" w:hAnsi="Calibri" w:cs="Calibri"/>
          <w:sz w:val="22"/>
          <w:szCs w:val="22"/>
        </w:rPr>
      </w:pPr>
      <w:r w:rsidRPr="005E12AA">
        <w:rPr>
          <w:rFonts w:ascii="Calibri" w:hAnsi="Calibri" w:cs="Calibri"/>
          <w:sz w:val="22"/>
          <w:szCs w:val="22"/>
        </w:rPr>
        <w:t xml:space="preserve">A VALEC </w:t>
      </w:r>
      <w:proofErr w:type="spellStart"/>
      <w:r w:rsidRPr="005E12AA">
        <w:rPr>
          <w:rFonts w:ascii="Calibri" w:hAnsi="Calibri" w:cs="Calibri"/>
          <w:sz w:val="22"/>
          <w:szCs w:val="22"/>
        </w:rPr>
        <w:t>subconcedeu</w:t>
      </w:r>
      <w:proofErr w:type="spellEnd"/>
      <w:r w:rsidRPr="005E12AA">
        <w:rPr>
          <w:rFonts w:ascii="Calibri" w:hAnsi="Calibri" w:cs="Calibri"/>
          <w:sz w:val="22"/>
          <w:szCs w:val="22"/>
        </w:rPr>
        <w:t>, em agosto de 2021, o trecho ferroviário entre os municípios de Ilhéus/BA a Caetité/BA, com 537 km de extensão, denominado FIOL I, no qual a empresa Bahia Mineração S.A sagrou-se vencedora, com um lance de R$ 32,7 milhões, adicionado à receita variável, com base no estudo de viabilidade.</w:t>
      </w:r>
    </w:p>
    <w:p w14:paraId="2C482CAC" w14:textId="4E65D1E3" w:rsidR="005E12AA" w:rsidRPr="005E12AA" w:rsidRDefault="005E12AA" w:rsidP="005E12AA">
      <w:pPr>
        <w:pStyle w:val="Textoembloco"/>
        <w:spacing w:after="120" w:line="240" w:lineRule="auto"/>
        <w:ind w:left="0" w:right="57"/>
        <w:rPr>
          <w:rFonts w:ascii="Calibri" w:hAnsi="Calibri" w:cs="Calibri"/>
          <w:sz w:val="22"/>
          <w:szCs w:val="22"/>
          <w:shd w:val="clear" w:color="auto" w:fill="FFFFFF"/>
        </w:rPr>
      </w:pPr>
      <w:r w:rsidRPr="005E12AA">
        <w:rPr>
          <w:rFonts w:ascii="Calibri" w:hAnsi="Calibri" w:cs="Calibri"/>
          <w:sz w:val="22"/>
          <w:szCs w:val="22"/>
          <w:shd w:val="clear" w:color="auto" w:fill="FFFFFF"/>
        </w:rPr>
        <w:t xml:space="preserve">O Valor Presente de R$ 260 milhões, com data base maio de 2021, das receitas de outorga previstas na concessão da Ferrovia de Integração Oeste Leste (FIOL) – EF-334 - trecho denominado FIOL I, realizada por meio do Edital de Concorrência Internacional n°01/2020, foi calculado pela Superintendência de Negócios da VALEC e evidenciado por meio do Ofício nº 6/2021/SUNEG-VALEC/DINEG-VALEC, em 09 de junho de 2021. </w:t>
      </w:r>
    </w:p>
    <w:p w14:paraId="58D3BF7C" w14:textId="4809F9CF" w:rsidR="005E12AA" w:rsidRPr="005E12AA" w:rsidRDefault="005E12AA" w:rsidP="005E12AA">
      <w:pPr>
        <w:pStyle w:val="Textoembloco"/>
        <w:spacing w:after="120" w:line="240" w:lineRule="auto"/>
        <w:ind w:left="0" w:right="57"/>
        <w:rPr>
          <w:rFonts w:ascii="Calibri" w:hAnsi="Calibri" w:cs="Calibri"/>
          <w:sz w:val="22"/>
          <w:szCs w:val="22"/>
          <w:shd w:val="clear" w:color="auto" w:fill="FFFFFF"/>
        </w:rPr>
      </w:pPr>
      <w:r w:rsidRPr="005E12AA">
        <w:rPr>
          <w:rFonts w:ascii="Calibri" w:hAnsi="Calibri" w:cs="Calibri"/>
          <w:sz w:val="22"/>
          <w:szCs w:val="22"/>
          <w:shd w:val="clear" w:color="auto" w:fill="FFFFFF"/>
        </w:rPr>
        <w:t xml:space="preserve">Para o encerramento do exercício de 2020, aprovado em agosto de 2021, foi realizado o teste de recuperabilidade dos ativos relativos ao trecho ferroviário denominado FIOL I, reconhecendo uma provisão para perda ao valor recuperável de R$ 3,5 bilhões de reais. </w:t>
      </w:r>
    </w:p>
    <w:p w14:paraId="4B92CA3D" w14:textId="2C898531" w:rsidR="005E12AA" w:rsidRDefault="005E12AA" w:rsidP="005E12AA">
      <w:pPr>
        <w:pStyle w:val="NormalWeb"/>
        <w:spacing w:before="0" w:beforeAutospacing="0" w:after="120" w:afterAutospacing="0"/>
        <w:jc w:val="both"/>
        <w:rPr>
          <w:rFonts w:ascii="Calibri" w:hAnsi="Calibri" w:cs="Calibri"/>
          <w:sz w:val="22"/>
          <w:szCs w:val="22"/>
          <w:shd w:val="clear" w:color="auto" w:fill="FFFFFF"/>
        </w:rPr>
      </w:pPr>
      <w:r w:rsidRPr="005E12AA">
        <w:rPr>
          <w:rFonts w:ascii="Calibri" w:hAnsi="Calibri" w:cs="Calibri"/>
          <w:sz w:val="22"/>
          <w:szCs w:val="22"/>
          <w:shd w:val="clear" w:color="auto" w:fill="FFFFFF"/>
        </w:rPr>
        <w:t>Essa redução patrimonial não altera à continuidade operacional da VALEC, conforme Nota 1, visto ser uma empresa pública dependente da União (única acionista) e das políticas públicas traçadas pelo Ministério da Infraestrutura. Seu planejamento financeiro de longo prazo é vinculado ao planejamento orçamentário, por meio do Plano Plurianual de 2020 – 2023, aprovados nos termos da Lei</w:t>
      </w:r>
      <w:r w:rsidR="00214011">
        <w:rPr>
          <w:rFonts w:ascii="Calibri" w:hAnsi="Calibri" w:cs="Calibri"/>
          <w:sz w:val="22"/>
          <w:szCs w:val="22"/>
          <w:shd w:val="clear" w:color="auto" w:fill="FFFFFF"/>
        </w:rPr>
        <w:t xml:space="preserve"> nº</w:t>
      </w:r>
      <w:r w:rsidRPr="005E12AA">
        <w:rPr>
          <w:rFonts w:ascii="Calibri" w:hAnsi="Calibri" w:cs="Calibri"/>
          <w:sz w:val="22"/>
          <w:szCs w:val="22"/>
          <w:shd w:val="clear" w:color="auto" w:fill="FFFFFF"/>
        </w:rPr>
        <w:t xml:space="preserve"> 13.971, de 13 de dezembro de 2019, e das políticas governamentais.</w:t>
      </w:r>
    </w:p>
    <w:p w14:paraId="662D7E7F" w14:textId="77777777" w:rsidR="005E12AA" w:rsidRPr="002E2B5B" w:rsidRDefault="005E12AA" w:rsidP="005E12AA">
      <w:pPr>
        <w:pStyle w:val="PargrafodaLista"/>
        <w:spacing w:after="120"/>
        <w:ind w:left="0"/>
        <w:contextualSpacing/>
        <w:jc w:val="both"/>
        <w:rPr>
          <w:rFonts w:ascii="Calibri" w:hAnsi="Calibri" w:cs="Calibri"/>
          <w:bCs/>
          <w:sz w:val="22"/>
          <w:szCs w:val="22"/>
        </w:rPr>
      </w:pPr>
      <w:r w:rsidRPr="002E2B5B">
        <w:rPr>
          <w:rFonts w:ascii="Calibri" w:hAnsi="Calibri" w:cs="Calibri"/>
          <w:bCs/>
          <w:sz w:val="22"/>
          <w:szCs w:val="22"/>
        </w:rPr>
        <w:t xml:space="preserve">Os ativos relacionados aos trechos da Ferrovia de Integração Oeste Leste, denominados de FIOL II não sofreram teste de recuperabilidade de ativos, por estarem em fase de obras em andamento, sem indícios de perdas. </w:t>
      </w:r>
    </w:p>
    <w:p w14:paraId="332EB95F" w14:textId="0D7DE888" w:rsidR="005E12AA" w:rsidRDefault="005E12AA" w:rsidP="005E12AA">
      <w:pPr>
        <w:pStyle w:val="NormalWeb"/>
        <w:spacing w:before="0" w:beforeAutospacing="0" w:after="0" w:afterAutospacing="0"/>
        <w:jc w:val="both"/>
        <w:rPr>
          <w:rFonts w:ascii="Calibri" w:hAnsi="Calibri" w:cs="Calibri"/>
          <w:sz w:val="22"/>
          <w:szCs w:val="22"/>
        </w:rPr>
      </w:pPr>
      <w:r>
        <w:rPr>
          <w:rFonts w:ascii="Calibri" w:hAnsi="Calibri" w:cs="Calibri"/>
          <w:sz w:val="22"/>
          <w:szCs w:val="22"/>
        </w:rPr>
        <w:t>Por ocasião do encerramento do exercício de 2021, será realizado um novo teste de recuperabilidade nos ativos relacionados à FIOL I.</w:t>
      </w:r>
    </w:p>
    <w:p w14:paraId="324E60C8" w14:textId="03E3950D" w:rsidR="002C7B71" w:rsidRDefault="002C7B71" w:rsidP="005E12AA">
      <w:pPr>
        <w:pStyle w:val="NormalWeb"/>
        <w:spacing w:before="0" w:beforeAutospacing="0" w:after="0" w:afterAutospacing="0"/>
        <w:jc w:val="both"/>
        <w:rPr>
          <w:rFonts w:ascii="Calibri" w:hAnsi="Calibri" w:cs="Calibri"/>
          <w:sz w:val="22"/>
          <w:szCs w:val="22"/>
        </w:rPr>
      </w:pPr>
    </w:p>
    <w:p w14:paraId="4CD9D6A2" w14:textId="5C0BE68F" w:rsidR="002C7B71" w:rsidRDefault="002C7B71" w:rsidP="005E12AA">
      <w:pPr>
        <w:pStyle w:val="NormalWeb"/>
        <w:spacing w:before="0" w:beforeAutospacing="0" w:after="0" w:afterAutospacing="0"/>
        <w:jc w:val="both"/>
        <w:rPr>
          <w:rFonts w:ascii="Calibri" w:hAnsi="Calibri" w:cs="Calibri"/>
          <w:sz w:val="22"/>
          <w:szCs w:val="22"/>
        </w:rPr>
      </w:pPr>
    </w:p>
    <w:p w14:paraId="4F98D065" w14:textId="77777777" w:rsidR="002C7B71" w:rsidRDefault="002C7B71" w:rsidP="005E12AA">
      <w:pPr>
        <w:pStyle w:val="NormalWeb"/>
        <w:spacing w:before="0" w:beforeAutospacing="0" w:after="0" w:afterAutospacing="0"/>
        <w:jc w:val="both"/>
        <w:rPr>
          <w:rFonts w:ascii="Calibri" w:hAnsi="Calibri" w:cs="Calibri"/>
          <w:sz w:val="22"/>
          <w:szCs w:val="22"/>
        </w:rPr>
      </w:pPr>
    </w:p>
    <w:p w14:paraId="1C07583F" w14:textId="77777777" w:rsidR="00A00571" w:rsidRPr="002E2B5B" w:rsidRDefault="00A00571" w:rsidP="002E2B5B">
      <w:pPr>
        <w:pStyle w:val="PargrafodaLista"/>
        <w:ind w:left="0"/>
        <w:contextualSpacing/>
        <w:jc w:val="both"/>
        <w:rPr>
          <w:rFonts w:ascii="Calibri" w:hAnsi="Calibri" w:cs="Calibri"/>
          <w:bCs/>
          <w:sz w:val="22"/>
          <w:szCs w:val="22"/>
        </w:rPr>
      </w:pPr>
    </w:p>
    <w:tbl>
      <w:tblPr>
        <w:tblW w:w="5000" w:type="pct"/>
        <w:tblCellMar>
          <w:left w:w="70" w:type="dxa"/>
          <w:right w:w="70" w:type="dxa"/>
        </w:tblCellMar>
        <w:tblLook w:val="04A0" w:firstRow="1" w:lastRow="0" w:firstColumn="1" w:lastColumn="0" w:noHBand="0" w:noVBand="1"/>
      </w:tblPr>
      <w:tblGrid>
        <w:gridCol w:w="3804"/>
        <w:gridCol w:w="1166"/>
        <w:gridCol w:w="1047"/>
        <w:gridCol w:w="1047"/>
        <w:gridCol w:w="837"/>
        <w:gridCol w:w="1354"/>
        <w:gridCol w:w="1212"/>
      </w:tblGrid>
      <w:tr w:rsidR="0027114A" w:rsidRPr="002E2B5B" w14:paraId="10AB65EE" w14:textId="77777777" w:rsidTr="002C5CFC">
        <w:trPr>
          <w:trHeight w:hRule="exact" w:val="412"/>
        </w:trPr>
        <w:tc>
          <w:tcPr>
            <w:tcW w:w="1817" w:type="pct"/>
            <w:tcBorders>
              <w:top w:val="nil"/>
              <w:left w:val="nil"/>
              <w:bottom w:val="single" w:sz="4" w:space="0" w:color="auto"/>
              <w:right w:val="nil"/>
            </w:tcBorders>
            <w:shd w:val="clear" w:color="auto" w:fill="auto"/>
            <w:noWrap/>
            <w:vAlign w:val="bottom"/>
            <w:hideMark/>
          </w:tcPr>
          <w:p w14:paraId="06A4D717" w14:textId="7CA9FE2D" w:rsidR="0098109C" w:rsidRPr="002E2B5B" w:rsidRDefault="00D22F5E" w:rsidP="002E2B5B">
            <w:pPr>
              <w:rPr>
                <w:rFonts w:ascii="Calibri" w:hAnsi="Calibri" w:cs="Calibri"/>
                <w:b/>
                <w:color w:val="000000"/>
                <w:sz w:val="22"/>
                <w:szCs w:val="22"/>
              </w:rPr>
            </w:pPr>
            <w:r w:rsidRPr="002E2B5B">
              <w:rPr>
                <w:rFonts w:ascii="Calibri" w:hAnsi="Calibri" w:cs="Calibri"/>
                <w:b/>
                <w:color w:val="000000"/>
                <w:sz w:val="22"/>
                <w:szCs w:val="22"/>
              </w:rPr>
              <w:lastRenderedPageBreak/>
              <w:t xml:space="preserve">NOTA </w:t>
            </w:r>
            <w:r w:rsidR="00D251CA">
              <w:rPr>
                <w:rFonts w:ascii="Calibri" w:hAnsi="Calibri" w:cs="Calibri"/>
                <w:b/>
                <w:color w:val="000000"/>
                <w:sz w:val="22"/>
                <w:szCs w:val="22"/>
              </w:rPr>
              <w:t>9</w:t>
            </w:r>
            <w:r w:rsidR="00782E54" w:rsidRPr="002E2B5B">
              <w:rPr>
                <w:rFonts w:ascii="Calibri" w:hAnsi="Calibri" w:cs="Calibri"/>
                <w:b/>
                <w:color w:val="000000"/>
                <w:sz w:val="22"/>
                <w:szCs w:val="22"/>
              </w:rPr>
              <w:t xml:space="preserve"> </w:t>
            </w:r>
            <w:r w:rsidR="00713327" w:rsidRPr="002E2B5B">
              <w:rPr>
                <w:rFonts w:ascii="Calibri" w:hAnsi="Calibri" w:cs="Calibri"/>
                <w:b/>
                <w:color w:val="000000"/>
                <w:sz w:val="22"/>
                <w:szCs w:val="22"/>
              </w:rPr>
              <w:t>–</w:t>
            </w:r>
            <w:r w:rsidR="00782E54" w:rsidRPr="002E2B5B">
              <w:rPr>
                <w:rFonts w:ascii="Calibri" w:hAnsi="Calibri" w:cs="Calibri"/>
                <w:b/>
                <w:color w:val="000000"/>
                <w:sz w:val="22"/>
                <w:szCs w:val="22"/>
              </w:rPr>
              <w:t xml:space="preserve"> INTANGÍVEL</w:t>
            </w:r>
            <w:r w:rsidR="00713327" w:rsidRPr="002E2B5B">
              <w:rPr>
                <w:rFonts w:ascii="Calibri" w:hAnsi="Calibri" w:cs="Calibri"/>
                <w:b/>
                <w:color w:val="000000"/>
                <w:sz w:val="22"/>
                <w:szCs w:val="22"/>
              </w:rPr>
              <w:t xml:space="preserve"> </w:t>
            </w:r>
          </w:p>
          <w:p w14:paraId="7CDC3FA1" w14:textId="77777777" w:rsidR="0098109C" w:rsidRPr="002E2B5B" w:rsidRDefault="0098109C" w:rsidP="002E2B5B">
            <w:pPr>
              <w:rPr>
                <w:rFonts w:ascii="Calibri" w:hAnsi="Calibri" w:cs="Calibri"/>
                <w:b/>
                <w:color w:val="000000"/>
                <w:sz w:val="22"/>
                <w:szCs w:val="22"/>
              </w:rPr>
            </w:pPr>
          </w:p>
          <w:p w14:paraId="2881FF1F" w14:textId="77777777" w:rsidR="00CC5767" w:rsidRPr="002E2B5B" w:rsidRDefault="00CC5767" w:rsidP="002E2B5B">
            <w:pPr>
              <w:rPr>
                <w:rFonts w:ascii="Calibri" w:hAnsi="Calibri" w:cs="Calibri"/>
                <w:b/>
                <w:bCs/>
                <w:color w:val="000000"/>
                <w:sz w:val="16"/>
                <w:szCs w:val="16"/>
              </w:rPr>
            </w:pPr>
            <w:r w:rsidRPr="002E2B5B">
              <w:rPr>
                <w:rFonts w:ascii="Calibri" w:hAnsi="Calibri" w:cs="Calibri"/>
                <w:b/>
                <w:bCs/>
                <w:color w:val="000000"/>
                <w:sz w:val="16"/>
                <w:szCs w:val="16"/>
              </w:rPr>
              <w:t>INTANG</w:t>
            </w:r>
            <w:r w:rsidR="00D974C8" w:rsidRPr="002E2B5B">
              <w:rPr>
                <w:rFonts w:ascii="Calibri" w:hAnsi="Calibri" w:cs="Calibri"/>
                <w:b/>
                <w:bCs/>
                <w:color w:val="000000"/>
                <w:sz w:val="16"/>
                <w:szCs w:val="16"/>
              </w:rPr>
              <w:t>ÍV</w:t>
            </w:r>
            <w:r w:rsidRPr="002E2B5B">
              <w:rPr>
                <w:rFonts w:ascii="Calibri" w:hAnsi="Calibri" w:cs="Calibri"/>
                <w:b/>
                <w:bCs/>
                <w:color w:val="000000"/>
                <w:sz w:val="16"/>
                <w:szCs w:val="16"/>
              </w:rPr>
              <w:t>EL</w:t>
            </w:r>
          </w:p>
        </w:tc>
        <w:tc>
          <w:tcPr>
            <w:tcW w:w="557" w:type="pct"/>
            <w:tcBorders>
              <w:top w:val="nil"/>
              <w:left w:val="nil"/>
              <w:bottom w:val="single" w:sz="4" w:space="0" w:color="auto"/>
              <w:right w:val="nil"/>
            </w:tcBorders>
            <w:shd w:val="clear" w:color="auto" w:fill="auto"/>
            <w:vAlign w:val="bottom"/>
            <w:hideMark/>
          </w:tcPr>
          <w:p w14:paraId="1E251704" w14:textId="5077885C" w:rsidR="00CC5767" w:rsidRPr="002E2B5B" w:rsidRDefault="00CC5767" w:rsidP="002E2B5B">
            <w:pPr>
              <w:jc w:val="right"/>
              <w:rPr>
                <w:rFonts w:ascii="Calibri" w:hAnsi="Calibri" w:cs="Calibri"/>
                <w:b/>
                <w:bCs/>
                <w:color w:val="000000"/>
                <w:sz w:val="16"/>
                <w:szCs w:val="16"/>
              </w:rPr>
            </w:pPr>
            <w:r w:rsidRPr="002E2B5B">
              <w:rPr>
                <w:rFonts w:ascii="Calibri" w:hAnsi="Calibri" w:cs="Calibri"/>
                <w:b/>
                <w:bCs/>
                <w:color w:val="000000"/>
                <w:sz w:val="16"/>
                <w:szCs w:val="16"/>
              </w:rPr>
              <w:t>SALDO EM 31/12/20</w:t>
            </w:r>
            <w:r w:rsidR="00837C39">
              <w:rPr>
                <w:rFonts w:ascii="Calibri" w:hAnsi="Calibri" w:cs="Calibri"/>
                <w:b/>
                <w:bCs/>
                <w:color w:val="000000"/>
                <w:sz w:val="16"/>
                <w:szCs w:val="16"/>
              </w:rPr>
              <w:t>20</w:t>
            </w:r>
          </w:p>
        </w:tc>
        <w:tc>
          <w:tcPr>
            <w:tcW w:w="500" w:type="pct"/>
            <w:tcBorders>
              <w:top w:val="nil"/>
              <w:left w:val="nil"/>
              <w:bottom w:val="single" w:sz="4" w:space="0" w:color="auto"/>
              <w:right w:val="nil"/>
            </w:tcBorders>
            <w:shd w:val="clear" w:color="auto" w:fill="auto"/>
            <w:vAlign w:val="bottom"/>
            <w:hideMark/>
          </w:tcPr>
          <w:p w14:paraId="0FF0A443" w14:textId="77777777" w:rsidR="00CC5767" w:rsidRPr="002E2B5B" w:rsidRDefault="00CC5767" w:rsidP="002E2B5B">
            <w:pPr>
              <w:jc w:val="right"/>
              <w:rPr>
                <w:rFonts w:ascii="Calibri" w:hAnsi="Calibri" w:cs="Calibri"/>
                <w:b/>
                <w:bCs/>
                <w:color w:val="000000"/>
                <w:sz w:val="16"/>
                <w:szCs w:val="16"/>
              </w:rPr>
            </w:pPr>
            <w:r w:rsidRPr="002E2B5B">
              <w:rPr>
                <w:rFonts w:ascii="Calibri" w:hAnsi="Calibri" w:cs="Calibri"/>
                <w:b/>
                <w:bCs/>
                <w:color w:val="000000"/>
                <w:sz w:val="16"/>
                <w:szCs w:val="16"/>
              </w:rPr>
              <w:t>ENTRADAS</w:t>
            </w:r>
          </w:p>
        </w:tc>
        <w:tc>
          <w:tcPr>
            <w:tcW w:w="500" w:type="pct"/>
            <w:tcBorders>
              <w:top w:val="nil"/>
              <w:left w:val="nil"/>
              <w:bottom w:val="single" w:sz="4" w:space="0" w:color="auto"/>
              <w:right w:val="nil"/>
            </w:tcBorders>
            <w:shd w:val="clear" w:color="auto" w:fill="auto"/>
            <w:vAlign w:val="bottom"/>
            <w:hideMark/>
          </w:tcPr>
          <w:p w14:paraId="1DDA4D79" w14:textId="77777777" w:rsidR="00CC5767" w:rsidRPr="002E2B5B" w:rsidRDefault="00CC5767" w:rsidP="002E2B5B">
            <w:pPr>
              <w:jc w:val="right"/>
              <w:rPr>
                <w:rFonts w:ascii="Calibri" w:hAnsi="Calibri" w:cs="Calibri"/>
                <w:b/>
                <w:bCs/>
                <w:color w:val="000000"/>
                <w:sz w:val="16"/>
                <w:szCs w:val="16"/>
              </w:rPr>
            </w:pPr>
            <w:r w:rsidRPr="002E2B5B">
              <w:rPr>
                <w:rFonts w:ascii="Calibri" w:hAnsi="Calibri" w:cs="Calibri"/>
                <w:b/>
                <w:bCs/>
                <w:color w:val="000000"/>
                <w:sz w:val="16"/>
                <w:szCs w:val="16"/>
              </w:rPr>
              <w:t>BAIXAS</w:t>
            </w:r>
          </w:p>
        </w:tc>
        <w:tc>
          <w:tcPr>
            <w:tcW w:w="400" w:type="pct"/>
            <w:tcBorders>
              <w:top w:val="nil"/>
              <w:left w:val="nil"/>
              <w:bottom w:val="single" w:sz="4" w:space="0" w:color="auto"/>
              <w:right w:val="nil"/>
            </w:tcBorders>
            <w:shd w:val="clear" w:color="auto" w:fill="auto"/>
            <w:vAlign w:val="bottom"/>
            <w:hideMark/>
          </w:tcPr>
          <w:p w14:paraId="5ADAD819" w14:textId="77777777" w:rsidR="00CC5767" w:rsidRPr="002E2B5B" w:rsidRDefault="00CC5767" w:rsidP="002E2B5B">
            <w:pPr>
              <w:jc w:val="right"/>
              <w:rPr>
                <w:rFonts w:ascii="Calibri" w:hAnsi="Calibri" w:cs="Calibri"/>
                <w:b/>
                <w:bCs/>
                <w:color w:val="000000"/>
                <w:sz w:val="16"/>
                <w:szCs w:val="16"/>
              </w:rPr>
            </w:pPr>
            <w:r w:rsidRPr="002E2B5B">
              <w:rPr>
                <w:rFonts w:ascii="Calibri" w:hAnsi="Calibri" w:cs="Calibri"/>
                <w:b/>
                <w:bCs/>
                <w:color w:val="000000"/>
                <w:sz w:val="16"/>
                <w:szCs w:val="16"/>
              </w:rPr>
              <w:t>TRANSF.</w:t>
            </w:r>
          </w:p>
        </w:tc>
        <w:tc>
          <w:tcPr>
            <w:tcW w:w="647" w:type="pct"/>
            <w:tcBorders>
              <w:top w:val="nil"/>
              <w:left w:val="nil"/>
              <w:bottom w:val="single" w:sz="4" w:space="0" w:color="auto"/>
              <w:right w:val="nil"/>
            </w:tcBorders>
            <w:shd w:val="clear" w:color="auto" w:fill="auto"/>
            <w:vAlign w:val="bottom"/>
            <w:hideMark/>
          </w:tcPr>
          <w:p w14:paraId="18A11951" w14:textId="2E14F398" w:rsidR="00CC5767" w:rsidRPr="002E2B5B" w:rsidRDefault="00CC5767" w:rsidP="002E2B5B">
            <w:pPr>
              <w:jc w:val="right"/>
              <w:rPr>
                <w:rFonts w:ascii="Calibri" w:hAnsi="Calibri" w:cs="Calibri"/>
                <w:b/>
                <w:bCs/>
                <w:color w:val="000000"/>
                <w:sz w:val="16"/>
                <w:szCs w:val="16"/>
              </w:rPr>
            </w:pPr>
            <w:r w:rsidRPr="002E2B5B">
              <w:rPr>
                <w:rFonts w:ascii="Calibri" w:hAnsi="Calibri" w:cs="Calibri"/>
                <w:b/>
                <w:bCs/>
                <w:color w:val="000000"/>
                <w:sz w:val="16"/>
                <w:szCs w:val="16"/>
              </w:rPr>
              <w:t xml:space="preserve">SALDO EM </w:t>
            </w:r>
            <w:r w:rsidR="00D905E6">
              <w:rPr>
                <w:rFonts w:ascii="Calibri" w:hAnsi="Calibri" w:cs="Calibri"/>
                <w:b/>
                <w:bCs/>
                <w:color w:val="000000"/>
                <w:sz w:val="16"/>
                <w:szCs w:val="16"/>
              </w:rPr>
              <w:t>30/0</w:t>
            </w:r>
            <w:r w:rsidR="002C5CFC">
              <w:rPr>
                <w:rFonts w:ascii="Calibri" w:hAnsi="Calibri" w:cs="Calibri"/>
                <w:b/>
                <w:bCs/>
                <w:color w:val="000000"/>
                <w:sz w:val="16"/>
                <w:szCs w:val="16"/>
              </w:rPr>
              <w:t>9</w:t>
            </w:r>
            <w:r w:rsidR="00D905E6">
              <w:rPr>
                <w:rFonts w:ascii="Calibri" w:hAnsi="Calibri" w:cs="Calibri"/>
                <w:b/>
                <w:bCs/>
                <w:color w:val="000000"/>
                <w:sz w:val="16"/>
                <w:szCs w:val="16"/>
              </w:rPr>
              <w:t>/2021</w:t>
            </w:r>
          </w:p>
        </w:tc>
        <w:tc>
          <w:tcPr>
            <w:tcW w:w="579" w:type="pct"/>
            <w:tcBorders>
              <w:top w:val="nil"/>
              <w:left w:val="nil"/>
              <w:bottom w:val="single" w:sz="4" w:space="0" w:color="auto"/>
              <w:right w:val="nil"/>
            </w:tcBorders>
            <w:shd w:val="clear" w:color="auto" w:fill="auto"/>
            <w:vAlign w:val="bottom"/>
            <w:hideMark/>
          </w:tcPr>
          <w:p w14:paraId="7754F0EB" w14:textId="77777777" w:rsidR="00CC5767" w:rsidRPr="002E2B5B" w:rsidRDefault="00CC5767" w:rsidP="002E2B5B">
            <w:pPr>
              <w:jc w:val="right"/>
              <w:rPr>
                <w:rFonts w:ascii="Calibri" w:hAnsi="Calibri" w:cs="Calibri"/>
                <w:b/>
                <w:bCs/>
                <w:color w:val="000000"/>
                <w:sz w:val="16"/>
                <w:szCs w:val="16"/>
              </w:rPr>
            </w:pPr>
            <w:r w:rsidRPr="002E2B5B">
              <w:rPr>
                <w:rFonts w:ascii="Calibri" w:hAnsi="Calibri" w:cs="Calibri"/>
                <w:b/>
                <w:bCs/>
                <w:color w:val="000000"/>
                <w:sz w:val="16"/>
                <w:szCs w:val="16"/>
              </w:rPr>
              <w:t>TAXA AMORTIZ. (%)</w:t>
            </w:r>
          </w:p>
        </w:tc>
      </w:tr>
      <w:tr w:rsidR="0027114A" w:rsidRPr="002E2B5B" w14:paraId="12027DA7" w14:textId="77777777" w:rsidTr="00C34E8D">
        <w:trPr>
          <w:trHeight w:hRule="exact" w:val="227"/>
        </w:trPr>
        <w:tc>
          <w:tcPr>
            <w:tcW w:w="1817" w:type="pct"/>
            <w:tcBorders>
              <w:top w:val="nil"/>
              <w:left w:val="nil"/>
              <w:bottom w:val="nil"/>
              <w:right w:val="nil"/>
            </w:tcBorders>
            <w:shd w:val="clear" w:color="auto" w:fill="auto"/>
            <w:noWrap/>
            <w:vAlign w:val="bottom"/>
            <w:hideMark/>
          </w:tcPr>
          <w:p w14:paraId="1A7206FF" w14:textId="77777777" w:rsidR="0027114A" w:rsidRPr="002E2B5B" w:rsidRDefault="0027114A" w:rsidP="002E2B5B">
            <w:pPr>
              <w:rPr>
                <w:rFonts w:ascii="Calibri" w:hAnsi="Calibri" w:cs="Calibri"/>
                <w:color w:val="000000"/>
                <w:sz w:val="16"/>
                <w:szCs w:val="16"/>
              </w:rPr>
            </w:pPr>
            <w:r w:rsidRPr="002E2B5B">
              <w:rPr>
                <w:rFonts w:ascii="Calibri" w:hAnsi="Calibri" w:cs="Calibri"/>
                <w:color w:val="000000"/>
                <w:sz w:val="16"/>
                <w:szCs w:val="16"/>
              </w:rPr>
              <w:t>Direito de Uso de Comunicação</w:t>
            </w:r>
          </w:p>
        </w:tc>
        <w:tc>
          <w:tcPr>
            <w:tcW w:w="557" w:type="pct"/>
            <w:tcBorders>
              <w:top w:val="nil"/>
              <w:left w:val="nil"/>
              <w:bottom w:val="nil"/>
              <w:right w:val="nil"/>
            </w:tcBorders>
            <w:shd w:val="clear" w:color="auto" w:fill="auto"/>
            <w:noWrap/>
            <w:vAlign w:val="bottom"/>
            <w:hideMark/>
          </w:tcPr>
          <w:p w14:paraId="23832C92"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139.790</w:t>
            </w:r>
          </w:p>
        </w:tc>
        <w:tc>
          <w:tcPr>
            <w:tcW w:w="500" w:type="pct"/>
            <w:tcBorders>
              <w:top w:val="nil"/>
              <w:left w:val="nil"/>
              <w:bottom w:val="nil"/>
              <w:right w:val="nil"/>
            </w:tcBorders>
            <w:shd w:val="clear" w:color="auto" w:fill="auto"/>
            <w:noWrap/>
            <w:vAlign w:val="bottom"/>
            <w:hideMark/>
          </w:tcPr>
          <w:p w14:paraId="7A519EE6"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500" w:type="pct"/>
            <w:tcBorders>
              <w:top w:val="nil"/>
              <w:left w:val="nil"/>
              <w:bottom w:val="nil"/>
              <w:right w:val="nil"/>
            </w:tcBorders>
            <w:shd w:val="clear" w:color="auto" w:fill="auto"/>
            <w:noWrap/>
            <w:vAlign w:val="bottom"/>
            <w:hideMark/>
          </w:tcPr>
          <w:p w14:paraId="2849D0CC"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400" w:type="pct"/>
            <w:tcBorders>
              <w:top w:val="nil"/>
              <w:left w:val="nil"/>
              <w:bottom w:val="nil"/>
              <w:right w:val="nil"/>
            </w:tcBorders>
            <w:shd w:val="clear" w:color="auto" w:fill="auto"/>
            <w:noWrap/>
            <w:vAlign w:val="bottom"/>
            <w:hideMark/>
          </w:tcPr>
          <w:p w14:paraId="32DBE3AC"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647" w:type="pct"/>
            <w:tcBorders>
              <w:top w:val="nil"/>
              <w:left w:val="nil"/>
              <w:bottom w:val="nil"/>
              <w:right w:val="nil"/>
            </w:tcBorders>
            <w:shd w:val="clear" w:color="auto" w:fill="auto"/>
            <w:noWrap/>
            <w:vAlign w:val="bottom"/>
            <w:hideMark/>
          </w:tcPr>
          <w:p w14:paraId="38BA14DA"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139.790</w:t>
            </w:r>
          </w:p>
        </w:tc>
        <w:tc>
          <w:tcPr>
            <w:tcW w:w="579" w:type="pct"/>
            <w:tcBorders>
              <w:top w:val="nil"/>
              <w:left w:val="nil"/>
              <w:bottom w:val="nil"/>
              <w:right w:val="nil"/>
            </w:tcBorders>
            <w:shd w:val="clear" w:color="auto" w:fill="auto"/>
            <w:noWrap/>
            <w:vAlign w:val="bottom"/>
            <w:hideMark/>
          </w:tcPr>
          <w:p w14:paraId="55BEC117"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w:t>
            </w:r>
          </w:p>
        </w:tc>
      </w:tr>
      <w:tr w:rsidR="0027114A" w:rsidRPr="002E2B5B" w14:paraId="65C42BAD" w14:textId="77777777" w:rsidTr="00C34E8D">
        <w:trPr>
          <w:trHeight w:hRule="exact" w:val="227"/>
        </w:trPr>
        <w:tc>
          <w:tcPr>
            <w:tcW w:w="1817" w:type="pct"/>
            <w:tcBorders>
              <w:top w:val="nil"/>
              <w:left w:val="nil"/>
              <w:bottom w:val="nil"/>
              <w:right w:val="nil"/>
            </w:tcBorders>
            <w:shd w:val="clear" w:color="auto" w:fill="auto"/>
            <w:noWrap/>
            <w:vAlign w:val="bottom"/>
            <w:hideMark/>
          </w:tcPr>
          <w:p w14:paraId="049B3189" w14:textId="77777777" w:rsidR="0027114A" w:rsidRPr="002E2B5B" w:rsidRDefault="0027114A" w:rsidP="002E2B5B">
            <w:pPr>
              <w:rPr>
                <w:rFonts w:ascii="Calibri" w:hAnsi="Calibri" w:cs="Calibri"/>
                <w:color w:val="000000"/>
                <w:sz w:val="16"/>
                <w:szCs w:val="16"/>
              </w:rPr>
            </w:pPr>
            <w:r w:rsidRPr="002E2B5B">
              <w:rPr>
                <w:rFonts w:ascii="Calibri" w:hAnsi="Calibri" w:cs="Calibri"/>
                <w:color w:val="000000"/>
                <w:sz w:val="16"/>
                <w:szCs w:val="16"/>
              </w:rPr>
              <w:t>Softwares</w:t>
            </w:r>
          </w:p>
        </w:tc>
        <w:tc>
          <w:tcPr>
            <w:tcW w:w="557" w:type="pct"/>
            <w:tcBorders>
              <w:top w:val="nil"/>
              <w:left w:val="nil"/>
              <w:bottom w:val="nil"/>
              <w:right w:val="nil"/>
            </w:tcBorders>
            <w:shd w:val="clear" w:color="auto" w:fill="auto"/>
            <w:noWrap/>
            <w:vAlign w:val="bottom"/>
            <w:hideMark/>
          </w:tcPr>
          <w:p w14:paraId="50C7FB48" w14:textId="4A2A0CCB" w:rsidR="0027114A" w:rsidRPr="002E2B5B" w:rsidRDefault="00837C39" w:rsidP="002E2B5B">
            <w:pPr>
              <w:jc w:val="right"/>
              <w:rPr>
                <w:rFonts w:ascii="Calibri" w:hAnsi="Calibri" w:cs="Calibri"/>
                <w:color w:val="000000"/>
                <w:sz w:val="16"/>
                <w:szCs w:val="16"/>
              </w:rPr>
            </w:pPr>
            <w:r w:rsidRPr="002E2B5B">
              <w:rPr>
                <w:rFonts w:ascii="Calibri" w:hAnsi="Calibri" w:cs="Calibri"/>
                <w:color w:val="000000"/>
                <w:sz w:val="16"/>
                <w:szCs w:val="16"/>
              </w:rPr>
              <w:t>11.428.470</w:t>
            </w:r>
          </w:p>
        </w:tc>
        <w:tc>
          <w:tcPr>
            <w:tcW w:w="500" w:type="pct"/>
            <w:tcBorders>
              <w:top w:val="nil"/>
              <w:left w:val="nil"/>
              <w:bottom w:val="nil"/>
              <w:right w:val="nil"/>
            </w:tcBorders>
            <w:shd w:val="clear" w:color="auto" w:fill="auto"/>
            <w:noWrap/>
            <w:vAlign w:val="bottom"/>
            <w:hideMark/>
          </w:tcPr>
          <w:p w14:paraId="22FFE0EF" w14:textId="757B2682" w:rsidR="0027114A" w:rsidRPr="002E2B5B" w:rsidRDefault="00837C39" w:rsidP="002E2B5B">
            <w:pPr>
              <w:jc w:val="right"/>
              <w:rPr>
                <w:rFonts w:ascii="Calibri" w:hAnsi="Calibri" w:cs="Calibri"/>
                <w:color w:val="000000"/>
                <w:sz w:val="16"/>
                <w:szCs w:val="16"/>
              </w:rPr>
            </w:pPr>
            <w:r>
              <w:rPr>
                <w:rFonts w:ascii="Calibri" w:hAnsi="Calibri" w:cs="Calibri"/>
                <w:color w:val="000000"/>
                <w:sz w:val="16"/>
                <w:szCs w:val="16"/>
              </w:rPr>
              <w:t>302.73</w:t>
            </w:r>
            <w:r w:rsidR="00DF35EE">
              <w:rPr>
                <w:rFonts w:ascii="Calibri" w:hAnsi="Calibri" w:cs="Calibri"/>
                <w:color w:val="000000"/>
                <w:sz w:val="16"/>
                <w:szCs w:val="16"/>
              </w:rPr>
              <w:t>7</w:t>
            </w:r>
          </w:p>
        </w:tc>
        <w:tc>
          <w:tcPr>
            <w:tcW w:w="500" w:type="pct"/>
            <w:tcBorders>
              <w:top w:val="nil"/>
              <w:left w:val="nil"/>
              <w:bottom w:val="nil"/>
              <w:right w:val="nil"/>
            </w:tcBorders>
            <w:shd w:val="clear" w:color="auto" w:fill="auto"/>
            <w:noWrap/>
            <w:vAlign w:val="bottom"/>
            <w:hideMark/>
          </w:tcPr>
          <w:p w14:paraId="4D64FA41" w14:textId="097CD438" w:rsidR="0027114A" w:rsidRPr="002E2B5B" w:rsidRDefault="00837C39" w:rsidP="002E2B5B">
            <w:pPr>
              <w:jc w:val="right"/>
              <w:rPr>
                <w:rFonts w:ascii="Calibri" w:hAnsi="Calibri" w:cs="Calibri"/>
                <w:color w:val="000000"/>
                <w:sz w:val="16"/>
                <w:szCs w:val="16"/>
              </w:rPr>
            </w:pPr>
            <w:r>
              <w:rPr>
                <w:rFonts w:ascii="Calibri" w:hAnsi="Calibri" w:cs="Calibri"/>
                <w:color w:val="000000"/>
                <w:sz w:val="16"/>
                <w:szCs w:val="16"/>
              </w:rPr>
              <w:t>0</w:t>
            </w:r>
          </w:p>
        </w:tc>
        <w:tc>
          <w:tcPr>
            <w:tcW w:w="400" w:type="pct"/>
            <w:tcBorders>
              <w:top w:val="nil"/>
              <w:left w:val="nil"/>
              <w:bottom w:val="nil"/>
              <w:right w:val="nil"/>
            </w:tcBorders>
            <w:shd w:val="clear" w:color="auto" w:fill="auto"/>
            <w:noWrap/>
            <w:vAlign w:val="bottom"/>
            <w:hideMark/>
          </w:tcPr>
          <w:p w14:paraId="35E169C1"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647" w:type="pct"/>
            <w:tcBorders>
              <w:top w:val="nil"/>
              <w:left w:val="nil"/>
              <w:bottom w:val="nil"/>
              <w:right w:val="nil"/>
            </w:tcBorders>
            <w:shd w:val="clear" w:color="auto" w:fill="auto"/>
            <w:noWrap/>
            <w:vAlign w:val="bottom"/>
            <w:hideMark/>
          </w:tcPr>
          <w:p w14:paraId="23A2D84C" w14:textId="70980F58"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11.</w:t>
            </w:r>
            <w:r w:rsidR="00837C39">
              <w:rPr>
                <w:rFonts w:ascii="Calibri" w:hAnsi="Calibri" w:cs="Calibri"/>
                <w:color w:val="000000"/>
                <w:sz w:val="16"/>
                <w:szCs w:val="16"/>
              </w:rPr>
              <w:t>731.207</w:t>
            </w:r>
          </w:p>
        </w:tc>
        <w:tc>
          <w:tcPr>
            <w:tcW w:w="579" w:type="pct"/>
            <w:tcBorders>
              <w:top w:val="nil"/>
              <w:left w:val="nil"/>
              <w:bottom w:val="nil"/>
              <w:right w:val="nil"/>
            </w:tcBorders>
            <w:shd w:val="clear" w:color="auto" w:fill="auto"/>
            <w:noWrap/>
            <w:vAlign w:val="bottom"/>
            <w:hideMark/>
          </w:tcPr>
          <w:p w14:paraId="3950A484"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20</w:t>
            </w:r>
          </w:p>
        </w:tc>
      </w:tr>
      <w:tr w:rsidR="0027114A" w:rsidRPr="002E2B5B" w14:paraId="6B69B262" w14:textId="77777777" w:rsidTr="00C34E8D">
        <w:trPr>
          <w:trHeight w:hRule="exact" w:val="227"/>
        </w:trPr>
        <w:tc>
          <w:tcPr>
            <w:tcW w:w="1817" w:type="pct"/>
            <w:tcBorders>
              <w:top w:val="nil"/>
              <w:left w:val="nil"/>
              <w:bottom w:val="nil"/>
              <w:right w:val="nil"/>
            </w:tcBorders>
            <w:shd w:val="clear" w:color="auto" w:fill="auto"/>
            <w:noWrap/>
            <w:vAlign w:val="bottom"/>
            <w:hideMark/>
          </w:tcPr>
          <w:p w14:paraId="31CC6FE1" w14:textId="77777777" w:rsidR="0027114A" w:rsidRPr="002E2B5B" w:rsidRDefault="0027114A" w:rsidP="002E2B5B">
            <w:pPr>
              <w:rPr>
                <w:rFonts w:ascii="Calibri" w:hAnsi="Calibri" w:cs="Calibri"/>
                <w:color w:val="000000"/>
                <w:sz w:val="16"/>
                <w:szCs w:val="16"/>
              </w:rPr>
            </w:pPr>
            <w:r w:rsidRPr="002E2B5B">
              <w:rPr>
                <w:rFonts w:ascii="Calibri" w:hAnsi="Calibri" w:cs="Calibri"/>
                <w:color w:val="000000"/>
                <w:sz w:val="16"/>
                <w:szCs w:val="16"/>
              </w:rPr>
              <w:t>(-) Amortizações Acumuladas</w:t>
            </w:r>
          </w:p>
        </w:tc>
        <w:tc>
          <w:tcPr>
            <w:tcW w:w="557" w:type="pct"/>
            <w:tcBorders>
              <w:top w:val="nil"/>
              <w:left w:val="nil"/>
              <w:bottom w:val="nil"/>
              <w:right w:val="nil"/>
            </w:tcBorders>
            <w:shd w:val="clear" w:color="auto" w:fill="auto"/>
            <w:noWrap/>
            <w:vAlign w:val="bottom"/>
            <w:hideMark/>
          </w:tcPr>
          <w:p w14:paraId="0AECD106" w14:textId="3985EE4C" w:rsidR="0027114A" w:rsidRPr="002E2B5B" w:rsidRDefault="00837C39" w:rsidP="002E2B5B">
            <w:pPr>
              <w:jc w:val="right"/>
              <w:rPr>
                <w:rFonts w:ascii="Calibri" w:hAnsi="Calibri" w:cs="Calibri"/>
                <w:color w:val="000000"/>
                <w:sz w:val="16"/>
                <w:szCs w:val="16"/>
              </w:rPr>
            </w:pPr>
            <w:r w:rsidRPr="002E2B5B">
              <w:rPr>
                <w:rFonts w:ascii="Calibri" w:hAnsi="Calibri" w:cs="Calibri"/>
                <w:color w:val="000000"/>
                <w:sz w:val="16"/>
                <w:szCs w:val="16"/>
              </w:rPr>
              <w:t>(6.875.831)</w:t>
            </w:r>
          </w:p>
        </w:tc>
        <w:tc>
          <w:tcPr>
            <w:tcW w:w="500" w:type="pct"/>
            <w:tcBorders>
              <w:top w:val="nil"/>
              <w:left w:val="nil"/>
              <w:bottom w:val="nil"/>
              <w:right w:val="nil"/>
            </w:tcBorders>
            <w:shd w:val="clear" w:color="auto" w:fill="auto"/>
            <w:noWrap/>
            <w:vAlign w:val="bottom"/>
            <w:hideMark/>
          </w:tcPr>
          <w:p w14:paraId="3A1B9531" w14:textId="34065453"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w:t>
            </w:r>
            <w:r w:rsidR="00F74D7B">
              <w:rPr>
                <w:rFonts w:ascii="Calibri" w:hAnsi="Calibri" w:cs="Calibri"/>
                <w:color w:val="000000"/>
                <w:sz w:val="16"/>
                <w:szCs w:val="16"/>
              </w:rPr>
              <w:t>1.591.082</w:t>
            </w:r>
            <w:r w:rsidRPr="002E2B5B">
              <w:rPr>
                <w:rFonts w:ascii="Calibri" w:hAnsi="Calibri" w:cs="Calibri"/>
                <w:color w:val="000000"/>
                <w:sz w:val="16"/>
                <w:szCs w:val="16"/>
              </w:rPr>
              <w:t>)</w:t>
            </w:r>
          </w:p>
        </w:tc>
        <w:tc>
          <w:tcPr>
            <w:tcW w:w="500" w:type="pct"/>
            <w:tcBorders>
              <w:top w:val="nil"/>
              <w:left w:val="nil"/>
              <w:bottom w:val="nil"/>
              <w:right w:val="nil"/>
            </w:tcBorders>
            <w:shd w:val="clear" w:color="auto" w:fill="auto"/>
            <w:noWrap/>
            <w:vAlign w:val="bottom"/>
            <w:hideMark/>
          </w:tcPr>
          <w:p w14:paraId="4F37539D" w14:textId="5D529B9A" w:rsidR="0027114A" w:rsidRPr="002E2B5B" w:rsidRDefault="00837C39" w:rsidP="002E2B5B">
            <w:pPr>
              <w:jc w:val="right"/>
              <w:rPr>
                <w:rFonts w:ascii="Calibri" w:hAnsi="Calibri" w:cs="Calibri"/>
                <w:color w:val="000000"/>
                <w:sz w:val="16"/>
                <w:szCs w:val="16"/>
              </w:rPr>
            </w:pPr>
            <w:r>
              <w:rPr>
                <w:rFonts w:ascii="Calibri" w:hAnsi="Calibri" w:cs="Calibri"/>
                <w:color w:val="000000"/>
                <w:sz w:val="16"/>
                <w:szCs w:val="16"/>
              </w:rPr>
              <w:t>0</w:t>
            </w:r>
          </w:p>
        </w:tc>
        <w:tc>
          <w:tcPr>
            <w:tcW w:w="400" w:type="pct"/>
            <w:tcBorders>
              <w:top w:val="nil"/>
              <w:left w:val="nil"/>
              <w:bottom w:val="nil"/>
              <w:right w:val="nil"/>
            </w:tcBorders>
            <w:shd w:val="clear" w:color="auto" w:fill="auto"/>
            <w:noWrap/>
            <w:vAlign w:val="bottom"/>
            <w:hideMark/>
          </w:tcPr>
          <w:p w14:paraId="188F8D92"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647" w:type="pct"/>
            <w:tcBorders>
              <w:top w:val="nil"/>
              <w:left w:val="nil"/>
              <w:bottom w:val="nil"/>
              <w:right w:val="nil"/>
            </w:tcBorders>
            <w:shd w:val="clear" w:color="auto" w:fill="auto"/>
            <w:noWrap/>
            <w:vAlign w:val="bottom"/>
            <w:hideMark/>
          </w:tcPr>
          <w:p w14:paraId="5636E438" w14:textId="6AE4E10A" w:rsidR="0027114A" w:rsidRPr="002E2B5B" w:rsidRDefault="00837C39" w:rsidP="002E2B5B">
            <w:pPr>
              <w:jc w:val="right"/>
              <w:rPr>
                <w:rFonts w:ascii="Calibri" w:hAnsi="Calibri" w:cs="Calibri"/>
                <w:color w:val="000000"/>
                <w:sz w:val="16"/>
                <w:szCs w:val="16"/>
              </w:rPr>
            </w:pPr>
            <w:r>
              <w:rPr>
                <w:rFonts w:ascii="Calibri" w:hAnsi="Calibri" w:cs="Calibri"/>
                <w:color w:val="000000"/>
                <w:sz w:val="16"/>
                <w:szCs w:val="16"/>
              </w:rPr>
              <w:t>(</w:t>
            </w:r>
            <w:r w:rsidR="00F74D7B">
              <w:rPr>
                <w:rFonts w:ascii="Calibri" w:hAnsi="Calibri" w:cs="Calibri"/>
                <w:color w:val="000000"/>
                <w:sz w:val="16"/>
                <w:szCs w:val="16"/>
              </w:rPr>
              <w:t>8.466.913</w:t>
            </w:r>
            <w:r w:rsidR="0027114A" w:rsidRPr="002E2B5B">
              <w:rPr>
                <w:rFonts w:ascii="Calibri" w:hAnsi="Calibri" w:cs="Calibri"/>
                <w:color w:val="000000"/>
                <w:sz w:val="16"/>
                <w:szCs w:val="16"/>
              </w:rPr>
              <w:t>)</w:t>
            </w:r>
          </w:p>
        </w:tc>
        <w:tc>
          <w:tcPr>
            <w:tcW w:w="579" w:type="pct"/>
            <w:tcBorders>
              <w:top w:val="nil"/>
              <w:left w:val="nil"/>
              <w:bottom w:val="nil"/>
              <w:right w:val="nil"/>
            </w:tcBorders>
            <w:shd w:val="clear" w:color="auto" w:fill="auto"/>
            <w:noWrap/>
            <w:vAlign w:val="bottom"/>
            <w:hideMark/>
          </w:tcPr>
          <w:p w14:paraId="12DE0B71" w14:textId="77777777" w:rsidR="0027114A" w:rsidRPr="002E2B5B" w:rsidRDefault="0027114A" w:rsidP="002E2B5B">
            <w:pPr>
              <w:jc w:val="right"/>
              <w:rPr>
                <w:rFonts w:ascii="Calibri" w:hAnsi="Calibri" w:cs="Calibri"/>
                <w:color w:val="000000"/>
                <w:sz w:val="16"/>
                <w:szCs w:val="16"/>
              </w:rPr>
            </w:pPr>
            <w:r w:rsidRPr="002E2B5B">
              <w:rPr>
                <w:rFonts w:ascii="Calibri" w:hAnsi="Calibri" w:cs="Calibri"/>
                <w:color w:val="000000"/>
                <w:sz w:val="16"/>
                <w:szCs w:val="16"/>
              </w:rPr>
              <w:t>-</w:t>
            </w:r>
          </w:p>
        </w:tc>
      </w:tr>
      <w:tr w:rsidR="0027114A" w:rsidRPr="002E2B5B" w14:paraId="016CFAFF" w14:textId="77777777" w:rsidTr="00C34E8D">
        <w:trPr>
          <w:trHeight w:hRule="exact" w:val="227"/>
        </w:trPr>
        <w:tc>
          <w:tcPr>
            <w:tcW w:w="1817" w:type="pct"/>
            <w:tcBorders>
              <w:top w:val="single" w:sz="4" w:space="0" w:color="auto"/>
              <w:left w:val="nil"/>
              <w:bottom w:val="single" w:sz="4" w:space="0" w:color="auto"/>
              <w:right w:val="nil"/>
            </w:tcBorders>
            <w:shd w:val="clear" w:color="auto" w:fill="auto"/>
            <w:noWrap/>
            <w:vAlign w:val="bottom"/>
            <w:hideMark/>
          </w:tcPr>
          <w:p w14:paraId="50ED4C9E" w14:textId="77777777" w:rsidR="0027114A" w:rsidRPr="002E2B5B" w:rsidRDefault="0027114A" w:rsidP="002E2B5B">
            <w:pPr>
              <w:rPr>
                <w:rFonts w:ascii="Calibri" w:hAnsi="Calibri" w:cs="Calibri"/>
                <w:b/>
                <w:bCs/>
                <w:color w:val="000000"/>
                <w:sz w:val="16"/>
                <w:szCs w:val="16"/>
              </w:rPr>
            </w:pPr>
            <w:r w:rsidRPr="002E2B5B">
              <w:rPr>
                <w:rFonts w:ascii="Calibri" w:hAnsi="Calibri" w:cs="Calibri"/>
                <w:b/>
                <w:bCs/>
                <w:color w:val="000000"/>
                <w:sz w:val="16"/>
                <w:szCs w:val="16"/>
              </w:rPr>
              <w:t>Total Intangíveis</w:t>
            </w:r>
          </w:p>
        </w:tc>
        <w:tc>
          <w:tcPr>
            <w:tcW w:w="557" w:type="pct"/>
            <w:tcBorders>
              <w:top w:val="single" w:sz="4" w:space="0" w:color="auto"/>
              <w:left w:val="nil"/>
              <w:bottom w:val="single" w:sz="4" w:space="0" w:color="auto"/>
              <w:right w:val="nil"/>
            </w:tcBorders>
            <w:shd w:val="clear" w:color="auto" w:fill="auto"/>
            <w:noWrap/>
            <w:vAlign w:val="bottom"/>
            <w:hideMark/>
          </w:tcPr>
          <w:p w14:paraId="3AA11C58" w14:textId="7D0DDEFE" w:rsidR="0027114A" w:rsidRPr="002E2B5B" w:rsidRDefault="00837C39" w:rsidP="002E2B5B">
            <w:pPr>
              <w:jc w:val="right"/>
              <w:rPr>
                <w:rFonts w:ascii="Calibri" w:hAnsi="Calibri" w:cs="Calibri"/>
                <w:b/>
                <w:bCs/>
                <w:color w:val="000000"/>
                <w:sz w:val="16"/>
                <w:szCs w:val="16"/>
              </w:rPr>
            </w:pPr>
            <w:r w:rsidRPr="002E2B5B">
              <w:rPr>
                <w:rFonts w:ascii="Calibri" w:hAnsi="Calibri" w:cs="Calibri"/>
                <w:b/>
                <w:bCs/>
                <w:color w:val="000000"/>
                <w:sz w:val="16"/>
                <w:szCs w:val="16"/>
              </w:rPr>
              <w:t>4.692.429</w:t>
            </w:r>
          </w:p>
        </w:tc>
        <w:tc>
          <w:tcPr>
            <w:tcW w:w="500" w:type="pct"/>
            <w:tcBorders>
              <w:top w:val="single" w:sz="4" w:space="0" w:color="auto"/>
              <w:left w:val="nil"/>
              <w:bottom w:val="single" w:sz="4" w:space="0" w:color="auto"/>
              <w:right w:val="nil"/>
            </w:tcBorders>
            <w:shd w:val="clear" w:color="auto" w:fill="auto"/>
            <w:noWrap/>
            <w:vAlign w:val="bottom"/>
            <w:hideMark/>
          </w:tcPr>
          <w:p w14:paraId="51C938BB" w14:textId="1EAE05CA" w:rsidR="0027114A" w:rsidRPr="002E2B5B" w:rsidRDefault="0027114A" w:rsidP="002E2B5B">
            <w:pPr>
              <w:jc w:val="right"/>
              <w:rPr>
                <w:rFonts w:ascii="Calibri" w:hAnsi="Calibri" w:cs="Calibri"/>
                <w:b/>
                <w:bCs/>
                <w:color w:val="000000"/>
                <w:sz w:val="16"/>
                <w:szCs w:val="16"/>
              </w:rPr>
            </w:pPr>
            <w:r w:rsidRPr="002E2B5B">
              <w:rPr>
                <w:rFonts w:ascii="Calibri" w:hAnsi="Calibri" w:cs="Calibri"/>
                <w:b/>
                <w:bCs/>
                <w:color w:val="000000"/>
                <w:sz w:val="16"/>
                <w:szCs w:val="16"/>
              </w:rPr>
              <w:t>(</w:t>
            </w:r>
            <w:r w:rsidR="002C5CFC">
              <w:rPr>
                <w:rFonts w:ascii="Calibri" w:hAnsi="Calibri" w:cs="Calibri"/>
                <w:b/>
                <w:bCs/>
                <w:color w:val="000000"/>
                <w:sz w:val="16"/>
                <w:szCs w:val="16"/>
              </w:rPr>
              <w:t>1.288.345</w:t>
            </w:r>
            <w:r w:rsidRPr="002E2B5B">
              <w:rPr>
                <w:rFonts w:ascii="Calibri" w:hAnsi="Calibri" w:cs="Calibri"/>
                <w:b/>
                <w:bCs/>
                <w:color w:val="000000"/>
                <w:sz w:val="16"/>
                <w:szCs w:val="16"/>
              </w:rPr>
              <w:t>)</w:t>
            </w:r>
          </w:p>
        </w:tc>
        <w:tc>
          <w:tcPr>
            <w:tcW w:w="500" w:type="pct"/>
            <w:tcBorders>
              <w:top w:val="single" w:sz="4" w:space="0" w:color="auto"/>
              <w:left w:val="nil"/>
              <w:bottom w:val="single" w:sz="4" w:space="0" w:color="auto"/>
              <w:right w:val="nil"/>
            </w:tcBorders>
            <w:shd w:val="clear" w:color="auto" w:fill="auto"/>
            <w:noWrap/>
            <w:vAlign w:val="bottom"/>
            <w:hideMark/>
          </w:tcPr>
          <w:p w14:paraId="2F9232D4" w14:textId="39417BE8" w:rsidR="0027114A" w:rsidRPr="002E2B5B" w:rsidRDefault="00837C39" w:rsidP="002E2B5B">
            <w:pPr>
              <w:jc w:val="right"/>
              <w:rPr>
                <w:rFonts w:ascii="Calibri" w:hAnsi="Calibri" w:cs="Calibri"/>
                <w:b/>
                <w:bCs/>
                <w:color w:val="000000"/>
                <w:sz w:val="16"/>
                <w:szCs w:val="16"/>
              </w:rPr>
            </w:pPr>
            <w:r>
              <w:rPr>
                <w:rFonts w:ascii="Calibri" w:hAnsi="Calibri" w:cs="Calibri"/>
                <w:b/>
                <w:bCs/>
                <w:color w:val="000000"/>
                <w:sz w:val="16"/>
                <w:szCs w:val="16"/>
              </w:rPr>
              <w:t>0</w:t>
            </w:r>
          </w:p>
        </w:tc>
        <w:tc>
          <w:tcPr>
            <w:tcW w:w="400" w:type="pct"/>
            <w:tcBorders>
              <w:top w:val="single" w:sz="4" w:space="0" w:color="auto"/>
              <w:left w:val="nil"/>
              <w:bottom w:val="single" w:sz="4" w:space="0" w:color="auto"/>
              <w:right w:val="nil"/>
            </w:tcBorders>
            <w:shd w:val="clear" w:color="auto" w:fill="auto"/>
            <w:noWrap/>
            <w:vAlign w:val="bottom"/>
            <w:hideMark/>
          </w:tcPr>
          <w:p w14:paraId="16B4C124" w14:textId="77777777" w:rsidR="0027114A" w:rsidRPr="002E2B5B" w:rsidRDefault="0027114A" w:rsidP="002E2B5B">
            <w:pPr>
              <w:jc w:val="right"/>
              <w:rPr>
                <w:rFonts w:ascii="Calibri" w:hAnsi="Calibri" w:cs="Calibri"/>
                <w:b/>
                <w:bCs/>
                <w:color w:val="000000"/>
                <w:sz w:val="16"/>
                <w:szCs w:val="16"/>
              </w:rPr>
            </w:pPr>
            <w:r w:rsidRPr="002E2B5B">
              <w:rPr>
                <w:rFonts w:ascii="Calibri" w:hAnsi="Calibri" w:cs="Calibri"/>
                <w:b/>
                <w:bCs/>
                <w:color w:val="000000"/>
                <w:sz w:val="16"/>
                <w:szCs w:val="16"/>
              </w:rPr>
              <w:t>0</w:t>
            </w:r>
          </w:p>
        </w:tc>
        <w:tc>
          <w:tcPr>
            <w:tcW w:w="647" w:type="pct"/>
            <w:tcBorders>
              <w:top w:val="single" w:sz="4" w:space="0" w:color="auto"/>
              <w:left w:val="nil"/>
              <w:bottom w:val="single" w:sz="4" w:space="0" w:color="auto"/>
              <w:right w:val="nil"/>
            </w:tcBorders>
            <w:shd w:val="clear" w:color="auto" w:fill="auto"/>
            <w:noWrap/>
            <w:vAlign w:val="bottom"/>
            <w:hideMark/>
          </w:tcPr>
          <w:p w14:paraId="2F62388D" w14:textId="1A083BED" w:rsidR="0027114A" w:rsidRPr="002E2B5B" w:rsidRDefault="00F74D7B" w:rsidP="002E2B5B">
            <w:pPr>
              <w:jc w:val="right"/>
              <w:rPr>
                <w:rFonts w:ascii="Calibri" w:hAnsi="Calibri" w:cs="Calibri"/>
                <w:b/>
                <w:bCs/>
                <w:color w:val="000000"/>
                <w:sz w:val="16"/>
                <w:szCs w:val="16"/>
              </w:rPr>
            </w:pPr>
            <w:r>
              <w:rPr>
                <w:rFonts w:ascii="Calibri" w:hAnsi="Calibri" w:cs="Calibri"/>
                <w:b/>
                <w:bCs/>
                <w:color w:val="000000"/>
                <w:sz w:val="16"/>
                <w:szCs w:val="16"/>
              </w:rPr>
              <w:t>3.404.084</w:t>
            </w:r>
          </w:p>
        </w:tc>
        <w:tc>
          <w:tcPr>
            <w:tcW w:w="579" w:type="pct"/>
            <w:tcBorders>
              <w:top w:val="single" w:sz="4" w:space="0" w:color="auto"/>
              <w:left w:val="nil"/>
              <w:bottom w:val="single" w:sz="4" w:space="0" w:color="auto"/>
              <w:right w:val="nil"/>
            </w:tcBorders>
            <w:shd w:val="clear" w:color="auto" w:fill="auto"/>
            <w:noWrap/>
            <w:vAlign w:val="bottom"/>
            <w:hideMark/>
          </w:tcPr>
          <w:p w14:paraId="66205515" w14:textId="77777777" w:rsidR="0027114A" w:rsidRPr="002E2B5B" w:rsidRDefault="0027114A" w:rsidP="002E2B5B">
            <w:pPr>
              <w:rPr>
                <w:rFonts w:ascii="Calibri" w:hAnsi="Calibri" w:cs="Calibri"/>
                <w:b/>
                <w:bCs/>
                <w:color w:val="000000"/>
                <w:sz w:val="16"/>
                <w:szCs w:val="16"/>
              </w:rPr>
            </w:pPr>
            <w:r w:rsidRPr="002E2B5B">
              <w:rPr>
                <w:rFonts w:ascii="Calibri" w:hAnsi="Calibri" w:cs="Calibri"/>
                <w:b/>
                <w:bCs/>
                <w:color w:val="000000"/>
                <w:sz w:val="16"/>
                <w:szCs w:val="16"/>
              </w:rPr>
              <w:t> </w:t>
            </w:r>
          </w:p>
        </w:tc>
      </w:tr>
    </w:tbl>
    <w:p w14:paraId="5B8EFBF3" w14:textId="77777777" w:rsidR="00C34E8D" w:rsidRDefault="00C34E8D" w:rsidP="002E2B5B">
      <w:pPr>
        <w:pStyle w:val="Textoembloco"/>
        <w:spacing w:after="120" w:line="240" w:lineRule="auto"/>
        <w:ind w:left="0" w:right="57"/>
        <w:rPr>
          <w:rFonts w:ascii="Calibri" w:hAnsi="Calibri" w:cs="Calibri"/>
          <w:sz w:val="22"/>
          <w:szCs w:val="22"/>
          <w:shd w:val="clear" w:color="auto" w:fill="FFFFFF"/>
        </w:rPr>
      </w:pPr>
    </w:p>
    <w:p w14:paraId="4471A85D" w14:textId="5902CD68" w:rsidR="00B87A63" w:rsidRPr="002E2B5B" w:rsidRDefault="00A35976" w:rsidP="002E2B5B">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O</w:t>
      </w:r>
      <w:r w:rsidR="00F62B8F" w:rsidRPr="002E2B5B">
        <w:rPr>
          <w:rFonts w:ascii="Calibri" w:hAnsi="Calibri" w:cs="Calibri"/>
          <w:sz w:val="22"/>
          <w:szCs w:val="22"/>
          <w:shd w:val="clear" w:color="auto" w:fill="FFFFFF"/>
        </w:rPr>
        <w:t>s</w:t>
      </w:r>
      <w:r w:rsidRPr="002E2B5B">
        <w:rPr>
          <w:rFonts w:ascii="Calibri" w:hAnsi="Calibri" w:cs="Calibri"/>
          <w:sz w:val="22"/>
          <w:szCs w:val="22"/>
          <w:shd w:val="clear" w:color="auto" w:fill="FFFFFF"/>
        </w:rPr>
        <w:t xml:space="preserve"> Direitos de uso de Comunicação</w:t>
      </w:r>
      <w:r w:rsidR="00F62B8F" w:rsidRPr="002E2B5B">
        <w:rPr>
          <w:rFonts w:ascii="Calibri" w:hAnsi="Calibri" w:cs="Calibri"/>
          <w:sz w:val="22"/>
          <w:szCs w:val="22"/>
          <w:shd w:val="clear" w:color="auto" w:fill="FFFFFF"/>
        </w:rPr>
        <w:t xml:space="preserve"> são direitos junto às empresas de telefonia que estão sendo reclamados pela VALEC.</w:t>
      </w:r>
    </w:p>
    <w:p w14:paraId="6B5C9FE8" w14:textId="2651E70F" w:rsidR="00B87A63" w:rsidRPr="002E2B5B" w:rsidRDefault="0045528D" w:rsidP="002E2B5B">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Os</w:t>
      </w:r>
      <w:r w:rsidR="00F62B8F" w:rsidRPr="002E2B5B">
        <w:rPr>
          <w:rFonts w:ascii="Calibri" w:hAnsi="Calibri" w:cs="Calibri"/>
          <w:sz w:val="22"/>
          <w:szCs w:val="22"/>
          <w:shd w:val="clear" w:color="auto" w:fill="FFFFFF"/>
        </w:rPr>
        <w:t xml:space="preserve"> “Softwares” são amortizados ao longo de sua vida útil estimada em 05 anos. </w:t>
      </w:r>
    </w:p>
    <w:p w14:paraId="52875E74" w14:textId="48F22DE8" w:rsidR="00A00571" w:rsidRDefault="00F62B8F" w:rsidP="00837C39">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An</w:t>
      </w:r>
      <w:r w:rsidR="00645FAA" w:rsidRPr="002E2B5B">
        <w:rPr>
          <w:rFonts w:ascii="Calibri" w:hAnsi="Calibri" w:cs="Calibri"/>
          <w:sz w:val="22"/>
          <w:szCs w:val="22"/>
          <w:shd w:val="clear" w:color="auto" w:fill="FFFFFF"/>
        </w:rPr>
        <w:t>u</w:t>
      </w:r>
      <w:r w:rsidRPr="002E2B5B">
        <w:rPr>
          <w:rFonts w:ascii="Calibri" w:hAnsi="Calibri" w:cs="Calibri"/>
          <w:sz w:val="22"/>
          <w:szCs w:val="22"/>
          <w:shd w:val="clear" w:color="auto" w:fill="FFFFFF"/>
        </w:rPr>
        <w:t xml:space="preserve">almente, é realizado o inventário dos intangíveis da VALEC e testado sua </w:t>
      </w:r>
      <w:proofErr w:type="spellStart"/>
      <w:r w:rsidRPr="002E2B5B">
        <w:rPr>
          <w:rFonts w:ascii="Calibri" w:hAnsi="Calibri" w:cs="Calibri"/>
          <w:sz w:val="22"/>
          <w:szCs w:val="22"/>
          <w:shd w:val="clear" w:color="auto" w:fill="FFFFFF"/>
        </w:rPr>
        <w:t>servibilidade</w:t>
      </w:r>
      <w:proofErr w:type="spellEnd"/>
      <w:r w:rsidRPr="002E2B5B">
        <w:rPr>
          <w:rFonts w:ascii="Calibri" w:hAnsi="Calibri" w:cs="Calibri"/>
          <w:sz w:val="22"/>
          <w:szCs w:val="22"/>
          <w:shd w:val="clear" w:color="auto" w:fill="FFFFFF"/>
        </w:rPr>
        <w:t xml:space="preserve">. Os intangíveis que se apresentarem como inservíveis são doados ou baixados do sistema patrimonial bem como da contabilidade. </w:t>
      </w:r>
    </w:p>
    <w:p w14:paraId="0DD7FF37" w14:textId="51337ECE" w:rsidR="00837C39" w:rsidRDefault="00837C39" w:rsidP="00837C39">
      <w:pPr>
        <w:pStyle w:val="Textoembloco"/>
        <w:spacing w:after="120" w:line="240" w:lineRule="auto"/>
        <w:ind w:left="0" w:right="57"/>
        <w:rPr>
          <w:rFonts w:ascii="Calibri" w:hAnsi="Calibri" w:cs="Calibri"/>
          <w:sz w:val="22"/>
          <w:szCs w:val="22"/>
          <w:shd w:val="clear" w:color="auto" w:fill="FFFFFF"/>
        </w:rPr>
      </w:pPr>
      <w:r>
        <w:rPr>
          <w:rFonts w:ascii="Calibri" w:hAnsi="Calibri" w:cs="Calibri"/>
          <w:sz w:val="22"/>
          <w:szCs w:val="22"/>
          <w:shd w:val="clear" w:color="auto" w:fill="FFFFFF"/>
        </w:rPr>
        <w:t>No 1º trimestre de 2021, foi realizada a aquisição de Softwares no valor de R$ 302</w:t>
      </w:r>
      <w:r w:rsidR="00DD4B99">
        <w:rPr>
          <w:rFonts w:ascii="Calibri" w:hAnsi="Calibri" w:cs="Calibri"/>
          <w:sz w:val="22"/>
          <w:szCs w:val="22"/>
          <w:shd w:val="clear" w:color="auto" w:fill="FFFFFF"/>
        </w:rPr>
        <w:t xml:space="preserve"> mil</w:t>
      </w:r>
      <w:r>
        <w:rPr>
          <w:rFonts w:ascii="Calibri" w:hAnsi="Calibri" w:cs="Calibri"/>
          <w:sz w:val="22"/>
          <w:szCs w:val="22"/>
          <w:shd w:val="clear" w:color="auto" w:fill="FFFFFF"/>
        </w:rPr>
        <w:t xml:space="preserve"> devido ao incremento de valor em Licenças adquiridas em 2020, relativas ao contrato nº 003/2020.</w:t>
      </w:r>
    </w:p>
    <w:p w14:paraId="1543CD18" w14:textId="77777777" w:rsidR="00B63CA3" w:rsidRPr="002E2B5B" w:rsidRDefault="00B63CA3" w:rsidP="00837C39">
      <w:pPr>
        <w:pStyle w:val="Textoembloco"/>
        <w:spacing w:after="120" w:line="240" w:lineRule="auto"/>
        <w:ind w:left="0" w:right="57"/>
        <w:rPr>
          <w:rFonts w:ascii="Calibri" w:hAnsi="Calibri" w:cs="Calibri"/>
          <w:sz w:val="22"/>
          <w:szCs w:val="22"/>
          <w:shd w:val="clear" w:color="auto" w:fill="FFFFFF"/>
        </w:rPr>
      </w:pPr>
    </w:p>
    <w:p w14:paraId="3834F103" w14:textId="401435C7" w:rsidR="009E7936" w:rsidRDefault="00D22F5E" w:rsidP="002E2B5B">
      <w:pPr>
        <w:pStyle w:val="Ttulo4"/>
        <w:tabs>
          <w:tab w:val="left" w:pos="0"/>
        </w:tabs>
        <w:spacing w:line="240" w:lineRule="auto"/>
        <w:rPr>
          <w:rFonts w:ascii="Calibri" w:hAnsi="Calibri" w:cs="Calibri"/>
          <w:bCs w:val="0"/>
          <w:sz w:val="22"/>
          <w:szCs w:val="22"/>
        </w:rPr>
      </w:pPr>
      <w:r w:rsidRPr="002E2B5B">
        <w:rPr>
          <w:rFonts w:ascii="Calibri" w:hAnsi="Calibri" w:cs="Calibri"/>
          <w:bCs w:val="0"/>
          <w:sz w:val="22"/>
          <w:szCs w:val="22"/>
        </w:rPr>
        <w:t>NOTA 1</w:t>
      </w:r>
      <w:r w:rsidR="00DD4B99">
        <w:rPr>
          <w:rFonts w:ascii="Calibri" w:hAnsi="Calibri" w:cs="Calibri"/>
          <w:bCs w:val="0"/>
          <w:sz w:val="22"/>
          <w:szCs w:val="22"/>
        </w:rPr>
        <w:t>0</w:t>
      </w:r>
      <w:r w:rsidR="00462791" w:rsidRPr="002E2B5B">
        <w:rPr>
          <w:rFonts w:ascii="Calibri" w:hAnsi="Calibri" w:cs="Calibri"/>
          <w:bCs w:val="0"/>
          <w:sz w:val="22"/>
          <w:szCs w:val="22"/>
        </w:rPr>
        <w:t xml:space="preserve"> - </w:t>
      </w:r>
      <w:r w:rsidR="0052342E" w:rsidRPr="002E2B5B">
        <w:rPr>
          <w:rFonts w:ascii="Calibri" w:hAnsi="Calibri" w:cs="Calibri"/>
          <w:bCs w:val="0"/>
          <w:sz w:val="22"/>
          <w:szCs w:val="22"/>
        </w:rPr>
        <w:t xml:space="preserve">COMPROMISSOS A </w:t>
      </w:r>
      <w:r w:rsidR="00C82443" w:rsidRPr="002E2B5B">
        <w:rPr>
          <w:rFonts w:ascii="Calibri" w:hAnsi="Calibri" w:cs="Calibri"/>
          <w:bCs w:val="0"/>
          <w:sz w:val="22"/>
          <w:szCs w:val="22"/>
        </w:rPr>
        <w:t>CURTO</w:t>
      </w:r>
      <w:r w:rsidR="0052342E" w:rsidRPr="002E2B5B">
        <w:rPr>
          <w:rFonts w:ascii="Calibri" w:hAnsi="Calibri" w:cs="Calibri"/>
          <w:bCs w:val="0"/>
          <w:sz w:val="22"/>
          <w:szCs w:val="22"/>
        </w:rPr>
        <w:t xml:space="preserve"> PRAZO </w:t>
      </w:r>
    </w:p>
    <w:p w14:paraId="12523902" w14:textId="77777777" w:rsidR="00B63CA3" w:rsidRPr="00B63CA3" w:rsidRDefault="00B63CA3" w:rsidP="00B63CA3"/>
    <w:p w14:paraId="620EC732" w14:textId="2044A9D0" w:rsidR="00CE2B17" w:rsidRDefault="003F2E5C" w:rsidP="002E2B5B">
      <w:pPr>
        <w:numPr>
          <w:ilvl w:val="0"/>
          <w:numId w:val="2"/>
        </w:numPr>
        <w:ind w:left="284" w:hanging="284"/>
        <w:rPr>
          <w:rFonts w:ascii="Calibri" w:hAnsi="Calibri" w:cs="Calibri"/>
          <w:b/>
          <w:sz w:val="22"/>
          <w:szCs w:val="22"/>
        </w:rPr>
      </w:pPr>
      <w:r w:rsidRPr="002E2B5B">
        <w:rPr>
          <w:rFonts w:ascii="Calibri" w:hAnsi="Calibri" w:cs="Calibri"/>
          <w:b/>
          <w:sz w:val="22"/>
          <w:szCs w:val="22"/>
        </w:rPr>
        <w:t>Fornecedores</w:t>
      </w:r>
    </w:p>
    <w:p w14:paraId="05334936" w14:textId="77777777" w:rsidR="003B60A7" w:rsidRPr="002E2B5B" w:rsidRDefault="003B60A7" w:rsidP="003B60A7">
      <w:pPr>
        <w:ind w:left="284"/>
        <w:rPr>
          <w:rFonts w:ascii="Calibri" w:hAnsi="Calibri" w:cs="Calibri"/>
          <w:b/>
          <w:sz w:val="22"/>
          <w:szCs w:val="22"/>
        </w:rPr>
      </w:pPr>
    </w:p>
    <w:tbl>
      <w:tblPr>
        <w:tblW w:w="5000" w:type="pct"/>
        <w:tblCellMar>
          <w:left w:w="70" w:type="dxa"/>
          <w:right w:w="70" w:type="dxa"/>
        </w:tblCellMar>
        <w:tblLook w:val="04A0" w:firstRow="1" w:lastRow="0" w:firstColumn="1" w:lastColumn="0" w:noHBand="0" w:noVBand="1"/>
      </w:tblPr>
      <w:tblGrid>
        <w:gridCol w:w="4251"/>
        <w:gridCol w:w="611"/>
        <w:gridCol w:w="611"/>
        <w:gridCol w:w="1666"/>
        <w:gridCol w:w="1666"/>
        <w:gridCol w:w="1662"/>
      </w:tblGrid>
      <w:tr w:rsidR="009D23D9" w:rsidRPr="002E2B5B" w14:paraId="02065A15" w14:textId="77777777" w:rsidTr="00C34E8D">
        <w:trPr>
          <w:trHeight w:hRule="exact" w:val="227"/>
        </w:trPr>
        <w:tc>
          <w:tcPr>
            <w:tcW w:w="2613" w:type="pct"/>
            <w:gridSpan w:val="3"/>
            <w:tcBorders>
              <w:top w:val="nil"/>
              <w:left w:val="nil"/>
              <w:bottom w:val="single" w:sz="8" w:space="0" w:color="auto"/>
              <w:right w:val="nil"/>
            </w:tcBorders>
            <w:shd w:val="clear" w:color="auto" w:fill="auto"/>
            <w:noWrap/>
            <w:vAlign w:val="center"/>
            <w:hideMark/>
          </w:tcPr>
          <w:p w14:paraId="5830F613" w14:textId="77777777" w:rsidR="009D23D9" w:rsidRPr="002E2B5B" w:rsidRDefault="009D23D9" w:rsidP="002E2B5B">
            <w:pPr>
              <w:rPr>
                <w:rFonts w:ascii="Calibri" w:hAnsi="Calibri" w:cs="Calibri"/>
                <w:b/>
                <w:bCs/>
                <w:color w:val="000000"/>
                <w:sz w:val="16"/>
                <w:szCs w:val="16"/>
              </w:rPr>
            </w:pPr>
            <w:r w:rsidRPr="002E2B5B">
              <w:rPr>
                <w:rFonts w:ascii="Calibri" w:hAnsi="Calibri" w:cs="Calibri"/>
                <w:b/>
                <w:bCs/>
                <w:color w:val="000000"/>
                <w:sz w:val="16"/>
                <w:szCs w:val="16"/>
              </w:rPr>
              <w:t xml:space="preserve">FORNECEDORES </w:t>
            </w:r>
          </w:p>
        </w:tc>
        <w:tc>
          <w:tcPr>
            <w:tcW w:w="796" w:type="pct"/>
            <w:tcBorders>
              <w:top w:val="nil"/>
              <w:left w:val="nil"/>
              <w:bottom w:val="single" w:sz="8" w:space="0" w:color="auto"/>
              <w:right w:val="nil"/>
            </w:tcBorders>
            <w:shd w:val="clear" w:color="auto" w:fill="auto"/>
            <w:noWrap/>
            <w:vAlign w:val="center"/>
          </w:tcPr>
          <w:p w14:paraId="695D1AA1" w14:textId="77777777" w:rsidR="009D23D9" w:rsidRPr="002E2B5B" w:rsidRDefault="009D23D9" w:rsidP="002E2B5B">
            <w:pPr>
              <w:jc w:val="right"/>
              <w:rPr>
                <w:rFonts w:ascii="Calibri" w:hAnsi="Calibri" w:cs="Calibri"/>
                <w:b/>
                <w:bCs/>
                <w:color w:val="000000"/>
                <w:sz w:val="16"/>
                <w:szCs w:val="16"/>
              </w:rPr>
            </w:pPr>
          </w:p>
        </w:tc>
        <w:tc>
          <w:tcPr>
            <w:tcW w:w="796" w:type="pct"/>
            <w:tcBorders>
              <w:top w:val="nil"/>
              <w:left w:val="nil"/>
              <w:bottom w:val="single" w:sz="8" w:space="0" w:color="auto"/>
              <w:right w:val="nil"/>
            </w:tcBorders>
            <w:shd w:val="clear" w:color="auto" w:fill="auto"/>
            <w:noWrap/>
            <w:vAlign w:val="center"/>
            <w:hideMark/>
          </w:tcPr>
          <w:p w14:paraId="33D389A0" w14:textId="776726AA" w:rsidR="009D23D9" w:rsidRPr="002E2B5B" w:rsidRDefault="003B60A7" w:rsidP="002E2B5B">
            <w:pPr>
              <w:jc w:val="right"/>
              <w:rPr>
                <w:rFonts w:ascii="Calibri" w:hAnsi="Calibri" w:cs="Calibri"/>
                <w:b/>
                <w:bCs/>
                <w:color w:val="000000"/>
                <w:sz w:val="16"/>
                <w:szCs w:val="16"/>
              </w:rPr>
            </w:pPr>
            <w:r>
              <w:rPr>
                <w:rFonts w:ascii="Calibri" w:hAnsi="Calibri" w:cs="Calibri"/>
                <w:b/>
                <w:bCs/>
                <w:color w:val="000000"/>
                <w:sz w:val="16"/>
                <w:szCs w:val="16"/>
              </w:rPr>
              <w:t>30/0</w:t>
            </w:r>
            <w:r w:rsidR="00E5214B">
              <w:rPr>
                <w:rFonts w:ascii="Calibri" w:hAnsi="Calibri" w:cs="Calibri"/>
                <w:b/>
                <w:bCs/>
                <w:color w:val="000000"/>
                <w:sz w:val="16"/>
                <w:szCs w:val="16"/>
              </w:rPr>
              <w:t>9</w:t>
            </w:r>
            <w:r>
              <w:rPr>
                <w:rFonts w:ascii="Calibri" w:hAnsi="Calibri" w:cs="Calibri"/>
                <w:b/>
                <w:bCs/>
                <w:color w:val="000000"/>
                <w:sz w:val="16"/>
                <w:szCs w:val="16"/>
              </w:rPr>
              <w:t>/2021</w:t>
            </w:r>
          </w:p>
        </w:tc>
        <w:tc>
          <w:tcPr>
            <w:tcW w:w="795" w:type="pct"/>
            <w:tcBorders>
              <w:top w:val="nil"/>
              <w:left w:val="nil"/>
              <w:bottom w:val="single" w:sz="8" w:space="0" w:color="auto"/>
              <w:right w:val="nil"/>
            </w:tcBorders>
            <w:shd w:val="clear" w:color="auto" w:fill="auto"/>
            <w:noWrap/>
            <w:vAlign w:val="center"/>
            <w:hideMark/>
          </w:tcPr>
          <w:p w14:paraId="5553919F" w14:textId="00531613" w:rsidR="009D23D9" w:rsidRPr="002E2B5B" w:rsidRDefault="009D23D9"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w:t>
            </w:r>
            <w:r w:rsidR="00B63CA3">
              <w:rPr>
                <w:rFonts w:ascii="Calibri" w:hAnsi="Calibri" w:cs="Calibri"/>
                <w:b/>
                <w:bCs/>
                <w:color w:val="000000"/>
                <w:sz w:val="16"/>
                <w:szCs w:val="16"/>
              </w:rPr>
              <w:t>20</w:t>
            </w:r>
          </w:p>
        </w:tc>
      </w:tr>
      <w:tr w:rsidR="009D23D9" w:rsidRPr="002E2B5B" w14:paraId="5A1815AA" w14:textId="77777777" w:rsidTr="00C34E8D">
        <w:trPr>
          <w:trHeight w:hRule="exact" w:val="227"/>
        </w:trPr>
        <w:tc>
          <w:tcPr>
            <w:tcW w:w="2613" w:type="pct"/>
            <w:gridSpan w:val="3"/>
            <w:tcBorders>
              <w:top w:val="single" w:sz="8" w:space="0" w:color="auto"/>
              <w:left w:val="nil"/>
              <w:bottom w:val="nil"/>
              <w:right w:val="nil"/>
            </w:tcBorders>
            <w:shd w:val="clear" w:color="auto" w:fill="auto"/>
            <w:noWrap/>
            <w:vAlign w:val="center"/>
            <w:hideMark/>
          </w:tcPr>
          <w:p w14:paraId="48BA7886" w14:textId="77777777" w:rsidR="009D23D9" w:rsidRPr="002E2B5B" w:rsidRDefault="009D23D9" w:rsidP="002E2B5B">
            <w:pPr>
              <w:rPr>
                <w:rFonts w:ascii="Calibri" w:hAnsi="Calibri" w:cs="Calibri"/>
                <w:color w:val="000000"/>
                <w:sz w:val="16"/>
                <w:szCs w:val="16"/>
              </w:rPr>
            </w:pPr>
            <w:r w:rsidRPr="002E2B5B">
              <w:rPr>
                <w:rFonts w:ascii="Calibri" w:hAnsi="Calibri" w:cs="Calibri"/>
                <w:color w:val="000000"/>
                <w:sz w:val="16"/>
                <w:szCs w:val="16"/>
              </w:rPr>
              <w:t xml:space="preserve"> Saldo anterior</w:t>
            </w:r>
          </w:p>
        </w:tc>
        <w:tc>
          <w:tcPr>
            <w:tcW w:w="796" w:type="pct"/>
            <w:tcBorders>
              <w:top w:val="nil"/>
              <w:left w:val="nil"/>
              <w:bottom w:val="nil"/>
              <w:right w:val="nil"/>
            </w:tcBorders>
            <w:shd w:val="clear" w:color="auto" w:fill="auto"/>
            <w:noWrap/>
            <w:vAlign w:val="center"/>
          </w:tcPr>
          <w:p w14:paraId="34AE7C8E" w14:textId="77777777" w:rsidR="009D23D9" w:rsidRPr="002E2B5B" w:rsidRDefault="009D23D9" w:rsidP="002E2B5B">
            <w:pPr>
              <w:jc w:val="right"/>
              <w:rPr>
                <w:rFonts w:ascii="Calibri" w:hAnsi="Calibri" w:cs="Calibri"/>
                <w:color w:val="000000"/>
                <w:sz w:val="16"/>
                <w:szCs w:val="16"/>
              </w:rPr>
            </w:pPr>
          </w:p>
        </w:tc>
        <w:tc>
          <w:tcPr>
            <w:tcW w:w="796" w:type="pct"/>
            <w:tcBorders>
              <w:top w:val="nil"/>
              <w:left w:val="nil"/>
              <w:bottom w:val="nil"/>
              <w:right w:val="nil"/>
            </w:tcBorders>
            <w:shd w:val="clear" w:color="auto" w:fill="auto"/>
            <w:noWrap/>
            <w:vAlign w:val="center"/>
            <w:hideMark/>
          </w:tcPr>
          <w:p w14:paraId="24ED3632" w14:textId="4D955A1F" w:rsidR="009D23D9" w:rsidRPr="002E2B5B" w:rsidRDefault="007A5B82" w:rsidP="002E2B5B">
            <w:pPr>
              <w:jc w:val="right"/>
              <w:rPr>
                <w:rFonts w:ascii="Calibri" w:hAnsi="Calibri" w:cs="Calibri"/>
                <w:color w:val="000000"/>
                <w:sz w:val="16"/>
                <w:szCs w:val="16"/>
              </w:rPr>
            </w:pPr>
            <w:r>
              <w:rPr>
                <w:rFonts w:ascii="Calibri" w:hAnsi="Calibri" w:cs="Calibri"/>
                <w:color w:val="000000"/>
                <w:sz w:val="16"/>
                <w:szCs w:val="16"/>
              </w:rPr>
              <w:t>0</w:t>
            </w:r>
          </w:p>
        </w:tc>
        <w:tc>
          <w:tcPr>
            <w:tcW w:w="795" w:type="pct"/>
            <w:tcBorders>
              <w:top w:val="nil"/>
              <w:left w:val="nil"/>
              <w:bottom w:val="nil"/>
              <w:right w:val="nil"/>
            </w:tcBorders>
            <w:shd w:val="clear" w:color="auto" w:fill="auto"/>
            <w:noWrap/>
            <w:vAlign w:val="center"/>
            <w:hideMark/>
          </w:tcPr>
          <w:p w14:paraId="3B44D124" w14:textId="6C5521DD" w:rsidR="009D23D9" w:rsidRPr="002E2B5B" w:rsidRDefault="00B63CA3" w:rsidP="002E2B5B">
            <w:pPr>
              <w:jc w:val="right"/>
              <w:rPr>
                <w:rFonts w:ascii="Calibri" w:hAnsi="Calibri" w:cs="Calibri"/>
                <w:color w:val="000000"/>
                <w:sz w:val="16"/>
                <w:szCs w:val="16"/>
              </w:rPr>
            </w:pPr>
            <w:r w:rsidRPr="002E2B5B">
              <w:rPr>
                <w:rFonts w:ascii="Calibri" w:hAnsi="Calibri" w:cs="Calibri"/>
                <w:color w:val="000000"/>
                <w:sz w:val="16"/>
                <w:szCs w:val="16"/>
              </w:rPr>
              <w:t>27.299</w:t>
            </w:r>
          </w:p>
        </w:tc>
      </w:tr>
      <w:tr w:rsidR="009D23D9" w:rsidRPr="002E2B5B" w14:paraId="0C13925B" w14:textId="77777777" w:rsidTr="00C34E8D">
        <w:trPr>
          <w:trHeight w:hRule="exact" w:val="227"/>
        </w:trPr>
        <w:tc>
          <w:tcPr>
            <w:tcW w:w="2613" w:type="pct"/>
            <w:gridSpan w:val="3"/>
            <w:tcBorders>
              <w:top w:val="nil"/>
              <w:left w:val="nil"/>
              <w:bottom w:val="nil"/>
              <w:right w:val="nil"/>
            </w:tcBorders>
            <w:shd w:val="clear" w:color="auto" w:fill="auto"/>
            <w:noWrap/>
            <w:vAlign w:val="center"/>
            <w:hideMark/>
          </w:tcPr>
          <w:p w14:paraId="6903EE73" w14:textId="77777777" w:rsidR="009D23D9" w:rsidRPr="002E2B5B" w:rsidRDefault="009D23D9" w:rsidP="002E2B5B">
            <w:pPr>
              <w:rPr>
                <w:rFonts w:ascii="Calibri" w:hAnsi="Calibri" w:cs="Calibri"/>
                <w:color w:val="000000"/>
                <w:sz w:val="16"/>
                <w:szCs w:val="16"/>
              </w:rPr>
            </w:pPr>
            <w:r w:rsidRPr="002E2B5B">
              <w:rPr>
                <w:rFonts w:ascii="Calibri" w:hAnsi="Calibri" w:cs="Calibri"/>
                <w:color w:val="000000"/>
                <w:sz w:val="16"/>
                <w:szCs w:val="16"/>
              </w:rPr>
              <w:t xml:space="preserve"> Reconhecimento de obrigações</w:t>
            </w:r>
          </w:p>
        </w:tc>
        <w:tc>
          <w:tcPr>
            <w:tcW w:w="796" w:type="pct"/>
            <w:tcBorders>
              <w:top w:val="nil"/>
              <w:left w:val="nil"/>
              <w:bottom w:val="nil"/>
              <w:right w:val="nil"/>
            </w:tcBorders>
            <w:shd w:val="clear" w:color="auto" w:fill="auto"/>
            <w:noWrap/>
            <w:vAlign w:val="center"/>
          </w:tcPr>
          <w:p w14:paraId="56DFADDC" w14:textId="77777777" w:rsidR="009D23D9" w:rsidRPr="002E2B5B" w:rsidRDefault="009D23D9" w:rsidP="002E2B5B">
            <w:pPr>
              <w:jc w:val="right"/>
              <w:rPr>
                <w:rFonts w:ascii="Calibri" w:hAnsi="Calibri" w:cs="Calibri"/>
                <w:color w:val="000000"/>
                <w:sz w:val="16"/>
                <w:szCs w:val="16"/>
              </w:rPr>
            </w:pPr>
          </w:p>
        </w:tc>
        <w:tc>
          <w:tcPr>
            <w:tcW w:w="796" w:type="pct"/>
            <w:tcBorders>
              <w:top w:val="nil"/>
              <w:left w:val="nil"/>
              <w:bottom w:val="nil"/>
              <w:right w:val="nil"/>
            </w:tcBorders>
            <w:shd w:val="clear" w:color="auto" w:fill="auto"/>
            <w:noWrap/>
            <w:vAlign w:val="center"/>
            <w:hideMark/>
          </w:tcPr>
          <w:p w14:paraId="5E1DA2F8" w14:textId="01563405" w:rsidR="009D23D9" w:rsidRPr="002E2B5B" w:rsidRDefault="00E5214B" w:rsidP="002E2B5B">
            <w:pPr>
              <w:jc w:val="right"/>
              <w:rPr>
                <w:rFonts w:ascii="Calibri" w:hAnsi="Calibri" w:cs="Calibri"/>
                <w:color w:val="000000"/>
                <w:sz w:val="16"/>
                <w:szCs w:val="16"/>
              </w:rPr>
            </w:pPr>
            <w:r>
              <w:rPr>
                <w:rFonts w:ascii="Calibri" w:hAnsi="Calibri" w:cs="Calibri"/>
                <w:color w:val="000000"/>
                <w:sz w:val="16"/>
                <w:szCs w:val="16"/>
              </w:rPr>
              <w:t>293.421.532</w:t>
            </w:r>
          </w:p>
        </w:tc>
        <w:tc>
          <w:tcPr>
            <w:tcW w:w="795" w:type="pct"/>
            <w:tcBorders>
              <w:top w:val="nil"/>
              <w:left w:val="nil"/>
              <w:bottom w:val="nil"/>
              <w:right w:val="nil"/>
            </w:tcBorders>
            <w:shd w:val="clear" w:color="auto" w:fill="auto"/>
            <w:noWrap/>
            <w:vAlign w:val="center"/>
            <w:hideMark/>
          </w:tcPr>
          <w:p w14:paraId="3201D9F6" w14:textId="0333A61F" w:rsidR="009D23D9" w:rsidRPr="002E2B5B" w:rsidRDefault="00B63CA3" w:rsidP="002E2B5B">
            <w:pPr>
              <w:jc w:val="right"/>
              <w:rPr>
                <w:rFonts w:ascii="Calibri" w:hAnsi="Calibri" w:cs="Calibri"/>
                <w:color w:val="000000"/>
                <w:sz w:val="16"/>
                <w:szCs w:val="16"/>
              </w:rPr>
            </w:pPr>
            <w:r w:rsidRPr="002E2B5B">
              <w:rPr>
                <w:rFonts w:ascii="Calibri" w:hAnsi="Calibri" w:cs="Calibri"/>
                <w:color w:val="000000"/>
                <w:sz w:val="16"/>
                <w:szCs w:val="16"/>
              </w:rPr>
              <w:t>362.334.999</w:t>
            </w:r>
          </w:p>
        </w:tc>
      </w:tr>
      <w:tr w:rsidR="009D23D9" w:rsidRPr="002E2B5B" w14:paraId="58331C79" w14:textId="77777777" w:rsidTr="00C34E8D">
        <w:trPr>
          <w:trHeight w:hRule="exact" w:val="227"/>
        </w:trPr>
        <w:tc>
          <w:tcPr>
            <w:tcW w:w="2613" w:type="pct"/>
            <w:gridSpan w:val="3"/>
            <w:tcBorders>
              <w:top w:val="nil"/>
              <w:left w:val="nil"/>
              <w:bottom w:val="single" w:sz="4" w:space="0" w:color="auto"/>
              <w:right w:val="nil"/>
            </w:tcBorders>
            <w:shd w:val="clear" w:color="auto" w:fill="auto"/>
            <w:noWrap/>
            <w:vAlign w:val="center"/>
            <w:hideMark/>
          </w:tcPr>
          <w:p w14:paraId="65E25452" w14:textId="77777777" w:rsidR="009D23D9" w:rsidRPr="002E2B5B" w:rsidRDefault="009D23D9" w:rsidP="002E2B5B">
            <w:pPr>
              <w:rPr>
                <w:rFonts w:ascii="Calibri" w:hAnsi="Calibri" w:cs="Calibri"/>
                <w:color w:val="000000"/>
                <w:sz w:val="16"/>
                <w:szCs w:val="16"/>
              </w:rPr>
            </w:pPr>
            <w:r w:rsidRPr="002E2B5B">
              <w:rPr>
                <w:rFonts w:ascii="Calibri" w:hAnsi="Calibri" w:cs="Calibri"/>
                <w:color w:val="000000"/>
                <w:sz w:val="16"/>
                <w:szCs w:val="16"/>
              </w:rPr>
              <w:t xml:space="preserve"> Pagamento de fornecedores</w:t>
            </w:r>
          </w:p>
        </w:tc>
        <w:tc>
          <w:tcPr>
            <w:tcW w:w="796" w:type="pct"/>
            <w:tcBorders>
              <w:top w:val="nil"/>
              <w:left w:val="nil"/>
              <w:bottom w:val="single" w:sz="4" w:space="0" w:color="auto"/>
              <w:right w:val="nil"/>
            </w:tcBorders>
            <w:shd w:val="clear" w:color="auto" w:fill="auto"/>
            <w:noWrap/>
            <w:vAlign w:val="center"/>
          </w:tcPr>
          <w:p w14:paraId="36C9AE86" w14:textId="77777777" w:rsidR="009D23D9" w:rsidRPr="002E2B5B" w:rsidRDefault="009D23D9" w:rsidP="002E2B5B">
            <w:pPr>
              <w:jc w:val="right"/>
              <w:rPr>
                <w:rFonts w:ascii="Calibri" w:hAnsi="Calibri" w:cs="Calibri"/>
                <w:color w:val="000000"/>
                <w:sz w:val="16"/>
                <w:szCs w:val="16"/>
              </w:rPr>
            </w:pPr>
          </w:p>
        </w:tc>
        <w:tc>
          <w:tcPr>
            <w:tcW w:w="796" w:type="pct"/>
            <w:tcBorders>
              <w:top w:val="nil"/>
              <w:left w:val="nil"/>
              <w:bottom w:val="single" w:sz="4" w:space="0" w:color="auto"/>
              <w:right w:val="nil"/>
            </w:tcBorders>
            <w:shd w:val="clear" w:color="auto" w:fill="auto"/>
            <w:noWrap/>
            <w:vAlign w:val="center"/>
            <w:hideMark/>
          </w:tcPr>
          <w:p w14:paraId="72391142" w14:textId="79B3AAB3" w:rsidR="009D23D9" w:rsidRPr="002E2B5B" w:rsidRDefault="009D23D9" w:rsidP="002E2B5B">
            <w:pPr>
              <w:jc w:val="right"/>
              <w:rPr>
                <w:rFonts w:ascii="Calibri" w:hAnsi="Calibri" w:cs="Calibri"/>
                <w:color w:val="000000"/>
                <w:sz w:val="16"/>
                <w:szCs w:val="16"/>
              </w:rPr>
            </w:pPr>
            <w:r w:rsidRPr="002E2B5B">
              <w:rPr>
                <w:rFonts w:ascii="Calibri" w:hAnsi="Calibri" w:cs="Calibri"/>
                <w:color w:val="000000"/>
                <w:sz w:val="16"/>
                <w:szCs w:val="16"/>
              </w:rPr>
              <w:t>(</w:t>
            </w:r>
            <w:r w:rsidR="00E5214B">
              <w:rPr>
                <w:rFonts w:ascii="Calibri" w:hAnsi="Calibri" w:cs="Calibri"/>
                <w:color w:val="000000"/>
                <w:sz w:val="16"/>
                <w:szCs w:val="16"/>
              </w:rPr>
              <w:t>293.165.665</w:t>
            </w:r>
            <w:r w:rsidRPr="002E2B5B">
              <w:rPr>
                <w:rFonts w:ascii="Calibri" w:hAnsi="Calibri" w:cs="Calibri"/>
                <w:color w:val="000000"/>
                <w:sz w:val="16"/>
                <w:szCs w:val="16"/>
              </w:rPr>
              <w:t>)</w:t>
            </w:r>
          </w:p>
        </w:tc>
        <w:tc>
          <w:tcPr>
            <w:tcW w:w="795" w:type="pct"/>
            <w:tcBorders>
              <w:top w:val="nil"/>
              <w:left w:val="nil"/>
              <w:bottom w:val="single" w:sz="4" w:space="0" w:color="auto"/>
              <w:right w:val="nil"/>
            </w:tcBorders>
            <w:shd w:val="clear" w:color="auto" w:fill="auto"/>
            <w:noWrap/>
            <w:vAlign w:val="center"/>
            <w:hideMark/>
          </w:tcPr>
          <w:p w14:paraId="1258153A" w14:textId="782E1CCB" w:rsidR="009D23D9" w:rsidRPr="002E2B5B" w:rsidRDefault="00B63CA3" w:rsidP="002E2B5B">
            <w:pPr>
              <w:jc w:val="right"/>
              <w:rPr>
                <w:rFonts w:ascii="Calibri" w:hAnsi="Calibri" w:cs="Calibri"/>
                <w:color w:val="000000"/>
                <w:sz w:val="16"/>
                <w:szCs w:val="16"/>
              </w:rPr>
            </w:pPr>
            <w:r w:rsidRPr="002E2B5B">
              <w:rPr>
                <w:rFonts w:ascii="Calibri" w:hAnsi="Calibri" w:cs="Calibri"/>
                <w:color w:val="000000"/>
                <w:sz w:val="16"/>
                <w:szCs w:val="16"/>
              </w:rPr>
              <w:t>(362.362.298)</w:t>
            </w:r>
          </w:p>
        </w:tc>
      </w:tr>
      <w:tr w:rsidR="009D23D9" w:rsidRPr="002E2B5B" w14:paraId="2D65B965" w14:textId="77777777" w:rsidTr="00C34E8D">
        <w:trPr>
          <w:trHeight w:hRule="exact" w:val="227"/>
        </w:trPr>
        <w:tc>
          <w:tcPr>
            <w:tcW w:w="2030" w:type="pct"/>
            <w:tcBorders>
              <w:top w:val="single" w:sz="4" w:space="0" w:color="auto"/>
              <w:left w:val="nil"/>
              <w:bottom w:val="single" w:sz="8" w:space="0" w:color="auto"/>
              <w:right w:val="nil"/>
            </w:tcBorders>
            <w:shd w:val="clear" w:color="auto" w:fill="auto"/>
            <w:noWrap/>
            <w:vAlign w:val="center"/>
            <w:hideMark/>
          </w:tcPr>
          <w:p w14:paraId="2A69B5D6" w14:textId="77777777" w:rsidR="009D23D9" w:rsidRPr="002E2B5B" w:rsidRDefault="009D23D9" w:rsidP="002E2B5B">
            <w:pPr>
              <w:rPr>
                <w:rFonts w:ascii="Calibri" w:hAnsi="Calibri" w:cs="Calibri"/>
                <w:b/>
                <w:bCs/>
                <w:color w:val="000000"/>
                <w:sz w:val="16"/>
                <w:szCs w:val="16"/>
              </w:rPr>
            </w:pPr>
            <w:r w:rsidRPr="002E2B5B">
              <w:rPr>
                <w:rFonts w:ascii="Calibri" w:hAnsi="Calibri" w:cs="Calibri"/>
                <w:b/>
                <w:bCs/>
                <w:color w:val="000000"/>
                <w:sz w:val="16"/>
                <w:szCs w:val="16"/>
              </w:rPr>
              <w:t xml:space="preserve"> TOTAL </w:t>
            </w:r>
          </w:p>
        </w:tc>
        <w:tc>
          <w:tcPr>
            <w:tcW w:w="292" w:type="pct"/>
            <w:tcBorders>
              <w:top w:val="single" w:sz="4" w:space="0" w:color="auto"/>
              <w:left w:val="nil"/>
              <w:bottom w:val="single" w:sz="8" w:space="0" w:color="auto"/>
              <w:right w:val="nil"/>
            </w:tcBorders>
            <w:shd w:val="clear" w:color="auto" w:fill="auto"/>
            <w:noWrap/>
            <w:vAlign w:val="center"/>
            <w:hideMark/>
          </w:tcPr>
          <w:p w14:paraId="347192A8" w14:textId="77777777" w:rsidR="009D23D9" w:rsidRPr="002E2B5B" w:rsidRDefault="009D23D9" w:rsidP="002E2B5B">
            <w:pPr>
              <w:rPr>
                <w:rFonts w:ascii="Calibri" w:hAnsi="Calibri" w:cs="Calibri"/>
                <w:color w:val="000000"/>
                <w:sz w:val="16"/>
                <w:szCs w:val="16"/>
              </w:rPr>
            </w:pPr>
            <w:r w:rsidRPr="002E2B5B">
              <w:rPr>
                <w:rFonts w:ascii="Calibri" w:hAnsi="Calibri" w:cs="Calibri"/>
                <w:color w:val="000000"/>
                <w:sz w:val="16"/>
                <w:szCs w:val="16"/>
              </w:rPr>
              <w:t> </w:t>
            </w:r>
          </w:p>
        </w:tc>
        <w:tc>
          <w:tcPr>
            <w:tcW w:w="292" w:type="pct"/>
            <w:tcBorders>
              <w:top w:val="single" w:sz="4" w:space="0" w:color="auto"/>
              <w:left w:val="nil"/>
              <w:bottom w:val="single" w:sz="8" w:space="0" w:color="auto"/>
              <w:right w:val="nil"/>
            </w:tcBorders>
            <w:shd w:val="clear" w:color="auto" w:fill="auto"/>
            <w:noWrap/>
            <w:vAlign w:val="center"/>
            <w:hideMark/>
          </w:tcPr>
          <w:p w14:paraId="04140E8D" w14:textId="77777777" w:rsidR="009D23D9" w:rsidRPr="002E2B5B" w:rsidRDefault="009D23D9" w:rsidP="002E2B5B">
            <w:pPr>
              <w:rPr>
                <w:rFonts w:ascii="Calibri" w:hAnsi="Calibri" w:cs="Calibri"/>
                <w:color w:val="000000"/>
                <w:sz w:val="16"/>
                <w:szCs w:val="16"/>
              </w:rPr>
            </w:pPr>
            <w:r w:rsidRPr="002E2B5B">
              <w:rPr>
                <w:rFonts w:ascii="Calibri" w:hAnsi="Calibri" w:cs="Calibri"/>
                <w:color w:val="000000"/>
                <w:sz w:val="16"/>
                <w:szCs w:val="16"/>
              </w:rPr>
              <w:t> </w:t>
            </w:r>
          </w:p>
        </w:tc>
        <w:tc>
          <w:tcPr>
            <w:tcW w:w="796" w:type="pct"/>
            <w:tcBorders>
              <w:top w:val="single" w:sz="4" w:space="0" w:color="auto"/>
              <w:left w:val="nil"/>
              <w:bottom w:val="single" w:sz="8" w:space="0" w:color="auto"/>
              <w:right w:val="nil"/>
            </w:tcBorders>
            <w:shd w:val="clear" w:color="auto" w:fill="auto"/>
            <w:noWrap/>
            <w:vAlign w:val="center"/>
          </w:tcPr>
          <w:p w14:paraId="107EF0B2" w14:textId="77777777" w:rsidR="009D23D9" w:rsidRPr="002E2B5B" w:rsidRDefault="009D23D9" w:rsidP="002E2B5B">
            <w:pPr>
              <w:jc w:val="right"/>
              <w:rPr>
                <w:rFonts w:ascii="Calibri" w:hAnsi="Calibri" w:cs="Calibri"/>
                <w:b/>
                <w:bCs/>
                <w:color w:val="000000"/>
                <w:sz w:val="16"/>
                <w:szCs w:val="16"/>
              </w:rPr>
            </w:pPr>
          </w:p>
        </w:tc>
        <w:tc>
          <w:tcPr>
            <w:tcW w:w="796" w:type="pct"/>
            <w:tcBorders>
              <w:top w:val="single" w:sz="4" w:space="0" w:color="auto"/>
              <w:left w:val="nil"/>
              <w:bottom w:val="single" w:sz="8" w:space="0" w:color="auto"/>
              <w:right w:val="nil"/>
            </w:tcBorders>
            <w:shd w:val="clear" w:color="auto" w:fill="auto"/>
            <w:noWrap/>
            <w:vAlign w:val="center"/>
            <w:hideMark/>
          </w:tcPr>
          <w:p w14:paraId="70E49C5A" w14:textId="042EF974" w:rsidR="009D23D9" w:rsidRPr="002E2B5B" w:rsidRDefault="00E5214B" w:rsidP="002E2B5B">
            <w:pPr>
              <w:jc w:val="right"/>
              <w:rPr>
                <w:rFonts w:ascii="Calibri" w:hAnsi="Calibri" w:cs="Calibri"/>
                <w:b/>
                <w:bCs/>
                <w:color w:val="000000"/>
                <w:sz w:val="16"/>
                <w:szCs w:val="16"/>
              </w:rPr>
            </w:pPr>
            <w:r>
              <w:rPr>
                <w:rFonts w:ascii="Calibri" w:hAnsi="Calibri" w:cs="Calibri"/>
                <w:b/>
                <w:bCs/>
                <w:color w:val="000000"/>
                <w:sz w:val="16"/>
                <w:szCs w:val="16"/>
              </w:rPr>
              <w:t>255.867</w:t>
            </w:r>
          </w:p>
        </w:tc>
        <w:tc>
          <w:tcPr>
            <w:tcW w:w="795" w:type="pct"/>
            <w:tcBorders>
              <w:top w:val="single" w:sz="4" w:space="0" w:color="auto"/>
              <w:left w:val="nil"/>
              <w:bottom w:val="single" w:sz="8" w:space="0" w:color="auto"/>
              <w:right w:val="nil"/>
            </w:tcBorders>
            <w:shd w:val="clear" w:color="auto" w:fill="auto"/>
            <w:noWrap/>
            <w:vAlign w:val="center"/>
            <w:hideMark/>
          </w:tcPr>
          <w:p w14:paraId="0D4F11AC" w14:textId="43A7E4E1" w:rsidR="009D23D9" w:rsidRPr="002E2B5B" w:rsidRDefault="00B63CA3" w:rsidP="002E2B5B">
            <w:pPr>
              <w:jc w:val="right"/>
              <w:rPr>
                <w:rFonts w:ascii="Calibri" w:hAnsi="Calibri" w:cs="Calibri"/>
                <w:b/>
                <w:bCs/>
                <w:color w:val="000000"/>
                <w:sz w:val="16"/>
                <w:szCs w:val="16"/>
              </w:rPr>
            </w:pPr>
            <w:r>
              <w:rPr>
                <w:rFonts w:ascii="Calibri" w:hAnsi="Calibri" w:cs="Calibri"/>
                <w:b/>
                <w:bCs/>
                <w:color w:val="000000"/>
                <w:sz w:val="16"/>
                <w:szCs w:val="16"/>
              </w:rPr>
              <w:t>0</w:t>
            </w:r>
          </w:p>
        </w:tc>
      </w:tr>
    </w:tbl>
    <w:p w14:paraId="2150D804" w14:textId="77777777" w:rsidR="007A5B82" w:rsidRDefault="007A5B82" w:rsidP="002E2B5B">
      <w:pPr>
        <w:pStyle w:val="Textoembloco"/>
        <w:spacing w:line="240" w:lineRule="auto"/>
        <w:ind w:left="0" w:right="57"/>
        <w:rPr>
          <w:rFonts w:ascii="Calibri" w:hAnsi="Calibri" w:cs="Calibri"/>
          <w:sz w:val="22"/>
          <w:szCs w:val="22"/>
          <w:shd w:val="clear" w:color="auto" w:fill="FFFFFF"/>
        </w:rPr>
      </w:pPr>
    </w:p>
    <w:p w14:paraId="5E1C0320" w14:textId="71D8B2D0" w:rsidR="00E54177" w:rsidRPr="002E2B5B" w:rsidRDefault="00CE2B17" w:rsidP="002E2B5B">
      <w:pPr>
        <w:pStyle w:val="Textoembloco"/>
        <w:spacing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O saldo da conta de “Fornecedores” compreende as obrigações com prestadores de serviços e fornecedores de materiais à VALEC.</w:t>
      </w:r>
      <w:r w:rsidR="008C1E34" w:rsidRPr="002E2B5B">
        <w:rPr>
          <w:rFonts w:ascii="Calibri" w:hAnsi="Calibri" w:cs="Calibri"/>
          <w:sz w:val="22"/>
          <w:szCs w:val="22"/>
          <w:shd w:val="clear" w:color="auto" w:fill="FFFFFF"/>
        </w:rPr>
        <w:t xml:space="preserve"> </w:t>
      </w:r>
    </w:p>
    <w:p w14:paraId="6A27FA0E" w14:textId="17648C12" w:rsidR="00B87A63" w:rsidRDefault="00B87A63" w:rsidP="002E2B5B">
      <w:pPr>
        <w:pStyle w:val="Textoembloco"/>
        <w:spacing w:line="240" w:lineRule="auto"/>
        <w:ind w:left="0" w:right="57"/>
        <w:rPr>
          <w:rFonts w:ascii="Calibri" w:hAnsi="Calibri" w:cs="Calibri"/>
          <w:sz w:val="22"/>
          <w:szCs w:val="22"/>
          <w:shd w:val="clear" w:color="auto" w:fill="FFFFFF"/>
        </w:rPr>
      </w:pPr>
    </w:p>
    <w:p w14:paraId="081E95A7" w14:textId="43E4119B" w:rsidR="00B02B62" w:rsidRPr="00AE620A" w:rsidRDefault="003F2E5C" w:rsidP="002E2B5B">
      <w:pPr>
        <w:numPr>
          <w:ilvl w:val="0"/>
          <w:numId w:val="2"/>
        </w:numPr>
        <w:ind w:left="284" w:hanging="284"/>
        <w:jc w:val="both"/>
        <w:rPr>
          <w:rFonts w:ascii="Calibri" w:hAnsi="Calibri" w:cs="Calibri"/>
          <w:b/>
          <w:sz w:val="22"/>
          <w:szCs w:val="22"/>
        </w:rPr>
      </w:pPr>
      <w:r w:rsidRPr="00AE620A">
        <w:rPr>
          <w:rFonts w:ascii="Calibri" w:hAnsi="Calibri" w:cs="Calibri"/>
          <w:b/>
          <w:sz w:val="22"/>
          <w:szCs w:val="22"/>
        </w:rPr>
        <w:t xml:space="preserve">Provisão para Férias </w:t>
      </w:r>
      <w:r w:rsidR="00BC41DF" w:rsidRPr="00AE620A">
        <w:rPr>
          <w:rFonts w:ascii="Calibri" w:hAnsi="Calibri" w:cs="Calibri"/>
          <w:b/>
          <w:sz w:val="22"/>
          <w:szCs w:val="22"/>
        </w:rPr>
        <w:t>e</w:t>
      </w:r>
      <w:r w:rsidRPr="00AE620A">
        <w:rPr>
          <w:rFonts w:ascii="Calibri" w:hAnsi="Calibri" w:cs="Calibri"/>
          <w:b/>
          <w:sz w:val="22"/>
          <w:szCs w:val="22"/>
        </w:rPr>
        <w:t xml:space="preserve"> Encargos</w:t>
      </w:r>
    </w:p>
    <w:tbl>
      <w:tblPr>
        <w:tblW w:w="5000" w:type="pct"/>
        <w:tblCellMar>
          <w:left w:w="70" w:type="dxa"/>
          <w:right w:w="70" w:type="dxa"/>
        </w:tblCellMar>
        <w:tblLook w:val="04A0" w:firstRow="1" w:lastRow="0" w:firstColumn="1" w:lastColumn="0" w:noHBand="0" w:noVBand="1"/>
      </w:tblPr>
      <w:tblGrid>
        <w:gridCol w:w="3837"/>
        <w:gridCol w:w="473"/>
        <w:gridCol w:w="473"/>
        <w:gridCol w:w="1365"/>
        <w:gridCol w:w="1457"/>
        <w:gridCol w:w="1457"/>
        <w:gridCol w:w="1405"/>
      </w:tblGrid>
      <w:tr w:rsidR="00B628E5" w:rsidRPr="002E2B5B" w14:paraId="734D82D7" w14:textId="77777777" w:rsidTr="00C34E8D">
        <w:trPr>
          <w:trHeight w:hRule="exact" w:val="227"/>
        </w:trPr>
        <w:tc>
          <w:tcPr>
            <w:tcW w:w="2285" w:type="pct"/>
            <w:gridSpan w:val="3"/>
            <w:tcBorders>
              <w:top w:val="single" w:sz="8" w:space="0" w:color="auto"/>
              <w:left w:val="nil"/>
              <w:bottom w:val="single" w:sz="8" w:space="0" w:color="auto"/>
              <w:right w:val="nil"/>
            </w:tcBorders>
            <w:shd w:val="clear" w:color="auto" w:fill="auto"/>
            <w:noWrap/>
            <w:vAlign w:val="center"/>
            <w:hideMark/>
          </w:tcPr>
          <w:p w14:paraId="185FCAAA" w14:textId="77777777" w:rsidR="00B628E5" w:rsidRPr="002E2B5B" w:rsidRDefault="00B628E5" w:rsidP="002E2B5B">
            <w:pPr>
              <w:rPr>
                <w:rFonts w:ascii="Calibri" w:hAnsi="Calibri" w:cs="Calibri"/>
                <w:b/>
                <w:bCs/>
                <w:color w:val="000000"/>
                <w:sz w:val="16"/>
                <w:szCs w:val="16"/>
              </w:rPr>
            </w:pPr>
            <w:r w:rsidRPr="002E2B5B">
              <w:rPr>
                <w:rFonts w:ascii="Calibri" w:hAnsi="Calibri" w:cs="Calibri"/>
                <w:b/>
                <w:bCs/>
                <w:color w:val="000000"/>
                <w:sz w:val="16"/>
                <w:szCs w:val="16"/>
              </w:rPr>
              <w:t>PROVISÃO PARA FÉRIAS E ENCARGOS</w:t>
            </w:r>
          </w:p>
        </w:tc>
        <w:tc>
          <w:tcPr>
            <w:tcW w:w="652" w:type="pct"/>
            <w:tcBorders>
              <w:top w:val="single" w:sz="8" w:space="0" w:color="auto"/>
              <w:left w:val="nil"/>
              <w:bottom w:val="single" w:sz="8" w:space="0" w:color="auto"/>
              <w:right w:val="nil"/>
            </w:tcBorders>
            <w:shd w:val="clear" w:color="auto" w:fill="auto"/>
            <w:vAlign w:val="center"/>
            <w:hideMark/>
          </w:tcPr>
          <w:p w14:paraId="2DEE8891" w14:textId="77777777" w:rsidR="00B628E5" w:rsidRPr="002E2B5B" w:rsidRDefault="00B628E5" w:rsidP="002E2B5B">
            <w:pPr>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696" w:type="pct"/>
            <w:tcBorders>
              <w:top w:val="single" w:sz="8" w:space="0" w:color="auto"/>
              <w:left w:val="nil"/>
              <w:bottom w:val="single" w:sz="8" w:space="0" w:color="auto"/>
              <w:right w:val="nil"/>
            </w:tcBorders>
            <w:shd w:val="clear" w:color="auto" w:fill="auto"/>
            <w:noWrap/>
            <w:vAlign w:val="center"/>
          </w:tcPr>
          <w:p w14:paraId="32F9EDFB" w14:textId="77777777" w:rsidR="00B628E5" w:rsidRPr="002E2B5B" w:rsidRDefault="00B628E5" w:rsidP="002E2B5B">
            <w:pPr>
              <w:jc w:val="right"/>
              <w:rPr>
                <w:rFonts w:ascii="Calibri" w:hAnsi="Calibri" w:cs="Calibri"/>
                <w:b/>
                <w:bCs/>
                <w:color w:val="000000"/>
                <w:sz w:val="16"/>
                <w:szCs w:val="16"/>
              </w:rPr>
            </w:pPr>
          </w:p>
        </w:tc>
        <w:tc>
          <w:tcPr>
            <w:tcW w:w="696" w:type="pct"/>
            <w:tcBorders>
              <w:top w:val="single" w:sz="8" w:space="0" w:color="auto"/>
              <w:left w:val="nil"/>
              <w:bottom w:val="single" w:sz="8" w:space="0" w:color="auto"/>
              <w:right w:val="nil"/>
            </w:tcBorders>
            <w:shd w:val="clear" w:color="auto" w:fill="auto"/>
            <w:noWrap/>
            <w:vAlign w:val="center"/>
            <w:hideMark/>
          </w:tcPr>
          <w:p w14:paraId="392B7EB7" w14:textId="5584B59B" w:rsidR="00B628E5" w:rsidRPr="002E2B5B" w:rsidRDefault="003B60A7" w:rsidP="002E2B5B">
            <w:pPr>
              <w:jc w:val="right"/>
              <w:rPr>
                <w:rFonts w:ascii="Calibri" w:hAnsi="Calibri" w:cs="Calibri"/>
                <w:b/>
                <w:bCs/>
                <w:color w:val="000000"/>
                <w:sz w:val="16"/>
                <w:szCs w:val="16"/>
              </w:rPr>
            </w:pPr>
            <w:r>
              <w:rPr>
                <w:rFonts w:ascii="Calibri" w:hAnsi="Calibri" w:cs="Calibri"/>
                <w:b/>
                <w:bCs/>
                <w:color w:val="000000"/>
                <w:sz w:val="16"/>
                <w:szCs w:val="16"/>
              </w:rPr>
              <w:t>30/0</w:t>
            </w:r>
            <w:r w:rsidR="00F177F2">
              <w:rPr>
                <w:rFonts w:ascii="Calibri" w:hAnsi="Calibri" w:cs="Calibri"/>
                <w:b/>
                <w:bCs/>
                <w:color w:val="000000"/>
                <w:sz w:val="16"/>
                <w:szCs w:val="16"/>
              </w:rPr>
              <w:t>9</w:t>
            </w:r>
            <w:r>
              <w:rPr>
                <w:rFonts w:ascii="Calibri" w:hAnsi="Calibri" w:cs="Calibri"/>
                <w:b/>
                <w:bCs/>
                <w:color w:val="000000"/>
                <w:sz w:val="16"/>
                <w:szCs w:val="16"/>
              </w:rPr>
              <w:t>/2021</w:t>
            </w:r>
          </w:p>
        </w:tc>
        <w:tc>
          <w:tcPr>
            <w:tcW w:w="671" w:type="pct"/>
            <w:tcBorders>
              <w:top w:val="single" w:sz="8" w:space="0" w:color="auto"/>
              <w:left w:val="nil"/>
              <w:bottom w:val="single" w:sz="8" w:space="0" w:color="auto"/>
              <w:right w:val="nil"/>
            </w:tcBorders>
            <w:shd w:val="clear" w:color="auto" w:fill="auto"/>
            <w:noWrap/>
            <w:vAlign w:val="center"/>
            <w:hideMark/>
          </w:tcPr>
          <w:p w14:paraId="54A905BA" w14:textId="1DBEB1C7" w:rsidR="00B628E5" w:rsidRPr="002E2B5B" w:rsidRDefault="00B628E5"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31/12/20</w:t>
            </w:r>
            <w:r w:rsidR="009750C8">
              <w:rPr>
                <w:rFonts w:ascii="Calibri" w:hAnsi="Calibri" w:cs="Calibri"/>
                <w:b/>
                <w:bCs/>
                <w:color w:val="000000"/>
                <w:sz w:val="16"/>
                <w:szCs w:val="16"/>
              </w:rPr>
              <w:t>20</w:t>
            </w:r>
          </w:p>
        </w:tc>
      </w:tr>
      <w:tr w:rsidR="00B628E5" w:rsidRPr="002E2B5B" w14:paraId="618D9975" w14:textId="77777777" w:rsidTr="00C34E8D">
        <w:trPr>
          <w:trHeight w:hRule="exact" w:val="227"/>
        </w:trPr>
        <w:tc>
          <w:tcPr>
            <w:tcW w:w="1833" w:type="pct"/>
            <w:tcBorders>
              <w:top w:val="nil"/>
              <w:left w:val="nil"/>
              <w:bottom w:val="nil"/>
              <w:right w:val="nil"/>
            </w:tcBorders>
            <w:shd w:val="clear" w:color="auto" w:fill="auto"/>
            <w:noWrap/>
            <w:vAlign w:val="center"/>
            <w:hideMark/>
          </w:tcPr>
          <w:p w14:paraId="7FA15CE0" w14:textId="77777777" w:rsidR="00B628E5" w:rsidRPr="002E2B5B" w:rsidRDefault="00B628E5" w:rsidP="002E2B5B">
            <w:pPr>
              <w:rPr>
                <w:rFonts w:ascii="Calibri" w:hAnsi="Calibri" w:cs="Calibri"/>
                <w:color w:val="000000"/>
                <w:sz w:val="16"/>
                <w:szCs w:val="16"/>
              </w:rPr>
            </w:pPr>
            <w:r w:rsidRPr="002E2B5B">
              <w:rPr>
                <w:rFonts w:ascii="Calibri" w:hAnsi="Calibri" w:cs="Calibri"/>
                <w:color w:val="000000"/>
                <w:sz w:val="16"/>
                <w:szCs w:val="16"/>
              </w:rPr>
              <w:t>RFFSA</w:t>
            </w:r>
          </w:p>
        </w:tc>
        <w:tc>
          <w:tcPr>
            <w:tcW w:w="226" w:type="pct"/>
            <w:tcBorders>
              <w:top w:val="nil"/>
              <w:left w:val="nil"/>
              <w:bottom w:val="nil"/>
              <w:right w:val="nil"/>
            </w:tcBorders>
            <w:shd w:val="clear" w:color="auto" w:fill="auto"/>
            <w:noWrap/>
            <w:vAlign w:val="center"/>
            <w:hideMark/>
          </w:tcPr>
          <w:p w14:paraId="6C74F76E" w14:textId="77777777" w:rsidR="00B628E5" w:rsidRPr="002E2B5B" w:rsidRDefault="00B628E5" w:rsidP="002E2B5B">
            <w:pPr>
              <w:rPr>
                <w:rFonts w:ascii="Calibri" w:hAnsi="Calibri" w:cs="Calibri"/>
                <w:color w:val="000000"/>
                <w:sz w:val="16"/>
                <w:szCs w:val="16"/>
              </w:rPr>
            </w:pPr>
          </w:p>
        </w:tc>
        <w:tc>
          <w:tcPr>
            <w:tcW w:w="226" w:type="pct"/>
            <w:tcBorders>
              <w:top w:val="nil"/>
              <w:left w:val="nil"/>
              <w:bottom w:val="nil"/>
              <w:right w:val="nil"/>
            </w:tcBorders>
            <w:shd w:val="clear" w:color="auto" w:fill="auto"/>
            <w:noWrap/>
            <w:vAlign w:val="center"/>
            <w:hideMark/>
          </w:tcPr>
          <w:p w14:paraId="5E45331E" w14:textId="77777777" w:rsidR="00B628E5" w:rsidRPr="002E2B5B" w:rsidRDefault="00B628E5" w:rsidP="002E2B5B">
            <w:pPr>
              <w:rPr>
                <w:rFonts w:ascii="Calibri" w:hAnsi="Calibri" w:cs="Calibri"/>
                <w:sz w:val="16"/>
                <w:szCs w:val="16"/>
              </w:rPr>
            </w:pPr>
          </w:p>
        </w:tc>
        <w:tc>
          <w:tcPr>
            <w:tcW w:w="652" w:type="pct"/>
            <w:tcBorders>
              <w:top w:val="nil"/>
              <w:left w:val="nil"/>
              <w:bottom w:val="nil"/>
              <w:right w:val="nil"/>
            </w:tcBorders>
            <w:shd w:val="clear" w:color="auto" w:fill="auto"/>
            <w:vAlign w:val="center"/>
            <w:hideMark/>
          </w:tcPr>
          <w:p w14:paraId="1FC6DEFE" w14:textId="77777777" w:rsidR="00B628E5" w:rsidRPr="002E2B5B" w:rsidRDefault="00B628E5" w:rsidP="002E2B5B">
            <w:pPr>
              <w:rPr>
                <w:rFonts w:ascii="Calibri" w:hAnsi="Calibri" w:cs="Calibri"/>
                <w:sz w:val="16"/>
                <w:szCs w:val="16"/>
              </w:rPr>
            </w:pPr>
          </w:p>
        </w:tc>
        <w:tc>
          <w:tcPr>
            <w:tcW w:w="696" w:type="pct"/>
            <w:tcBorders>
              <w:top w:val="nil"/>
              <w:left w:val="nil"/>
              <w:bottom w:val="nil"/>
              <w:right w:val="nil"/>
            </w:tcBorders>
            <w:shd w:val="clear" w:color="auto" w:fill="auto"/>
            <w:noWrap/>
            <w:vAlign w:val="center"/>
          </w:tcPr>
          <w:p w14:paraId="2B6568A0" w14:textId="77777777" w:rsidR="00B628E5" w:rsidRPr="002E2B5B" w:rsidRDefault="00B628E5" w:rsidP="002E2B5B">
            <w:pPr>
              <w:jc w:val="right"/>
              <w:rPr>
                <w:rFonts w:ascii="Calibri" w:hAnsi="Calibri" w:cs="Calibri"/>
                <w:color w:val="000000"/>
                <w:sz w:val="16"/>
                <w:szCs w:val="16"/>
              </w:rPr>
            </w:pPr>
          </w:p>
        </w:tc>
        <w:tc>
          <w:tcPr>
            <w:tcW w:w="696" w:type="pct"/>
            <w:tcBorders>
              <w:top w:val="nil"/>
              <w:left w:val="nil"/>
              <w:bottom w:val="nil"/>
              <w:right w:val="nil"/>
            </w:tcBorders>
            <w:shd w:val="clear" w:color="auto" w:fill="auto"/>
            <w:noWrap/>
            <w:vAlign w:val="center"/>
            <w:hideMark/>
          </w:tcPr>
          <w:p w14:paraId="6C6B9E5C" w14:textId="59CBABE8" w:rsidR="00B628E5" w:rsidRPr="002E2B5B" w:rsidRDefault="00156ACF" w:rsidP="002E2B5B">
            <w:pPr>
              <w:jc w:val="right"/>
              <w:rPr>
                <w:rFonts w:ascii="Calibri" w:hAnsi="Calibri" w:cs="Calibri"/>
                <w:color w:val="000000"/>
                <w:sz w:val="16"/>
                <w:szCs w:val="16"/>
              </w:rPr>
            </w:pPr>
            <w:r>
              <w:rPr>
                <w:rFonts w:ascii="Calibri" w:hAnsi="Calibri" w:cs="Calibri"/>
                <w:color w:val="000000"/>
                <w:sz w:val="16"/>
                <w:szCs w:val="16"/>
              </w:rPr>
              <w:t>3.223.57</w:t>
            </w:r>
            <w:r w:rsidR="00AE620A">
              <w:rPr>
                <w:rFonts w:ascii="Calibri" w:hAnsi="Calibri" w:cs="Calibri"/>
                <w:color w:val="000000"/>
                <w:sz w:val="16"/>
                <w:szCs w:val="16"/>
              </w:rPr>
              <w:t>5</w:t>
            </w:r>
          </w:p>
        </w:tc>
        <w:tc>
          <w:tcPr>
            <w:tcW w:w="671" w:type="pct"/>
            <w:tcBorders>
              <w:top w:val="nil"/>
              <w:left w:val="nil"/>
              <w:bottom w:val="nil"/>
              <w:right w:val="nil"/>
            </w:tcBorders>
            <w:shd w:val="clear" w:color="auto" w:fill="auto"/>
            <w:noWrap/>
            <w:vAlign w:val="bottom"/>
            <w:hideMark/>
          </w:tcPr>
          <w:p w14:paraId="77A72043" w14:textId="09BB8619" w:rsidR="00B628E5" w:rsidRPr="002E2B5B" w:rsidRDefault="009750C8" w:rsidP="002E2B5B">
            <w:pPr>
              <w:jc w:val="right"/>
              <w:rPr>
                <w:rFonts w:ascii="Calibri" w:hAnsi="Calibri" w:cs="Calibri"/>
                <w:color w:val="000000"/>
                <w:sz w:val="16"/>
                <w:szCs w:val="16"/>
              </w:rPr>
            </w:pPr>
            <w:r w:rsidRPr="002E2B5B">
              <w:rPr>
                <w:rFonts w:ascii="Calibri" w:hAnsi="Calibri" w:cs="Calibri"/>
                <w:color w:val="000000"/>
                <w:sz w:val="16"/>
                <w:szCs w:val="16"/>
              </w:rPr>
              <w:t>1.962.863</w:t>
            </w:r>
          </w:p>
        </w:tc>
      </w:tr>
      <w:tr w:rsidR="00B628E5" w:rsidRPr="002E2B5B" w14:paraId="75F79A9E" w14:textId="77777777" w:rsidTr="00C34E8D">
        <w:trPr>
          <w:trHeight w:hRule="exact" w:val="227"/>
        </w:trPr>
        <w:tc>
          <w:tcPr>
            <w:tcW w:w="1833" w:type="pct"/>
            <w:tcBorders>
              <w:top w:val="nil"/>
              <w:left w:val="nil"/>
              <w:bottom w:val="nil"/>
              <w:right w:val="nil"/>
            </w:tcBorders>
            <w:shd w:val="clear" w:color="auto" w:fill="auto"/>
            <w:noWrap/>
            <w:vAlign w:val="center"/>
            <w:hideMark/>
          </w:tcPr>
          <w:p w14:paraId="104505BB" w14:textId="77777777" w:rsidR="00B628E5" w:rsidRPr="002E2B5B" w:rsidRDefault="00B628E5" w:rsidP="002E2B5B">
            <w:pPr>
              <w:rPr>
                <w:rFonts w:ascii="Calibri" w:hAnsi="Calibri" w:cs="Calibri"/>
                <w:color w:val="000000"/>
                <w:sz w:val="16"/>
                <w:szCs w:val="16"/>
              </w:rPr>
            </w:pPr>
            <w:r w:rsidRPr="002E2B5B">
              <w:rPr>
                <w:rFonts w:ascii="Calibri" w:hAnsi="Calibri" w:cs="Calibri"/>
                <w:color w:val="000000"/>
                <w:sz w:val="16"/>
                <w:szCs w:val="16"/>
              </w:rPr>
              <w:t>GEIPOT</w:t>
            </w:r>
          </w:p>
        </w:tc>
        <w:tc>
          <w:tcPr>
            <w:tcW w:w="226" w:type="pct"/>
            <w:tcBorders>
              <w:top w:val="nil"/>
              <w:left w:val="nil"/>
              <w:bottom w:val="nil"/>
              <w:right w:val="nil"/>
            </w:tcBorders>
            <w:shd w:val="clear" w:color="auto" w:fill="auto"/>
            <w:noWrap/>
            <w:vAlign w:val="center"/>
            <w:hideMark/>
          </w:tcPr>
          <w:p w14:paraId="42F9A3CF" w14:textId="77777777" w:rsidR="00B628E5" w:rsidRPr="002E2B5B" w:rsidRDefault="00B628E5" w:rsidP="002E2B5B">
            <w:pPr>
              <w:rPr>
                <w:rFonts w:ascii="Calibri" w:hAnsi="Calibri" w:cs="Calibri"/>
                <w:color w:val="000000"/>
                <w:sz w:val="16"/>
                <w:szCs w:val="16"/>
              </w:rPr>
            </w:pPr>
          </w:p>
        </w:tc>
        <w:tc>
          <w:tcPr>
            <w:tcW w:w="226" w:type="pct"/>
            <w:tcBorders>
              <w:top w:val="nil"/>
              <w:left w:val="nil"/>
              <w:bottom w:val="nil"/>
              <w:right w:val="nil"/>
            </w:tcBorders>
            <w:shd w:val="clear" w:color="auto" w:fill="auto"/>
            <w:noWrap/>
            <w:vAlign w:val="center"/>
            <w:hideMark/>
          </w:tcPr>
          <w:p w14:paraId="7E0E23F9" w14:textId="77777777" w:rsidR="00B628E5" w:rsidRPr="002E2B5B" w:rsidRDefault="00B628E5" w:rsidP="002E2B5B">
            <w:pPr>
              <w:rPr>
                <w:rFonts w:ascii="Calibri" w:hAnsi="Calibri" w:cs="Calibri"/>
                <w:sz w:val="16"/>
                <w:szCs w:val="16"/>
              </w:rPr>
            </w:pPr>
          </w:p>
        </w:tc>
        <w:tc>
          <w:tcPr>
            <w:tcW w:w="652" w:type="pct"/>
            <w:tcBorders>
              <w:top w:val="nil"/>
              <w:left w:val="nil"/>
              <w:bottom w:val="nil"/>
              <w:right w:val="nil"/>
            </w:tcBorders>
            <w:shd w:val="clear" w:color="auto" w:fill="auto"/>
            <w:vAlign w:val="center"/>
            <w:hideMark/>
          </w:tcPr>
          <w:p w14:paraId="7F86F73F" w14:textId="77777777" w:rsidR="00B628E5" w:rsidRPr="002E2B5B" w:rsidRDefault="00B628E5" w:rsidP="002E2B5B">
            <w:pPr>
              <w:rPr>
                <w:rFonts w:ascii="Calibri" w:hAnsi="Calibri" w:cs="Calibri"/>
                <w:sz w:val="16"/>
                <w:szCs w:val="16"/>
              </w:rPr>
            </w:pPr>
          </w:p>
        </w:tc>
        <w:tc>
          <w:tcPr>
            <w:tcW w:w="696" w:type="pct"/>
            <w:tcBorders>
              <w:top w:val="nil"/>
              <w:left w:val="nil"/>
              <w:bottom w:val="nil"/>
              <w:right w:val="nil"/>
            </w:tcBorders>
            <w:shd w:val="clear" w:color="auto" w:fill="auto"/>
            <w:noWrap/>
            <w:vAlign w:val="center"/>
          </w:tcPr>
          <w:p w14:paraId="77C82C63" w14:textId="77777777" w:rsidR="00B628E5" w:rsidRPr="002E2B5B" w:rsidRDefault="00B628E5" w:rsidP="002E2B5B">
            <w:pPr>
              <w:jc w:val="right"/>
              <w:rPr>
                <w:rFonts w:ascii="Calibri" w:hAnsi="Calibri" w:cs="Calibri"/>
                <w:color w:val="000000"/>
                <w:sz w:val="16"/>
                <w:szCs w:val="16"/>
              </w:rPr>
            </w:pPr>
          </w:p>
        </w:tc>
        <w:tc>
          <w:tcPr>
            <w:tcW w:w="696" w:type="pct"/>
            <w:tcBorders>
              <w:top w:val="nil"/>
              <w:left w:val="nil"/>
              <w:bottom w:val="nil"/>
              <w:right w:val="nil"/>
            </w:tcBorders>
            <w:shd w:val="clear" w:color="auto" w:fill="auto"/>
            <w:noWrap/>
            <w:vAlign w:val="center"/>
            <w:hideMark/>
          </w:tcPr>
          <w:p w14:paraId="555BBF95" w14:textId="684AB63F" w:rsidR="003B60A7" w:rsidRPr="002E2B5B" w:rsidRDefault="00156ACF" w:rsidP="003B60A7">
            <w:pPr>
              <w:jc w:val="right"/>
              <w:rPr>
                <w:rFonts w:ascii="Calibri" w:hAnsi="Calibri" w:cs="Calibri"/>
                <w:color w:val="000000"/>
                <w:sz w:val="16"/>
                <w:szCs w:val="16"/>
              </w:rPr>
            </w:pPr>
            <w:r>
              <w:rPr>
                <w:rFonts w:ascii="Calibri" w:hAnsi="Calibri" w:cs="Calibri"/>
                <w:color w:val="000000"/>
                <w:sz w:val="16"/>
                <w:szCs w:val="16"/>
              </w:rPr>
              <w:t>913.506</w:t>
            </w:r>
          </w:p>
        </w:tc>
        <w:tc>
          <w:tcPr>
            <w:tcW w:w="671" w:type="pct"/>
            <w:tcBorders>
              <w:top w:val="nil"/>
              <w:left w:val="nil"/>
              <w:bottom w:val="nil"/>
              <w:right w:val="nil"/>
            </w:tcBorders>
            <w:shd w:val="clear" w:color="auto" w:fill="auto"/>
            <w:noWrap/>
            <w:vAlign w:val="bottom"/>
            <w:hideMark/>
          </w:tcPr>
          <w:p w14:paraId="3BD1AD71" w14:textId="0B9676A8" w:rsidR="00B628E5" w:rsidRPr="002E2B5B" w:rsidRDefault="009750C8" w:rsidP="002E2B5B">
            <w:pPr>
              <w:jc w:val="right"/>
              <w:rPr>
                <w:rFonts w:ascii="Calibri" w:hAnsi="Calibri" w:cs="Calibri"/>
                <w:color w:val="000000"/>
                <w:sz w:val="16"/>
                <w:szCs w:val="16"/>
              </w:rPr>
            </w:pPr>
            <w:r w:rsidRPr="002E2B5B">
              <w:rPr>
                <w:rFonts w:ascii="Calibri" w:hAnsi="Calibri" w:cs="Calibri"/>
                <w:color w:val="000000"/>
                <w:sz w:val="16"/>
                <w:szCs w:val="16"/>
              </w:rPr>
              <w:t>673.040</w:t>
            </w:r>
          </w:p>
        </w:tc>
      </w:tr>
      <w:tr w:rsidR="00B628E5" w:rsidRPr="002E2B5B" w14:paraId="36D7B286" w14:textId="77777777" w:rsidTr="00F177F2">
        <w:trPr>
          <w:trHeight w:hRule="exact" w:val="227"/>
        </w:trPr>
        <w:tc>
          <w:tcPr>
            <w:tcW w:w="1833" w:type="pct"/>
            <w:tcBorders>
              <w:top w:val="nil"/>
              <w:left w:val="nil"/>
              <w:right w:val="nil"/>
            </w:tcBorders>
            <w:shd w:val="clear" w:color="auto" w:fill="auto"/>
            <w:noWrap/>
            <w:vAlign w:val="center"/>
            <w:hideMark/>
          </w:tcPr>
          <w:p w14:paraId="36F3A60C" w14:textId="77777777" w:rsidR="00B628E5" w:rsidRPr="002E2B5B" w:rsidRDefault="00B628E5" w:rsidP="002E2B5B">
            <w:pPr>
              <w:rPr>
                <w:rFonts w:ascii="Calibri" w:hAnsi="Calibri" w:cs="Calibri"/>
                <w:color w:val="000000"/>
                <w:sz w:val="16"/>
                <w:szCs w:val="16"/>
              </w:rPr>
            </w:pPr>
            <w:r w:rsidRPr="002E2B5B">
              <w:rPr>
                <w:rFonts w:ascii="Calibri" w:hAnsi="Calibri" w:cs="Calibri"/>
                <w:color w:val="000000"/>
                <w:sz w:val="16"/>
                <w:szCs w:val="16"/>
              </w:rPr>
              <w:t>VALEC</w:t>
            </w:r>
          </w:p>
        </w:tc>
        <w:tc>
          <w:tcPr>
            <w:tcW w:w="226" w:type="pct"/>
            <w:tcBorders>
              <w:top w:val="nil"/>
              <w:left w:val="nil"/>
              <w:right w:val="nil"/>
            </w:tcBorders>
            <w:shd w:val="clear" w:color="auto" w:fill="auto"/>
            <w:noWrap/>
            <w:vAlign w:val="center"/>
            <w:hideMark/>
          </w:tcPr>
          <w:p w14:paraId="3C35DD92" w14:textId="77777777" w:rsidR="00B628E5" w:rsidRPr="002E2B5B" w:rsidRDefault="00B628E5" w:rsidP="002E2B5B">
            <w:pPr>
              <w:rPr>
                <w:rFonts w:ascii="Calibri" w:hAnsi="Calibri" w:cs="Calibri"/>
                <w:color w:val="000000"/>
                <w:sz w:val="16"/>
                <w:szCs w:val="16"/>
              </w:rPr>
            </w:pPr>
            <w:r w:rsidRPr="002E2B5B">
              <w:rPr>
                <w:rFonts w:ascii="Calibri" w:hAnsi="Calibri" w:cs="Calibri"/>
                <w:color w:val="000000"/>
                <w:sz w:val="16"/>
                <w:szCs w:val="16"/>
              </w:rPr>
              <w:t> </w:t>
            </w:r>
          </w:p>
        </w:tc>
        <w:tc>
          <w:tcPr>
            <w:tcW w:w="226" w:type="pct"/>
            <w:tcBorders>
              <w:top w:val="nil"/>
              <w:left w:val="nil"/>
              <w:right w:val="nil"/>
            </w:tcBorders>
            <w:shd w:val="clear" w:color="auto" w:fill="auto"/>
            <w:noWrap/>
            <w:vAlign w:val="center"/>
            <w:hideMark/>
          </w:tcPr>
          <w:p w14:paraId="79820141" w14:textId="77777777" w:rsidR="00B628E5" w:rsidRPr="002E2B5B" w:rsidRDefault="00B628E5" w:rsidP="002E2B5B">
            <w:pPr>
              <w:rPr>
                <w:rFonts w:ascii="Calibri" w:hAnsi="Calibri" w:cs="Calibri"/>
                <w:b/>
                <w:bCs/>
                <w:color w:val="000000"/>
                <w:sz w:val="16"/>
                <w:szCs w:val="16"/>
              </w:rPr>
            </w:pPr>
            <w:r w:rsidRPr="002E2B5B">
              <w:rPr>
                <w:rFonts w:ascii="Calibri" w:hAnsi="Calibri" w:cs="Calibri"/>
                <w:b/>
                <w:bCs/>
                <w:color w:val="000000"/>
                <w:sz w:val="16"/>
                <w:szCs w:val="16"/>
              </w:rPr>
              <w:t> </w:t>
            </w:r>
          </w:p>
        </w:tc>
        <w:tc>
          <w:tcPr>
            <w:tcW w:w="652" w:type="pct"/>
            <w:tcBorders>
              <w:top w:val="nil"/>
              <w:left w:val="nil"/>
              <w:right w:val="nil"/>
            </w:tcBorders>
            <w:shd w:val="clear" w:color="auto" w:fill="auto"/>
            <w:vAlign w:val="center"/>
            <w:hideMark/>
          </w:tcPr>
          <w:p w14:paraId="0B7704F1" w14:textId="77777777" w:rsidR="00B628E5" w:rsidRPr="002E2B5B" w:rsidRDefault="00B628E5" w:rsidP="002E2B5B">
            <w:pPr>
              <w:jc w:val="right"/>
              <w:rPr>
                <w:rFonts w:ascii="Calibri" w:hAnsi="Calibri" w:cs="Calibri"/>
                <w:color w:val="000000"/>
                <w:sz w:val="16"/>
                <w:szCs w:val="16"/>
              </w:rPr>
            </w:pPr>
            <w:r w:rsidRPr="002E2B5B">
              <w:rPr>
                <w:rFonts w:ascii="Calibri" w:hAnsi="Calibri" w:cs="Calibri"/>
                <w:color w:val="000000"/>
                <w:sz w:val="16"/>
                <w:szCs w:val="16"/>
              </w:rPr>
              <w:t> </w:t>
            </w:r>
          </w:p>
        </w:tc>
        <w:tc>
          <w:tcPr>
            <w:tcW w:w="696" w:type="pct"/>
            <w:tcBorders>
              <w:top w:val="nil"/>
              <w:left w:val="nil"/>
              <w:right w:val="nil"/>
            </w:tcBorders>
            <w:shd w:val="clear" w:color="auto" w:fill="auto"/>
            <w:noWrap/>
            <w:vAlign w:val="center"/>
          </w:tcPr>
          <w:p w14:paraId="70053B6F" w14:textId="77777777" w:rsidR="00B628E5" w:rsidRPr="002E2B5B" w:rsidRDefault="00B628E5" w:rsidP="002E2B5B">
            <w:pPr>
              <w:jc w:val="right"/>
              <w:rPr>
                <w:rFonts w:ascii="Calibri" w:hAnsi="Calibri" w:cs="Calibri"/>
                <w:color w:val="000000"/>
                <w:sz w:val="16"/>
                <w:szCs w:val="16"/>
              </w:rPr>
            </w:pPr>
          </w:p>
        </w:tc>
        <w:tc>
          <w:tcPr>
            <w:tcW w:w="696" w:type="pct"/>
            <w:tcBorders>
              <w:top w:val="nil"/>
              <w:left w:val="nil"/>
              <w:right w:val="nil"/>
            </w:tcBorders>
            <w:shd w:val="clear" w:color="auto" w:fill="auto"/>
            <w:noWrap/>
            <w:vAlign w:val="center"/>
            <w:hideMark/>
          </w:tcPr>
          <w:p w14:paraId="13C5FFC6" w14:textId="43DA5B85" w:rsidR="00B628E5" w:rsidRPr="002E2B5B" w:rsidRDefault="00AE620A" w:rsidP="002E2B5B">
            <w:pPr>
              <w:jc w:val="right"/>
              <w:rPr>
                <w:rFonts w:ascii="Calibri" w:hAnsi="Calibri" w:cs="Calibri"/>
                <w:color w:val="000000"/>
                <w:sz w:val="16"/>
                <w:szCs w:val="16"/>
              </w:rPr>
            </w:pPr>
            <w:r>
              <w:rPr>
                <w:rFonts w:ascii="Calibri" w:hAnsi="Calibri" w:cs="Calibri"/>
                <w:color w:val="000000"/>
                <w:sz w:val="16"/>
                <w:szCs w:val="16"/>
              </w:rPr>
              <w:t>13.259.077</w:t>
            </w:r>
          </w:p>
        </w:tc>
        <w:tc>
          <w:tcPr>
            <w:tcW w:w="671" w:type="pct"/>
            <w:tcBorders>
              <w:top w:val="nil"/>
              <w:left w:val="nil"/>
              <w:right w:val="nil"/>
            </w:tcBorders>
            <w:shd w:val="clear" w:color="auto" w:fill="auto"/>
            <w:noWrap/>
            <w:vAlign w:val="bottom"/>
            <w:hideMark/>
          </w:tcPr>
          <w:p w14:paraId="2DF1F884" w14:textId="435C6B04" w:rsidR="00B628E5" w:rsidRPr="002E2B5B" w:rsidRDefault="009750C8" w:rsidP="002E2B5B">
            <w:pPr>
              <w:jc w:val="right"/>
              <w:rPr>
                <w:rFonts w:ascii="Calibri" w:hAnsi="Calibri" w:cs="Calibri"/>
                <w:color w:val="000000"/>
                <w:sz w:val="16"/>
                <w:szCs w:val="16"/>
              </w:rPr>
            </w:pPr>
            <w:r w:rsidRPr="002E2B5B">
              <w:rPr>
                <w:rFonts w:ascii="Calibri" w:hAnsi="Calibri" w:cs="Calibri"/>
                <w:color w:val="000000"/>
                <w:sz w:val="16"/>
                <w:szCs w:val="16"/>
              </w:rPr>
              <w:t>12.039.681</w:t>
            </w:r>
          </w:p>
        </w:tc>
      </w:tr>
      <w:tr w:rsidR="00B628E5" w:rsidRPr="002E2B5B" w14:paraId="687D89F1" w14:textId="77777777" w:rsidTr="00F177F2">
        <w:trPr>
          <w:trHeight w:hRule="exact" w:val="227"/>
        </w:trPr>
        <w:tc>
          <w:tcPr>
            <w:tcW w:w="1833" w:type="pct"/>
            <w:tcBorders>
              <w:top w:val="single" w:sz="4" w:space="0" w:color="auto"/>
              <w:left w:val="nil"/>
              <w:bottom w:val="single" w:sz="8" w:space="0" w:color="auto"/>
              <w:right w:val="nil"/>
            </w:tcBorders>
            <w:shd w:val="clear" w:color="auto" w:fill="auto"/>
            <w:noWrap/>
            <w:vAlign w:val="center"/>
            <w:hideMark/>
          </w:tcPr>
          <w:p w14:paraId="0BE89EF7" w14:textId="77777777" w:rsidR="00B628E5" w:rsidRPr="002E2B5B" w:rsidRDefault="00B628E5" w:rsidP="002E2B5B">
            <w:pPr>
              <w:rPr>
                <w:rFonts w:ascii="Calibri" w:hAnsi="Calibri" w:cs="Calibri"/>
                <w:b/>
                <w:bCs/>
                <w:color w:val="000000"/>
                <w:sz w:val="16"/>
                <w:szCs w:val="16"/>
              </w:rPr>
            </w:pPr>
            <w:r w:rsidRPr="002E2B5B">
              <w:rPr>
                <w:rFonts w:ascii="Calibri" w:hAnsi="Calibri" w:cs="Calibri"/>
                <w:b/>
                <w:bCs/>
                <w:color w:val="000000"/>
                <w:sz w:val="16"/>
                <w:szCs w:val="16"/>
              </w:rPr>
              <w:t xml:space="preserve">TOTAL </w:t>
            </w:r>
          </w:p>
        </w:tc>
        <w:tc>
          <w:tcPr>
            <w:tcW w:w="226" w:type="pct"/>
            <w:tcBorders>
              <w:top w:val="single" w:sz="4" w:space="0" w:color="auto"/>
              <w:left w:val="nil"/>
              <w:bottom w:val="single" w:sz="8" w:space="0" w:color="auto"/>
              <w:right w:val="nil"/>
            </w:tcBorders>
            <w:shd w:val="clear" w:color="auto" w:fill="auto"/>
            <w:noWrap/>
            <w:vAlign w:val="center"/>
            <w:hideMark/>
          </w:tcPr>
          <w:p w14:paraId="76272CDD" w14:textId="77777777" w:rsidR="00B628E5" w:rsidRPr="002E2B5B" w:rsidRDefault="00B628E5" w:rsidP="002E2B5B">
            <w:pPr>
              <w:rPr>
                <w:rFonts w:ascii="Calibri" w:hAnsi="Calibri" w:cs="Calibri"/>
                <w:color w:val="000000"/>
                <w:sz w:val="16"/>
                <w:szCs w:val="16"/>
              </w:rPr>
            </w:pPr>
            <w:r w:rsidRPr="002E2B5B">
              <w:rPr>
                <w:rFonts w:ascii="Calibri" w:hAnsi="Calibri" w:cs="Calibri"/>
                <w:color w:val="000000"/>
                <w:sz w:val="16"/>
                <w:szCs w:val="16"/>
              </w:rPr>
              <w:t> </w:t>
            </w:r>
          </w:p>
        </w:tc>
        <w:tc>
          <w:tcPr>
            <w:tcW w:w="226" w:type="pct"/>
            <w:tcBorders>
              <w:top w:val="single" w:sz="4" w:space="0" w:color="auto"/>
              <w:left w:val="nil"/>
              <w:bottom w:val="single" w:sz="8" w:space="0" w:color="auto"/>
              <w:right w:val="nil"/>
            </w:tcBorders>
            <w:shd w:val="clear" w:color="auto" w:fill="auto"/>
            <w:noWrap/>
            <w:vAlign w:val="center"/>
            <w:hideMark/>
          </w:tcPr>
          <w:p w14:paraId="57F110E5" w14:textId="77777777" w:rsidR="00B628E5" w:rsidRPr="002E2B5B" w:rsidRDefault="00B628E5" w:rsidP="002E2B5B">
            <w:pPr>
              <w:rPr>
                <w:rFonts w:ascii="Calibri" w:hAnsi="Calibri" w:cs="Calibri"/>
                <w:color w:val="000000"/>
                <w:sz w:val="16"/>
                <w:szCs w:val="16"/>
              </w:rPr>
            </w:pPr>
            <w:r w:rsidRPr="002E2B5B">
              <w:rPr>
                <w:rFonts w:ascii="Calibri" w:hAnsi="Calibri" w:cs="Calibri"/>
                <w:color w:val="000000"/>
                <w:sz w:val="16"/>
                <w:szCs w:val="16"/>
              </w:rPr>
              <w:t> </w:t>
            </w:r>
          </w:p>
        </w:tc>
        <w:tc>
          <w:tcPr>
            <w:tcW w:w="652" w:type="pct"/>
            <w:tcBorders>
              <w:top w:val="single" w:sz="4" w:space="0" w:color="auto"/>
              <w:left w:val="nil"/>
              <w:bottom w:val="single" w:sz="8" w:space="0" w:color="auto"/>
              <w:right w:val="nil"/>
            </w:tcBorders>
            <w:shd w:val="clear" w:color="auto" w:fill="auto"/>
            <w:vAlign w:val="center"/>
            <w:hideMark/>
          </w:tcPr>
          <w:p w14:paraId="56220FB6" w14:textId="77777777" w:rsidR="00B628E5" w:rsidRPr="002E2B5B" w:rsidRDefault="00B628E5" w:rsidP="002E2B5B">
            <w:pPr>
              <w:jc w:val="right"/>
              <w:rPr>
                <w:rFonts w:ascii="Calibri" w:hAnsi="Calibri" w:cs="Calibri"/>
                <w:b/>
                <w:bCs/>
                <w:color w:val="000000"/>
                <w:sz w:val="16"/>
                <w:szCs w:val="16"/>
              </w:rPr>
            </w:pPr>
            <w:r w:rsidRPr="002E2B5B">
              <w:rPr>
                <w:rFonts w:ascii="Calibri" w:hAnsi="Calibri" w:cs="Calibri"/>
                <w:b/>
                <w:bCs/>
                <w:color w:val="000000"/>
                <w:sz w:val="16"/>
                <w:szCs w:val="16"/>
              </w:rPr>
              <w:t> </w:t>
            </w:r>
          </w:p>
        </w:tc>
        <w:tc>
          <w:tcPr>
            <w:tcW w:w="696" w:type="pct"/>
            <w:tcBorders>
              <w:top w:val="single" w:sz="4" w:space="0" w:color="auto"/>
              <w:left w:val="nil"/>
              <w:bottom w:val="single" w:sz="8" w:space="0" w:color="auto"/>
              <w:right w:val="nil"/>
            </w:tcBorders>
            <w:shd w:val="clear" w:color="auto" w:fill="auto"/>
            <w:noWrap/>
            <w:vAlign w:val="center"/>
          </w:tcPr>
          <w:p w14:paraId="73C18FE2" w14:textId="77777777" w:rsidR="00B628E5" w:rsidRPr="002E2B5B" w:rsidRDefault="00B628E5" w:rsidP="002E2B5B">
            <w:pPr>
              <w:jc w:val="right"/>
              <w:rPr>
                <w:rFonts w:ascii="Calibri" w:hAnsi="Calibri" w:cs="Calibri"/>
                <w:b/>
                <w:bCs/>
                <w:color w:val="000000"/>
                <w:sz w:val="16"/>
                <w:szCs w:val="16"/>
              </w:rPr>
            </w:pPr>
          </w:p>
        </w:tc>
        <w:tc>
          <w:tcPr>
            <w:tcW w:w="696" w:type="pct"/>
            <w:tcBorders>
              <w:top w:val="single" w:sz="4" w:space="0" w:color="auto"/>
              <w:left w:val="nil"/>
              <w:bottom w:val="single" w:sz="8" w:space="0" w:color="auto"/>
              <w:right w:val="nil"/>
            </w:tcBorders>
            <w:shd w:val="clear" w:color="auto" w:fill="auto"/>
            <w:noWrap/>
            <w:vAlign w:val="center"/>
            <w:hideMark/>
          </w:tcPr>
          <w:p w14:paraId="63B9B7FA" w14:textId="22C443AB" w:rsidR="00B628E5" w:rsidRPr="002E2B5B" w:rsidRDefault="003B60A7" w:rsidP="002E2B5B">
            <w:pPr>
              <w:jc w:val="right"/>
              <w:rPr>
                <w:rFonts w:ascii="Calibri" w:hAnsi="Calibri" w:cs="Calibri"/>
                <w:b/>
                <w:bCs/>
                <w:color w:val="000000"/>
                <w:sz w:val="16"/>
                <w:szCs w:val="16"/>
              </w:rPr>
            </w:pPr>
            <w:r>
              <w:rPr>
                <w:rFonts w:ascii="Calibri" w:hAnsi="Calibri" w:cs="Calibri"/>
                <w:b/>
                <w:bCs/>
                <w:color w:val="000000"/>
                <w:sz w:val="16"/>
                <w:szCs w:val="16"/>
              </w:rPr>
              <w:t>17.</w:t>
            </w:r>
            <w:r w:rsidR="00AE620A">
              <w:rPr>
                <w:rFonts w:ascii="Calibri" w:hAnsi="Calibri" w:cs="Calibri"/>
                <w:b/>
                <w:bCs/>
                <w:color w:val="000000"/>
                <w:sz w:val="16"/>
                <w:szCs w:val="16"/>
              </w:rPr>
              <w:t>396</w:t>
            </w:r>
            <w:r>
              <w:rPr>
                <w:rFonts w:ascii="Calibri" w:hAnsi="Calibri" w:cs="Calibri"/>
                <w:b/>
                <w:bCs/>
                <w:color w:val="000000"/>
                <w:sz w:val="16"/>
                <w:szCs w:val="16"/>
              </w:rPr>
              <w:t>.</w:t>
            </w:r>
            <w:r w:rsidR="00AE620A">
              <w:rPr>
                <w:rFonts w:ascii="Calibri" w:hAnsi="Calibri" w:cs="Calibri"/>
                <w:b/>
                <w:bCs/>
                <w:color w:val="000000"/>
                <w:sz w:val="16"/>
                <w:szCs w:val="16"/>
              </w:rPr>
              <w:t>1</w:t>
            </w:r>
            <w:r>
              <w:rPr>
                <w:rFonts w:ascii="Calibri" w:hAnsi="Calibri" w:cs="Calibri"/>
                <w:b/>
                <w:bCs/>
                <w:color w:val="000000"/>
                <w:sz w:val="16"/>
                <w:szCs w:val="16"/>
              </w:rPr>
              <w:t>5</w:t>
            </w:r>
            <w:r w:rsidR="00AE620A">
              <w:rPr>
                <w:rFonts w:ascii="Calibri" w:hAnsi="Calibri" w:cs="Calibri"/>
                <w:b/>
                <w:bCs/>
                <w:color w:val="000000"/>
                <w:sz w:val="16"/>
                <w:szCs w:val="16"/>
              </w:rPr>
              <w:t>8</w:t>
            </w:r>
          </w:p>
        </w:tc>
        <w:tc>
          <w:tcPr>
            <w:tcW w:w="671" w:type="pct"/>
            <w:tcBorders>
              <w:top w:val="single" w:sz="4" w:space="0" w:color="auto"/>
              <w:left w:val="nil"/>
              <w:bottom w:val="single" w:sz="8" w:space="0" w:color="auto"/>
              <w:right w:val="nil"/>
            </w:tcBorders>
            <w:shd w:val="clear" w:color="auto" w:fill="auto"/>
            <w:noWrap/>
            <w:vAlign w:val="center"/>
            <w:hideMark/>
          </w:tcPr>
          <w:p w14:paraId="66D3DACB" w14:textId="68C28687" w:rsidR="00B628E5" w:rsidRPr="002E2B5B" w:rsidRDefault="009750C8" w:rsidP="002E2B5B">
            <w:pPr>
              <w:jc w:val="right"/>
              <w:rPr>
                <w:rFonts w:ascii="Calibri" w:hAnsi="Calibri" w:cs="Calibri"/>
                <w:b/>
                <w:bCs/>
                <w:color w:val="000000"/>
                <w:sz w:val="16"/>
                <w:szCs w:val="16"/>
              </w:rPr>
            </w:pPr>
            <w:r w:rsidRPr="002E2B5B">
              <w:rPr>
                <w:rFonts w:ascii="Calibri" w:hAnsi="Calibri" w:cs="Calibri"/>
                <w:b/>
                <w:bCs/>
                <w:color w:val="000000"/>
                <w:sz w:val="16"/>
                <w:szCs w:val="16"/>
              </w:rPr>
              <w:t>14.675.584</w:t>
            </w:r>
          </w:p>
        </w:tc>
      </w:tr>
    </w:tbl>
    <w:p w14:paraId="3321C77B" w14:textId="77777777" w:rsidR="00B02B62" w:rsidRPr="002E2B5B" w:rsidRDefault="00B02B62" w:rsidP="002E2B5B">
      <w:pPr>
        <w:jc w:val="both"/>
        <w:rPr>
          <w:rFonts w:ascii="Calibri" w:hAnsi="Calibri" w:cs="Calibri"/>
          <w:b/>
          <w:sz w:val="22"/>
          <w:szCs w:val="22"/>
        </w:rPr>
      </w:pPr>
    </w:p>
    <w:p w14:paraId="31EE86DC" w14:textId="76E74058" w:rsidR="002F2B7B" w:rsidRPr="002E2B5B" w:rsidRDefault="002F2B7B" w:rsidP="002E2B5B">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A VALEC</w:t>
      </w:r>
      <w:r w:rsidR="00FC06D2" w:rsidRPr="002E2B5B">
        <w:rPr>
          <w:rFonts w:ascii="Calibri" w:hAnsi="Calibri" w:cs="Calibri"/>
          <w:sz w:val="22"/>
          <w:szCs w:val="22"/>
          <w:shd w:val="clear" w:color="auto" w:fill="FFFFFF"/>
        </w:rPr>
        <w:t>, a partir da Lei nº 11.772</w:t>
      </w:r>
      <w:r w:rsidR="00BD7C0B" w:rsidRPr="002E2B5B">
        <w:rPr>
          <w:rFonts w:ascii="Calibri" w:hAnsi="Calibri" w:cs="Calibri"/>
          <w:sz w:val="22"/>
          <w:szCs w:val="22"/>
          <w:shd w:val="clear" w:color="auto" w:fill="FFFFFF"/>
        </w:rPr>
        <w:t xml:space="preserve">, de 17 de setembro </w:t>
      </w:r>
      <w:r w:rsidR="00FC06D2" w:rsidRPr="002E2B5B">
        <w:rPr>
          <w:rFonts w:ascii="Calibri" w:hAnsi="Calibri" w:cs="Calibri"/>
          <w:sz w:val="22"/>
          <w:szCs w:val="22"/>
          <w:shd w:val="clear" w:color="auto" w:fill="FFFFFF"/>
        </w:rPr>
        <w:t>200</w:t>
      </w:r>
      <w:r w:rsidR="00BD7C0B" w:rsidRPr="002E2B5B">
        <w:rPr>
          <w:rFonts w:ascii="Calibri" w:hAnsi="Calibri" w:cs="Calibri"/>
          <w:sz w:val="22"/>
          <w:szCs w:val="22"/>
          <w:shd w:val="clear" w:color="auto" w:fill="FFFFFF"/>
        </w:rPr>
        <w:t>8</w:t>
      </w:r>
      <w:r w:rsidR="00FC06D2" w:rsidRPr="002E2B5B">
        <w:rPr>
          <w:rFonts w:ascii="Calibri" w:hAnsi="Calibri" w:cs="Calibri"/>
          <w:sz w:val="22"/>
          <w:szCs w:val="22"/>
          <w:shd w:val="clear" w:color="auto" w:fill="FFFFFF"/>
        </w:rPr>
        <w:t xml:space="preserve">, passou a ser também responsável pelo quadro de pessoal das extintas empresas: Rede Ferroviária Federal S/A – RFFSA e Empresa Brasileira de Planejamento de Transportes – GEIPOT.  As despesas com férias </w:t>
      </w:r>
      <w:r w:rsidR="00FF1CB6" w:rsidRPr="002E2B5B">
        <w:rPr>
          <w:rFonts w:ascii="Calibri" w:hAnsi="Calibri" w:cs="Calibri"/>
          <w:sz w:val="22"/>
          <w:szCs w:val="22"/>
          <w:shd w:val="clear" w:color="auto" w:fill="FFFFFF"/>
        </w:rPr>
        <w:t>e</w:t>
      </w:r>
      <w:r w:rsidR="00FC06D2" w:rsidRPr="002E2B5B">
        <w:rPr>
          <w:rFonts w:ascii="Calibri" w:hAnsi="Calibri" w:cs="Calibri"/>
          <w:sz w:val="22"/>
          <w:szCs w:val="22"/>
          <w:shd w:val="clear" w:color="auto" w:fill="FFFFFF"/>
        </w:rPr>
        <w:t xml:space="preserve"> os encargos são provisionad</w:t>
      </w:r>
      <w:r w:rsidRPr="002E2B5B">
        <w:rPr>
          <w:rFonts w:ascii="Calibri" w:hAnsi="Calibri" w:cs="Calibri"/>
          <w:sz w:val="22"/>
          <w:szCs w:val="22"/>
          <w:shd w:val="clear" w:color="auto" w:fill="FFFFFF"/>
        </w:rPr>
        <w:t>a</w:t>
      </w:r>
      <w:r w:rsidR="00FC06D2" w:rsidRPr="002E2B5B">
        <w:rPr>
          <w:rFonts w:ascii="Calibri" w:hAnsi="Calibri" w:cs="Calibri"/>
          <w:sz w:val="22"/>
          <w:szCs w:val="22"/>
          <w:shd w:val="clear" w:color="auto" w:fill="FFFFFF"/>
        </w:rPr>
        <w:t xml:space="preserve">s conforme </w:t>
      </w:r>
      <w:r w:rsidRPr="002E2B5B">
        <w:rPr>
          <w:rFonts w:ascii="Calibri" w:hAnsi="Calibri" w:cs="Calibri"/>
          <w:sz w:val="22"/>
          <w:szCs w:val="22"/>
          <w:shd w:val="clear" w:color="auto" w:fill="FFFFFF"/>
        </w:rPr>
        <w:t>demonstrativos emitidos</w:t>
      </w:r>
      <w:r w:rsidR="00FC06D2" w:rsidRPr="002E2B5B">
        <w:rPr>
          <w:rFonts w:ascii="Calibri" w:hAnsi="Calibri" w:cs="Calibri"/>
          <w:sz w:val="22"/>
          <w:szCs w:val="22"/>
          <w:shd w:val="clear" w:color="auto" w:fill="FFFFFF"/>
        </w:rPr>
        <w:t>, mensalmente,</w:t>
      </w:r>
      <w:r w:rsidRPr="002E2B5B">
        <w:rPr>
          <w:rFonts w:ascii="Calibri" w:hAnsi="Calibri" w:cs="Calibri"/>
          <w:sz w:val="22"/>
          <w:szCs w:val="22"/>
          <w:shd w:val="clear" w:color="auto" w:fill="FFFFFF"/>
        </w:rPr>
        <w:t xml:space="preserve"> pela Superintendência de Gestão de Pessoas </w:t>
      </w:r>
      <w:r w:rsidR="004B2DFA">
        <w:rPr>
          <w:rFonts w:ascii="Calibri" w:hAnsi="Calibri" w:cs="Calibri"/>
          <w:sz w:val="22"/>
          <w:szCs w:val="22"/>
          <w:shd w:val="clear" w:color="auto" w:fill="FFFFFF"/>
        </w:rPr>
        <w:t xml:space="preserve">- </w:t>
      </w:r>
      <w:r w:rsidRPr="002E2B5B">
        <w:rPr>
          <w:rFonts w:ascii="Calibri" w:hAnsi="Calibri" w:cs="Calibri"/>
          <w:sz w:val="22"/>
          <w:szCs w:val="22"/>
          <w:shd w:val="clear" w:color="auto" w:fill="FFFFFF"/>
        </w:rPr>
        <w:t xml:space="preserve">SUGEP. </w:t>
      </w:r>
    </w:p>
    <w:p w14:paraId="26B88336" w14:textId="77777777" w:rsidR="002F2B7B" w:rsidRPr="002E2B5B" w:rsidRDefault="002F2B7B" w:rsidP="002E2B5B">
      <w:pPr>
        <w:pStyle w:val="Textoembloco"/>
        <w:spacing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Para cálculo da provisão de férias é considerado o salário do período de gozo de férias mais o adicional de 1/3.</w:t>
      </w:r>
      <w:r w:rsidR="00FC06D2" w:rsidRPr="002E2B5B">
        <w:rPr>
          <w:rFonts w:ascii="Calibri" w:hAnsi="Calibri" w:cs="Calibri"/>
          <w:sz w:val="22"/>
          <w:szCs w:val="22"/>
          <w:shd w:val="clear" w:color="auto" w:fill="FFFFFF"/>
        </w:rPr>
        <w:t xml:space="preserve"> </w:t>
      </w:r>
    </w:p>
    <w:p w14:paraId="3457D152" w14:textId="77777777" w:rsidR="00A00571" w:rsidRPr="002E2B5B" w:rsidRDefault="00A00571" w:rsidP="002E2B5B">
      <w:pPr>
        <w:jc w:val="both"/>
        <w:rPr>
          <w:rFonts w:ascii="Calibri" w:hAnsi="Calibri" w:cs="Calibri"/>
          <w:sz w:val="22"/>
          <w:szCs w:val="22"/>
        </w:rPr>
      </w:pPr>
    </w:p>
    <w:p w14:paraId="45077BBC" w14:textId="7646344D" w:rsidR="00D947B7" w:rsidRPr="002E2B5B" w:rsidRDefault="00D22F5E" w:rsidP="002E2B5B">
      <w:pPr>
        <w:pStyle w:val="Ttulo4"/>
        <w:tabs>
          <w:tab w:val="left" w:pos="0"/>
        </w:tabs>
        <w:spacing w:line="240" w:lineRule="auto"/>
        <w:rPr>
          <w:rFonts w:ascii="Calibri" w:hAnsi="Calibri" w:cs="Calibri"/>
          <w:bCs w:val="0"/>
          <w:sz w:val="22"/>
          <w:szCs w:val="22"/>
        </w:rPr>
      </w:pPr>
      <w:r w:rsidRPr="002E2B5B">
        <w:rPr>
          <w:rFonts w:ascii="Calibri" w:hAnsi="Calibri" w:cs="Calibri"/>
          <w:bCs w:val="0"/>
          <w:sz w:val="22"/>
          <w:szCs w:val="22"/>
        </w:rPr>
        <w:t>NOTA 1</w:t>
      </w:r>
      <w:r w:rsidR="00DD4B99">
        <w:rPr>
          <w:rFonts w:ascii="Calibri" w:hAnsi="Calibri" w:cs="Calibri"/>
          <w:bCs w:val="0"/>
          <w:sz w:val="22"/>
          <w:szCs w:val="22"/>
        </w:rPr>
        <w:t>1</w:t>
      </w:r>
      <w:r w:rsidR="00BE1376" w:rsidRPr="002E2B5B">
        <w:rPr>
          <w:rFonts w:ascii="Calibri" w:hAnsi="Calibri" w:cs="Calibri"/>
          <w:bCs w:val="0"/>
          <w:sz w:val="22"/>
          <w:szCs w:val="22"/>
        </w:rPr>
        <w:t xml:space="preserve"> </w:t>
      </w:r>
      <w:r w:rsidR="007E5F20" w:rsidRPr="002E2B5B">
        <w:rPr>
          <w:rFonts w:ascii="Calibri" w:hAnsi="Calibri" w:cs="Calibri"/>
          <w:bCs w:val="0"/>
          <w:sz w:val="22"/>
          <w:szCs w:val="22"/>
        </w:rPr>
        <w:t>- COMPROMISSOS</w:t>
      </w:r>
      <w:r w:rsidR="00894308" w:rsidRPr="002E2B5B">
        <w:rPr>
          <w:rFonts w:ascii="Calibri" w:hAnsi="Calibri" w:cs="Calibri"/>
          <w:bCs w:val="0"/>
          <w:sz w:val="22"/>
          <w:szCs w:val="22"/>
        </w:rPr>
        <w:t xml:space="preserve"> A LONGO PRAZO </w:t>
      </w:r>
      <w:r w:rsidR="00823DAA" w:rsidRPr="002E2B5B">
        <w:rPr>
          <w:rFonts w:ascii="Calibri" w:hAnsi="Calibri" w:cs="Calibri"/>
          <w:bCs w:val="0"/>
          <w:sz w:val="22"/>
          <w:szCs w:val="22"/>
        </w:rPr>
        <w:t xml:space="preserve"> </w:t>
      </w:r>
    </w:p>
    <w:p w14:paraId="0FE7763B" w14:textId="78F6D80D" w:rsidR="00B02B62" w:rsidRDefault="000568B0" w:rsidP="002E2B5B">
      <w:pPr>
        <w:numPr>
          <w:ilvl w:val="0"/>
          <w:numId w:val="5"/>
        </w:numPr>
        <w:ind w:left="284" w:hanging="284"/>
        <w:rPr>
          <w:rFonts w:ascii="Calibri" w:hAnsi="Calibri" w:cs="Calibri"/>
          <w:b/>
          <w:sz w:val="22"/>
          <w:szCs w:val="22"/>
        </w:rPr>
      </w:pPr>
      <w:r w:rsidRPr="002E2B5B">
        <w:rPr>
          <w:rFonts w:ascii="Calibri" w:hAnsi="Calibri" w:cs="Calibri"/>
          <w:b/>
          <w:sz w:val="22"/>
          <w:szCs w:val="22"/>
        </w:rPr>
        <w:t>Depósitos Retidos sobre Fornecedores</w:t>
      </w:r>
    </w:p>
    <w:tbl>
      <w:tblPr>
        <w:tblW w:w="5000" w:type="pct"/>
        <w:tblCellMar>
          <w:left w:w="70" w:type="dxa"/>
          <w:right w:w="70" w:type="dxa"/>
        </w:tblCellMar>
        <w:tblLook w:val="04A0" w:firstRow="1" w:lastRow="0" w:firstColumn="1" w:lastColumn="0" w:noHBand="0" w:noVBand="1"/>
      </w:tblPr>
      <w:tblGrid>
        <w:gridCol w:w="3973"/>
        <w:gridCol w:w="536"/>
        <w:gridCol w:w="534"/>
        <w:gridCol w:w="1459"/>
        <w:gridCol w:w="2412"/>
        <w:gridCol w:w="1553"/>
      </w:tblGrid>
      <w:tr w:rsidR="00AF7492" w14:paraId="080B8D0C" w14:textId="77777777" w:rsidTr="00C34E8D">
        <w:trPr>
          <w:trHeight w:hRule="exact" w:val="227"/>
        </w:trPr>
        <w:tc>
          <w:tcPr>
            <w:tcW w:w="2409" w:type="pct"/>
            <w:gridSpan w:val="3"/>
            <w:tcBorders>
              <w:top w:val="nil"/>
              <w:left w:val="nil"/>
              <w:bottom w:val="single" w:sz="8" w:space="0" w:color="auto"/>
              <w:right w:val="nil"/>
            </w:tcBorders>
            <w:shd w:val="clear" w:color="auto" w:fill="auto"/>
            <w:noWrap/>
            <w:vAlign w:val="center"/>
            <w:hideMark/>
          </w:tcPr>
          <w:p w14:paraId="0E6BFF3C" w14:textId="77777777" w:rsidR="00AF7492" w:rsidRDefault="00AF7492">
            <w:pPr>
              <w:rPr>
                <w:rFonts w:ascii="Calibri" w:hAnsi="Calibri" w:cs="Calibri"/>
                <w:b/>
                <w:bCs/>
                <w:color w:val="000000"/>
                <w:sz w:val="16"/>
                <w:szCs w:val="16"/>
              </w:rPr>
            </w:pPr>
            <w:r>
              <w:rPr>
                <w:rFonts w:ascii="Calibri" w:hAnsi="Calibri" w:cs="Calibri"/>
                <w:b/>
                <w:bCs/>
                <w:color w:val="000000"/>
                <w:sz w:val="16"/>
                <w:szCs w:val="16"/>
              </w:rPr>
              <w:t>DEPÓSITOS RETIDOS SOBRE FORNECEDORES</w:t>
            </w:r>
          </w:p>
        </w:tc>
        <w:tc>
          <w:tcPr>
            <w:tcW w:w="697" w:type="pct"/>
            <w:tcBorders>
              <w:top w:val="nil"/>
              <w:left w:val="nil"/>
              <w:bottom w:val="single" w:sz="8" w:space="0" w:color="auto"/>
              <w:right w:val="nil"/>
            </w:tcBorders>
            <w:shd w:val="clear" w:color="auto" w:fill="auto"/>
            <w:noWrap/>
            <w:vAlign w:val="center"/>
            <w:hideMark/>
          </w:tcPr>
          <w:p w14:paraId="602B4CDA" w14:textId="77777777" w:rsidR="00AF7492" w:rsidRDefault="00AF7492">
            <w:pPr>
              <w:jc w:val="right"/>
              <w:rPr>
                <w:rFonts w:ascii="Calibri" w:hAnsi="Calibri" w:cs="Calibri"/>
                <w:b/>
                <w:bCs/>
                <w:color w:val="000000"/>
                <w:sz w:val="16"/>
                <w:szCs w:val="16"/>
              </w:rPr>
            </w:pPr>
            <w:r>
              <w:rPr>
                <w:rFonts w:ascii="Calibri" w:hAnsi="Calibri" w:cs="Calibri"/>
                <w:b/>
                <w:bCs/>
                <w:color w:val="000000"/>
                <w:sz w:val="16"/>
                <w:szCs w:val="16"/>
              </w:rPr>
              <w:t> </w:t>
            </w:r>
          </w:p>
        </w:tc>
        <w:tc>
          <w:tcPr>
            <w:tcW w:w="1152" w:type="pct"/>
            <w:tcBorders>
              <w:top w:val="nil"/>
              <w:left w:val="nil"/>
              <w:bottom w:val="single" w:sz="8" w:space="0" w:color="auto"/>
              <w:right w:val="nil"/>
            </w:tcBorders>
            <w:shd w:val="clear" w:color="auto" w:fill="auto"/>
            <w:noWrap/>
            <w:vAlign w:val="center"/>
            <w:hideMark/>
          </w:tcPr>
          <w:p w14:paraId="78303FE7" w14:textId="32AE513A" w:rsidR="00AF7492" w:rsidRDefault="00AF7492">
            <w:pPr>
              <w:jc w:val="right"/>
              <w:rPr>
                <w:rFonts w:ascii="Calibri" w:hAnsi="Calibri" w:cs="Calibri"/>
                <w:b/>
                <w:bCs/>
                <w:color w:val="000000"/>
                <w:sz w:val="16"/>
                <w:szCs w:val="16"/>
              </w:rPr>
            </w:pPr>
            <w:r>
              <w:rPr>
                <w:rFonts w:ascii="Calibri" w:hAnsi="Calibri" w:cs="Calibri"/>
                <w:b/>
                <w:bCs/>
                <w:color w:val="000000"/>
                <w:sz w:val="16"/>
                <w:szCs w:val="16"/>
              </w:rPr>
              <w:t>30/0</w:t>
            </w:r>
            <w:r w:rsidR="00C60B3F">
              <w:rPr>
                <w:rFonts w:ascii="Calibri" w:hAnsi="Calibri" w:cs="Calibri"/>
                <w:b/>
                <w:bCs/>
                <w:color w:val="000000"/>
                <w:sz w:val="16"/>
                <w:szCs w:val="16"/>
              </w:rPr>
              <w:t>9</w:t>
            </w:r>
            <w:r>
              <w:rPr>
                <w:rFonts w:ascii="Calibri" w:hAnsi="Calibri" w:cs="Calibri"/>
                <w:b/>
                <w:bCs/>
                <w:color w:val="000000"/>
                <w:sz w:val="16"/>
                <w:szCs w:val="16"/>
              </w:rPr>
              <w:t>/2021</w:t>
            </w:r>
          </w:p>
        </w:tc>
        <w:tc>
          <w:tcPr>
            <w:tcW w:w="742" w:type="pct"/>
            <w:tcBorders>
              <w:top w:val="nil"/>
              <w:left w:val="nil"/>
              <w:bottom w:val="single" w:sz="8" w:space="0" w:color="auto"/>
              <w:right w:val="nil"/>
            </w:tcBorders>
            <w:shd w:val="clear" w:color="auto" w:fill="auto"/>
            <w:noWrap/>
            <w:vAlign w:val="center"/>
            <w:hideMark/>
          </w:tcPr>
          <w:p w14:paraId="6E1072A8" w14:textId="77777777" w:rsidR="00AF7492" w:rsidRDefault="00AF7492">
            <w:pPr>
              <w:jc w:val="right"/>
              <w:rPr>
                <w:rFonts w:ascii="Calibri" w:hAnsi="Calibri" w:cs="Calibri"/>
                <w:b/>
                <w:bCs/>
                <w:color w:val="000000"/>
                <w:sz w:val="16"/>
                <w:szCs w:val="16"/>
              </w:rPr>
            </w:pPr>
            <w:r>
              <w:rPr>
                <w:rFonts w:ascii="Calibri" w:hAnsi="Calibri" w:cs="Calibri"/>
                <w:b/>
                <w:bCs/>
                <w:color w:val="000000"/>
                <w:sz w:val="16"/>
                <w:szCs w:val="16"/>
              </w:rPr>
              <w:t>31/12/2020</w:t>
            </w:r>
          </w:p>
        </w:tc>
      </w:tr>
      <w:tr w:rsidR="00AF7492" w14:paraId="2761BB15" w14:textId="77777777" w:rsidTr="00C34E8D">
        <w:trPr>
          <w:trHeight w:hRule="exact" w:val="227"/>
        </w:trPr>
        <w:tc>
          <w:tcPr>
            <w:tcW w:w="2154" w:type="pct"/>
            <w:gridSpan w:val="2"/>
            <w:tcBorders>
              <w:top w:val="single" w:sz="8" w:space="0" w:color="auto"/>
              <w:left w:val="nil"/>
              <w:bottom w:val="nil"/>
              <w:right w:val="nil"/>
            </w:tcBorders>
            <w:shd w:val="clear" w:color="auto" w:fill="auto"/>
            <w:noWrap/>
            <w:vAlign w:val="center"/>
            <w:hideMark/>
          </w:tcPr>
          <w:p w14:paraId="3E2EBC22" w14:textId="77777777" w:rsidR="00AF7492" w:rsidRDefault="00AF7492">
            <w:pPr>
              <w:rPr>
                <w:rFonts w:ascii="Calibri" w:hAnsi="Calibri" w:cs="Calibri"/>
                <w:color w:val="000000"/>
                <w:sz w:val="16"/>
                <w:szCs w:val="16"/>
              </w:rPr>
            </w:pPr>
            <w:r>
              <w:rPr>
                <w:rFonts w:ascii="Calibri" w:hAnsi="Calibri" w:cs="Calibri"/>
                <w:color w:val="000000"/>
                <w:sz w:val="16"/>
                <w:szCs w:val="16"/>
              </w:rPr>
              <w:t xml:space="preserve"> Saldo anterior</w:t>
            </w:r>
          </w:p>
        </w:tc>
        <w:tc>
          <w:tcPr>
            <w:tcW w:w="255" w:type="pct"/>
            <w:tcBorders>
              <w:top w:val="nil"/>
              <w:left w:val="nil"/>
              <w:bottom w:val="nil"/>
              <w:right w:val="nil"/>
            </w:tcBorders>
            <w:shd w:val="clear" w:color="auto" w:fill="auto"/>
            <w:noWrap/>
            <w:vAlign w:val="center"/>
            <w:hideMark/>
          </w:tcPr>
          <w:p w14:paraId="21F435BA" w14:textId="77777777" w:rsidR="00AF7492" w:rsidRDefault="00AF7492">
            <w:pPr>
              <w:rPr>
                <w:rFonts w:ascii="Calibri" w:hAnsi="Calibri" w:cs="Calibri"/>
                <w:color w:val="000000"/>
                <w:sz w:val="16"/>
                <w:szCs w:val="16"/>
              </w:rPr>
            </w:pPr>
          </w:p>
        </w:tc>
        <w:tc>
          <w:tcPr>
            <w:tcW w:w="697" w:type="pct"/>
            <w:tcBorders>
              <w:top w:val="nil"/>
              <w:left w:val="nil"/>
              <w:bottom w:val="nil"/>
              <w:right w:val="nil"/>
            </w:tcBorders>
            <w:shd w:val="clear" w:color="auto" w:fill="auto"/>
            <w:noWrap/>
            <w:vAlign w:val="center"/>
            <w:hideMark/>
          </w:tcPr>
          <w:p w14:paraId="30BDDE16" w14:textId="77777777" w:rsidR="00AF7492" w:rsidRDefault="00AF7492">
            <w:pPr>
              <w:rPr>
                <w:sz w:val="20"/>
                <w:szCs w:val="20"/>
              </w:rPr>
            </w:pPr>
          </w:p>
        </w:tc>
        <w:tc>
          <w:tcPr>
            <w:tcW w:w="1152" w:type="pct"/>
            <w:tcBorders>
              <w:top w:val="nil"/>
              <w:left w:val="nil"/>
              <w:bottom w:val="nil"/>
              <w:right w:val="nil"/>
            </w:tcBorders>
            <w:shd w:val="clear" w:color="auto" w:fill="auto"/>
            <w:noWrap/>
            <w:vAlign w:val="center"/>
            <w:hideMark/>
          </w:tcPr>
          <w:p w14:paraId="7EFDD0B3" w14:textId="77777777" w:rsidR="00AF7492" w:rsidRDefault="00AF7492">
            <w:pPr>
              <w:jc w:val="right"/>
              <w:rPr>
                <w:rFonts w:ascii="Calibri" w:hAnsi="Calibri" w:cs="Calibri"/>
                <w:color w:val="000000"/>
                <w:sz w:val="16"/>
                <w:szCs w:val="16"/>
              </w:rPr>
            </w:pPr>
            <w:r>
              <w:rPr>
                <w:rFonts w:ascii="Calibri" w:hAnsi="Calibri" w:cs="Calibri"/>
                <w:color w:val="000000"/>
                <w:sz w:val="16"/>
                <w:szCs w:val="16"/>
              </w:rPr>
              <w:t>38.526.493</w:t>
            </w:r>
          </w:p>
        </w:tc>
        <w:tc>
          <w:tcPr>
            <w:tcW w:w="742" w:type="pct"/>
            <w:tcBorders>
              <w:top w:val="nil"/>
              <w:left w:val="nil"/>
              <w:bottom w:val="nil"/>
              <w:right w:val="nil"/>
            </w:tcBorders>
            <w:shd w:val="clear" w:color="auto" w:fill="auto"/>
            <w:noWrap/>
            <w:vAlign w:val="center"/>
            <w:hideMark/>
          </w:tcPr>
          <w:p w14:paraId="6A3C53A4" w14:textId="77777777" w:rsidR="00AF7492" w:rsidRDefault="00AF7492">
            <w:pPr>
              <w:jc w:val="right"/>
              <w:rPr>
                <w:rFonts w:ascii="Calibri" w:hAnsi="Calibri" w:cs="Calibri"/>
                <w:color w:val="000000"/>
                <w:sz w:val="16"/>
                <w:szCs w:val="16"/>
              </w:rPr>
            </w:pPr>
            <w:r>
              <w:rPr>
                <w:rFonts w:ascii="Calibri" w:hAnsi="Calibri" w:cs="Calibri"/>
                <w:color w:val="000000"/>
                <w:sz w:val="16"/>
                <w:szCs w:val="16"/>
              </w:rPr>
              <w:t>38.483.270</w:t>
            </w:r>
          </w:p>
        </w:tc>
      </w:tr>
      <w:tr w:rsidR="00AF7492" w14:paraId="63D035AD" w14:textId="77777777" w:rsidTr="00C34E8D">
        <w:trPr>
          <w:trHeight w:hRule="exact" w:val="227"/>
        </w:trPr>
        <w:tc>
          <w:tcPr>
            <w:tcW w:w="2409" w:type="pct"/>
            <w:gridSpan w:val="3"/>
            <w:tcBorders>
              <w:top w:val="nil"/>
              <w:left w:val="nil"/>
              <w:bottom w:val="nil"/>
              <w:right w:val="nil"/>
            </w:tcBorders>
            <w:shd w:val="clear" w:color="auto" w:fill="auto"/>
            <w:noWrap/>
            <w:vAlign w:val="center"/>
            <w:hideMark/>
          </w:tcPr>
          <w:p w14:paraId="6B52DBCF" w14:textId="77777777" w:rsidR="00AF7492" w:rsidRDefault="00AF7492">
            <w:pPr>
              <w:rPr>
                <w:rFonts w:ascii="Calibri" w:hAnsi="Calibri" w:cs="Calibri"/>
                <w:color w:val="000000"/>
                <w:sz w:val="16"/>
                <w:szCs w:val="16"/>
              </w:rPr>
            </w:pPr>
            <w:r>
              <w:rPr>
                <w:rFonts w:ascii="Calibri" w:hAnsi="Calibri" w:cs="Calibri"/>
                <w:color w:val="000000"/>
                <w:sz w:val="16"/>
                <w:szCs w:val="16"/>
              </w:rPr>
              <w:t xml:space="preserve"> Retenções sobre fornecedores</w:t>
            </w:r>
          </w:p>
        </w:tc>
        <w:tc>
          <w:tcPr>
            <w:tcW w:w="697" w:type="pct"/>
            <w:tcBorders>
              <w:top w:val="nil"/>
              <w:left w:val="nil"/>
              <w:bottom w:val="nil"/>
              <w:right w:val="nil"/>
            </w:tcBorders>
            <w:shd w:val="clear" w:color="auto" w:fill="auto"/>
            <w:noWrap/>
            <w:vAlign w:val="center"/>
            <w:hideMark/>
          </w:tcPr>
          <w:p w14:paraId="64C78377" w14:textId="77777777" w:rsidR="00AF7492" w:rsidRDefault="00AF7492">
            <w:pPr>
              <w:rPr>
                <w:rFonts w:ascii="Calibri" w:hAnsi="Calibri" w:cs="Calibri"/>
                <w:color w:val="000000"/>
                <w:sz w:val="16"/>
                <w:szCs w:val="16"/>
              </w:rPr>
            </w:pPr>
          </w:p>
        </w:tc>
        <w:tc>
          <w:tcPr>
            <w:tcW w:w="1152" w:type="pct"/>
            <w:tcBorders>
              <w:top w:val="nil"/>
              <w:left w:val="nil"/>
              <w:bottom w:val="nil"/>
              <w:right w:val="nil"/>
            </w:tcBorders>
            <w:shd w:val="clear" w:color="auto" w:fill="auto"/>
            <w:noWrap/>
            <w:vAlign w:val="center"/>
            <w:hideMark/>
          </w:tcPr>
          <w:p w14:paraId="550B6264" w14:textId="4D35B1BD" w:rsidR="00AF7492" w:rsidRDefault="00C60B3F">
            <w:pPr>
              <w:jc w:val="right"/>
              <w:rPr>
                <w:rFonts w:ascii="Calibri" w:hAnsi="Calibri" w:cs="Calibri"/>
                <w:color w:val="000000"/>
                <w:sz w:val="16"/>
                <w:szCs w:val="16"/>
              </w:rPr>
            </w:pPr>
            <w:r>
              <w:rPr>
                <w:rFonts w:ascii="Calibri" w:hAnsi="Calibri" w:cs="Calibri"/>
                <w:color w:val="000000"/>
                <w:sz w:val="16"/>
                <w:szCs w:val="16"/>
              </w:rPr>
              <w:t>1.239.385</w:t>
            </w:r>
          </w:p>
        </w:tc>
        <w:tc>
          <w:tcPr>
            <w:tcW w:w="742" w:type="pct"/>
            <w:tcBorders>
              <w:top w:val="nil"/>
              <w:left w:val="nil"/>
              <w:bottom w:val="nil"/>
              <w:right w:val="nil"/>
            </w:tcBorders>
            <w:shd w:val="clear" w:color="auto" w:fill="auto"/>
            <w:noWrap/>
            <w:vAlign w:val="center"/>
            <w:hideMark/>
          </w:tcPr>
          <w:p w14:paraId="30CA8154" w14:textId="77777777" w:rsidR="00AF7492" w:rsidRDefault="00AF7492">
            <w:pPr>
              <w:jc w:val="right"/>
              <w:rPr>
                <w:rFonts w:ascii="Calibri" w:hAnsi="Calibri" w:cs="Calibri"/>
                <w:color w:val="000000"/>
                <w:sz w:val="16"/>
                <w:szCs w:val="16"/>
              </w:rPr>
            </w:pPr>
            <w:r>
              <w:rPr>
                <w:rFonts w:ascii="Calibri" w:hAnsi="Calibri" w:cs="Calibri"/>
                <w:color w:val="000000"/>
                <w:sz w:val="16"/>
                <w:szCs w:val="16"/>
              </w:rPr>
              <w:t>179.254</w:t>
            </w:r>
          </w:p>
        </w:tc>
      </w:tr>
      <w:tr w:rsidR="00AF7492" w14:paraId="70B13531" w14:textId="77777777" w:rsidTr="00C34E8D">
        <w:trPr>
          <w:trHeight w:hRule="exact" w:val="227"/>
        </w:trPr>
        <w:tc>
          <w:tcPr>
            <w:tcW w:w="2154" w:type="pct"/>
            <w:gridSpan w:val="2"/>
            <w:tcBorders>
              <w:top w:val="nil"/>
              <w:left w:val="nil"/>
              <w:bottom w:val="nil"/>
              <w:right w:val="nil"/>
            </w:tcBorders>
            <w:shd w:val="clear" w:color="auto" w:fill="auto"/>
            <w:noWrap/>
            <w:vAlign w:val="center"/>
            <w:hideMark/>
          </w:tcPr>
          <w:p w14:paraId="45A81699" w14:textId="77777777" w:rsidR="00AF7492" w:rsidRDefault="00AF7492">
            <w:pPr>
              <w:rPr>
                <w:rFonts w:ascii="Calibri" w:hAnsi="Calibri" w:cs="Calibri"/>
                <w:color w:val="000000"/>
                <w:sz w:val="16"/>
                <w:szCs w:val="16"/>
              </w:rPr>
            </w:pPr>
            <w:r>
              <w:rPr>
                <w:rFonts w:ascii="Calibri" w:hAnsi="Calibri" w:cs="Calibri"/>
                <w:color w:val="000000"/>
                <w:sz w:val="16"/>
                <w:szCs w:val="16"/>
              </w:rPr>
              <w:t xml:space="preserve"> Baixa de depósitos</w:t>
            </w:r>
          </w:p>
        </w:tc>
        <w:tc>
          <w:tcPr>
            <w:tcW w:w="255" w:type="pct"/>
            <w:tcBorders>
              <w:top w:val="nil"/>
              <w:left w:val="nil"/>
              <w:bottom w:val="nil"/>
              <w:right w:val="nil"/>
            </w:tcBorders>
            <w:shd w:val="clear" w:color="auto" w:fill="auto"/>
            <w:noWrap/>
            <w:vAlign w:val="center"/>
            <w:hideMark/>
          </w:tcPr>
          <w:p w14:paraId="5C77C2DF" w14:textId="77777777" w:rsidR="00AF7492" w:rsidRDefault="00AF7492">
            <w:pPr>
              <w:rPr>
                <w:rFonts w:ascii="Calibri" w:hAnsi="Calibri" w:cs="Calibri"/>
                <w:color w:val="000000"/>
                <w:sz w:val="16"/>
                <w:szCs w:val="16"/>
              </w:rPr>
            </w:pPr>
          </w:p>
        </w:tc>
        <w:tc>
          <w:tcPr>
            <w:tcW w:w="697" w:type="pct"/>
            <w:tcBorders>
              <w:top w:val="nil"/>
              <w:left w:val="nil"/>
              <w:bottom w:val="nil"/>
              <w:right w:val="nil"/>
            </w:tcBorders>
            <w:shd w:val="clear" w:color="auto" w:fill="auto"/>
            <w:noWrap/>
            <w:vAlign w:val="center"/>
            <w:hideMark/>
          </w:tcPr>
          <w:p w14:paraId="797BD64D" w14:textId="77777777" w:rsidR="00AF7492" w:rsidRDefault="00AF7492">
            <w:pPr>
              <w:rPr>
                <w:sz w:val="20"/>
                <w:szCs w:val="20"/>
              </w:rPr>
            </w:pPr>
          </w:p>
        </w:tc>
        <w:tc>
          <w:tcPr>
            <w:tcW w:w="1152" w:type="pct"/>
            <w:tcBorders>
              <w:top w:val="nil"/>
              <w:left w:val="nil"/>
              <w:bottom w:val="nil"/>
              <w:right w:val="nil"/>
            </w:tcBorders>
            <w:shd w:val="clear" w:color="auto" w:fill="auto"/>
            <w:noWrap/>
            <w:vAlign w:val="center"/>
            <w:hideMark/>
          </w:tcPr>
          <w:p w14:paraId="1ED93A64" w14:textId="5ABAA61F" w:rsidR="00AF7492" w:rsidRDefault="00AF7492">
            <w:pPr>
              <w:jc w:val="right"/>
              <w:rPr>
                <w:rFonts w:ascii="Calibri" w:hAnsi="Calibri" w:cs="Calibri"/>
                <w:color w:val="000000"/>
                <w:sz w:val="16"/>
                <w:szCs w:val="16"/>
              </w:rPr>
            </w:pPr>
            <w:r>
              <w:rPr>
                <w:rFonts w:ascii="Calibri" w:hAnsi="Calibri" w:cs="Calibri"/>
                <w:color w:val="000000"/>
                <w:sz w:val="16"/>
                <w:szCs w:val="16"/>
              </w:rPr>
              <w:t>(</w:t>
            </w:r>
            <w:r w:rsidR="00C60B3F">
              <w:rPr>
                <w:rFonts w:ascii="Calibri" w:hAnsi="Calibri" w:cs="Calibri"/>
                <w:color w:val="000000"/>
                <w:sz w:val="16"/>
                <w:szCs w:val="16"/>
              </w:rPr>
              <w:t>450.980</w:t>
            </w:r>
            <w:r>
              <w:rPr>
                <w:rFonts w:ascii="Calibri" w:hAnsi="Calibri" w:cs="Calibri"/>
                <w:color w:val="000000"/>
                <w:sz w:val="16"/>
                <w:szCs w:val="16"/>
              </w:rPr>
              <w:t>)</w:t>
            </w:r>
          </w:p>
        </w:tc>
        <w:tc>
          <w:tcPr>
            <w:tcW w:w="742" w:type="pct"/>
            <w:tcBorders>
              <w:top w:val="nil"/>
              <w:left w:val="nil"/>
              <w:bottom w:val="nil"/>
              <w:right w:val="nil"/>
            </w:tcBorders>
            <w:shd w:val="clear" w:color="auto" w:fill="auto"/>
            <w:noWrap/>
            <w:vAlign w:val="center"/>
            <w:hideMark/>
          </w:tcPr>
          <w:p w14:paraId="0EA1CFE5" w14:textId="3997497C" w:rsidR="00AF7492" w:rsidRDefault="00AF7492">
            <w:pPr>
              <w:jc w:val="right"/>
              <w:rPr>
                <w:rFonts w:ascii="Calibri" w:hAnsi="Calibri" w:cs="Calibri"/>
                <w:color w:val="000000"/>
                <w:sz w:val="16"/>
                <w:szCs w:val="16"/>
              </w:rPr>
            </w:pPr>
            <w:r>
              <w:rPr>
                <w:rFonts w:ascii="Calibri" w:hAnsi="Calibri" w:cs="Calibri"/>
                <w:color w:val="000000"/>
                <w:sz w:val="16"/>
                <w:szCs w:val="16"/>
              </w:rPr>
              <w:t>(136.031)</w:t>
            </w:r>
          </w:p>
        </w:tc>
      </w:tr>
      <w:tr w:rsidR="00AF7492" w14:paraId="45A5C2AE" w14:textId="77777777" w:rsidTr="00C34E8D">
        <w:trPr>
          <w:trHeight w:hRule="exact" w:val="227"/>
        </w:trPr>
        <w:tc>
          <w:tcPr>
            <w:tcW w:w="2409" w:type="pct"/>
            <w:gridSpan w:val="3"/>
            <w:tcBorders>
              <w:top w:val="nil"/>
              <w:left w:val="nil"/>
              <w:bottom w:val="single" w:sz="8" w:space="0" w:color="auto"/>
              <w:right w:val="nil"/>
            </w:tcBorders>
            <w:shd w:val="clear" w:color="auto" w:fill="auto"/>
            <w:noWrap/>
            <w:vAlign w:val="center"/>
            <w:hideMark/>
          </w:tcPr>
          <w:p w14:paraId="5952910F" w14:textId="77777777" w:rsidR="00AF7492" w:rsidRDefault="00AF7492">
            <w:pPr>
              <w:rPr>
                <w:rFonts w:ascii="Calibri" w:hAnsi="Calibri" w:cs="Calibri"/>
                <w:color w:val="000000"/>
                <w:sz w:val="16"/>
                <w:szCs w:val="16"/>
              </w:rPr>
            </w:pPr>
            <w:r>
              <w:rPr>
                <w:rFonts w:ascii="Calibri" w:hAnsi="Calibri" w:cs="Calibri"/>
                <w:color w:val="000000"/>
                <w:sz w:val="16"/>
                <w:szCs w:val="16"/>
              </w:rPr>
              <w:t xml:space="preserve"> Pagamento de Obrigações</w:t>
            </w:r>
          </w:p>
        </w:tc>
        <w:tc>
          <w:tcPr>
            <w:tcW w:w="697" w:type="pct"/>
            <w:tcBorders>
              <w:top w:val="nil"/>
              <w:left w:val="nil"/>
              <w:bottom w:val="single" w:sz="8" w:space="0" w:color="auto"/>
              <w:right w:val="nil"/>
            </w:tcBorders>
            <w:shd w:val="clear" w:color="auto" w:fill="auto"/>
            <w:noWrap/>
            <w:vAlign w:val="center"/>
            <w:hideMark/>
          </w:tcPr>
          <w:p w14:paraId="4F93DAD1" w14:textId="77777777" w:rsidR="00AF7492" w:rsidRDefault="00AF7492">
            <w:pPr>
              <w:jc w:val="right"/>
              <w:rPr>
                <w:rFonts w:ascii="Calibri" w:hAnsi="Calibri" w:cs="Calibri"/>
                <w:color w:val="000000"/>
                <w:sz w:val="16"/>
                <w:szCs w:val="16"/>
              </w:rPr>
            </w:pPr>
            <w:r>
              <w:rPr>
                <w:rFonts w:ascii="Calibri" w:hAnsi="Calibri" w:cs="Calibri"/>
                <w:color w:val="000000"/>
                <w:sz w:val="16"/>
                <w:szCs w:val="16"/>
              </w:rPr>
              <w:t> </w:t>
            </w:r>
          </w:p>
        </w:tc>
        <w:tc>
          <w:tcPr>
            <w:tcW w:w="1152" w:type="pct"/>
            <w:tcBorders>
              <w:top w:val="nil"/>
              <w:left w:val="nil"/>
              <w:bottom w:val="single" w:sz="8" w:space="0" w:color="auto"/>
              <w:right w:val="nil"/>
            </w:tcBorders>
            <w:shd w:val="clear" w:color="auto" w:fill="auto"/>
            <w:noWrap/>
            <w:vAlign w:val="center"/>
            <w:hideMark/>
          </w:tcPr>
          <w:p w14:paraId="763E731E" w14:textId="77777777" w:rsidR="00AF7492" w:rsidRDefault="00AF7492">
            <w:pPr>
              <w:jc w:val="right"/>
              <w:rPr>
                <w:rFonts w:ascii="Calibri" w:hAnsi="Calibri" w:cs="Calibri"/>
                <w:color w:val="000000"/>
                <w:sz w:val="16"/>
                <w:szCs w:val="16"/>
              </w:rPr>
            </w:pPr>
            <w:r>
              <w:rPr>
                <w:rFonts w:ascii="Calibri" w:hAnsi="Calibri" w:cs="Calibri"/>
                <w:color w:val="000000"/>
                <w:sz w:val="16"/>
                <w:szCs w:val="16"/>
              </w:rPr>
              <w:t>0</w:t>
            </w:r>
          </w:p>
        </w:tc>
        <w:tc>
          <w:tcPr>
            <w:tcW w:w="742" w:type="pct"/>
            <w:tcBorders>
              <w:top w:val="nil"/>
              <w:left w:val="nil"/>
              <w:bottom w:val="single" w:sz="8" w:space="0" w:color="auto"/>
              <w:right w:val="nil"/>
            </w:tcBorders>
            <w:shd w:val="clear" w:color="auto" w:fill="auto"/>
            <w:noWrap/>
            <w:vAlign w:val="center"/>
            <w:hideMark/>
          </w:tcPr>
          <w:p w14:paraId="54D33504" w14:textId="77777777" w:rsidR="00AF7492" w:rsidRDefault="00AF7492">
            <w:pPr>
              <w:jc w:val="right"/>
              <w:rPr>
                <w:rFonts w:ascii="Calibri" w:hAnsi="Calibri" w:cs="Calibri"/>
                <w:color w:val="000000"/>
                <w:sz w:val="16"/>
                <w:szCs w:val="16"/>
              </w:rPr>
            </w:pPr>
            <w:r>
              <w:rPr>
                <w:rFonts w:ascii="Calibri" w:hAnsi="Calibri" w:cs="Calibri"/>
                <w:color w:val="000000"/>
                <w:sz w:val="16"/>
                <w:szCs w:val="16"/>
              </w:rPr>
              <w:t>0</w:t>
            </w:r>
          </w:p>
        </w:tc>
      </w:tr>
      <w:tr w:rsidR="00AF7492" w14:paraId="222D0A50" w14:textId="77777777" w:rsidTr="00C34E8D">
        <w:trPr>
          <w:trHeight w:hRule="exact" w:val="227"/>
        </w:trPr>
        <w:tc>
          <w:tcPr>
            <w:tcW w:w="1898" w:type="pct"/>
            <w:tcBorders>
              <w:top w:val="nil"/>
              <w:left w:val="nil"/>
              <w:bottom w:val="single" w:sz="8" w:space="0" w:color="auto"/>
              <w:right w:val="nil"/>
            </w:tcBorders>
            <w:shd w:val="clear" w:color="auto" w:fill="auto"/>
            <w:noWrap/>
            <w:vAlign w:val="center"/>
            <w:hideMark/>
          </w:tcPr>
          <w:p w14:paraId="032A5A17" w14:textId="77777777" w:rsidR="00AF7492" w:rsidRDefault="00AF7492">
            <w:pPr>
              <w:rPr>
                <w:rFonts w:ascii="Calibri" w:hAnsi="Calibri" w:cs="Calibri"/>
                <w:b/>
                <w:bCs/>
                <w:color w:val="000000"/>
                <w:sz w:val="16"/>
                <w:szCs w:val="16"/>
              </w:rPr>
            </w:pPr>
            <w:r>
              <w:rPr>
                <w:rFonts w:ascii="Calibri" w:hAnsi="Calibri" w:cs="Calibri"/>
                <w:b/>
                <w:bCs/>
                <w:color w:val="000000"/>
                <w:sz w:val="16"/>
                <w:szCs w:val="16"/>
              </w:rPr>
              <w:t xml:space="preserve"> TOTAL</w:t>
            </w:r>
          </w:p>
        </w:tc>
        <w:tc>
          <w:tcPr>
            <w:tcW w:w="255" w:type="pct"/>
            <w:tcBorders>
              <w:top w:val="nil"/>
              <w:left w:val="nil"/>
              <w:bottom w:val="single" w:sz="8" w:space="0" w:color="auto"/>
              <w:right w:val="nil"/>
            </w:tcBorders>
            <w:shd w:val="clear" w:color="auto" w:fill="auto"/>
            <w:noWrap/>
            <w:vAlign w:val="center"/>
            <w:hideMark/>
          </w:tcPr>
          <w:p w14:paraId="0ACEE5C5" w14:textId="77777777" w:rsidR="00AF7492" w:rsidRDefault="00AF7492">
            <w:pPr>
              <w:rPr>
                <w:rFonts w:ascii="Calibri" w:hAnsi="Calibri" w:cs="Calibri"/>
                <w:color w:val="000000"/>
                <w:sz w:val="16"/>
                <w:szCs w:val="16"/>
              </w:rPr>
            </w:pPr>
            <w:r>
              <w:rPr>
                <w:rFonts w:ascii="Calibri" w:hAnsi="Calibri" w:cs="Calibri"/>
                <w:color w:val="000000"/>
                <w:sz w:val="16"/>
                <w:szCs w:val="16"/>
              </w:rPr>
              <w:t> </w:t>
            </w:r>
          </w:p>
        </w:tc>
        <w:tc>
          <w:tcPr>
            <w:tcW w:w="255" w:type="pct"/>
            <w:tcBorders>
              <w:top w:val="nil"/>
              <w:left w:val="nil"/>
              <w:bottom w:val="single" w:sz="8" w:space="0" w:color="auto"/>
              <w:right w:val="nil"/>
            </w:tcBorders>
            <w:shd w:val="clear" w:color="auto" w:fill="auto"/>
            <w:noWrap/>
            <w:vAlign w:val="center"/>
            <w:hideMark/>
          </w:tcPr>
          <w:p w14:paraId="3E518000" w14:textId="77777777" w:rsidR="00AF7492" w:rsidRDefault="00AF7492">
            <w:pPr>
              <w:rPr>
                <w:rFonts w:ascii="Calibri" w:hAnsi="Calibri" w:cs="Calibri"/>
                <w:color w:val="000000"/>
                <w:sz w:val="16"/>
                <w:szCs w:val="16"/>
              </w:rPr>
            </w:pPr>
            <w:r>
              <w:rPr>
                <w:rFonts w:ascii="Calibri" w:hAnsi="Calibri" w:cs="Calibri"/>
                <w:color w:val="000000"/>
                <w:sz w:val="16"/>
                <w:szCs w:val="16"/>
              </w:rPr>
              <w:t> </w:t>
            </w:r>
          </w:p>
        </w:tc>
        <w:tc>
          <w:tcPr>
            <w:tcW w:w="697" w:type="pct"/>
            <w:tcBorders>
              <w:top w:val="nil"/>
              <w:left w:val="nil"/>
              <w:bottom w:val="single" w:sz="8" w:space="0" w:color="auto"/>
              <w:right w:val="nil"/>
            </w:tcBorders>
            <w:shd w:val="clear" w:color="auto" w:fill="auto"/>
            <w:noWrap/>
            <w:vAlign w:val="center"/>
            <w:hideMark/>
          </w:tcPr>
          <w:p w14:paraId="57A84AC5" w14:textId="77777777" w:rsidR="00AF7492" w:rsidRDefault="00AF7492">
            <w:pPr>
              <w:jc w:val="right"/>
              <w:rPr>
                <w:rFonts w:ascii="Calibri" w:hAnsi="Calibri" w:cs="Calibri"/>
                <w:b/>
                <w:bCs/>
                <w:color w:val="000000"/>
                <w:sz w:val="16"/>
                <w:szCs w:val="16"/>
              </w:rPr>
            </w:pPr>
            <w:r>
              <w:rPr>
                <w:rFonts w:ascii="Calibri" w:hAnsi="Calibri" w:cs="Calibri"/>
                <w:b/>
                <w:bCs/>
                <w:color w:val="000000"/>
                <w:sz w:val="16"/>
                <w:szCs w:val="16"/>
              </w:rPr>
              <w:t> </w:t>
            </w:r>
          </w:p>
        </w:tc>
        <w:tc>
          <w:tcPr>
            <w:tcW w:w="1152" w:type="pct"/>
            <w:tcBorders>
              <w:top w:val="nil"/>
              <w:left w:val="nil"/>
              <w:bottom w:val="single" w:sz="8" w:space="0" w:color="auto"/>
              <w:right w:val="nil"/>
            </w:tcBorders>
            <w:shd w:val="clear" w:color="auto" w:fill="auto"/>
            <w:noWrap/>
            <w:vAlign w:val="center"/>
            <w:hideMark/>
          </w:tcPr>
          <w:p w14:paraId="6E493CC2" w14:textId="368B47DD" w:rsidR="00AF7492" w:rsidRDefault="00C60B3F">
            <w:pPr>
              <w:jc w:val="right"/>
              <w:rPr>
                <w:rFonts w:ascii="Calibri" w:hAnsi="Calibri" w:cs="Calibri"/>
                <w:b/>
                <w:bCs/>
                <w:color w:val="000000"/>
                <w:sz w:val="16"/>
                <w:szCs w:val="16"/>
              </w:rPr>
            </w:pPr>
            <w:r>
              <w:rPr>
                <w:rFonts w:ascii="Calibri" w:hAnsi="Calibri" w:cs="Calibri"/>
                <w:b/>
                <w:bCs/>
                <w:color w:val="000000"/>
                <w:sz w:val="16"/>
                <w:szCs w:val="16"/>
              </w:rPr>
              <w:t>39.314.898</w:t>
            </w:r>
          </w:p>
        </w:tc>
        <w:tc>
          <w:tcPr>
            <w:tcW w:w="742" w:type="pct"/>
            <w:tcBorders>
              <w:top w:val="nil"/>
              <w:left w:val="nil"/>
              <w:bottom w:val="single" w:sz="8" w:space="0" w:color="auto"/>
              <w:right w:val="nil"/>
            </w:tcBorders>
            <w:shd w:val="clear" w:color="auto" w:fill="auto"/>
            <w:noWrap/>
            <w:vAlign w:val="center"/>
            <w:hideMark/>
          </w:tcPr>
          <w:p w14:paraId="0AACCC7A" w14:textId="77777777" w:rsidR="00AF7492" w:rsidRDefault="00AF7492">
            <w:pPr>
              <w:jc w:val="right"/>
              <w:rPr>
                <w:rFonts w:ascii="Calibri" w:hAnsi="Calibri" w:cs="Calibri"/>
                <w:b/>
                <w:bCs/>
                <w:color w:val="000000"/>
                <w:sz w:val="16"/>
                <w:szCs w:val="16"/>
              </w:rPr>
            </w:pPr>
            <w:r>
              <w:rPr>
                <w:rFonts w:ascii="Calibri" w:hAnsi="Calibri" w:cs="Calibri"/>
                <w:b/>
                <w:bCs/>
                <w:color w:val="000000"/>
                <w:sz w:val="16"/>
                <w:szCs w:val="16"/>
              </w:rPr>
              <w:t>38.526.493</w:t>
            </w:r>
          </w:p>
        </w:tc>
      </w:tr>
    </w:tbl>
    <w:p w14:paraId="2E46288F" w14:textId="77777777" w:rsidR="00AF7492" w:rsidRDefault="00AF7492" w:rsidP="002E2B5B">
      <w:pPr>
        <w:pStyle w:val="Textoembloco"/>
        <w:spacing w:line="240" w:lineRule="auto"/>
        <w:ind w:left="0" w:right="57"/>
        <w:rPr>
          <w:rFonts w:ascii="Calibri" w:hAnsi="Calibri" w:cs="Calibri"/>
          <w:sz w:val="22"/>
          <w:szCs w:val="22"/>
          <w:shd w:val="clear" w:color="auto" w:fill="FFFFFF"/>
        </w:rPr>
      </w:pPr>
    </w:p>
    <w:p w14:paraId="2D0B16CB" w14:textId="0E0699C7" w:rsidR="00514B8F" w:rsidRPr="002E2B5B" w:rsidRDefault="00CE1621" w:rsidP="002E2B5B">
      <w:pPr>
        <w:pStyle w:val="Textoembloco"/>
        <w:spacing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lastRenderedPageBreak/>
        <w:t xml:space="preserve">A conta “Depósitos Retidos de Fornecedores” registra as retenções contratuais sobre pagamentos a fornecedores e outras retenções como glosas por determinações dos Órgãos de Controle.  As baixas que ocorreram </w:t>
      </w:r>
      <w:r w:rsidR="006E3EE4" w:rsidRPr="002E2B5B">
        <w:rPr>
          <w:rFonts w:ascii="Calibri" w:hAnsi="Calibri" w:cs="Calibri"/>
          <w:sz w:val="22"/>
          <w:szCs w:val="22"/>
          <w:shd w:val="clear" w:color="auto" w:fill="FFFFFF"/>
        </w:rPr>
        <w:t>referem-se</w:t>
      </w:r>
      <w:r w:rsidRPr="002E2B5B">
        <w:rPr>
          <w:rFonts w:ascii="Calibri" w:hAnsi="Calibri" w:cs="Calibri"/>
          <w:sz w:val="22"/>
          <w:szCs w:val="22"/>
          <w:shd w:val="clear" w:color="auto" w:fill="FFFFFF"/>
        </w:rPr>
        <w:t xml:space="preserve"> aos contratos encerrados e não reclamados administrativamente</w:t>
      </w:r>
      <w:r w:rsidR="00F32CD4" w:rsidRPr="002E2B5B">
        <w:rPr>
          <w:rFonts w:ascii="Calibri" w:hAnsi="Calibri" w:cs="Calibri"/>
          <w:sz w:val="22"/>
          <w:szCs w:val="22"/>
          <w:shd w:val="clear" w:color="auto" w:fill="FFFFFF"/>
        </w:rPr>
        <w:t>.</w:t>
      </w:r>
    </w:p>
    <w:p w14:paraId="1D76320E" w14:textId="77777777" w:rsidR="00F32CD4" w:rsidRPr="002E2B5B" w:rsidRDefault="00F32CD4" w:rsidP="002E2B5B">
      <w:pPr>
        <w:jc w:val="both"/>
        <w:rPr>
          <w:rFonts w:ascii="Calibri" w:hAnsi="Calibri" w:cs="Calibri"/>
          <w:color w:val="FF0000"/>
          <w:sz w:val="22"/>
          <w:szCs w:val="22"/>
        </w:rPr>
      </w:pPr>
    </w:p>
    <w:p w14:paraId="5622913B" w14:textId="230914D6" w:rsidR="00066BBD" w:rsidRPr="002E2B5B" w:rsidRDefault="000568B0" w:rsidP="002E2B5B">
      <w:pPr>
        <w:numPr>
          <w:ilvl w:val="0"/>
          <w:numId w:val="5"/>
        </w:numPr>
        <w:ind w:left="284" w:hanging="284"/>
        <w:jc w:val="both"/>
        <w:rPr>
          <w:rFonts w:ascii="Calibri" w:hAnsi="Calibri" w:cs="Calibri"/>
          <w:sz w:val="22"/>
          <w:szCs w:val="22"/>
        </w:rPr>
      </w:pPr>
      <w:r w:rsidRPr="002E2B5B">
        <w:rPr>
          <w:rFonts w:ascii="Calibri" w:hAnsi="Calibri" w:cs="Calibri"/>
          <w:b/>
          <w:sz w:val="22"/>
          <w:szCs w:val="22"/>
        </w:rPr>
        <w:t xml:space="preserve">Provisões de Ações </w:t>
      </w:r>
      <w:r w:rsidR="00DF21BD" w:rsidRPr="002E2B5B">
        <w:rPr>
          <w:rFonts w:ascii="Calibri" w:hAnsi="Calibri" w:cs="Calibri"/>
          <w:b/>
          <w:sz w:val="22"/>
          <w:szCs w:val="22"/>
        </w:rPr>
        <w:t xml:space="preserve">Cíveis e </w:t>
      </w:r>
      <w:r w:rsidRPr="002E2B5B">
        <w:rPr>
          <w:rFonts w:ascii="Calibri" w:hAnsi="Calibri" w:cs="Calibri"/>
          <w:b/>
          <w:sz w:val="22"/>
          <w:szCs w:val="22"/>
        </w:rPr>
        <w:t>Trabalhistas</w:t>
      </w:r>
      <w:r w:rsidR="00823DAA" w:rsidRPr="002E2B5B">
        <w:rPr>
          <w:rFonts w:ascii="Calibri" w:hAnsi="Calibri" w:cs="Calibri"/>
          <w:b/>
          <w:sz w:val="22"/>
          <w:szCs w:val="22"/>
        </w:rPr>
        <w:t xml:space="preserve"> </w:t>
      </w:r>
    </w:p>
    <w:p w14:paraId="1B5BCE67" w14:textId="74BF1B1A" w:rsidR="009E0F20" w:rsidRDefault="00894308" w:rsidP="002E2B5B">
      <w:pPr>
        <w:pStyle w:val="Textoembloco"/>
        <w:spacing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A companhia </w:t>
      </w:r>
      <w:r w:rsidR="00B57353" w:rsidRPr="002E2B5B">
        <w:rPr>
          <w:rFonts w:ascii="Calibri" w:hAnsi="Calibri" w:cs="Calibri"/>
          <w:sz w:val="22"/>
          <w:szCs w:val="22"/>
          <w:shd w:val="clear" w:color="auto" w:fill="FFFFFF"/>
        </w:rPr>
        <w:t>é responsável por</w:t>
      </w:r>
      <w:r w:rsidRPr="002E2B5B">
        <w:rPr>
          <w:rFonts w:ascii="Calibri" w:hAnsi="Calibri" w:cs="Calibri"/>
          <w:sz w:val="22"/>
          <w:szCs w:val="22"/>
          <w:shd w:val="clear" w:color="auto" w:fill="FFFFFF"/>
        </w:rPr>
        <w:t xml:space="preserve"> ações trabalhistas e cíveis impetrad</w:t>
      </w:r>
      <w:r w:rsidR="00AD6E75" w:rsidRPr="002E2B5B">
        <w:rPr>
          <w:rFonts w:ascii="Calibri" w:hAnsi="Calibri" w:cs="Calibri"/>
          <w:sz w:val="22"/>
          <w:szCs w:val="22"/>
          <w:shd w:val="clear" w:color="auto" w:fill="FFFFFF"/>
        </w:rPr>
        <w:t>a</w:t>
      </w:r>
      <w:r w:rsidRPr="002E2B5B">
        <w:rPr>
          <w:rFonts w:ascii="Calibri" w:hAnsi="Calibri" w:cs="Calibri"/>
          <w:sz w:val="22"/>
          <w:szCs w:val="22"/>
          <w:shd w:val="clear" w:color="auto" w:fill="FFFFFF"/>
        </w:rPr>
        <w:t xml:space="preserve">s contra VALEC e as extintas empresas Rede Ferroviária Federal S/A – RFFSA e Empresa Brasileira de Planejamento de Transportes – GEIPOT. Os valores dos processos judiciais classificados como obrigações presentes e com “prováveis” saídas futuras de recursos financeiros apresentaram a seguinte movimentação </w:t>
      </w:r>
      <w:r w:rsidR="008765E1">
        <w:rPr>
          <w:rFonts w:ascii="Calibri" w:hAnsi="Calibri" w:cs="Calibri"/>
          <w:sz w:val="22"/>
          <w:szCs w:val="22"/>
          <w:shd w:val="clear" w:color="auto" w:fill="FFFFFF"/>
        </w:rPr>
        <w:t xml:space="preserve">até o </w:t>
      </w:r>
      <w:r w:rsidR="00F177F2">
        <w:rPr>
          <w:rFonts w:ascii="Calibri" w:hAnsi="Calibri" w:cs="Calibri"/>
          <w:sz w:val="22"/>
          <w:szCs w:val="22"/>
          <w:shd w:val="clear" w:color="auto" w:fill="FFFFFF"/>
        </w:rPr>
        <w:t>terceir</w:t>
      </w:r>
      <w:r w:rsidR="00C34E8D">
        <w:rPr>
          <w:rFonts w:ascii="Calibri" w:hAnsi="Calibri" w:cs="Calibri"/>
          <w:sz w:val="22"/>
          <w:szCs w:val="22"/>
          <w:shd w:val="clear" w:color="auto" w:fill="FFFFFF"/>
        </w:rPr>
        <w:t>o</w:t>
      </w:r>
      <w:r w:rsidR="00A8494A">
        <w:rPr>
          <w:rFonts w:ascii="Calibri" w:hAnsi="Calibri" w:cs="Calibri"/>
          <w:sz w:val="22"/>
          <w:szCs w:val="22"/>
          <w:shd w:val="clear" w:color="auto" w:fill="FFFFFF"/>
        </w:rPr>
        <w:t xml:space="preserve"> trimestre de </w:t>
      </w:r>
      <w:r w:rsidR="006332BD" w:rsidRPr="002E2B5B">
        <w:rPr>
          <w:rFonts w:ascii="Calibri" w:hAnsi="Calibri" w:cs="Calibri"/>
          <w:sz w:val="22"/>
          <w:szCs w:val="22"/>
          <w:shd w:val="clear" w:color="auto" w:fill="FFFFFF"/>
        </w:rPr>
        <w:t>20</w:t>
      </w:r>
      <w:r w:rsidR="00270197" w:rsidRPr="002E2B5B">
        <w:rPr>
          <w:rFonts w:ascii="Calibri" w:hAnsi="Calibri" w:cs="Calibri"/>
          <w:sz w:val="22"/>
          <w:szCs w:val="22"/>
          <w:shd w:val="clear" w:color="auto" w:fill="FFFFFF"/>
        </w:rPr>
        <w:t>2</w:t>
      </w:r>
      <w:r w:rsidR="00A8494A">
        <w:rPr>
          <w:rFonts w:ascii="Calibri" w:hAnsi="Calibri" w:cs="Calibri"/>
          <w:sz w:val="22"/>
          <w:szCs w:val="22"/>
          <w:shd w:val="clear" w:color="auto" w:fill="FFFFFF"/>
        </w:rPr>
        <w:t>1</w:t>
      </w:r>
      <w:r w:rsidRPr="002E2B5B">
        <w:rPr>
          <w:rFonts w:ascii="Calibri" w:hAnsi="Calibri" w:cs="Calibri"/>
          <w:sz w:val="22"/>
          <w:szCs w:val="22"/>
          <w:shd w:val="clear" w:color="auto" w:fill="FFFFFF"/>
        </w:rPr>
        <w:t>:</w:t>
      </w:r>
    </w:p>
    <w:p w14:paraId="5A3754A2" w14:textId="77777777" w:rsidR="00C34E8D" w:rsidRDefault="00C34E8D" w:rsidP="002E2B5B">
      <w:pPr>
        <w:pStyle w:val="Textoembloco"/>
        <w:spacing w:line="240" w:lineRule="auto"/>
        <w:ind w:left="0" w:right="57"/>
        <w:rPr>
          <w:rFonts w:ascii="Calibri" w:hAnsi="Calibri" w:cs="Calibri"/>
          <w:sz w:val="22"/>
          <w:szCs w:val="22"/>
          <w:shd w:val="clear" w:color="auto" w:fill="FFFFFF"/>
        </w:rPr>
      </w:pPr>
    </w:p>
    <w:tbl>
      <w:tblPr>
        <w:tblW w:w="5000" w:type="pct"/>
        <w:tblCellMar>
          <w:left w:w="70" w:type="dxa"/>
          <w:right w:w="70" w:type="dxa"/>
        </w:tblCellMar>
        <w:tblLook w:val="04A0" w:firstRow="1" w:lastRow="0" w:firstColumn="1" w:lastColumn="0" w:noHBand="0" w:noVBand="1"/>
      </w:tblPr>
      <w:tblGrid>
        <w:gridCol w:w="2555"/>
        <w:gridCol w:w="1300"/>
        <w:gridCol w:w="1128"/>
        <w:gridCol w:w="1643"/>
        <w:gridCol w:w="1128"/>
        <w:gridCol w:w="1128"/>
        <w:gridCol w:w="1585"/>
      </w:tblGrid>
      <w:tr w:rsidR="001B2742" w:rsidRPr="001B2742" w14:paraId="710A58E9" w14:textId="77777777" w:rsidTr="00F177F2">
        <w:trPr>
          <w:trHeight w:hRule="exact" w:val="464"/>
        </w:trPr>
        <w:tc>
          <w:tcPr>
            <w:tcW w:w="1220" w:type="pct"/>
            <w:tcBorders>
              <w:top w:val="nil"/>
              <w:left w:val="nil"/>
              <w:bottom w:val="single" w:sz="8" w:space="0" w:color="auto"/>
              <w:right w:val="nil"/>
            </w:tcBorders>
            <w:shd w:val="clear" w:color="auto" w:fill="auto"/>
            <w:noWrap/>
            <w:vAlign w:val="center"/>
            <w:hideMark/>
          </w:tcPr>
          <w:p w14:paraId="6C24A8D8" w14:textId="77777777" w:rsidR="001B2742" w:rsidRPr="001B2742" w:rsidRDefault="001B2742">
            <w:pPr>
              <w:rPr>
                <w:rFonts w:ascii="Calibri" w:hAnsi="Calibri" w:cs="Calibri"/>
                <w:b/>
                <w:bCs/>
                <w:color w:val="000000"/>
                <w:sz w:val="16"/>
                <w:szCs w:val="16"/>
              </w:rPr>
            </w:pPr>
            <w:r w:rsidRPr="001B2742">
              <w:rPr>
                <w:rFonts w:ascii="Calibri" w:hAnsi="Calibri" w:cs="Calibri"/>
                <w:b/>
                <w:bCs/>
                <w:color w:val="000000"/>
                <w:sz w:val="16"/>
                <w:szCs w:val="16"/>
              </w:rPr>
              <w:t>AÇÕES</w:t>
            </w:r>
          </w:p>
        </w:tc>
        <w:tc>
          <w:tcPr>
            <w:tcW w:w="621" w:type="pct"/>
            <w:tcBorders>
              <w:top w:val="nil"/>
              <w:left w:val="nil"/>
              <w:bottom w:val="single" w:sz="8" w:space="0" w:color="auto"/>
              <w:right w:val="nil"/>
            </w:tcBorders>
            <w:shd w:val="clear" w:color="auto" w:fill="auto"/>
            <w:vAlign w:val="center"/>
            <w:hideMark/>
          </w:tcPr>
          <w:p w14:paraId="556E4B52"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SALDO EM 31/12/2020</w:t>
            </w:r>
          </w:p>
        </w:tc>
        <w:tc>
          <w:tcPr>
            <w:tcW w:w="539" w:type="pct"/>
            <w:tcBorders>
              <w:top w:val="nil"/>
              <w:left w:val="nil"/>
              <w:bottom w:val="single" w:sz="8" w:space="0" w:color="auto"/>
              <w:right w:val="nil"/>
            </w:tcBorders>
            <w:shd w:val="clear" w:color="auto" w:fill="auto"/>
            <w:vAlign w:val="center"/>
            <w:hideMark/>
          </w:tcPr>
          <w:p w14:paraId="034C7584"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INGRESSO</w:t>
            </w:r>
          </w:p>
        </w:tc>
        <w:tc>
          <w:tcPr>
            <w:tcW w:w="785" w:type="pct"/>
            <w:tcBorders>
              <w:top w:val="nil"/>
              <w:left w:val="nil"/>
              <w:bottom w:val="single" w:sz="8" w:space="0" w:color="auto"/>
              <w:right w:val="nil"/>
            </w:tcBorders>
            <w:shd w:val="clear" w:color="auto" w:fill="auto"/>
            <w:vAlign w:val="center"/>
            <w:hideMark/>
          </w:tcPr>
          <w:p w14:paraId="2744EB92"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ATUALIZAÇÃO MONETÁRIA</w:t>
            </w:r>
          </w:p>
        </w:tc>
        <w:tc>
          <w:tcPr>
            <w:tcW w:w="539" w:type="pct"/>
            <w:tcBorders>
              <w:top w:val="nil"/>
              <w:left w:val="nil"/>
              <w:bottom w:val="single" w:sz="8" w:space="0" w:color="auto"/>
              <w:right w:val="nil"/>
            </w:tcBorders>
            <w:shd w:val="clear" w:color="auto" w:fill="auto"/>
            <w:vAlign w:val="center"/>
            <w:hideMark/>
          </w:tcPr>
          <w:p w14:paraId="1A0E16BC"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 xml:space="preserve">     BAIXA</w:t>
            </w:r>
          </w:p>
        </w:tc>
        <w:tc>
          <w:tcPr>
            <w:tcW w:w="539" w:type="pct"/>
            <w:tcBorders>
              <w:top w:val="nil"/>
              <w:left w:val="nil"/>
              <w:bottom w:val="single" w:sz="8" w:space="0" w:color="auto"/>
              <w:right w:val="nil"/>
            </w:tcBorders>
            <w:shd w:val="clear" w:color="auto" w:fill="auto"/>
            <w:vAlign w:val="center"/>
            <w:hideMark/>
          </w:tcPr>
          <w:p w14:paraId="298AFAD9"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BAIXA AT. MONET.</w:t>
            </w:r>
          </w:p>
        </w:tc>
        <w:tc>
          <w:tcPr>
            <w:tcW w:w="758" w:type="pct"/>
            <w:tcBorders>
              <w:top w:val="nil"/>
              <w:left w:val="nil"/>
              <w:bottom w:val="single" w:sz="8" w:space="0" w:color="auto"/>
              <w:right w:val="nil"/>
            </w:tcBorders>
            <w:shd w:val="clear" w:color="auto" w:fill="auto"/>
            <w:vAlign w:val="center"/>
            <w:hideMark/>
          </w:tcPr>
          <w:p w14:paraId="53C6146C" w14:textId="5258C815"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SALDO EM 30/0</w:t>
            </w:r>
            <w:r w:rsidR="00F177F2">
              <w:rPr>
                <w:rFonts w:ascii="Calibri" w:hAnsi="Calibri" w:cs="Calibri"/>
                <w:b/>
                <w:bCs/>
                <w:color w:val="000000"/>
                <w:sz w:val="16"/>
                <w:szCs w:val="16"/>
              </w:rPr>
              <w:t>9</w:t>
            </w:r>
            <w:r w:rsidRPr="001B2742">
              <w:rPr>
                <w:rFonts w:ascii="Calibri" w:hAnsi="Calibri" w:cs="Calibri"/>
                <w:b/>
                <w:bCs/>
                <w:color w:val="000000"/>
                <w:sz w:val="16"/>
                <w:szCs w:val="16"/>
              </w:rPr>
              <w:t>/2021</w:t>
            </w:r>
          </w:p>
        </w:tc>
      </w:tr>
      <w:tr w:rsidR="001B2742" w:rsidRPr="001B2742" w14:paraId="5880F94D" w14:textId="77777777" w:rsidTr="00092B32">
        <w:trPr>
          <w:trHeight w:hRule="exact" w:val="227"/>
        </w:trPr>
        <w:tc>
          <w:tcPr>
            <w:tcW w:w="1220" w:type="pct"/>
            <w:tcBorders>
              <w:top w:val="nil"/>
              <w:left w:val="nil"/>
              <w:bottom w:val="nil"/>
              <w:right w:val="nil"/>
            </w:tcBorders>
            <w:shd w:val="clear" w:color="auto" w:fill="auto"/>
            <w:noWrap/>
            <w:vAlign w:val="center"/>
            <w:hideMark/>
          </w:tcPr>
          <w:p w14:paraId="3501CF24" w14:textId="77777777" w:rsidR="001B2742" w:rsidRPr="001B2742" w:rsidRDefault="001B2742">
            <w:pPr>
              <w:rPr>
                <w:rFonts w:ascii="Calibri" w:hAnsi="Calibri" w:cs="Calibri"/>
                <w:color w:val="000000"/>
                <w:sz w:val="16"/>
                <w:szCs w:val="16"/>
              </w:rPr>
            </w:pPr>
            <w:r w:rsidRPr="001B2742">
              <w:rPr>
                <w:rFonts w:ascii="Calibri" w:hAnsi="Calibri" w:cs="Calibri"/>
                <w:color w:val="000000"/>
                <w:sz w:val="16"/>
                <w:szCs w:val="16"/>
              </w:rPr>
              <w:t>Cíveis</w:t>
            </w:r>
          </w:p>
        </w:tc>
        <w:tc>
          <w:tcPr>
            <w:tcW w:w="621" w:type="pct"/>
            <w:tcBorders>
              <w:top w:val="nil"/>
              <w:left w:val="nil"/>
              <w:bottom w:val="nil"/>
              <w:right w:val="nil"/>
            </w:tcBorders>
            <w:shd w:val="clear" w:color="auto" w:fill="auto"/>
            <w:noWrap/>
            <w:vAlign w:val="center"/>
            <w:hideMark/>
          </w:tcPr>
          <w:p w14:paraId="21747285" w14:textId="77777777" w:rsidR="001B2742" w:rsidRPr="001B2742" w:rsidRDefault="001B2742">
            <w:pPr>
              <w:jc w:val="right"/>
              <w:rPr>
                <w:rFonts w:ascii="Calibri" w:hAnsi="Calibri" w:cs="Calibri"/>
                <w:color w:val="000000"/>
                <w:sz w:val="16"/>
                <w:szCs w:val="16"/>
              </w:rPr>
            </w:pPr>
            <w:r w:rsidRPr="001B2742">
              <w:rPr>
                <w:rFonts w:ascii="Calibri" w:hAnsi="Calibri" w:cs="Calibri"/>
                <w:color w:val="000000"/>
                <w:sz w:val="16"/>
                <w:szCs w:val="16"/>
              </w:rPr>
              <w:t>664.945.628</w:t>
            </w:r>
          </w:p>
        </w:tc>
        <w:tc>
          <w:tcPr>
            <w:tcW w:w="539" w:type="pct"/>
            <w:tcBorders>
              <w:top w:val="nil"/>
              <w:left w:val="nil"/>
              <w:bottom w:val="nil"/>
              <w:right w:val="nil"/>
            </w:tcBorders>
            <w:shd w:val="clear" w:color="auto" w:fill="auto"/>
            <w:noWrap/>
            <w:vAlign w:val="center"/>
            <w:hideMark/>
          </w:tcPr>
          <w:p w14:paraId="0B5A1503" w14:textId="77777777" w:rsidR="001B2742" w:rsidRPr="001B2742" w:rsidRDefault="001B2742">
            <w:pPr>
              <w:jc w:val="right"/>
              <w:rPr>
                <w:rFonts w:ascii="Calibri" w:hAnsi="Calibri" w:cs="Calibri"/>
                <w:color w:val="000000"/>
                <w:sz w:val="16"/>
                <w:szCs w:val="16"/>
              </w:rPr>
            </w:pPr>
            <w:r w:rsidRPr="001B2742">
              <w:rPr>
                <w:rFonts w:ascii="Calibri" w:hAnsi="Calibri" w:cs="Calibri"/>
                <w:color w:val="000000"/>
                <w:sz w:val="16"/>
                <w:szCs w:val="16"/>
              </w:rPr>
              <w:t>0</w:t>
            </w:r>
          </w:p>
        </w:tc>
        <w:tc>
          <w:tcPr>
            <w:tcW w:w="785" w:type="pct"/>
            <w:tcBorders>
              <w:top w:val="nil"/>
              <w:left w:val="nil"/>
              <w:bottom w:val="nil"/>
              <w:right w:val="nil"/>
            </w:tcBorders>
            <w:shd w:val="clear" w:color="auto" w:fill="auto"/>
            <w:noWrap/>
            <w:vAlign w:val="center"/>
            <w:hideMark/>
          </w:tcPr>
          <w:p w14:paraId="19E4CC83" w14:textId="20BD861E" w:rsidR="001B2742" w:rsidRPr="001B2742" w:rsidRDefault="00C60B3F">
            <w:pPr>
              <w:jc w:val="right"/>
              <w:rPr>
                <w:rFonts w:ascii="Calibri" w:hAnsi="Calibri" w:cs="Calibri"/>
                <w:color w:val="000000"/>
                <w:sz w:val="16"/>
                <w:szCs w:val="16"/>
              </w:rPr>
            </w:pPr>
            <w:r>
              <w:rPr>
                <w:rFonts w:ascii="Calibri" w:hAnsi="Calibri" w:cs="Calibri"/>
                <w:color w:val="000000"/>
                <w:sz w:val="16"/>
                <w:szCs w:val="16"/>
              </w:rPr>
              <w:t>64.747.180</w:t>
            </w:r>
          </w:p>
        </w:tc>
        <w:tc>
          <w:tcPr>
            <w:tcW w:w="539" w:type="pct"/>
            <w:tcBorders>
              <w:top w:val="nil"/>
              <w:left w:val="nil"/>
              <w:bottom w:val="nil"/>
              <w:right w:val="nil"/>
            </w:tcBorders>
            <w:shd w:val="clear" w:color="auto" w:fill="auto"/>
            <w:noWrap/>
            <w:vAlign w:val="center"/>
            <w:hideMark/>
          </w:tcPr>
          <w:p w14:paraId="79868ECF" w14:textId="77777777" w:rsidR="001B2742" w:rsidRPr="001B2742" w:rsidRDefault="001B2742">
            <w:pPr>
              <w:jc w:val="right"/>
              <w:rPr>
                <w:rFonts w:ascii="Calibri" w:hAnsi="Calibri" w:cs="Calibri"/>
                <w:color w:val="000000"/>
                <w:sz w:val="16"/>
                <w:szCs w:val="16"/>
              </w:rPr>
            </w:pPr>
            <w:r w:rsidRPr="001B2742">
              <w:rPr>
                <w:rFonts w:ascii="Calibri" w:hAnsi="Calibri" w:cs="Calibri"/>
                <w:color w:val="000000"/>
                <w:sz w:val="16"/>
                <w:szCs w:val="16"/>
              </w:rPr>
              <w:t>0</w:t>
            </w:r>
          </w:p>
        </w:tc>
        <w:tc>
          <w:tcPr>
            <w:tcW w:w="539" w:type="pct"/>
            <w:tcBorders>
              <w:top w:val="nil"/>
              <w:left w:val="nil"/>
              <w:bottom w:val="nil"/>
              <w:right w:val="nil"/>
            </w:tcBorders>
            <w:shd w:val="clear" w:color="auto" w:fill="auto"/>
            <w:noWrap/>
            <w:vAlign w:val="center"/>
            <w:hideMark/>
          </w:tcPr>
          <w:p w14:paraId="3A219782" w14:textId="77777777" w:rsidR="001B2742" w:rsidRPr="001B2742" w:rsidRDefault="001B2742">
            <w:pPr>
              <w:jc w:val="right"/>
              <w:rPr>
                <w:rFonts w:ascii="Calibri" w:hAnsi="Calibri" w:cs="Calibri"/>
                <w:color w:val="000000"/>
                <w:sz w:val="16"/>
                <w:szCs w:val="16"/>
              </w:rPr>
            </w:pPr>
            <w:r w:rsidRPr="001B2742">
              <w:rPr>
                <w:rFonts w:ascii="Calibri" w:hAnsi="Calibri" w:cs="Calibri"/>
                <w:color w:val="000000"/>
                <w:sz w:val="16"/>
                <w:szCs w:val="16"/>
              </w:rPr>
              <w:t>0</w:t>
            </w:r>
          </w:p>
        </w:tc>
        <w:tc>
          <w:tcPr>
            <w:tcW w:w="758" w:type="pct"/>
            <w:tcBorders>
              <w:top w:val="nil"/>
              <w:left w:val="nil"/>
              <w:bottom w:val="nil"/>
              <w:right w:val="nil"/>
            </w:tcBorders>
            <w:shd w:val="clear" w:color="auto" w:fill="auto"/>
            <w:noWrap/>
            <w:vAlign w:val="center"/>
            <w:hideMark/>
          </w:tcPr>
          <w:p w14:paraId="35BE16E4" w14:textId="6F188A83" w:rsidR="001B2742" w:rsidRPr="001B2742" w:rsidRDefault="00C60B3F">
            <w:pPr>
              <w:jc w:val="right"/>
              <w:rPr>
                <w:rFonts w:ascii="Calibri" w:hAnsi="Calibri" w:cs="Calibri"/>
                <w:color w:val="000000"/>
                <w:sz w:val="16"/>
                <w:szCs w:val="16"/>
              </w:rPr>
            </w:pPr>
            <w:r>
              <w:rPr>
                <w:rFonts w:ascii="Calibri" w:hAnsi="Calibri" w:cs="Calibri"/>
                <w:color w:val="000000"/>
                <w:sz w:val="16"/>
                <w:szCs w:val="16"/>
              </w:rPr>
              <w:t>729.692.808</w:t>
            </w:r>
          </w:p>
        </w:tc>
      </w:tr>
      <w:tr w:rsidR="001B2742" w:rsidRPr="001B2742" w14:paraId="3522E563" w14:textId="77777777" w:rsidTr="00092B32">
        <w:trPr>
          <w:trHeight w:hRule="exact" w:val="227"/>
        </w:trPr>
        <w:tc>
          <w:tcPr>
            <w:tcW w:w="1220" w:type="pct"/>
            <w:tcBorders>
              <w:top w:val="nil"/>
              <w:left w:val="nil"/>
              <w:bottom w:val="single" w:sz="8" w:space="0" w:color="auto"/>
              <w:right w:val="nil"/>
            </w:tcBorders>
            <w:shd w:val="clear" w:color="auto" w:fill="auto"/>
            <w:noWrap/>
            <w:vAlign w:val="center"/>
            <w:hideMark/>
          </w:tcPr>
          <w:p w14:paraId="66E8DBF5" w14:textId="77777777" w:rsidR="001B2742" w:rsidRPr="001B2742" w:rsidRDefault="001B2742">
            <w:pPr>
              <w:rPr>
                <w:rFonts w:ascii="Calibri" w:hAnsi="Calibri" w:cs="Calibri"/>
                <w:color w:val="000000"/>
                <w:sz w:val="16"/>
                <w:szCs w:val="16"/>
              </w:rPr>
            </w:pPr>
            <w:r w:rsidRPr="001B2742">
              <w:rPr>
                <w:rFonts w:ascii="Calibri" w:hAnsi="Calibri" w:cs="Calibri"/>
                <w:color w:val="000000"/>
                <w:sz w:val="16"/>
                <w:szCs w:val="16"/>
              </w:rPr>
              <w:t>Trabalhistas</w:t>
            </w:r>
          </w:p>
        </w:tc>
        <w:tc>
          <w:tcPr>
            <w:tcW w:w="621" w:type="pct"/>
            <w:tcBorders>
              <w:top w:val="nil"/>
              <w:left w:val="nil"/>
              <w:bottom w:val="single" w:sz="8" w:space="0" w:color="auto"/>
              <w:right w:val="nil"/>
            </w:tcBorders>
            <w:shd w:val="clear" w:color="auto" w:fill="auto"/>
            <w:noWrap/>
            <w:vAlign w:val="center"/>
            <w:hideMark/>
          </w:tcPr>
          <w:p w14:paraId="0E4B2FCE" w14:textId="77777777" w:rsidR="001B2742" w:rsidRPr="001B2742" w:rsidRDefault="001B2742">
            <w:pPr>
              <w:jc w:val="right"/>
              <w:rPr>
                <w:rFonts w:ascii="Calibri" w:hAnsi="Calibri" w:cs="Calibri"/>
                <w:color w:val="000000"/>
                <w:sz w:val="16"/>
                <w:szCs w:val="16"/>
              </w:rPr>
            </w:pPr>
            <w:r w:rsidRPr="001B2742">
              <w:rPr>
                <w:rFonts w:ascii="Calibri" w:hAnsi="Calibri" w:cs="Calibri"/>
                <w:color w:val="000000"/>
                <w:sz w:val="16"/>
                <w:szCs w:val="16"/>
              </w:rPr>
              <w:t>101.185.091</w:t>
            </w:r>
          </w:p>
        </w:tc>
        <w:tc>
          <w:tcPr>
            <w:tcW w:w="539" w:type="pct"/>
            <w:tcBorders>
              <w:top w:val="nil"/>
              <w:left w:val="nil"/>
              <w:bottom w:val="single" w:sz="8" w:space="0" w:color="auto"/>
              <w:right w:val="nil"/>
            </w:tcBorders>
            <w:shd w:val="clear" w:color="auto" w:fill="auto"/>
            <w:noWrap/>
            <w:vAlign w:val="center"/>
            <w:hideMark/>
          </w:tcPr>
          <w:p w14:paraId="7575B797" w14:textId="77777777" w:rsidR="001B2742" w:rsidRPr="001B2742" w:rsidRDefault="001B2742">
            <w:pPr>
              <w:jc w:val="right"/>
              <w:rPr>
                <w:rFonts w:ascii="Calibri" w:hAnsi="Calibri" w:cs="Calibri"/>
                <w:color w:val="000000"/>
                <w:sz w:val="16"/>
                <w:szCs w:val="16"/>
              </w:rPr>
            </w:pPr>
            <w:r w:rsidRPr="001B2742">
              <w:rPr>
                <w:rFonts w:ascii="Calibri" w:hAnsi="Calibri" w:cs="Calibri"/>
                <w:color w:val="000000"/>
                <w:sz w:val="16"/>
                <w:szCs w:val="16"/>
              </w:rPr>
              <w:t>0</w:t>
            </w:r>
          </w:p>
        </w:tc>
        <w:tc>
          <w:tcPr>
            <w:tcW w:w="785" w:type="pct"/>
            <w:tcBorders>
              <w:top w:val="nil"/>
              <w:left w:val="nil"/>
              <w:bottom w:val="single" w:sz="8" w:space="0" w:color="auto"/>
              <w:right w:val="nil"/>
            </w:tcBorders>
            <w:shd w:val="clear" w:color="auto" w:fill="auto"/>
            <w:noWrap/>
            <w:vAlign w:val="center"/>
            <w:hideMark/>
          </w:tcPr>
          <w:p w14:paraId="4011202E" w14:textId="322821DC" w:rsidR="001B2742" w:rsidRPr="001B2742" w:rsidRDefault="00C60B3F">
            <w:pPr>
              <w:jc w:val="right"/>
              <w:rPr>
                <w:rFonts w:ascii="Calibri" w:hAnsi="Calibri" w:cs="Calibri"/>
                <w:color w:val="000000"/>
                <w:sz w:val="16"/>
                <w:szCs w:val="16"/>
              </w:rPr>
            </w:pPr>
            <w:r>
              <w:rPr>
                <w:rFonts w:ascii="Calibri" w:hAnsi="Calibri" w:cs="Calibri"/>
                <w:color w:val="000000"/>
                <w:sz w:val="16"/>
                <w:szCs w:val="16"/>
              </w:rPr>
              <w:t>5.920.494</w:t>
            </w:r>
          </w:p>
        </w:tc>
        <w:tc>
          <w:tcPr>
            <w:tcW w:w="539" w:type="pct"/>
            <w:tcBorders>
              <w:top w:val="nil"/>
              <w:left w:val="nil"/>
              <w:bottom w:val="single" w:sz="8" w:space="0" w:color="auto"/>
              <w:right w:val="nil"/>
            </w:tcBorders>
            <w:shd w:val="clear" w:color="auto" w:fill="auto"/>
            <w:noWrap/>
            <w:vAlign w:val="center"/>
            <w:hideMark/>
          </w:tcPr>
          <w:p w14:paraId="6C0C5628" w14:textId="77777777" w:rsidR="001B2742" w:rsidRPr="001B2742" w:rsidRDefault="001B2742">
            <w:pPr>
              <w:jc w:val="right"/>
              <w:rPr>
                <w:rFonts w:ascii="Calibri" w:hAnsi="Calibri" w:cs="Calibri"/>
                <w:color w:val="000000"/>
                <w:sz w:val="16"/>
                <w:szCs w:val="16"/>
              </w:rPr>
            </w:pPr>
            <w:r w:rsidRPr="001B2742">
              <w:rPr>
                <w:rFonts w:ascii="Calibri" w:hAnsi="Calibri" w:cs="Calibri"/>
                <w:color w:val="000000"/>
                <w:sz w:val="16"/>
                <w:szCs w:val="16"/>
              </w:rPr>
              <w:t>0</w:t>
            </w:r>
          </w:p>
        </w:tc>
        <w:tc>
          <w:tcPr>
            <w:tcW w:w="539" w:type="pct"/>
            <w:tcBorders>
              <w:top w:val="nil"/>
              <w:left w:val="nil"/>
              <w:bottom w:val="single" w:sz="8" w:space="0" w:color="auto"/>
              <w:right w:val="nil"/>
            </w:tcBorders>
            <w:shd w:val="clear" w:color="auto" w:fill="auto"/>
            <w:noWrap/>
            <w:vAlign w:val="center"/>
            <w:hideMark/>
          </w:tcPr>
          <w:p w14:paraId="30522761" w14:textId="77777777" w:rsidR="001B2742" w:rsidRPr="001B2742" w:rsidRDefault="001B2742">
            <w:pPr>
              <w:jc w:val="right"/>
              <w:rPr>
                <w:rFonts w:ascii="Calibri" w:hAnsi="Calibri" w:cs="Calibri"/>
                <w:color w:val="000000"/>
                <w:sz w:val="16"/>
                <w:szCs w:val="16"/>
              </w:rPr>
            </w:pPr>
            <w:r w:rsidRPr="001B2742">
              <w:rPr>
                <w:rFonts w:ascii="Calibri" w:hAnsi="Calibri" w:cs="Calibri"/>
                <w:color w:val="000000"/>
                <w:sz w:val="16"/>
                <w:szCs w:val="16"/>
              </w:rPr>
              <w:t>0</w:t>
            </w:r>
          </w:p>
        </w:tc>
        <w:tc>
          <w:tcPr>
            <w:tcW w:w="758" w:type="pct"/>
            <w:tcBorders>
              <w:top w:val="nil"/>
              <w:left w:val="nil"/>
              <w:bottom w:val="single" w:sz="8" w:space="0" w:color="auto"/>
              <w:right w:val="nil"/>
            </w:tcBorders>
            <w:shd w:val="clear" w:color="auto" w:fill="auto"/>
            <w:noWrap/>
            <w:vAlign w:val="center"/>
            <w:hideMark/>
          </w:tcPr>
          <w:p w14:paraId="5ABD8EFA" w14:textId="6E8B827F" w:rsidR="001B2742" w:rsidRPr="001B2742" w:rsidRDefault="001110A6">
            <w:pPr>
              <w:jc w:val="right"/>
              <w:rPr>
                <w:rFonts w:ascii="Calibri" w:hAnsi="Calibri" w:cs="Calibri"/>
                <w:color w:val="000000"/>
                <w:sz w:val="16"/>
                <w:szCs w:val="16"/>
              </w:rPr>
            </w:pPr>
            <w:r>
              <w:rPr>
                <w:rFonts w:ascii="Calibri" w:hAnsi="Calibri" w:cs="Calibri"/>
                <w:color w:val="000000"/>
                <w:sz w:val="16"/>
                <w:szCs w:val="16"/>
              </w:rPr>
              <w:t>107.105.58</w:t>
            </w:r>
            <w:r w:rsidR="00261F7F">
              <w:rPr>
                <w:rFonts w:ascii="Calibri" w:hAnsi="Calibri" w:cs="Calibri"/>
                <w:color w:val="000000"/>
                <w:sz w:val="16"/>
                <w:szCs w:val="16"/>
              </w:rPr>
              <w:t>5</w:t>
            </w:r>
          </w:p>
        </w:tc>
      </w:tr>
      <w:tr w:rsidR="001B2742" w:rsidRPr="001B2742" w14:paraId="5BCACA8D" w14:textId="77777777" w:rsidTr="00092B32">
        <w:trPr>
          <w:trHeight w:hRule="exact" w:val="227"/>
        </w:trPr>
        <w:tc>
          <w:tcPr>
            <w:tcW w:w="1220" w:type="pct"/>
            <w:tcBorders>
              <w:top w:val="nil"/>
              <w:left w:val="nil"/>
              <w:bottom w:val="single" w:sz="8" w:space="0" w:color="auto"/>
              <w:right w:val="nil"/>
            </w:tcBorders>
            <w:shd w:val="clear" w:color="auto" w:fill="auto"/>
            <w:noWrap/>
            <w:vAlign w:val="center"/>
            <w:hideMark/>
          </w:tcPr>
          <w:p w14:paraId="16C6D545" w14:textId="77777777" w:rsidR="001B2742" w:rsidRPr="001B2742" w:rsidRDefault="001B2742">
            <w:pPr>
              <w:rPr>
                <w:rFonts w:ascii="Calibri" w:hAnsi="Calibri" w:cs="Calibri"/>
                <w:b/>
                <w:bCs/>
                <w:color w:val="000000"/>
                <w:sz w:val="16"/>
                <w:szCs w:val="16"/>
              </w:rPr>
            </w:pPr>
            <w:r w:rsidRPr="001B2742">
              <w:rPr>
                <w:rFonts w:ascii="Calibri" w:hAnsi="Calibri" w:cs="Calibri"/>
                <w:b/>
                <w:bCs/>
                <w:color w:val="000000"/>
                <w:sz w:val="16"/>
                <w:szCs w:val="16"/>
              </w:rPr>
              <w:t>SALDO</w:t>
            </w:r>
          </w:p>
        </w:tc>
        <w:tc>
          <w:tcPr>
            <w:tcW w:w="621" w:type="pct"/>
            <w:tcBorders>
              <w:top w:val="nil"/>
              <w:left w:val="nil"/>
              <w:bottom w:val="single" w:sz="8" w:space="0" w:color="auto"/>
              <w:right w:val="nil"/>
            </w:tcBorders>
            <w:shd w:val="clear" w:color="auto" w:fill="auto"/>
            <w:noWrap/>
            <w:vAlign w:val="center"/>
            <w:hideMark/>
          </w:tcPr>
          <w:p w14:paraId="64F0646C"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766.130.719</w:t>
            </w:r>
          </w:p>
        </w:tc>
        <w:tc>
          <w:tcPr>
            <w:tcW w:w="539" w:type="pct"/>
            <w:tcBorders>
              <w:top w:val="nil"/>
              <w:left w:val="nil"/>
              <w:bottom w:val="single" w:sz="8" w:space="0" w:color="auto"/>
              <w:right w:val="nil"/>
            </w:tcBorders>
            <w:shd w:val="clear" w:color="auto" w:fill="auto"/>
            <w:noWrap/>
            <w:vAlign w:val="center"/>
            <w:hideMark/>
          </w:tcPr>
          <w:p w14:paraId="75497173"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0</w:t>
            </w:r>
          </w:p>
        </w:tc>
        <w:tc>
          <w:tcPr>
            <w:tcW w:w="785" w:type="pct"/>
            <w:tcBorders>
              <w:top w:val="nil"/>
              <w:left w:val="nil"/>
              <w:bottom w:val="single" w:sz="8" w:space="0" w:color="auto"/>
              <w:right w:val="nil"/>
            </w:tcBorders>
            <w:shd w:val="clear" w:color="auto" w:fill="auto"/>
            <w:noWrap/>
            <w:vAlign w:val="center"/>
            <w:hideMark/>
          </w:tcPr>
          <w:p w14:paraId="1D925066" w14:textId="1478BB2D" w:rsidR="001B2742" w:rsidRPr="001B2742" w:rsidRDefault="00C60B3F">
            <w:pPr>
              <w:jc w:val="right"/>
              <w:rPr>
                <w:rFonts w:ascii="Calibri" w:hAnsi="Calibri" w:cs="Calibri"/>
                <w:b/>
                <w:bCs/>
                <w:color w:val="000000"/>
                <w:sz w:val="16"/>
                <w:szCs w:val="16"/>
              </w:rPr>
            </w:pPr>
            <w:r>
              <w:rPr>
                <w:rFonts w:ascii="Calibri" w:hAnsi="Calibri" w:cs="Calibri"/>
                <w:b/>
                <w:bCs/>
                <w:color w:val="000000"/>
                <w:sz w:val="16"/>
                <w:szCs w:val="16"/>
              </w:rPr>
              <w:t>70.667.674</w:t>
            </w:r>
          </w:p>
        </w:tc>
        <w:tc>
          <w:tcPr>
            <w:tcW w:w="539" w:type="pct"/>
            <w:tcBorders>
              <w:top w:val="nil"/>
              <w:left w:val="nil"/>
              <w:bottom w:val="single" w:sz="8" w:space="0" w:color="auto"/>
              <w:right w:val="nil"/>
            </w:tcBorders>
            <w:shd w:val="clear" w:color="auto" w:fill="auto"/>
            <w:noWrap/>
            <w:vAlign w:val="center"/>
            <w:hideMark/>
          </w:tcPr>
          <w:p w14:paraId="11232A35"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0</w:t>
            </w:r>
          </w:p>
        </w:tc>
        <w:tc>
          <w:tcPr>
            <w:tcW w:w="539" w:type="pct"/>
            <w:tcBorders>
              <w:top w:val="nil"/>
              <w:left w:val="nil"/>
              <w:bottom w:val="single" w:sz="8" w:space="0" w:color="auto"/>
              <w:right w:val="nil"/>
            </w:tcBorders>
            <w:shd w:val="clear" w:color="auto" w:fill="auto"/>
            <w:noWrap/>
            <w:vAlign w:val="center"/>
            <w:hideMark/>
          </w:tcPr>
          <w:p w14:paraId="0D16DBDE"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0</w:t>
            </w:r>
          </w:p>
        </w:tc>
        <w:tc>
          <w:tcPr>
            <w:tcW w:w="758" w:type="pct"/>
            <w:tcBorders>
              <w:top w:val="nil"/>
              <w:left w:val="nil"/>
              <w:bottom w:val="single" w:sz="8" w:space="0" w:color="auto"/>
              <w:right w:val="nil"/>
            </w:tcBorders>
            <w:shd w:val="clear" w:color="auto" w:fill="auto"/>
            <w:noWrap/>
            <w:vAlign w:val="center"/>
            <w:hideMark/>
          </w:tcPr>
          <w:p w14:paraId="40FD985C" w14:textId="7D6D4C6C" w:rsidR="001B2742" w:rsidRPr="001B2742" w:rsidRDefault="001110A6">
            <w:pPr>
              <w:jc w:val="right"/>
              <w:rPr>
                <w:rFonts w:ascii="Calibri" w:hAnsi="Calibri" w:cs="Calibri"/>
                <w:b/>
                <w:bCs/>
                <w:color w:val="000000"/>
                <w:sz w:val="16"/>
                <w:szCs w:val="16"/>
              </w:rPr>
            </w:pPr>
            <w:r>
              <w:rPr>
                <w:rFonts w:ascii="Calibri" w:hAnsi="Calibri" w:cs="Calibri"/>
                <w:b/>
                <w:bCs/>
                <w:color w:val="000000"/>
                <w:sz w:val="16"/>
                <w:szCs w:val="16"/>
              </w:rPr>
              <w:t>836.798.29</w:t>
            </w:r>
            <w:r w:rsidR="00261F7F">
              <w:rPr>
                <w:rFonts w:ascii="Calibri" w:hAnsi="Calibri" w:cs="Calibri"/>
                <w:b/>
                <w:bCs/>
                <w:color w:val="000000"/>
                <w:sz w:val="16"/>
                <w:szCs w:val="16"/>
              </w:rPr>
              <w:t>3</w:t>
            </w:r>
          </w:p>
        </w:tc>
      </w:tr>
      <w:tr w:rsidR="001B2742" w:rsidRPr="001B2742" w14:paraId="648232E5" w14:textId="77777777" w:rsidTr="00092B32">
        <w:trPr>
          <w:trHeight w:hRule="exact" w:val="227"/>
        </w:trPr>
        <w:tc>
          <w:tcPr>
            <w:tcW w:w="1220" w:type="pct"/>
            <w:tcBorders>
              <w:top w:val="nil"/>
              <w:left w:val="nil"/>
              <w:bottom w:val="single" w:sz="8" w:space="0" w:color="auto"/>
              <w:right w:val="nil"/>
            </w:tcBorders>
            <w:shd w:val="clear" w:color="auto" w:fill="auto"/>
            <w:noWrap/>
            <w:vAlign w:val="center"/>
            <w:hideMark/>
          </w:tcPr>
          <w:p w14:paraId="0DC967DB" w14:textId="77777777" w:rsidR="001B2742" w:rsidRPr="001B2742" w:rsidRDefault="001B2742">
            <w:pPr>
              <w:rPr>
                <w:rFonts w:ascii="Calibri" w:hAnsi="Calibri" w:cs="Calibri"/>
                <w:b/>
                <w:bCs/>
                <w:color w:val="000000"/>
                <w:sz w:val="16"/>
                <w:szCs w:val="16"/>
              </w:rPr>
            </w:pPr>
            <w:r w:rsidRPr="001B2742">
              <w:rPr>
                <w:rFonts w:ascii="Calibri" w:hAnsi="Calibri" w:cs="Calibri"/>
                <w:b/>
                <w:bCs/>
                <w:color w:val="000000"/>
                <w:sz w:val="16"/>
                <w:szCs w:val="16"/>
              </w:rPr>
              <w:t>Cíveis (Curto Prazo)</w:t>
            </w:r>
          </w:p>
        </w:tc>
        <w:tc>
          <w:tcPr>
            <w:tcW w:w="621" w:type="pct"/>
            <w:tcBorders>
              <w:top w:val="nil"/>
              <w:left w:val="nil"/>
              <w:bottom w:val="single" w:sz="8" w:space="0" w:color="auto"/>
              <w:right w:val="nil"/>
            </w:tcBorders>
            <w:shd w:val="clear" w:color="auto" w:fill="auto"/>
            <w:noWrap/>
            <w:vAlign w:val="center"/>
            <w:hideMark/>
          </w:tcPr>
          <w:p w14:paraId="02A1EDDE"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250.054.533</w:t>
            </w:r>
          </w:p>
        </w:tc>
        <w:tc>
          <w:tcPr>
            <w:tcW w:w="539" w:type="pct"/>
            <w:tcBorders>
              <w:top w:val="nil"/>
              <w:left w:val="nil"/>
              <w:bottom w:val="single" w:sz="8" w:space="0" w:color="auto"/>
              <w:right w:val="nil"/>
            </w:tcBorders>
            <w:shd w:val="clear" w:color="auto" w:fill="auto"/>
            <w:noWrap/>
            <w:vAlign w:val="center"/>
            <w:hideMark/>
          </w:tcPr>
          <w:p w14:paraId="192EFEB2"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0</w:t>
            </w:r>
          </w:p>
        </w:tc>
        <w:tc>
          <w:tcPr>
            <w:tcW w:w="785" w:type="pct"/>
            <w:tcBorders>
              <w:top w:val="nil"/>
              <w:left w:val="nil"/>
              <w:bottom w:val="single" w:sz="8" w:space="0" w:color="auto"/>
              <w:right w:val="nil"/>
            </w:tcBorders>
            <w:shd w:val="clear" w:color="auto" w:fill="auto"/>
            <w:noWrap/>
            <w:vAlign w:val="center"/>
          </w:tcPr>
          <w:p w14:paraId="3AEDAA1D" w14:textId="47189BB2" w:rsidR="001B2742" w:rsidRPr="001B2742" w:rsidRDefault="00092B32">
            <w:pPr>
              <w:jc w:val="right"/>
              <w:rPr>
                <w:rFonts w:ascii="Calibri" w:hAnsi="Calibri" w:cs="Calibri"/>
                <w:b/>
                <w:bCs/>
                <w:color w:val="000000"/>
                <w:sz w:val="16"/>
                <w:szCs w:val="16"/>
              </w:rPr>
            </w:pPr>
            <w:r>
              <w:rPr>
                <w:rFonts w:ascii="Calibri" w:hAnsi="Calibri" w:cs="Calibri"/>
                <w:b/>
                <w:bCs/>
                <w:color w:val="000000"/>
                <w:sz w:val="16"/>
                <w:szCs w:val="16"/>
              </w:rPr>
              <w:t>23.025.502</w:t>
            </w:r>
          </w:p>
        </w:tc>
        <w:tc>
          <w:tcPr>
            <w:tcW w:w="539" w:type="pct"/>
            <w:tcBorders>
              <w:top w:val="nil"/>
              <w:left w:val="nil"/>
              <w:bottom w:val="single" w:sz="8" w:space="0" w:color="auto"/>
              <w:right w:val="nil"/>
            </w:tcBorders>
            <w:shd w:val="clear" w:color="auto" w:fill="auto"/>
            <w:noWrap/>
            <w:vAlign w:val="center"/>
            <w:hideMark/>
          </w:tcPr>
          <w:p w14:paraId="4AA3F4E6"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0</w:t>
            </w:r>
          </w:p>
        </w:tc>
        <w:tc>
          <w:tcPr>
            <w:tcW w:w="539" w:type="pct"/>
            <w:tcBorders>
              <w:top w:val="nil"/>
              <w:left w:val="nil"/>
              <w:bottom w:val="single" w:sz="8" w:space="0" w:color="auto"/>
              <w:right w:val="nil"/>
            </w:tcBorders>
            <w:shd w:val="clear" w:color="auto" w:fill="auto"/>
            <w:noWrap/>
            <w:vAlign w:val="center"/>
            <w:hideMark/>
          </w:tcPr>
          <w:p w14:paraId="0EF6F7A5"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0</w:t>
            </w:r>
          </w:p>
        </w:tc>
        <w:tc>
          <w:tcPr>
            <w:tcW w:w="758" w:type="pct"/>
            <w:tcBorders>
              <w:top w:val="nil"/>
              <w:left w:val="nil"/>
              <w:bottom w:val="single" w:sz="8" w:space="0" w:color="auto"/>
              <w:right w:val="nil"/>
            </w:tcBorders>
            <w:shd w:val="clear" w:color="auto" w:fill="auto"/>
            <w:noWrap/>
            <w:vAlign w:val="center"/>
            <w:hideMark/>
          </w:tcPr>
          <w:p w14:paraId="3387317C" w14:textId="067B71BB" w:rsidR="001B2742" w:rsidRPr="001B2742" w:rsidRDefault="00092B32">
            <w:pPr>
              <w:jc w:val="right"/>
              <w:rPr>
                <w:rFonts w:ascii="Calibri" w:hAnsi="Calibri" w:cs="Calibri"/>
                <w:b/>
                <w:bCs/>
                <w:color w:val="000000"/>
                <w:sz w:val="16"/>
                <w:szCs w:val="16"/>
              </w:rPr>
            </w:pPr>
            <w:r>
              <w:rPr>
                <w:rFonts w:ascii="Calibri" w:hAnsi="Calibri" w:cs="Calibri"/>
                <w:b/>
                <w:bCs/>
                <w:color w:val="000000"/>
                <w:sz w:val="16"/>
                <w:szCs w:val="16"/>
              </w:rPr>
              <w:t>273.080.035</w:t>
            </w:r>
          </w:p>
        </w:tc>
      </w:tr>
      <w:tr w:rsidR="001B2742" w:rsidRPr="001B2742" w14:paraId="323F815B" w14:textId="77777777" w:rsidTr="00092B32">
        <w:trPr>
          <w:trHeight w:hRule="exact" w:val="227"/>
        </w:trPr>
        <w:tc>
          <w:tcPr>
            <w:tcW w:w="1220" w:type="pct"/>
            <w:tcBorders>
              <w:top w:val="nil"/>
              <w:left w:val="nil"/>
              <w:bottom w:val="single" w:sz="8" w:space="0" w:color="auto"/>
              <w:right w:val="nil"/>
            </w:tcBorders>
            <w:shd w:val="clear" w:color="auto" w:fill="auto"/>
            <w:noWrap/>
            <w:vAlign w:val="center"/>
            <w:hideMark/>
          </w:tcPr>
          <w:p w14:paraId="71E754A7" w14:textId="77777777" w:rsidR="001B2742" w:rsidRPr="001B2742" w:rsidRDefault="001B2742">
            <w:pPr>
              <w:rPr>
                <w:rFonts w:ascii="Calibri" w:hAnsi="Calibri" w:cs="Calibri"/>
                <w:b/>
                <w:bCs/>
                <w:color w:val="000000"/>
                <w:sz w:val="16"/>
                <w:szCs w:val="16"/>
              </w:rPr>
            </w:pPr>
            <w:r w:rsidRPr="001B2742">
              <w:rPr>
                <w:rFonts w:ascii="Calibri" w:hAnsi="Calibri" w:cs="Calibri"/>
                <w:b/>
                <w:bCs/>
                <w:color w:val="000000"/>
                <w:sz w:val="16"/>
                <w:szCs w:val="16"/>
              </w:rPr>
              <w:t>Trabalhistas (Curto Prazo)</w:t>
            </w:r>
          </w:p>
        </w:tc>
        <w:tc>
          <w:tcPr>
            <w:tcW w:w="621" w:type="pct"/>
            <w:tcBorders>
              <w:top w:val="nil"/>
              <w:left w:val="nil"/>
              <w:bottom w:val="single" w:sz="8" w:space="0" w:color="auto"/>
              <w:right w:val="nil"/>
            </w:tcBorders>
            <w:shd w:val="clear" w:color="auto" w:fill="auto"/>
            <w:noWrap/>
            <w:vAlign w:val="center"/>
            <w:hideMark/>
          </w:tcPr>
          <w:p w14:paraId="52A78639"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40.917.233</w:t>
            </w:r>
          </w:p>
        </w:tc>
        <w:tc>
          <w:tcPr>
            <w:tcW w:w="539" w:type="pct"/>
            <w:tcBorders>
              <w:top w:val="nil"/>
              <w:left w:val="nil"/>
              <w:bottom w:val="single" w:sz="8" w:space="0" w:color="auto"/>
              <w:right w:val="nil"/>
            </w:tcBorders>
            <w:shd w:val="clear" w:color="auto" w:fill="auto"/>
            <w:noWrap/>
            <w:vAlign w:val="center"/>
            <w:hideMark/>
          </w:tcPr>
          <w:p w14:paraId="7FD526C6"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0</w:t>
            </w:r>
          </w:p>
        </w:tc>
        <w:tc>
          <w:tcPr>
            <w:tcW w:w="785" w:type="pct"/>
            <w:tcBorders>
              <w:top w:val="nil"/>
              <w:left w:val="nil"/>
              <w:bottom w:val="single" w:sz="8" w:space="0" w:color="auto"/>
              <w:right w:val="nil"/>
            </w:tcBorders>
            <w:shd w:val="clear" w:color="auto" w:fill="auto"/>
            <w:noWrap/>
            <w:vAlign w:val="center"/>
          </w:tcPr>
          <w:p w14:paraId="2F3D739D" w14:textId="03C104AA" w:rsidR="001B2742" w:rsidRPr="001B2742" w:rsidRDefault="00092B32">
            <w:pPr>
              <w:jc w:val="right"/>
              <w:rPr>
                <w:rFonts w:ascii="Calibri" w:hAnsi="Calibri" w:cs="Calibri"/>
                <w:b/>
                <w:bCs/>
                <w:color w:val="000000"/>
                <w:sz w:val="16"/>
                <w:szCs w:val="16"/>
              </w:rPr>
            </w:pPr>
            <w:r>
              <w:rPr>
                <w:rFonts w:ascii="Calibri" w:hAnsi="Calibri" w:cs="Calibri"/>
                <w:b/>
                <w:bCs/>
                <w:color w:val="000000"/>
                <w:sz w:val="16"/>
                <w:szCs w:val="16"/>
              </w:rPr>
              <w:t>1.836.883</w:t>
            </w:r>
          </w:p>
        </w:tc>
        <w:tc>
          <w:tcPr>
            <w:tcW w:w="539" w:type="pct"/>
            <w:tcBorders>
              <w:top w:val="nil"/>
              <w:left w:val="nil"/>
              <w:bottom w:val="single" w:sz="8" w:space="0" w:color="auto"/>
              <w:right w:val="nil"/>
            </w:tcBorders>
            <w:shd w:val="clear" w:color="auto" w:fill="auto"/>
            <w:noWrap/>
            <w:vAlign w:val="center"/>
            <w:hideMark/>
          </w:tcPr>
          <w:p w14:paraId="63892746"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0</w:t>
            </w:r>
          </w:p>
        </w:tc>
        <w:tc>
          <w:tcPr>
            <w:tcW w:w="539" w:type="pct"/>
            <w:tcBorders>
              <w:top w:val="nil"/>
              <w:left w:val="nil"/>
              <w:bottom w:val="single" w:sz="8" w:space="0" w:color="auto"/>
              <w:right w:val="nil"/>
            </w:tcBorders>
            <w:shd w:val="clear" w:color="auto" w:fill="auto"/>
            <w:noWrap/>
            <w:vAlign w:val="center"/>
            <w:hideMark/>
          </w:tcPr>
          <w:p w14:paraId="1FB48F15" w14:textId="77777777"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0</w:t>
            </w:r>
          </w:p>
        </w:tc>
        <w:tc>
          <w:tcPr>
            <w:tcW w:w="758" w:type="pct"/>
            <w:tcBorders>
              <w:top w:val="nil"/>
              <w:left w:val="nil"/>
              <w:bottom w:val="single" w:sz="8" w:space="0" w:color="auto"/>
              <w:right w:val="nil"/>
            </w:tcBorders>
            <w:shd w:val="clear" w:color="auto" w:fill="auto"/>
            <w:noWrap/>
            <w:vAlign w:val="center"/>
            <w:hideMark/>
          </w:tcPr>
          <w:p w14:paraId="6CE1EC9F" w14:textId="08325FD2" w:rsidR="001B2742" w:rsidRPr="001B2742" w:rsidRDefault="001B2742">
            <w:pPr>
              <w:jc w:val="right"/>
              <w:rPr>
                <w:rFonts w:ascii="Calibri" w:hAnsi="Calibri" w:cs="Calibri"/>
                <w:b/>
                <w:bCs/>
                <w:color w:val="000000"/>
                <w:sz w:val="16"/>
                <w:szCs w:val="16"/>
              </w:rPr>
            </w:pPr>
            <w:r w:rsidRPr="001B2742">
              <w:rPr>
                <w:rFonts w:ascii="Calibri" w:hAnsi="Calibri" w:cs="Calibri"/>
                <w:b/>
                <w:bCs/>
                <w:color w:val="000000"/>
                <w:sz w:val="16"/>
                <w:szCs w:val="16"/>
              </w:rPr>
              <w:t>42.</w:t>
            </w:r>
            <w:r w:rsidR="00092B32">
              <w:rPr>
                <w:rFonts w:ascii="Calibri" w:hAnsi="Calibri" w:cs="Calibri"/>
                <w:b/>
                <w:bCs/>
                <w:color w:val="000000"/>
                <w:sz w:val="16"/>
                <w:szCs w:val="16"/>
              </w:rPr>
              <w:t>754.116</w:t>
            </w:r>
          </w:p>
        </w:tc>
      </w:tr>
      <w:tr w:rsidR="00092B32" w:rsidRPr="001B2742" w14:paraId="173C636E" w14:textId="77777777" w:rsidTr="00092B32">
        <w:trPr>
          <w:trHeight w:hRule="exact" w:val="227"/>
        </w:trPr>
        <w:tc>
          <w:tcPr>
            <w:tcW w:w="1220" w:type="pct"/>
            <w:tcBorders>
              <w:top w:val="nil"/>
              <w:left w:val="nil"/>
              <w:bottom w:val="single" w:sz="8" w:space="0" w:color="auto"/>
              <w:right w:val="nil"/>
            </w:tcBorders>
            <w:shd w:val="clear" w:color="auto" w:fill="auto"/>
            <w:noWrap/>
            <w:vAlign w:val="center"/>
            <w:hideMark/>
          </w:tcPr>
          <w:p w14:paraId="4952419F" w14:textId="77777777" w:rsidR="00092B32" w:rsidRPr="001B2742" w:rsidRDefault="00092B32" w:rsidP="00092B32">
            <w:pPr>
              <w:rPr>
                <w:rFonts w:ascii="Calibri" w:hAnsi="Calibri" w:cs="Calibri"/>
                <w:b/>
                <w:bCs/>
                <w:color w:val="000000"/>
                <w:sz w:val="16"/>
                <w:szCs w:val="16"/>
              </w:rPr>
            </w:pPr>
            <w:r w:rsidRPr="001B2742">
              <w:rPr>
                <w:rFonts w:ascii="Calibri" w:hAnsi="Calibri" w:cs="Calibri"/>
                <w:b/>
                <w:bCs/>
                <w:color w:val="000000"/>
                <w:sz w:val="16"/>
                <w:szCs w:val="16"/>
              </w:rPr>
              <w:t>Cíveis (Longo Prazo)</w:t>
            </w:r>
          </w:p>
        </w:tc>
        <w:tc>
          <w:tcPr>
            <w:tcW w:w="621" w:type="pct"/>
            <w:tcBorders>
              <w:top w:val="nil"/>
              <w:left w:val="nil"/>
              <w:bottom w:val="single" w:sz="8" w:space="0" w:color="auto"/>
              <w:right w:val="nil"/>
            </w:tcBorders>
            <w:shd w:val="clear" w:color="auto" w:fill="auto"/>
            <w:noWrap/>
            <w:vAlign w:val="center"/>
            <w:hideMark/>
          </w:tcPr>
          <w:p w14:paraId="73AC4820" w14:textId="77777777" w:rsidR="00092B32" w:rsidRPr="001B2742" w:rsidRDefault="00092B32" w:rsidP="00092B32">
            <w:pPr>
              <w:jc w:val="right"/>
              <w:rPr>
                <w:rFonts w:ascii="Calibri" w:hAnsi="Calibri" w:cs="Calibri"/>
                <w:b/>
                <w:bCs/>
                <w:color w:val="000000"/>
                <w:sz w:val="16"/>
                <w:szCs w:val="16"/>
              </w:rPr>
            </w:pPr>
            <w:r w:rsidRPr="001B2742">
              <w:rPr>
                <w:rFonts w:ascii="Calibri" w:hAnsi="Calibri" w:cs="Calibri"/>
                <w:b/>
                <w:bCs/>
                <w:color w:val="000000"/>
                <w:sz w:val="16"/>
                <w:szCs w:val="16"/>
              </w:rPr>
              <w:t>414.891.095</w:t>
            </w:r>
          </w:p>
        </w:tc>
        <w:tc>
          <w:tcPr>
            <w:tcW w:w="539" w:type="pct"/>
            <w:tcBorders>
              <w:top w:val="nil"/>
              <w:left w:val="nil"/>
              <w:bottom w:val="single" w:sz="8" w:space="0" w:color="auto"/>
              <w:right w:val="nil"/>
            </w:tcBorders>
            <w:shd w:val="clear" w:color="auto" w:fill="auto"/>
            <w:noWrap/>
            <w:vAlign w:val="center"/>
            <w:hideMark/>
          </w:tcPr>
          <w:p w14:paraId="3357EBE3" w14:textId="77777777" w:rsidR="00092B32" w:rsidRPr="001B2742" w:rsidRDefault="00092B32" w:rsidP="00092B32">
            <w:pPr>
              <w:jc w:val="right"/>
              <w:rPr>
                <w:rFonts w:ascii="Calibri" w:hAnsi="Calibri" w:cs="Calibri"/>
                <w:b/>
                <w:bCs/>
                <w:color w:val="000000"/>
                <w:sz w:val="16"/>
                <w:szCs w:val="16"/>
              </w:rPr>
            </w:pPr>
            <w:r w:rsidRPr="001B2742">
              <w:rPr>
                <w:rFonts w:ascii="Calibri" w:hAnsi="Calibri" w:cs="Calibri"/>
                <w:b/>
                <w:bCs/>
                <w:color w:val="000000"/>
                <w:sz w:val="16"/>
                <w:szCs w:val="16"/>
              </w:rPr>
              <w:t>0</w:t>
            </w:r>
          </w:p>
        </w:tc>
        <w:tc>
          <w:tcPr>
            <w:tcW w:w="785" w:type="pct"/>
            <w:tcBorders>
              <w:top w:val="nil"/>
              <w:left w:val="nil"/>
              <w:bottom w:val="single" w:sz="8" w:space="0" w:color="auto"/>
              <w:right w:val="nil"/>
            </w:tcBorders>
            <w:shd w:val="clear" w:color="auto" w:fill="auto"/>
            <w:noWrap/>
            <w:vAlign w:val="center"/>
          </w:tcPr>
          <w:p w14:paraId="4F012B78" w14:textId="606F5909" w:rsidR="00092B32" w:rsidRPr="001B2742" w:rsidRDefault="00092B32" w:rsidP="00092B32">
            <w:pPr>
              <w:jc w:val="right"/>
              <w:rPr>
                <w:rFonts w:ascii="Calibri" w:hAnsi="Calibri" w:cs="Calibri"/>
                <w:b/>
                <w:bCs/>
                <w:color w:val="000000"/>
                <w:sz w:val="16"/>
                <w:szCs w:val="16"/>
              </w:rPr>
            </w:pPr>
            <w:r>
              <w:rPr>
                <w:rFonts w:ascii="Calibri" w:hAnsi="Calibri" w:cs="Calibri"/>
                <w:b/>
                <w:bCs/>
                <w:color w:val="000000"/>
                <w:sz w:val="16"/>
                <w:szCs w:val="16"/>
              </w:rPr>
              <w:t>41.721.679</w:t>
            </w:r>
          </w:p>
        </w:tc>
        <w:tc>
          <w:tcPr>
            <w:tcW w:w="539" w:type="pct"/>
            <w:tcBorders>
              <w:top w:val="nil"/>
              <w:left w:val="nil"/>
              <w:bottom w:val="single" w:sz="8" w:space="0" w:color="auto"/>
              <w:right w:val="nil"/>
            </w:tcBorders>
            <w:shd w:val="clear" w:color="auto" w:fill="auto"/>
            <w:noWrap/>
            <w:vAlign w:val="center"/>
            <w:hideMark/>
          </w:tcPr>
          <w:p w14:paraId="7AED89C9" w14:textId="77777777" w:rsidR="00092B32" w:rsidRPr="001B2742" w:rsidRDefault="00092B32" w:rsidP="00092B32">
            <w:pPr>
              <w:jc w:val="right"/>
              <w:rPr>
                <w:rFonts w:ascii="Calibri" w:hAnsi="Calibri" w:cs="Calibri"/>
                <w:b/>
                <w:bCs/>
                <w:color w:val="000000"/>
                <w:sz w:val="16"/>
                <w:szCs w:val="16"/>
              </w:rPr>
            </w:pPr>
            <w:r w:rsidRPr="001B2742">
              <w:rPr>
                <w:rFonts w:ascii="Calibri" w:hAnsi="Calibri" w:cs="Calibri"/>
                <w:b/>
                <w:bCs/>
                <w:color w:val="000000"/>
                <w:sz w:val="16"/>
                <w:szCs w:val="16"/>
              </w:rPr>
              <w:t>0</w:t>
            </w:r>
          </w:p>
        </w:tc>
        <w:tc>
          <w:tcPr>
            <w:tcW w:w="539" w:type="pct"/>
            <w:tcBorders>
              <w:top w:val="nil"/>
              <w:left w:val="nil"/>
              <w:bottom w:val="single" w:sz="8" w:space="0" w:color="auto"/>
              <w:right w:val="nil"/>
            </w:tcBorders>
            <w:shd w:val="clear" w:color="auto" w:fill="auto"/>
            <w:noWrap/>
            <w:vAlign w:val="center"/>
            <w:hideMark/>
          </w:tcPr>
          <w:p w14:paraId="05CBD324" w14:textId="77777777" w:rsidR="00092B32" w:rsidRPr="001B2742" w:rsidRDefault="00092B32" w:rsidP="00092B32">
            <w:pPr>
              <w:jc w:val="right"/>
              <w:rPr>
                <w:rFonts w:ascii="Calibri" w:hAnsi="Calibri" w:cs="Calibri"/>
                <w:b/>
                <w:bCs/>
                <w:color w:val="000000"/>
                <w:sz w:val="16"/>
                <w:szCs w:val="16"/>
              </w:rPr>
            </w:pPr>
            <w:r w:rsidRPr="001B2742">
              <w:rPr>
                <w:rFonts w:ascii="Calibri" w:hAnsi="Calibri" w:cs="Calibri"/>
                <w:b/>
                <w:bCs/>
                <w:color w:val="000000"/>
                <w:sz w:val="16"/>
                <w:szCs w:val="16"/>
              </w:rPr>
              <w:t>0</w:t>
            </w:r>
          </w:p>
        </w:tc>
        <w:tc>
          <w:tcPr>
            <w:tcW w:w="758" w:type="pct"/>
            <w:tcBorders>
              <w:top w:val="nil"/>
              <w:left w:val="nil"/>
              <w:bottom w:val="single" w:sz="8" w:space="0" w:color="auto"/>
              <w:right w:val="nil"/>
            </w:tcBorders>
            <w:shd w:val="clear" w:color="auto" w:fill="auto"/>
            <w:noWrap/>
            <w:vAlign w:val="center"/>
            <w:hideMark/>
          </w:tcPr>
          <w:p w14:paraId="776FCDF0" w14:textId="3D13E206" w:rsidR="00092B32" w:rsidRPr="001B2742" w:rsidRDefault="00092B32" w:rsidP="00092B32">
            <w:pPr>
              <w:jc w:val="right"/>
              <w:rPr>
                <w:rFonts w:ascii="Calibri" w:hAnsi="Calibri" w:cs="Calibri"/>
                <w:b/>
                <w:bCs/>
                <w:color w:val="000000"/>
                <w:sz w:val="16"/>
                <w:szCs w:val="16"/>
              </w:rPr>
            </w:pPr>
            <w:r w:rsidRPr="001B2742">
              <w:rPr>
                <w:rFonts w:ascii="Calibri" w:hAnsi="Calibri" w:cs="Calibri"/>
                <w:b/>
                <w:bCs/>
                <w:color w:val="000000"/>
                <w:sz w:val="16"/>
                <w:szCs w:val="16"/>
              </w:rPr>
              <w:t>4</w:t>
            </w:r>
            <w:r>
              <w:rPr>
                <w:rFonts w:ascii="Calibri" w:hAnsi="Calibri" w:cs="Calibri"/>
                <w:b/>
                <w:bCs/>
                <w:color w:val="000000"/>
                <w:sz w:val="16"/>
                <w:szCs w:val="16"/>
              </w:rPr>
              <w:t>56.612.77</w:t>
            </w:r>
            <w:r w:rsidR="00F177F2">
              <w:rPr>
                <w:rFonts w:ascii="Calibri" w:hAnsi="Calibri" w:cs="Calibri"/>
                <w:b/>
                <w:bCs/>
                <w:color w:val="000000"/>
                <w:sz w:val="16"/>
                <w:szCs w:val="16"/>
              </w:rPr>
              <w:t>3</w:t>
            </w:r>
          </w:p>
        </w:tc>
      </w:tr>
      <w:tr w:rsidR="00092B32" w:rsidRPr="001B2742" w14:paraId="4E2C789F" w14:textId="77777777" w:rsidTr="00092B32">
        <w:trPr>
          <w:trHeight w:hRule="exact" w:val="227"/>
        </w:trPr>
        <w:tc>
          <w:tcPr>
            <w:tcW w:w="1220" w:type="pct"/>
            <w:tcBorders>
              <w:top w:val="nil"/>
              <w:left w:val="nil"/>
              <w:bottom w:val="single" w:sz="8" w:space="0" w:color="auto"/>
              <w:right w:val="nil"/>
            </w:tcBorders>
            <w:shd w:val="clear" w:color="auto" w:fill="auto"/>
            <w:noWrap/>
            <w:vAlign w:val="center"/>
            <w:hideMark/>
          </w:tcPr>
          <w:p w14:paraId="02BF3487" w14:textId="77777777" w:rsidR="00092B32" w:rsidRPr="001B2742" w:rsidRDefault="00092B32" w:rsidP="00092B32">
            <w:pPr>
              <w:rPr>
                <w:rFonts w:ascii="Calibri" w:hAnsi="Calibri" w:cs="Calibri"/>
                <w:b/>
                <w:bCs/>
                <w:color w:val="000000"/>
                <w:sz w:val="16"/>
                <w:szCs w:val="16"/>
              </w:rPr>
            </w:pPr>
            <w:r w:rsidRPr="001B2742">
              <w:rPr>
                <w:rFonts w:ascii="Calibri" w:hAnsi="Calibri" w:cs="Calibri"/>
                <w:b/>
                <w:bCs/>
                <w:color w:val="000000"/>
                <w:sz w:val="16"/>
                <w:szCs w:val="16"/>
              </w:rPr>
              <w:t>Trabalhistas (Longo Prazo)</w:t>
            </w:r>
          </w:p>
        </w:tc>
        <w:tc>
          <w:tcPr>
            <w:tcW w:w="621" w:type="pct"/>
            <w:tcBorders>
              <w:top w:val="nil"/>
              <w:left w:val="nil"/>
              <w:bottom w:val="single" w:sz="8" w:space="0" w:color="auto"/>
              <w:right w:val="nil"/>
            </w:tcBorders>
            <w:shd w:val="clear" w:color="auto" w:fill="auto"/>
            <w:noWrap/>
            <w:vAlign w:val="center"/>
            <w:hideMark/>
          </w:tcPr>
          <w:p w14:paraId="7C4ED00B" w14:textId="77777777" w:rsidR="00092B32" w:rsidRPr="001B2742" w:rsidRDefault="00092B32" w:rsidP="00092B32">
            <w:pPr>
              <w:jc w:val="right"/>
              <w:rPr>
                <w:rFonts w:ascii="Calibri" w:hAnsi="Calibri" w:cs="Calibri"/>
                <w:b/>
                <w:bCs/>
                <w:color w:val="000000"/>
                <w:sz w:val="16"/>
                <w:szCs w:val="16"/>
              </w:rPr>
            </w:pPr>
            <w:r w:rsidRPr="001B2742">
              <w:rPr>
                <w:rFonts w:ascii="Calibri" w:hAnsi="Calibri" w:cs="Calibri"/>
                <w:b/>
                <w:bCs/>
                <w:color w:val="000000"/>
                <w:sz w:val="16"/>
                <w:szCs w:val="16"/>
              </w:rPr>
              <w:t>60.267.858</w:t>
            </w:r>
          </w:p>
        </w:tc>
        <w:tc>
          <w:tcPr>
            <w:tcW w:w="539" w:type="pct"/>
            <w:tcBorders>
              <w:top w:val="nil"/>
              <w:left w:val="nil"/>
              <w:bottom w:val="single" w:sz="8" w:space="0" w:color="auto"/>
              <w:right w:val="nil"/>
            </w:tcBorders>
            <w:shd w:val="clear" w:color="auto" w:fill="auto"/>
            <w:noWrap/>
            <w:vAlign w:val="center"/>
            <w:hideMark/>
          </w:tcPr>
          <w:p w14:paraId="76902E41" w14:textId="77777777" w:rsidR="00092B32" w:rsidRPr="001B2742" w:rsidRDefault="00092B32" w:rsidP="00092B32">
            <w:pPr>
              <w:jc w:val="right"/>
              <w:rPr>
                <w:rFonts w:ascii="Calibri" w:hAnsi="Calibri" w:cs="Calibri"/>
                <w:b/>
                <w:bCs/>
                <w:color w:val="000000"/>
                <w:sz w:val="16"/>
                <w:szCs w:val="16"/>
              </w:rPr>
            </w:pPr>
            <w:r w:rsidRPr="001B2742">
              <w:rPr>
                <w:rFonts w:ascii="Calibri" w:hAnsi="Calibri" w:cs="Calibri"/>
                <w:b/>
                <w:bCs/>
                <w:color w:val="000000"/>
                <w:sz w:val="16"/>
                <w:szCs w:val="16"/>
              </w:rPr>
              <w:t>0</w:t>
            </w:r>
          </w:p>
        </w:tc>
        <w:tc>
          <w:tcPr>
            <w:tcW w:w="785" w:type="pct"/>
            <w:tcBorders>
              <w:top w:val="nil"/>
              <w:left w:val="nil"/>
              <w:bottom w:val="single" w:sz="8" w:space="0" w:color="auto"/>
              <w:right w:val="nil"/>
            </w:tcBorders>
            <w:shd w:val="clear" w:color="auto" w:fill="auto"/>
            <w:noWrap/>
            <w:vAlign w:val="center"/>
          </w:tcPr>
          <w:p w14:paraId="144B78EA" w14:textId="5FFB742D" w:rsidR="00092B32" w:rsidRPr="001B2742" w:rsidRDefault="00092B32" w:rsidP="00092B32">
            <w:pPr>
              <w:jc w:val="right"/>
              <w:rPr>
                <w:rFonts w:ascii="Calibri" w:hAnsi="Calibri" w:cs="Calibri"/>
                <w:b/>
                <w:bCs/>
                <w:color w:val="000000"/>
                <w:sz w:val="16"/>
                <w:szCs w:val="16"/>
              </w:rPr>
            </w:pPr>
            <w:r>
              <w:rPr>
                <w:rFonts w:ascii="Calibri" w:hAnsi="Calibri" w:cs="Calibri"/>
                <w:b/>
                <w:bCs/>
                <w:color w:val="000000"/>
                <w:sz w:val="16"/>
                <w:szCs w:val="16"/>
              </w:rPr>
              <w:t>4.083.610</w:t>
            </w:r>
          </w:p>
        </w:tc>
        <w:tc>
          <w:tcPr>
            <w:tcW w:w="539" w:type="pct"/>
            <w:tcBorders>
              <w:top w:val="nil"/>
              <w:left w:val="nil"/>
              <w:bottom w:val="single" w:sz="8" w:space="0" w:color="auto"/>
              <w:right w:val="nil"/>
            </w:tcBorders>
            <w:shd w:val="clear" w:color="auto" w:fill="auto"/>
            <w:noWrap/>
            <w:vAlign w:val="center"/>
            <w:hideMark/>
          </w:tcPr>
          <w:p w14:paraId="2E6A61E1" w14:textId="77777777" w:rsidR="00092B32" w:rsidRPr="001B2742" w:rsidRDefault="00092B32" w:rsidP="00092B32">
            <w:pPr>
              <w:jc w:val="right"/>
              <w:rPr>
                <w:rFonts w:ascii="Calibri" w:hAnsi="Calibri" w:cs="Calibri"/>
                <w:b/>
                <w:bCs/>
                <w:color w:val="000000"/>
                <w:sz w:val="16"/>
                <w:szCs w:val="16"/>
              </w:rPr>
            </w:pPr>
            <w:r w:rsidRPr="001B2742">
              <w:rPr>
                <w:rFonts w:ascii="Calibri" w:hAnsi="Calibri" w:cs="Calibri"/>
                <w:b/>
                <w:bCs/>
                <w:color w:val="000000"/>
                <w:sz w:val="16"/>
                <w:szCs w:val="16"/>
              </w:rPr>
              <w:t>0</w:t>
            </w:r>
          </w:p>
        </w:tc>
        <w:tc>
          <w:tcPr>
            <w:tcW w:w="539" w:type="pct"/>
            <w:tcBorders>
              <w:top w:val="nil"/>
              <w:left w:val="nil"/>
              <w:bottom w:val="single" w:sz="8" w:space="0" w:color="auto"/>
              <w:right w:val="nil"/>
            </w:tcBorders>
            <w:shd w:val="clear" w:color="auto" w:fill="auto"/>
            <w:noWrap/>
            <w:vAlign w:val="center"/>
            <w:hideMark/>
          </w:tcPr>
          <w:p w14:paraId="4239C968" w14:textId="77777777" w:rsidR="00092B32" w:rsidRPr="001B2742" w:rsidRDefault="00092B32" w:rsidP="00092B32">
            <w:pPr>
              <w:jc w:val="right"/>
              <w:rPr>
                <w:rFonts w:ascii="Calibri" w:hAnsi="Calibri" w:cs="Calibri"/>
                <w:b/>
                <w:bCs/>
                <w:color w:val="000000"/>
                <w:sz w:val="16"/>
                <w:szCs w:val="16"/>
              </w:rPr>
            </w:pPr>
            <w:r w:rsidRPr="001B2742">
              <w:rPr>
                <w:rFonts w:ascii="Calibri" w:hAnsi="Calibri" w:cs="Calibri"/>
                <w:b/>
                <w:bCs/>
                <w:color w:val="000000"/>
                <w:sz w:val="16"/>
                <w:szCs w:val="16"/>
              </w:rPr>
              <w:t>0</w:t>
            </w:r>
          </w:p>
        </w:tc>
        <w:tc>
          <w:tcPr>
            <w:tcW w:w="758" w:type="pct"/>
            <w:tcBorders>
              <w:top w:val="nil"/>
              <w:left w:val="nil"/>
              <w:bottom w:val="single" w:sz="8" w:space="0" w:color="auto"/>
              <w:right w:val="nil"/>
            </w:tcBorders>
            <w:shd w:val="clear" w:color="auto" w:fill="auto"/>
            <w:noWrap/>
            <w:vAlign w:val="center"/>
            <w:hideMark/>
          </w:tcPr>
          <w:p w14:paraId="3DF07E5D" w14:textId="2AE04AF4" w:rsidR="00092B32" w:rsidRPr="001B2742" w:rsidRDefault="00092B32" w:rsidP="00092B32">
            <w:pPr>
              <w:jc w:val="right"/>
              <w:rPr>
                <w:rFonts w:ascii="Calibri" w:hAnsi="Calibri" w:cs="Calibri"/>
                <w:b/>
                <w:bCs/>
                <w:color w:val="000000"/>
                <w:sz w:val="16"/>
                <w:szCs w:val="16"/>
              </w:rPr>
            </w:pPr>
            <w:r>
              <w:rPr>
                <w:rFonts w:ascii="Calibri" w:hAnsi="Calibri" w:cs="Calibri"/>
                <w:b/>
                <w:bCs/>
                <w:color w:val="000000"/>
                <w:sz w:val="16"/>
                <w:szCs w:val="16"/>
              </w:rPr>
              <w:t>64.351.46</w:t>
            </w:r>
            <w:r w:rsidR="00261F7F">
              <w:rPr>
                <w:rFonts w:ascii="Calibri" w:hAnsi="Calibri" w:cs="Calibri"/>
                <w:b/>
                <w:bCs/>
                <w:color w:val="000000"/>
                <w:sz w:val="16"/>
                <w:szCs w:val="16"/>
              </w:rPr>
              <w:t>9</w:t>
            </w:r>
          </w:p>
        </w:tc>
      </w:tr>
    </w:tbl>
    <w:p w14:paraId="4878841E" w14:textId="77777777" w:rsidR="001B2742" w:rsidRDefault="001B2742" w:rsidP="002E2B5B">
      <w:pPr>
        <w:pStyle w:val="Textoembloco"/>
        <w:spacing w:after="120" w:line="240" w:lineRule="auto"/>
        <w:ind w:left="0" w:right="57"/>
        <w:rPr>
          <w:rFonts w:ascii="Calibri" w:hAnsi="Calibri" w:cs="Calibri"/>
          <w:sz w:val="22"/>
          <w:szCs w:val="22"/>
          <w:shd w:val="clear" w:color="auto" w:fill="FFFFFF"/>
        </w:rPr>
      </w:pPr>
    </w:p>
    <w:p w14:paraId="4BCC2F91" w14:textId="701DF623" w:rsidR="00894308" w:rsidRPr="002E2B5B" w:rsidRDefault="00894308" w:rsidP="002E2B5B">
      <w:pPr>
        <w:pStyle w:val="Textoembloco"/>
        <w:spacing w:after="120" w:line="240" w:lineRule="auto"/>
        <w:ind w:left="0" w:right="57"/>
        <w:rPr>
          <w:rFonts w:ascii="Calibri" w:hAnsi="Calibri" w:cs="Calibri"/>
          <w:sz w:val="22"/>
          <w:szCs w:val="22"/>
          <w:shd w:val="clear" w:color="auto" w:fill="FFFFFF"/>
        </w:rPr>
      </w:pPr>
      <w:r w:rsidRPr="002E2B5B">
        <w:rPr>
          <w:rFonts w:ascii="Calibri" w:hAnsi="Calibri" w:cs="Calibri"/>
          <w:sz w:val="22"/>
          <w:szCs w:val="22"/>
          <w:shd w:val="clear" w:color="auto" w:fill="FFFFFF"/>
        </w:rPr>
        <w:t xml:space="preserve">O montante referente às ações trabalhistas compõe-se de valores das causas peticionadas no processo e da atualização monetária com base na Tabela Única de Atualização e Conversões de Débitos Trabalhistas, expedidas pelo Conselho do Poder Judiciário da Justiça do Trabalho, bem como de juros de 1% ao mês. E para as ações cíveis, a atualização monetária é baseada na Tabela de Correção Monetária da Justiça Federal e juros simples de 0,5% ao mês. </w:t>
      </w:r>
    </w:p>
    <w:p w14:paraId="73499D06" w14:textId="77777777" w:rsidR="00B35E5B" w:rsidRPr="002E2B5B" w:rsidRDefault="00B35E5B" w:rsidP="002E2B5B">
      <w:pPr>
        <w:pStyle w:val="Textoembloco"/>
        <w:spacing w:after="120" w:line="240" w:lineRule="auto"/>
        <w:ind w:left="0" w:right="57"/>
        <w:rPr>
          <w:rFonts w:ascii="Calibri" w:hAnsi="Calibri" w:cs="Calibri"/>
          <w:sz w:val="22"/>
          <w:szCs w:val="22"/>
          <w:shd w:val="clear" w:color="auto" w:fill="FFFFFF"/>
        </w:rPr>
      </w:pPr>
      <w:bookmarkStart w:id="6" w:name="_Hlk36047226"/>
      <w:r w:rsidRPr="002E2B5B">
        <w:rPr>
          <w:rFonts w:ascii="Calibri" w:hAnsi="Calibri" w:cs="Calibri"/>
          <w:sz w:val="22"/>
          <w:szCs w:val="22"/>
          <w:shd w:val="clear" w:color="auto" w:fill="FFFFFF"/>
        </w:rPr>
        <w:t xml:space="preserve">As provisões para contingências são contabilizadas, com base na posição da </w:t>
      </w:r>
      <w:r w:rsidR="00FF1CB6" w:rsidRPr="002E2B5B">
        <w:rPr>
          <w:rFonts w:ascii="Calibri" w:hAnsi="Calibri" w:cs="Calibri"/>
          <w:sz w:val="22"/>
          <w:szCs w:val="22"/>
          <w:shd w:val="clear" w:color="auto" w:fill="FFFFFF"/>
        </w:rPr>
        <w:t>Procuradoria</w:t>
      </w:r>
      <w:r w:rsidRPr="002E2B5B">
        <w:rPr>
          <w:rFonts w:ascii="Calibri" w:hAnsi="Calibri" w:cs="Calibri"/>
          <w:sz w:val="22"/>
          <w:szCs w:val="22"/>
          <w:shd w:val="clear" w:color="auto" w:fill="FFFFFF"/>
        </w:rPr>
        <w:t xml:space="preserve"> Jurídica, a qual é formulada na análise técnica individual dos advogados, quando for considerado provável o risco de perda de uma ação judicial ou administrativa, e sempre que os montantes envolvidos forem mensuráveis com suficiente segurança. As provisões classificadas como perdas possíveis pela </w:t>
      </w:r>
      <w:r w:rsidR="00FF1CB6" w:rsidRPr="002E2B5B">
        <w:rPr>
          <w:rFonts w:ascii="Calibri" w:hAnsi="Calibri" w:cs="Calibri"/>
          <w:sz w:val="22"/>
          <w:szCs w:val="22"/>
          <w:shd w:val="clear" w:color="auto" w:fill="FFFFFF"/>
        </w:rPr>
        <w:t>Procuradoria</w:t>
      </w:r>
      <w:r w:rsidRPr="002E2B5B">
        <w:rPr>
          <w:rFonts w:ascii="Calibri" w:hAnsi="Calibri" w:cs="Calibri"/>
          <w:sz w:val="22"/>
          <w:szCs w:val="22"/>
          <w:shd w:val="clear" w:color="auto" w:fill="FFFFFF"/>
        </w:rPr>
        <w:t xml:space="preserve"> Jurídica são divulgadas com base na perda histórica, enquanto aquelas classificadas como perda remota não são passíveis de provisão e divulgação.</w:t>
      </w:r>
    </w:p>
    <w:p w14:paraId="7C4F9EF8" w14:textId="406707FC" w:rsidR="00F63870" w:rsidRPr="00255AD7" w:rsidRDefault="00475538" w:rsidP="002E2B5B">
      <w:pPr>
        <w:pStyle w:val="Textoembloco"/>
        <w:spacing w:after="120" w:line="240" w:lineRule="auto"/>
        <w:ind w:left="0" w:right="57"/>
        <w:rPr>
          <w:rFonts w:ascii="Calibri" w:hAnsi="Calibri" w:cs="Calibri"/>
          <w:bCs w:val="0"/>
          <w:sz w:val="22"/>
          <w:szCs w:val="22"/>
        </w:rPr>
      </w:pPr>
      <w:r w:rsidRPr="00255AD7">
        <w:rPr>
          <w:rFonts w:ascii="Calibri" w:hAnsi="Calibri" w:cs="Calibri"/>
          <w:bCs w:val="0"/>
          <w:sz w:val="22"/>
          <w:szCs w:val="22"/>
        </w:rPr>
        <w:t>Para melhorar os controles, reconhecimentos e mensurações das ações judiciais, a Procuradoria Jurídica da VALEC elaborou a Norma de Provisões e Contingências Judiciais na VALEC, regulamentada pela Resolução Normativa nº 04/2021/DIREX, de 07 de julho de 2021, na qual consta no art. 17: "</w:t>
      </w:r>
      <w:r w:rsidRPr="00255AD7">
        <w:rPr>
          <w:rFonts w:ascii="Calibri" w:hAnsi="Calibri" w:cs="Calibri"/>
          <w:bCs w:val="0"/>
          <w:i/>
          <w:iCs/>
          <w:sz w:val="22"/>
          <w:szCs w:val="22"/>
        </w:rPr>
        <w:t>As primeiras informações de provisões e con</w:t>
      </w:r>
      <w:r w:rsidRPr="00255AD7">
        <w:rPr>
          <w:rFonts w:ascii="Calibri" w:hAnsi="Calibri" w:cs="Calibri"/>
          <w:bCs w:val="0"/>
          <w:sz w:val="22"/>
          <w:szCs w:val="22"/>
        </w:rPr>
        <w:t>ti</w:t>
      </w:r>
      <w:r w:rsidRPr="00255AD7">
        <w:rPr>
          <w:rFonts w:ascii="Calibri" w:hAnsi="Calibri" w:cs="Calibri"/>
          <w:bCs w:val="0"/>
          <w:i/>
          <w:iCs/>
          <w:sz w:val="22"/>
          <w:szCs w:val="22"/>
        </w:rPr>
        <w:t>ngências nos termos das especi</w:t>
      </w:r>
      <w:r w:rsidRPr="00255AD7">
        <w:rPr>
          <w:rFonts w:ascii="Calibri" w:hAnsi="Calibri" w:cs="Calibri"/>
          <w:bCs w:val="0"/>
          <w:sz w:val="22"/>
          <w:szCs w:val="22"/>
        </w:rPr>
        <w:t>fi</w:t>
      </w:r>
      <w:r w:rsidRPr="00255AD7">
        <w:rPr>
          <w:rFonts w:ascii="Calibri" w:hAnsi="Calibri" w:cs="Calibri"/>
          <w:bCs w:val="0"/>
          <w:i/>
          <w:iCs/>
          <w:sz w:val="22"/>
          <w:szCs w:val="22"/>
        </w:rPr>
        <w:t>cações desta norma serão apresentadas em 30 de novembro de 2021</w:t>
      </w:r>
      <w:r w:rsidRPr="00255AD7">
        <w:rPr>
          <w:rFonts w:ascii="Calibri" w:hAnsi="Calibri" w:cs="Calibri"/>
          <w:bCs w:val="0"/>
          <w:sz w:val="22"/>
          <w:szCs w:val="22"/>
        </w:rPr>
        <w:t>". Essa Resolução Normativa trata inclusive da valoração das ações, as quais passarão a ser com base no desenvolvimento do processo judicial.</w:t>
      </w:r>
      <w:r w:rsidR="002855FD" w:rsidRPr="00255AD7">
        <w:rPr>
          <w:rFonts w:ascii="Calibri" w:hAnsi="Calibri" w:cs="Calibri"/>
          <w:sz w:val="22"/>
          <w:szCs w:val="22"/>
          <w:shd w:val="clear" w:color="auto" w:fill="FFFFFF"/>
        </w:rPr>
        <w:t xml:space="preserve"> </w:t>
      </w:r>
    </w:p>
    <w:p w14:paraId="15928489" w14:textId="522D4384" w:rsidR="004A7C2F" w:rsidRPr="00255AD7" w:rsidRDefault="004A7C2F" w:rsidP="002E2B5B">
      <w:pPr>
        <w:pStyle w:val="Textoembloco"/>
        <w:spacing w:after="120" w:line="240" w:lineRule="auto"/>
        <w:ind w:left="0" w:right="57"/>
        <w:rPr>
          <w:rFonts w:ascii="Calibri" w:hAnsi="Calibri" w:cs="Calibri"/>
          <w:sz w:val="22"/>
          <w:szCs w:val="22"/>
          <w:shd w:val="clear" w:color="auto" w:fill="FFFFFF"/>
        </w:rPr>
      </w:pPr>
      <w:r w:rsidRPr="00255AD7">
        <w:rPr>
          <w:rFonts w:ascii="Calibri" w:hAnsi="Calibri" w:cs="Calibri"/>
          <w:sz w:val="22"/>
          <w:szCs w:val="22"/>
          <w:shd w:val="clear" w:color="auto" w:fill="FFFFFF"/>
        </w:rPr>
        <w:t xml:space="preserve">A partir do exercício de 2020, as provisões foram classificadas em curto e longo prazo. </w:t>
      </w:r>
      <w:r w:rsidR="009D6DA2" w:rsidRPr="00255AD7">
        <w:rPr>
          <w:rFonts w:ascii="Calibri" w:hAnsi="Calibri" w:cs="Calibri"/>
          <w:sz w:val="22"/>
          <w:szCs w:val="22"/>
          <w:shd w:val="clear" w:color="auto" w:fill="FFFFFF"/>
        </w:rPr>
        <w:t xml:space="preserve">Essa classificação poderá sofrer alterações devido às mudanças de critérios de mensuração das provisões, conforme descrita no parágrafo anterior. </w:t>
      </w:r>
    </w:p>
    <w:p w14:paraId="30F339BD" w14:textId="77777777" w:rsidR="005D7B2E" w:rsidRPr="002E2B5B" w:rsidRDefault="005D7B2E" w:rsidP="002E2B5B">
      <w:pPr>
        <w:numPr>
          <w:ilvl w:val="0"/>
          <w:numId w:val="26"/>
        </w:numPr>
        <w:spacing w:before="120" w:after="120"/>
        <w:ind w:left="567" w:right="-142" w:hanging="567"/>
        <w:jc w:val="both"/>
        <w:rPr>
          <w:rFonts w:ascii="Calibri" w:hAnsi="Calibri" w:cs="Calibri"/>
          <w:sz w:val="22"/>
          <w:szCs w:val="22"/>
          <w:u w:val="single"/>
        </w:rPr>
      </w:pPr>
      <w:r w:rsidRPr="002E2B5B">
        <w:rPr>
          <w:rFonts w:ascii="Calibri" w:hAnsi="Calibri" w:cs="Calibri"/>
          <w:sz w:val="22"/>
          <w:szCs w:val="22"/>
          <w:u w:val="single"/>
        </w:rPr>
        <w:t>Contingências Cíveis:</w:t>
      </w:r>
    </w:p>
    <w:p w14:paraId="7DFAC373" w14:textId="10E1CD78" w:rsidR="00D974C8" w:rsidRPr="002E2B5B" w:rsidRDefault="005D7B2E" w:rsidP="002E2B5B">
      <w:pPr>
        <w:spacing w:after="120"/>
        <w:ind w:right="57"/>
        <w:jc w:val="both"/>
        <w:rPr>
          <w:rFonts w:ascii="Calibri" w:hAnsi="Calibri" w:cs="Calibri"/>
          <w:sz w:val="22"/>
          <w:szCs w:val="22"/>
        </w:rPr>
      </w:pPr>
      <w:r w:rsidRPr="002E2B5B">
        <w:rPr>
          <w:rFonts w:ascii="Calibri" w:hAnsi="Calibri" w:cs="Calibri"/>
          <w:sz w:val="22"/>
          <w:szCs w:val="22"/>
        </w:rPr>
        <w:t>Em relação aos processos cíveis, tem-se que as temáticas mais recorrentes</w:t>
      </w:r>
      <w:r w:rsidR="00AD6E75" w:rsidRPr="002E2B5B">
        <w:rPr>
          <w:rFonts w:ascii="Calibri" w:hAnsi="Calibri" w:cs="Calibri"/>
          <w:sz w:val="22"/>
          <w:szCs w:val="22"/>
        </w:rPr>
        <w:t xml:space="preserve"> </w:t>
      </w:r>
      <w:r w:rsidRPr="002E2B5B">
        <w:rPr>
          <w:rFonts w:ascii="Calibri" w:hAnsi="Calibri" w:cs="Calibri"/>
          <w:sz w:val="22"/>
          <w:szCs w:val="22"/>
        </w:rPr>
        <w:t xml:space="preserve">são as de Ações Indenizatórias ou Ações de Cobrança, </w:t>
      </w:r>
      <w:r w:rsidR="00AD6E75" w:rsidRPr="002E2B5B">
        <w:rPr>
          <w:rFonts w:ascii="Calibri" w:hAnsi="Calibri" w:cs="Calibri"/>
          <w:sz w:val="22"/>
          <w:szCs w:val="22"/>
        </w:rPr>
        <w:t>as</w:t>
      </w:r>
      <w:r w:rsidRPr="002E2B5B">
        <w:rPr>
          <w:rFonts w:ascii="Calibri" w:hAnsi="Calibri" w:cs="Calibri"/>
          <w:sz w:val="22"/>
          <w:szCs w:val="22"/>
        </w:rPr>
        <w:t xml:space="preserve"> quais dizem respeito, notadamente, no primeiro caso a indenizações por danos supostamente causados aos imóveis dos autores pela construção da ferrovia e quanto às de cobrança, às questões contratuais mais diversas, desde cobranças de medições de contratos, requerimento de valores supostamente não pagos em execuções contratuais, cobrança de reajustes, questionamentos de glosas e outros. </w:t>
      </w:r>
    </w:p>
    <w:p w14:paraId="18291109" w14:textId="77777777" w:rsidR="005D7B2E" w:rsidRPr="002E2B5B" w:rsidRDefault="005D7B2E" w:rsidP="002E2B5B">
      <w:pPr>
        <w:numPr>
          <w:ilvl w:val="0"/>
          <w:numId w:val="26"/>
        </w:numPr>
        <w:spacing w:before="120" w:after="120"/>
        <w:ind w:left="567" w:right="-142" w:hanging="567"/>
        <w:jc w:val="both"/>
        <w:rPr>
          <w:rFonts w:ascii="Calibri" w:hAnsi="Calibri" w:cs="Calibri"/>
          <w:sz w:val="22"/>
          <w:szCs w:val="22"/>
          <w:u w:val="single"/>
        </w:rPr>
      </w:pPr>
      <w:r w:rsidRPr="002E2B5B">
        <w:rPr>
          <w:rFonts w:ascii="Calibri" w:hAnsi="Calibri" w:cs="Calibri"/>
          <w:sz w:val="22"/>
          <w:szCs w:val="22"/>
          <w:u w:val="single"/>
        </w:rPr>
        <w:t xml:space="preserve">Contingências Trabalhistas: </w:t>
      </w:r>
    </w:p>
    <w:p w14:paraId="7A7F3C4A" w14:textId="77777777" w:rsidR="005D7B2E" w:rsidRPr="002E2B5B" w:rsidRDefault="005D7B2E" w:rsidP="002E2B5B">
      <w:pPr>
        <w:spacing w:after="120"/>
        <w:ind w:right="57"/>
        <w:jc w:val="both"/>
        <w:rPr>
          <w:rFonts w:ascii="Calibri" w:hAnsi="Calibri" w:cs="Calibri"/>
          <w:sz w:val="22"/>
          <w:szCs w:val="22"/>
        </w:rPr>
      </w:pPr>
      <w:r w:rsidRPr="002E2B5B">
        <w:rPr>
          <w:rFonts w:ascii="Calibri" w:hAnsi="Calibri" w:cs="Calibri"/>
          <w:sz w:val="22"/>
          <w:szCs w:val="22"/>
        </w:rPr>
        <w:t xml:space="preserve">As ações judiciais denominadas de reclamações trabalhistas constituem controvérsias entre os sujeitos da relação de trabalho, frequentemente empregador e empregado, submetidas à resolução jurisdicional. No âmbito da </w:t>
      </w:r>
      <w:r w:rsidR="00920ED9" w:rsidRPr="002E2B5B">
        <w:rPr>
          <w:rFonts w:ascii="Calibri" w:hAnsi="Calibri" w:cs="Calibri"/>
          <w:sz w:val="22"/>
          <w:szCs w:val="22"/>
        </w:rPr>
        <w:t>VALEC</w:t>
      </w:r>
      <w:r w:rsidRPr="002E2B5B">
        <w:rPr>
          <w:rFonts w:ascii="Calibri" w:hAnsi="Calibri" w:cs="Calibri"/>
          <w:sz w:val="22"/>
          <w:szCs w:val="22"/>
        </w:rPr>
        <w:t xml:space="preserve">, esses processos são divididos em dois grandes grupos: o primeiro, formado por empregados efetivos que geralmente demandam o judiciário em razão de algum direito trabalhista específico ou supostos descumprimentos do Plano de </w:t>
      </w:r>
      <w:r w:rsidRPr="002E2B5B">
        <w:rPr>
          <w:rFonts w:ascii="Calibri" w:hAnsi="Calibri" w:cs="Calibri"/>
          <w:sz w:val="22"/>
          <w:szCs w:val="22"/>
        </w:rPr>
        <w:lastRenderedPageBreak/>
        <w:t xml:space="preserve">Cargos e Salários a que se vinculam; e o segundo, por empregados das empresas que mantêm ou mantiveram contratos de fornecimento de mão de obra com a </w:t>
      </w:r>
      <w:r w:rsidR="00920ED9" w:rsidRPr="002E2B5B">
        <w:rPr>
          <w:rFonts w:ascii="Calibri" w:hAnsi="Calibri" w:cs="Calibri"/>
          <w:sz w:val="22"/>
          <w:szCs w:val="22"/>
        </w:rPr>
        <w:t>VALEC</w:t>
      </w:r>
      <w:r w:rsidRPr="002E2B5B">
        <w:rPr>
          <w:rFonts w:ascii="Calibri" w:hAnsi="Calibri" w:cs="Calibri"/>
          <w:sz w:val="22"/>
          <w:szCs w:val="22"/>
        </w:rPr>
        <w:t xml:space="preserve">. Nestes últimos, a </w:t>
      </w:r>
      <w:r w:rsidR="00920ED9" w:rsidRPr="002E2B5B">
        <w:rPr>
          <w:rFonts w:ascii="Calibri" w:hAnsi="Calibri" w:cs="Calibri"/>
          <w:sz w:val="22"/>
          <w:szCs w:val="22"/>
        </w:rPr>
        <w:t>VALEC</w:t>
      </w:r>
      <w:r w:rsidRPr="002E2B5B">
        <w:rPr>
          <w:rFonts w:ascii="Calibri" w:hAnsi="Calibri" w:cs="Calibri"/>
          <w:sz w:val="22"/>
          <w:szCs w:val="22"/>
        </w:rPr>
        <w:t xml:space="preserve"> é demandada de forma subsidiária.</w:t>
      </w:r>
    </w:p>
    <w:p w14:paraId="7E38E1A8" w14:textId="77777777" w:rsidR="005D7B2E" w:rsidRPr="002E2B5B" w:rsidRDefault="005D7B2E" w:rsidP="002E2B5B">
      <w:pPr>
        <w:spacing w:after="120"/>
        <w:ind w:right="57"/>
        <w:jc w:val="both"/>
        <w:rPr>
          <w:rFonts w:ascii="Calibri" w:hAnsi="Calibri" w:cs="Calibri"/>
          <w:sz w:val="22"/>
          <w:szCs w:val="22"/>
        </w:rPr>
      </w:pPr>
      <w:r w:rsidRPr="002E2B5B">
        <w:rPr>
          <w:rFonts w:ascii="Calibri" w:hAnsi="Calibri" w:cs="Calibri"/>
          <w:sz w:val="22"/>
          <w:szCs w:val="22"/>
        </w:rPr>
        <w:t xml:space="preserve">A temática de responsabilidade subsidiária trabalhista é a mais recorrente no universo quantitativo e diz respeito ao descumprimento, pelas Contratadas da </w:t>
      </w:r>
      <w:r w:rsidR="00920ED9" w:rsidRPr="002E2B5B">
        <w:rPr>
          <w:rFonts w:ascii="Calibri" w:hAnsi="Calibri" w:cs="Calibri"/>
          <w:sz w:val="22"/>
          <w:szCs w:val="22"/>
        </w:rPr>
        <w:t>VALEC</w:t>
      </w:r>
      <w:r w:rsidRPr="002E2B5B">
        <w:rPr>
          <w:rFonts w:ascii="Calibri" w:hAnsi="Calibri" w:cs="Calibri"/>
          <w:sz w:val="22"/>
          <w:szCs w:val="22"/>
        </w:rPr>
        <w:t xml:space="preserve">, das obrigações trabalhistas em face aos seus próprios empregados mobilizados para prestação de serviços em contratos firmados com a </w:t>
      </w:r>
      <w:r w:rsidR="00787F70" w:rsidRPr="002E2B5B">
        <w:rPr>
          <w:rFonts w:ascii="Calibri" w:hAnsi="Calibri" w:cs="Calibri"/>
          <w:sz w:val="22"/>
          <w:szCs w:val="22"/>
        </w:rPr>
        <w:t>Estatal</w:t>
      </w:r>
      <w:r w:rsidRPr="002E2B5B">
        <w:rPr>
          <w:rFonts w:ascii="Calibri" w:hAnsi="Calibri" w:cs="Calibri"/>
          <w:sz w:val="22"/>
          <w:szCs w:val="22"/>
        </w:rPr>
        <w:t xml:space="preserve">, implicando na inclusão da </w:t>
      </w:r>
      <w:r w:rsidR="00920ED9" w:rsidRPr="002E2B5B">
        <w:rPr>
          <w:rFonts w:ascii="Calibri" w:hAnsi="Calibri" w:cs="Calibri"/>
          <w:sz w:val="22"/>
          <w:szCs w:val="22"/>
        </w:rPr>
        <w:t>VALEC</w:t>
      </w:r>
      <w:r w:rsidRPr="002E2B5B">
        <w:rPr>
          <w:rFonts w:ascii="Calibri" w:hAnsi="Calibri" w:cs="Calibri"/>
          <w:sz w:val="22"/>
          <w:szCs w:val="22"/>
        </w:rPr>
        <w:t> como responsável subsidiariamente no polo passivo dessas demandas judiciais.</w:t>
      </w:r>
    </w:p>
    <w:p w14:paraId="6735F71F" w14:textId="77777777" w:rsidR="00F80F84" w:rsidRPr="002E2B5B" w:rsidRDefault="00F80F84" w:rsidP="002E2B5B">
      <w:pPr>
        <w:spacing w:after="120"/>
        <w:ind w:right="57"/>
        <w:jc w:val="both"/>
        <w:rPr>
          <w:rFonts w:ascii="Calibri" w:hAnsi="Calibri" w:cs="Calibri"/>
          <w:sz w:val="22"/>
          <w:szCs w:val="22"/>
        </w:rPr>
      </w:pPr>
      <w:r w:rsidRPr="002E2B5B">
        <w:rPr>
          <w:rFonts w:ascii="Calibri" w:hAnsi="Calibri" w:cs="Calibri"/>
          <w:sz w:val="22"/>
          <w:szCs w:val="22"/>
        </w:rPr>
        <w:t xml:space="preserve">Além do quadro dito </w:t>
      </w:r>
      <w:r w:rsidR="00920ED9" w:rsidRPr="002E2B5B">
        <w:rPr>
          <w:rFonts w:ascii="Calibri" w:hAnsi="Calibri" w:cs="Calibri"/>
          <w:sz w:val="22"/>
          <w:szCs w:val="22"/>
        </w:rPr>
        <w:t>VALEC</w:t>
      </w:r>
      <w:r w:rsidRPr="002E2B5B">
        <w:rPr>
          <w:rFonts w:ascii="Calibri" w:hAnsi="Calibri" w:cs="Calibri"/>
          <w:sz w:val="22"/>
          <w:szCs w:val="22"/>
        </w:rPr>
        <w:t xml:space="preserve">, a Estatal sucedeu ao longo dos anos obrigações de empresas extintas, como GEIPOT e RFFSA, absorvendo o quadro de pessoal dessas empresas que passaram a compor, dentro das suas particularidades, também o seu quadro efetivo. Necessário explanar que, quando da extinção da Empresa Brasileira de Planejamento de Transportes </w:t>
      </w:r>
      <w:r w:rsidR="00AD6E75" w:rsidRPr="002E2B5B">
        <w:rPr>
          <w:rFonts w:ascii="Calibri" w:hAnsi="Calibri" w:cs="Calibri"/>
          <w:sz w:val="22"/>
          <w:szCs w:val="22"/>
        </w:rPr>
        <w:t>(</w:t>
      </w:r>
      <w:r w:rsidRPr="002E2B5B">
        <w:rPr>
          <w:rFonts w:ascii="Calibri" w:hAnsi="Calibri" w:cs="Calibri"/>
          <w:sz w:val="22"/>
          <w:szCs w:val="22"/>
        </w:rPr>
        <w:t>GEIPOT</w:t>
      </w:r>
      <w:r w:rsidR="00AD6E75" w:rsidRPr="002E2B5B">
        <w:rPr>
          <w:rFonts w:ascii="Calibri" w:hAnsi="Calibri" w:cs="Calibri"/>
          <w:sz w:val="22"/>
          <w:szCs w:val="22"/>
        </w:rPr>
        <w:t>)</w:t>
      </w:r>
      <w:r w:rsidRPr="002E2B5B">
        <w:rPr>
          <w:rFonts w:ascii="Calibri" w:hAnsi="Calibri" w:cs="Calibri"/>
          <w:sz w:val="22"/>
          <w:szCs w:val="22"/>
        </w:rPr>
        <w:t xml:space="preserve">, a transferência dos seus empregados ao quadro especial da </w:t>
      </w:r>
      <w:r w:rsidR="00920ED9" w:rsidRPr="002E2B5B">
        <w:rPr>
          <w:rFonts w:ascii="Calibri" w:hAnsi="Calibri" w:cs="Calibri"/>
          <w:sz w:val="22"/>
          <w:szCs w:val="22"/>
        </w:rPr>
        <w:t>VALEC</w:t>
      </w:r>
      <w:r w:rsidRPr="002E2B5B">
        <w:rPr>
          <w:rFonts w:ascii="Calibri" w:hAnsi="Calibri" w:cs="Calibri"/>
          <w:sz w:val="22"/>
          <w:szCs w:val="22"/>
        </w:rPr>
        <w:t xml:space="preserve"> ocorreu por força do artigo 26 da Lei nº 11.772/2008, que previu a vedação de comunicação aos planos de cargos e salários da </w:t>
      </w:r>
      <w:r w:rsidR="00920ED9" w:rsidRPr="002E2B5B">
        <w:rPr>
          <w:rFonts w:ascii="Calibri" w:hAnsi="Calibri" w:cs="Calibri"/>
          <w:sz w:val="22"/>
          <w:szCs w:val="22"/>
        </w:rPr>
        <w:t>VALEC</w:t>
      </w:r>
      <w:r w:rsidRPr="002E2B5B">
        <w:rPr>
          <w:rFonts w:ascii="Calibri" w:hAnsi="Calibri" w:cs="Calibri"/>
          <w:sz w:val="22"/>
          <w:szCs w:val="22"/>
        </w:rPr>
        <w:t xml:space="preserve">. Embora pacificada na legislação, a questão foi objeto de diversas judicializações face à Estatal, que se amparava nos ditames legais para lograr êxito no judiciário. Ademais, os empregados do extinto </w:t>
      </w:r>
      <w:r w:rsidR="00AD6E75" w:rsidRPr="002E2B5B">
        <w:rPr>
          <w:rFonts w:ascii="Calibri" w:hAnsi="Calibri" w:cs="Calibri"/>
          <w:sz w:val="22"/>
          <w:szCs w:val="22"/>
        </w:rPr>
        <w:t>GEIPOT</w:t>
      </w:r>
      <w:r w:rsidRPr="002E2B5B">
        <w:rPr>
          <w:rFonts w:ascii="Calibri" w:hAnsi="Calibri" w:cs="Calibri"/>
          <w:sz w:val="22"/>
          <w:szCs w:val="22"/>
        </w:rPr>
        <w:t xml:space="preserve"> também ingressaram com outros pleitos, muitos deles já arquivados, dos quais destacam-se os de incorporação de gratificação, cessão de empregados, plano de saúde e cumprimento do Plano de Cargos e Salários.</w:t>
      </w:r>
    </w:p>
    <w:p w14:paraId="1C563B4D" w14:textId="1793A72E" w:rsidR="005D7B2E" w:rsidRPr="002E2B5B" w:rsidRDefault="00F80F84" w:rsidP="002E2B5B">
      <w:pPr>
        <w:spacing w:after="120"/>
        <w:ind w:right="57"/>
        <w:jc w:val="both"/>
        <w:rPr>
          <w:rFonts w:ascii="Calibri" w:hAnsi="Calibri" w:cs="Calibri"/>
          <w:sz w:val="22"/>
          <w:szCs w:val="22"/>
        </w:rPr>
      </w:pPr>
      <w:r w:rsidRPr="002E2B5B">
        <w:rPr>
          <w:rFonts w:ascii="Calibri" w:hAnsi="Calibri" w:cs="Calibri"/>
          <w:sz w:val="22"/>
          <w:szCs w:val="22"/>
        </w:rPr>
        <w:t xml:space="preserve">Quanto à Rede Ferroviária Federal S/A </w:t>
      </w:r>
      <w:r w:rsidR="00AD6E75" w:rsidRPr="002E2B5B">
        <w:rPr>
          <w:rFonts w:ascii="Calibri" w:hAnsi="Calibri" w:cs="Calibri"/>
          <w:sz w:val="22"/>
          <w:szCs w:val="22"/>
        </w:rPr>
        <w:t>(</w:t>
      </w:r>
      <w:r w:rsidRPr="002E2B5B">
        <w:rPr>
          <w:rFonts w:ascii="Calibri" w:hAnsi="Calibri" w:cs="Calibri"/>
          <w:sz w:val="22"/>
          <w:szCs w:val="22"/>
        </w:rPr>
        <w:t>RFFSA</w:t>
      </w:r>
      <w:r w:rsidR="00AD6E75" w:rsidRPr="002E2B5B">
        <w:rPr>
          <w:rFonts w:ascii="Calibri" w:hAnsi="Calibri" w:cs="Calibri"/>
          <w:sz w:val="22"/>
          <w:szCs w:val="22"/>
        </w:rPr>
        <w:t>)</w:t>
      </w:r>
      <w:r w:rsidRPr="002E2B5B">
        <w:rPr>
          <w:rFonts w:ascii="Calibri" w:hAnsi="Calibri" w:cs="Calibri"/>
          <w:sz w:val="22"/>
          <w:szCs w:val="22"/>
        </w:rPr>
        <w:t xml:space="preserve">, a alteração do contrato de trabalho com a sucessão trabalhista se deu por força da Lei nº 11.483/2007 e as principais judicializações dessa categoria contemplam pedidos para manutenção dos empregados nas cidades em que laboravam à época da Inventariança. Ademais, também foram propostas ações requerendo equiparação salarial aos empregados da </w:t>
      </w:r>
      <w:r w:rsidR="00920ED9" w:rsidRPr="002E2B5B">
        <w:rPr>
          <w:rFonts w:ascii="Calibri" w:hAnsi="Calibri" w:cs="Calibri"/>
          <w:sz w:val="22"/>
          <w:szCs w:val="22"/>
        </w:rPr>
        <w:t>VALEC</w:t>
      </w:r>
      <w:r w:rsidRPr="002E2B5B">
        <w:rPr>
          <w:rFonts w:ascii="Calibri" w:hAnsi="Calibri" w:cs="Calibri"/>
          <w:sz w:val="22"/>
          <w:szCs w:val="22"/>
        </w:rPr>
        <w:t>. De igual modo à legislação aplicada ao GEIPOT, há óbice nas demandas apresentadas em razão do disposto no §2º, art. 17 da Lei nº 11.48</w:t>
      </w:r>
      <w:r w:rsidR="00214011">
        <w:rPr>
          <w:rFonts w:ascii="Calibri" w:hAnsi="Calibri" w:cs="Calibri"/>
          <w:sz w:val="22"/>
          <w:szCs w:val="22"/>
        </w:rPr>
        <w:t xml:space="preserve">3, de 31 de maio de </w:t>
      </w:r>
      <w:r w:rsidRPr="002E2B5B">
        <w:rPr>
          <w:rFonts w:ascii="Calibri" w:hAnsi="Calibri" w:cs="Calibri"/>
          <w:sz w:val="22"/>
          <w:szCs w:val="22"/>
        </w:rPr>
        <w:t xml:space="preserve">2007, que veda a comunicação dos Planos de Cargos e Salários da </w:t>
      </w:r>
      <w:r w:rsidR="00920ED9" w:rsidRPr="002E2B5B">
        <w:rPr>
          <w:rFonts w:ascii="Calibri" w:hAnsi="Calibri" w:cs="Calibri"/>
          <w:sz w:val="22"/>
          <w:szCs w:val="22"/>
        </w:rPr>
        <w:t>VALEC</w:t>
      </w:r>
      <w:r w:rsidRPr="002E2B5B">
        <w:rPr>
          <w:rFonts w:ascii="Calibri" w:hAnsi="Calibri" w:cs="Calibri"/>
          <w:sz w:val="22"/>
          <w:szCs w:val="22"/>
        </w:rPr>
        <w:t>. </w:t>
      </w:r>
    </w:p>
    <w:p w14:paraId="332DC70D" w14:textId="77777777" w:rsidR="00970EA8" w:rsidRPr="002E2B5B" w:rsidRDefault="00970EA8" w:rsidP="002E2B5B">
      <w:pPr>
        <w:spacing w:after="120"/>
        <w:ind w:right="57"/>
        <w:jc w:val="both"/>
        <w:rPr>
          <w:rFonts w:ascii="Calibri" w:hAnsi="Calibri" w:cs="Calibri"/>
          <w:sz w:val="22"/>
          <w:szCs w:val="22"/>
        </w:rPr>
      </w:pPr>
      <w:r w:rsidRPr="002E2B5B">
        <w:rPr>
          <w:rFonts w:ascii="Calibri" w:hAnsi="Calibri" w:cs="Calibri"/>
          <w:sz w:val="22"/>
          <w:szCs w:val="22"/>
        </w:rPr>
        <w:t>Conforme Item n° 86 do CPC 25 - Provisões, Passivos Contingentes e Ativos Contingentes; “a entidade deve divulgar para cada classe de passivo contingente na data do balanço, uma breve descrição da natureza do passivo contingente...”. Assim, os processos judiciais impetrados contra a VALEC, a extinta RFFSA e o GEIPOT, classificados pela Assessoria Jurídica como obrigações “possíveis”, não foram contabilizados, apenas divulgados em Nota Explicativa.</w:t>
      </w:r>
    </w:p>
    <w:p w14:paraId="7E39FB89" w14:textId="172CA783" w:rsidR="00977AD1" w:rsidRPr="00DF68E4" w:rsidRDefault="00970EA8" w:rsidP="002E2B5B">
      <w:pPr>
        <w:spacing w:after="120"/>
        <w:ind w:right="57"/>
        <w:jc w:val="both"/>
        <w:rPr>
          <w:rFonts w:ascii="Calibri" w:hAnsi="Calibri" w:cs="Calibri"/>
          <w:sz w:val="22"/>
          <w:szCs w:val="22"/>
        </w:rPr>
      </w:pPr>
      <w:r w:rsidRPr="00DF68E4">
        <w:rPr>
          <w:rFonts w:ascii="Calibri" w:hAnsi="Calibri" w:cs="Calibri"/>
          <w:sz w:val="22"/>
          <w:szCs w:val="22"/>
        </w:rPr>
        <w:t xml:space="preserve">Os processos judiciais classificados com “possível” risco de perda, apresentaram os seguintes saldos em </w:t>
      </w:r>
      <w:r w:rsidR="00255AD7">
        <w:rPr>
          <w:rFonts w:ascii="Calibri" w:hAnsi="Calibri" w:cs="Calibri"/>
          <w:sz w:val="22"/>
          <w:szCs w:val="22"/>
        </w:rPr>
        <w:t xml:space="preserve">30 de </w:t>
      </w:r>
      <w:r w:rsidR="00F177F2">
        <w:rPr>
          <w:rFonts w:ascii="Calibri" w:hAnsi="Calibri" w:cs="Calibri"/>
          <w:sz w:val="22"/>
          <w:szCs w:val="22"/>
        </w:rPr>
        <w:t>setembro</w:t>
      </w:r>
      <w:r w:rsidRPr="00DF68E4">
        <w:rPr>
          <w:rFonts w:ascii="Calibri" w:hAnsi="Calibri" w:cs="Calibri"/>
          <w:sz w:val="22"/>
          <w:szCs w:val="22"/>
        </w:rPr>
        <w:t xml:space="preserve"> de 20</w:t>
      </w:r>
      <w:r w:rsidR="00B632AC" w:rsidRPr="00DF68E4">
        <w:rPr>
          <w:rFonts w:ascii="Calibri" w:hAnsi="Calibri" w:cs="Calibri"/>
          <w:sz w:val="22"/>
          <w:szCs w:val="22"/>
        </w:rPr>
        <w:t>2</w:t>
      </w:r>
      <w:r w:rsidR="00456F49" w:rsidRPr="00DF68E4">
        <w:rPr>
          <w:rFonts w:ascii="Calibri" w:hAnsi="Calibri" w:cs="Calibri"/>
          <w:sz w:val="22"/>
          <w:szCs w:val="22"/>
        </w:rPr>
        <w:t>1</w:t>
      </w:r>
      <w:r w:rsidRPr="00DF68E4">
        <w:rPr>
          <w:rFonts w:ascii="Calibri" w:hAnsi="Calibri" w:cs="Calibri"/>
          <w:sz w:val="22"/>
          <w:szCs w:val="22"/>
        </w:rPr>
        <w:t>:</w:t>
      </w:r>
    </w:p>
    <w:tbl>
      <w:tblPr>
        <w:tblW w:w="5001" w:type="pct"/>
        <w:tblCellMar>
          <w:left w:w="70" w:type="dxa"/>
          <w:right w:w="70" w:type="dxa"/>
        </w:tblCellMar>
        <w:tblLook w:val="04A0" w:firstRow="1" w:lastRow="0" w:firstColumn="1" w:lastColumn="0" w:noHBand="0" w:noVBand="1"/>
      </w:tblPr>
      <w:tblGrid>
        <w:gridCol w:w="2338"/>
        <w:gridCol w:w="4466"/>
        <w:gridCol w:w="1843"/>
        <w:gridCol w:w="1822"/>
      </w:tblGrid>
      <w:tr w:rsidR="00B632AC" w:rsidRPr="00DF68E4" w14:paraId="30EBC64F" w14:textId="77777777" w:rsidTr="00C34E8D">
        <w:trPr>
          <w:trHeight w:hRule="exact" w:val="227"/>
        </w:trPr>
        <w:tc>
          <w:tcPr>
            <w:tcW w:w="1116" w:type="pct"/>
            <w:tcBorders>
              <w:top w:val="nil"/>
              <w:left w:val="nil"/>
              <w:bottom w:val="single" w:sz="8" w:space="0" w:color="auto"/>
              <w:right w:val="nil"/>
            </w:tcBorders>
            <w:shd w:val="clear" w:color="auto" w:fill="auto"/>
            <w:noWrap/>
            <w:vAlign w:val="bottom"/>
            <w:hideMark/>
          </w:tcPr>
          <w:p w14:paraId="1173B15B" w14:textId="77777777" w:rsidR="00B632AC" w:rsidRPr="00DF68E4" w:rsidRDefault="00B632AC" w:rsidP="002E2B5B">
            <w:pPr>
              <w:rPr>
                <w:rFonts w:ascii="Calibri" w:hAnsi="Calibri" w:cs="Calibri"/>
                <w:b/>
                <w:bCs/>
                <w:color w:val="000000"/>
                <w:sz w:val="16"/>
                <w:szCs w:val="16"/>
              </w:rPr>
            </w:pPr>
            <w:r w:rsidRPr="00DF68E4">
              <w:rPr>
                <w:rFonts w:ascii="Calibri" w:hAnsi="Calibri" w:cs="Calibri"/>
                <w:b/>
                <w:bCs/>
                <w:color w:val="000000"/>
                <w:sz w:val="16"/>
                <w:szCs w:val="16"/>
              </w:rPr>
              <w:t>VARAS</w:t>
            </w:r>
          </w:p>
        </w:tc>
        <w:tc>
          <w:tcPr>
            <w:tcW w:w="2133" w:type="pct"/>
            <w:tcBorders>
              <w:top w:val="nil"/>
              <w:left w:val="nil"/>
              <w:bottom w:val="single" w:sz="8" w:space="0" w:color="auto"/>
              <w:right w:val="nil"/>
            </w:tcBorders>
            <w:shd w:val="clear" w:color="auto" w:fill="auto"/>
            <w:vAlign w:val="bottom"/>
          </w:tcPr>
          <w:p w14:paraId="1E67A9D5" w14:textId="77777777" w:rsidR="00B632AC" w:rsidRPr="00DF68E4" w:rsidRDefault="00B632AC" w:rsidP="002E2B5B">
            <w:pPr>
              <w:jc w:val="right"/>
              <w:rPr>
                <w:rFonts w:ascii="Calibri" w:hAnsi="Calibri" w:cs="Calibri"/>
                <w:b/>
                <w:bCs/>
                <w:color w:val="000000"/>
                <w:sz w:val="16"/>
                <w:szCs w:val="16"/>
              </w:rPr>
            </w:pPr>
          </w:p>
        </w:tc>
        <w:tc>
          <w:tcPr>
            <w:tcW w:w="880" w:type="pct"/>
            <w:tcBorders>
              <w:top w:val="nil"/>
              <w:left w:val="nil"/>
              <w:bottom w:val="single" w:sz="8" w:space="0" w:color="auto"/>
              <w:right w:val="nil"/>
            </w:tcBorders>
            <w:shd w:val="clear" w:color="auto" w:fill="auto"/>
            <w:vAlign w:val="bottom"/>
          </w:tcPr>
          <w:p w14:paraId="09EB0595" w14:textId="448F83FB" w:rsidR="00B632AC" w:rsidRPr="00DF68E4" w:rsidRDefault="00B632AC" w:rsidP="002E2B5B">
            <w:pPr>
              <w:jc w:val="right"/>
              <w:rPr>
                <w:rFonts w:ascii="Calibri" w:hAnsi="Calibri" w:cs="Calibri"/>
                <w:b/>
                <w:bCs/>
                <w:color w:val="000000"/>
                <w:sz w:val="16"/>
                <w:szCs w:val="16"/>
              </w:rPr>
            </w:pPr>
          </w:p>
        </w:tc>
        <w:tc>
          <w:tcPr>
            <w:tcW w:w="870" w:type="pct"/>
            <w:tcBorders>
              <w:top w:val="nil"/>
              <w:left w:val="nil"/>
              <w:bottom w:val="single" w:sz="8" w:space="0" w:color="auto"/>
              <w:right w:val="nil"/>
            </w:tcBorders>
            <w:vAlign w:val="bottom"/>
          </w:tcPr>
          <w:p w14:paraId="1841D742" w14:textId="373423D2" w:rsidR="00B632AC" w:rsidRPr="00DF68E4" w:rsidRDefault="00255AD7" w:rsidP="002E2B5B">
            <w:pPr>
              <w:jc w:val="right"/>
              <w:rPr>
                <w:rFonts w:ascii="Calibri" w:hAnsi="Calibri" w:cs="Calibri"/>
                <w:b/>
                <w:bCs/>
                <w:color w:val="000000"/>
                <w:sz w:val="16"/>
                <w:szCs w:val="16"/>
              </w:rPr>
            </w:pPr>
            <w:r>
              <w:rPr>
                <w:rFonts w:ascii="Calibri" w:hAnsi="Calibri" w:cs="Calibri"/>
                <w:b/>
                <w:bCs/>
                <w:color w:val="000000"/>
                <w:sz w:val="16"/>
                <w:szCs w:val="16"/>
              </w:rPr>
              <w:t>30/0</w:t>
            </w:r>
            <w:r w:rsidR="00F177F2">
              <w:rPr>
                <w:rFonts w:ascii="Calibri" w:hAnsi="Calibri" w:cs="Calibri"/>
                <w:b/>
                <w:bCs/>
                <w:color w:val="000000"/>
                <w:sz w:val="16"/>
                <w:szCs w:val="16"/>
              </w:rPr>
              <w:t>9</w:t>
            </w:r>
            <w:r>
              <w:rPr>
                <w:rFonts w:ascii="Calibri" w:hAnsi="Calibri" w:cs="Calibri"/>
                <w:b/>
                <w:bCs/>
                <w:color w:val="000000"/>
                <w:sz w:val="16"/>
                <w:szCs w:val="16"/>
              </w:rPr>
              <w:t>/2021</w:t>
            </w:r>
          </w:p>
        </w:tc>
      </w:tr>
      <w:tr w:rsidR="00B632AC" w:rsidRPr="00DF68E4" w14:paraId="6F509C99" w14:textId="77777777" w:rsidTr="00C34E8D">
        <w:trPr>
          <w:trHeight w:hRule="exact" w:val="227"/>
        </w:trPr>
        <w:tc>
          <w:tcPr>
            <w:tcW w:w="1116" w:type="pct"/>
            <w:tcBorders>
              <w:top w:val="nil"/>
              <w:left w:val="nil"/>
              <w:bottom w:val="nil"/>
              <w:right w:val="nil"/>
            </w:tcBorders>
            <w:shd w:val="clear" w:color="auto" w:fill="auto"/>
            <w:noWrap/>
            <w:vAlign w:val="center"/>
            <w:hideMark/>
          </w:tcPr>
          <w:p w14:paraId="60239B8A" w14:textId="77777777" w:rsidR="00B632AC" w:rsidRPr="00DF68E4" w:rsidRDefault="00B632AC" w:rsidP="002E2B5B">
            <w:pPr>
              <w:rPr>
                <w:rFonts w:ascii="Calibri" w:hAnsi="Calibri" w:cs="Calibri"/>
                <w:color w:val="000000"/>
                <w:sz w:val="16"/>
                <w:szCs w:val="16"/>
              </w:rPr>
            </w:pPr>
            <w:r w:rsidRPr="00DF68E4">
              <w:rPr>
                <w:rFonts w:ascii="Calibri" w:hAnsi="Calibri" w:cs="Calibri"/>
                <w:color w:val="000000"/>
                <w:sz w:val="16"/>
                <w:szCs w:val="16"/>
              </w:rPr>
              <w:t>Cíveis</w:t>
            </w:r>
          </w:p>
        </w:tc>
        <w:tc>
          <w:tcPr>
            <w:tcW w:w="2133" w:type="pct"/>
            <w:tcBorders>
              <w:top w:val="nil"/>
              <w:left w:val="nil"/>
              <w:bottom w:val="nil"/>
              <w:right w:val="nil"/>
            </w:tcBorders>
            <w:shd w:val="clear" w:color="auto" w:fill="auto"/>
            <w:noWrap/>
            <w:vAlign w:val="center"/>
          </w:tcPr>
          <w:p w14:paraId="5112EAFA" w14:textId="77777777" w:rsidR="00B632AC" w:rsidRPr="00DF68E4" w:rsidRDefault="00B632AC" w:rsidP="002E2B5B">
            <w:pPr>
              <w:jc w:val="right"/>
              <w:rPr>
                <w:rFonts w:ascii="Calibri" w:hAnsi="Calibri" w:cs="Calibri"/>
                <w:color w:val="000000"/>
                <w:sz w:val="16"/>
                <w:szCs w:val="16"/>
              </w:rPr>
            </w:pPr>
          </w:p>
        </w:tc>
        <w:tc>
          <w:tcPr>
            <w:tcW w:w="880" w:type="pct"/>
            <w:tcBorders>
              <w:top w:val="nil"/>
              <w:left w:val="nil"/>
              <w:bottom w:val="nil"/>
              <w:right w:val="nil"/>
            </w:tcBorders>
            <w:shd w:val="clear" w:color="auto" w:fill="auto"/>
            <w:vAlign w:val="center"/>
          </w:tcPr>
          <w:p w14:paraId="5DCD5D99" w14:textId="50C700D6" w:rsidR="00B632AC" w:rsidRPr="00DF68E4" w:rsidRDefault="00B632AC" w:rsidP="002E2B5B">
            <w:pPr>
              <w:jc w:val="right"/>
              <w:rPr>
                <w:rFonts w:ascii="Calibri" w:hAnsi="Calibri" w:cs="Calibri"/>
                <w:color w:val="000000"/>
                <w:sz w:val="16"/>
                <w:szCs w:val="16"/>
              </w:rPr>
            </w:pPr>
          </w:p>
        </w:tc>
        <w:tc>
          <w:tcPr>
            <w:tcW w:w="870" w:type="pct"/>
            <w:tcBorders>
              <w:top w:val="nil"/>
              <w:left w:val="nil"/>
              <w:bottom w:val="nil"/>
              <w:right w:val="nil"/>
            </w:tcBorders>
            <w:vAlign w:val="center"/>
          </w:tcPr>
          <w:p w14:paraId="2A8C9C30" w14:textId="4FD0EFC7" w:rsidR="00B632AC" w:rsidRPr="00DF68E4" w:rsidRDefault="00F177F2" w:rsidP="002E2B5B">
            <w:pPr>
              <w:jc w:val="right"/>
              <w:rPr>
                <w:rFonts w:ascii="Calibri" w:hAnsi="Calibri" w:cs="Calibri"/>
                <w:color w:val="000000"/>
                <w:sz w:val="16"/>
                <w:szCs w:val="16"/>
              </w:rPr>
            </w:pPr>
            <w:r>
              <w:rPr>
                <w:rFonts w:ascii="Calibri" w:hAnsi="Calibri" w:cs="Calibri"/>
                <w:color w:val="000000"/>
                <w:sz w:val="16"/>
                <w:szCs w:val="16"/>
              </w:rPr>
              <w:t>1.127.538.569</w:t>
            </w:r>
          </w:p>
        </w:tc>
      </w:tr>
      <w:tr w:rsidR="00B632AC" w:rsidRPr="00DF68E4" w14:paraId="26C5D3BF" w14:textId="77777777" w:rsidTr="00C34E8D">
        <w:trPr>
          <w:trHeight w:hRule="exact" w:val="227"/>
        </w:trPr>
        <w:tc>
          <w:tcPr>
            <w:tcW w:w="1116" w:type="pct"/>
            <w:tcBorders>
              <w:top w:val="nil"/>
              <w:left w:val="nil"/>
              <w:bottom w:val="nil"/>
              <w:right w:val="nil"/>
            </w:tcBorders>
            <w:shd w:val="clear" w:color="auto" w:fill="auto"/>
            <w:noWrap/>
            <w:vAlign w:val="center"/>
            <w:hideMark/>
          </w:tcPr>
          <w:p w14:paraId="02949E82" w14:textId="77777777" w:rsidR="00B632AC" w:rsidRPr="00DF68E4" w:rsidRDefault="00B632AC" w:rsidP="002E2B5B">
            <w:pPr>
              <w:rPr>
                <w:rFonts w:ascii="Calibri" w:hAnsi="Calibri" w:cs="Calibri"/>
                <w:color w:val="000000"/>
                <w:sz w:val="16"/>
                <w:szCs w:val="16"/>
              </w:rPr>
            </w:pPr>
            <w:r w:rsidRPr="00DF68E4">
              <w:rPr>
                <w:rFonts w:ascii="Calibri" w:hAnsi="Calibri" w:cs="Calibri"/>
                <w:color w:val="000000"/>
                <w:sz w:val="16"/>
                <w:szCs w:val="16"/>
              </w:rPr>
              <w:t>Trabalhistas</w:t>
            </w:r>
          </w:p>
        </w:tc>
        <w:tc>
          <w:tcPr>
            <w:tcW w:w="2133" w:type="pct"/>
            <w:tcBorders>
              <w:top w:val="nil"/>
              <w:left w:val="nil"/>
              <w:bottom w:val="nil"/>
              <w:right w:val="nil"/>
            </w:tcBorders>
            <w:shd w:val="clear" w:color="auto" w:fill="auto"/>
            <w:noWrap/>
            <w:vAlign w:val="center"/>
          </w:tcPr>
          <w:p w14:paraId="1A919DB2" w14:textId="77777777" w:rsidR="00B632AC" w:rsidRPr="00DF68E4" w:rsidRDefault="00B632AC" w:rsidP="002E2B5B">
            <w:pPr>
              <w:jc w:val="right"/>
              <w:rPr>
                <w:rFonts w:ascii="Calibri" w:hAnsi="Calibri" w:cs="Calibri"/>
                <w:color w:val="000000"/>
                <w:sz w:val="16"/>
                <w:szCs w:val="16"/>
              </w:rPr>
            </w:pPr>
          </w:p>
        </w:tc>
        <w:tc>
          <w:tcPr>
            <w:tcW w:w="880" w:type="pct"/>
            <w:tcBorders>
              <w:top w:val="nil"/>
              <w:left w:val="nil"/>
              <w:bottom w:val="nil"/>
              <w:right w:val="nil"/>
            </w:tcBorders>
            <w:shd w:val="clear" w:color="auto" w:fill="auto"/>
            <w:vAlign w:val="center"/>
          </w:tcPr>
          <w:p w14:paraId="5F5B7F8B" w14:textId="7D77E49C" w:rsidR="00B632AC" w:rsidRPr="00DF68E4" w:rsidRDefault="00B632AC" w:rsidP="002E2B5B">
            <w:pPr>
              <w:jc w:val="right"/>
              <w:rPr>
                <w:rFonts w:ascii="Calibri" w:hAnsi="Calibri" w:cs="Calibri"/>
                <w:color w:val="000000"/>
                <w:sz w:val="16"/>
                <w:szCs w:val="16"/>
              </w:rPr>
            </w:pPr>
          </w:p>
        </w:tc>
        <w:tc>
          <w:tcPr>
            <w:tcW w:w="870" w:type="pct"/>
            <w:tcBorders>
              <w:top w:val="nil"/>
              <w:left w:val="nil"/>
              <w:bottom w:val="nil"/>
              <w:right w:val="nil"/>
            </w:tcBorders>
            <w:vAlign w:val="center"/>
          </w:tcPr>
          <w:p w14:paraId="5438EC15" w14:textId="56229D36" w:rsidR="00B632AC" w:rsidRPr="00DF68E4" w:rsidRDefault="00F177F2" w:rsidP="002E2B5B">
            <w:pPr>
              <w:jc w:val="right"/>
              <w:rPr>
                <w:rFonts w:ascii="Calibri" w:hAnsi="Calibri" w:cs="Calibri"/>
                <w:color w:val="000000"/>
                <w:sz w:val="16"/>
                <w:szCs w:val="16"/>
              </w:rPr>
            </w:pPr>
            <w:r>
              <w:rPr>
                <w:rFonts w:ascii="Calibri" w:hAnsi="Calibri" w:cs="Calibri"/>
                <w:color w:val="000000"/>
                <w:sz w:val="16"/>
                <w:szCs w:val="16"/>
              </w:rPr>
              <w:t>31.654.532</w:t>
            </w:r>
          </w:p>
        </w:tc>
      </w:tr>
      <w:tr w:rsidR="00B632AC" w:rsidRPr="002E2B5B" w14:paraId="7D1350C8" w14:textId="77777777" w:rsidTr="00C34E8D">
        <w:trPr>
          <w:trHeight w:hRule="exact" w:val="227"/>
        </w:trPr>
        <w:tc>
          <w:tcPr>
            <w:tcW w:w="1116" w:type="pct"/>
            <w:tcBorders>
              <w:top w:val="single" w:sz="8" w:space="0" w:color="auto"/>
              <w:left w:val="nil"/>
              <w:bottom w:val="single" w:sz="8" w:space="0" w:color="auto"/>
              <w:right w:val="nil"/>
            </w:tcBorders>
            <w:shd w:val="clear" w:color="auto" w:fill="auto"/>
            <w:noWrap/>
            <w:vAlign w:val="center"/>
            <w:hideMark/>
          </w:tcPr>
          <w:p w14:paraId="0E59125E" w14:textId="77777777" w:rsidR="00B632AC" w:rsidRPr="00DF68E4" w:rsidRDefault="00B632AC" w:rsidP="002E2B5B">
            <w:pPr>
              <w:rPr>
                <w:rFonts w:ascii="Calibri" w:hAnsi="Calibri" w:cs="Calibri"/>
                <w:b/>
                <w:bCs/>
                <w:color w:val="000000"/>
                <w:sz w:val="16"/>
                <w:szCs w:val="16"/>
              </w:rPr>
            </w:pPr>
            <w:r w:rsidRPr="00DF68E4">
              <w:rPr>
                <w:rFonts w:ascii="Calibri" w:hAnsi="Calibri" w:cs="Calibri"/>
                <w:b/>
                <w:bCs/>
                <w:color w:val="000000"/>
                <w:sz w:val="16"/>
                <w:szCs w:val="16"/>
              </w:rPr>
              <w:t>SALDO</w:t>
            </w:r>
          </w:p>
        </w:tc>
        <w:tc>
          <w:tcPr>
            <w:tcW w:w="2133" w:type="pct"/>
            <w:tcBorders>
              <w:top w:val="single" w:sz="8" w:space="0" w:color="auto"/>
              <w:left w:val="nil"/>
              <w:bottom w:val="single" w:sz="8" w:space="0" w:color="auto"/>
              <w:right w:val="nil"/>
            </w:tcBorders>
            <w:shd w:val="clear" w:color="auto" w:fill="auto"/>
            <w:noWrap/>
            <w:vAlign w:val="center"/>
          </w:tcPr>
          <w:p w14:paraId="0A225AAC" w14:textId="77777777" w:rsidR="00B632AC" w:rsidRPr="00DF68E4" w:rsidRDefault="00B632AC" w:rsidP="002E2B5B">
            <w:pPr>
              <w:jc w:val="right"/>
              <w:rPr>
                <w:rFonts w:ascii="Calibri" w:hAnsi="Calibri" w:cs="Calibri"/>
                <w:b/>
                <w:bCs/>
                <w:color w:val="000000"/>
                <w:sz w:val="16"/>
                <w:szCs w:val="16"/>
              </w:rPr>
            </w:pPr>
          </w:p>
        </w:tc>
        <w:tc>
          <w:tcPr>
            <w:tcW w:w="880" w:type="pct"/>
            <w:tcBorders>
              <w:top w:val="single" w:sz="8" w:space="0" w:color="auto"/>
              <w:left w:val="nil"/>
              <w:bottom w:val="single" w:sz="8" w:space="0" w:color="auto"/>
              <w:right w:val="nil"/>
            </w:tcBorders>
            <w:shd w:val="clear" w:color="auto" w:fill="auto"/>
            <w:vAlign w:val="center"/>
          </w:tcPr>
          <w:p w14:paraId="62FD26A3" w14:textId="7B8A30D3" w:rsidR="00B632AC" w:rsidRPr="00DF68E4" w:rsidRDefault="00B632AC" w:rsidP="002E2B5B">
            <w:pPr>
              <w:jc w:val="right"/>
              <w:rPr>
                <w:rFonts w:ascii="Calibri" w:hAnsi="Calibri" w:cs="Calibri"/>
                <w:b/>
                <w:bCs/>
                <w:color w:val="000000"/>
                <w:sz w:val="16"/>
                <w:szCs w:val="16"/>
              </w:rPr>
            </w:pPr>
          </w:p>
        </w:tc>
        <w:tc>
          <w:tcPr>
            <w:tcW w:w="870" w:type="pct"/>
            <w:tcBorders>
              <w:top w:val="single" w:sz="8" w:space="0" w:color="auto"/>
              <w:left w:val="nil"/>
              <w:bottom w:val="single" w:sz="8" w:space="0" w:color="auto"/>
              <w:right w:val="nil"/>
            </w:tcBorders>
            <w:vAlign w:val="center"/>
          </w:tcPr>
          <w:p w14:paraId="24C03739" w14:textId="0495915F" w:rsidR="00B632AC" w:rsidRPr="002E2B5B" w:rsidRDefault="00456F49" w:rsidP="002E2B5B">
            <w:pPr>
              <w:jc w:val="right"/>
              <w:rPr>
                <w:rFonts w:ascii="Calibri" w:hAnsi="Calibri" w:cs="Calibri"/>
                <w:b/>
                <w:bCs/>
                <w:color w:val="000000"/>
                <w:sz w:val="16"/>
                <w:szCs w:val="16"/>
              </w:rPr>
            </w:pPr>
            <w:r w:rsidRPr="00DF68E4">
              <w:rPr>
                <w:rFonts w:ascii="Calibri" w:hAnsi="Calibri" w:cs="Calibri"/>
                <w:b/>
                <w:bCs/>
                <w:color w:val="000000"/>
                <w:sz w:val="16"/>
                <w:szCs w:val="16"/>
              </w:rPr>
              <w:t>1.</w:t>
            </w:r>
            <w:r w:rsidR="00F177F2">
              <w:rPr>
                <w:rFonts w:ascii="Calibri" w:hAnsi="Calibri" w:cs="Calibri"/>
                <w:b/>
                <w:bCs/>
                <w:color w:val="000000"/>
                <w:sz w:val="16"/>
                <w:szCs w:val="16"/>
              </w:rPr>
              <w:t>159.193.101</w:t>
            </w:r>
          </w:p>
        </w:tc>
      </w:tr>
    </w:tbl>
    <w:p w14:paraId="18241BBD" w14:textId="152FFDBD" w:rsidR="00B60B6C" w:rsidRPr="002E2B5B" w:rsidRDefault="00970EA8" w:rsidP="002E2B5B">
      <w:pPr>
        <w:ind w:right="57"/>
        <w:jc w:val="both"/>
        <w:rPr>
          <w:rFonts w:ascii="Calibri" w:hAnsi="Calibri" w:cs="Calibri"/>
          <w:sz w:val="22"/>
          <w:szCs w:val="22"/>
        </w:rPr>
      </w:pPr>
      <w:r w:rsidRPr="002E2B5B">
        <w:rPr>
          <w:rFonts w:ascii="Calibri" w:hAnsi="Calibri" w:cs="Calibri"/>
          <w:sz w:val="22"/>
          <w:szCs w:val="22"/>
        </w:rPr>
        <w:t>Os valores classificados como possíveis “superfaturamentos” ou “sobrepreços” levantados por Tomadas de Contas Especiais do Tribunal de Contas da União, divulgados nas notas explicativas de anos anteriores, foram desconsiderados para fins de divulgação nestas Notas, devido ao reconhecimento da perda pelo valor recuperável após a subconcessão da Ferrovia Norte Sul.</w:t>
      </w:r>
      <w:bookmarkEnd w:id="6"/>
    </w:p>
    <w:p w14:paraId="6D25EE3C" w14:textId="77777777" w:rsidR="003657C6" w:rsidRPr="002E2B5B" w:rsidRDefault="003657C6" w:rsidP="002E2B5B">
      <w:pPr>
        <w:ind w:right="57"/>
        <w:jc w:val="both"/>
        <w:rPr>
          <w:rFonts w:ascii="Calibri" w:hAnsi="Calibri" w:cs="Calibri"/>
          <w:sz w:val="22"/>
          <w:szCs w:val="22"/>
        </w:rPr>
      </w:pPr>
    </w:p>
    <w:p w14:paraId="34975232" w14:textId="37E4114F" w:rsidR="00526F70" w:rsidRPr="002E2B5B" w:rsidRDefault="000568B0" w:rsidP="002E2B5B">
      <w:pPr>
        <w:pStyle w:val="Ttulo4"/>
        <w:numPr>
          <w:ilvl w:val="0"/>
          <w:numId w:val="5"/>
        </w:numPr>
        <w:tabs>
          <w:tab w:val="left" w:pos="0"/>
        </w:tabs>
        <w:spacing w:after="120" w:line="240" w:lineRule="auto"/>
        <w:ind w:left="284" w:hanging="284"/>
        <w:rPr>
          <w:rFonts w:ascii="Calibri" w:hAnsi="Calibri" w:cs="Calibri"/>
          <w:sz w:val="22"/>
          <w:szCs w:val="22"/>
        </w:rPr>
      </w:pPr>
      <w:r w:rsidRPr="002E2B5B">
        <w:rPr>
          <w:rFonts w:ascii="Calibri" w:hAnsi="Calibri" w:cs="Calibri"/>
          <w:sz w:val="22"/>
          <w:szCs w:val="22"/>
        </w:rPr>
        <w:t xml:space="preserve">Adiantamento para Futuro Aumento de Capital </w:t>
      </w:r>
      <w:r w:rsidR="008A147B" w:rsidRPr="002E2B5B">
        <w:rPr>
          <w:rFonts w:ascii="Calibri" w:hAnsi="Calibri" w:cs="Calibri"/>
          <w:sz w:val="22"/>
          <w:szCs w:val="22"/>
        </w:rPr>
        <w:t xml:space="preserve">– AFAC </w:t>
      </w:r>
    </w:p>
    <w:p w14:paraId="6502EF8A" w14:textId="263058A2" w:rsidR="00B87A63" w:rsidRPr="002E2B5B" w:rsidRDefault="00894308" w:rsidP="002E2B5B">
      <w:pPr>
        <w:spacing w:after="120"/>
        <w:ind w:right="57"/>
        <w:jc w:val="both"/>
        <w:rPr>
          <w:rFonts w:ascii="Calibri" w:hAnsi="Calibri" w:cs="Calibri"/>
          <w:sz w:val="22"/>
          <w:szCs w:val="22"/>
        </w:rPr>
      </w:pPr>
      <w:r w:rsidRPr="002E2B5B">
        <w:rPr>
          <w:rFonts w:ascii="Calibri" w:hAnsi="Calibri" w:cs="Calibri"/>
          <w:sz w:val="22"/>
          <w:szCs w:val="22"/>
        </w:rPr>
        <w:t>Os Adiantamentos para futuros aumentos de capital são compostos de recursos, oriundos do Orçamento Geral da União, no</w:t>
      </w:r>
      <w:r w:rsidR="00E70716" w:rsidRPr="002E2B5B">
        <w:rPr>
          <w:rFonts w:ascii="Calibri" w:hAnsi="Calibri" w:cs="Calibri"/>
          <w:sz w:val="22"/>
          <w:szCs w:val="22"/>
        </w:rPr>
        <w:t>s</w:t>
      </w:r>
      <w:r w:rsidRPr="002E2B5B">
        <w:rPr>
          <w:rFonts w:ascii="Calibri" w:hAnsi="Calibri" w:cs="Calibri"/>
          <w:sz w:val="22"/>
          <w:szCs w:val="22"/>
        </w:rPr>
        <w:t xml:space="preserve"> exercício</w:t>
      </w:r>
      <w:r w:rsidR="00E70716" w:rsidRPr="002E2B5B">
        <w:rPr>
          <w:rFonts w:ascii="Calibri" w:hAnsi="Calibri" w:cs="Calibri"/>
          <w:sz w:val="22"/>
          <w:szCs w:val="22"/>
        </w:rPr>
        <w:t>s</w:t>
      </w:r>
      <w:r w:rsidR="000776F4" w:rsidRPr="002E2B5B">
        <w:rPr>
          <w:rFonts w:ascii="Calibri" w:hAnsi="Calibri" w:cs="Calibri"/>
          <w:sz w:val="22"/>
          <w:szCs w:val="22"/>
        </w:rPr>
        <w:t xml:space="preserve"> de 201</w:t>
      </w:r>
      <w:r w:rsidR="00EE24E9" w:rsidRPr="002E2B5B">
        <w:rPr>
          <w:rFonts w:ascii="Calibri" w:hAnsi="Calibri" w:cs="Calibri"/>
          <w:sz w:val="22"/>
          <w:szCs w:val="22"/>
        </w:rPr>
        <w:t>8</w:t>
      </w:r>
      <w:r w:rsidR="00651F44" w:rsidRPr="002E2B5B">
        <w:rPr>
          <w:rFonts w:ascii="Calibri" w:hAnsi="Calibri" w:cs="Calibri"/>
          <w:sz w:val="22"/>
          <w:szCs w:val="22"/>
        </w:rPr>
        <w:t xml:space="preserve"> a 20</w:t>
      </w:r>
      <w:r w:rsidR="00EE24E9" w:rsidRPr="002E2B5B">
        <w:rPr>
          <w:rFonts w:ascii="Calibri" w:hAnsi="Calibri" w:cs="Calibri"/>
          <w:sz w:val="22"/>
          <w:szCs w:val="22"/>
        </w:rPr>
        <w:t>2</w:t>
      </w:r>
      <w:r w:rsidR="007D5E89">
        <w:rPr>
          <w:rFonts w:ascii="Calibri" w:hAnsi="Calibri" w:cs="Calibri"/>
          <w:sz w:val="22"/>
          <w:szCs w:val="22"/>
        </w:rPr>
        <w:t>1</w:t>
      </w:r>
      <w:r w:rsidRPr="002E2B5B">
        <w:rPr>
          <w:rFonts w:ascii="Calibri" w:hAnsi="Calibri" w:cs="Calibri"/>
          <w:sz w:val="22"/>
          <w:szCs w:val="22"/>
        </w:rPr>
        <w:t>, na categoria Investimento, e sua utilização destinou-se à construção das Ferrovias Norte-Sul EF-151, Extensão Sul, Ferrovia Integração Oeste-Leste EF-334 (FIOL) e Ferrovia</w:t>
      </w:r>
      <w:r w:rsidR="007F4918" w:rsidRPr="002E2B5B">
        <w:rPr>
          <w:rFonts w:ascii="Calibri" w:hAnsi="Calibri" w:cs="Calibri"/>
          <w:sz w:val="22"/>
          <w:szCs w:val="22"/>
        </w:rPr>
        <w:t xml:space="preserve"> Integração Centro-Oeste</w:t>
      </w:r>
      <w:r w:rsidRPr="002E2B5B">
        <w:rPr>
          <w:rFonts w:ascii="Calibri" w:hAnsi="Calibri" w:cs="Calibri"/>
          <w:sz w:val="22"/>
          <w:szCs w:val="22"/>
        </w:rPr>
        <w:t xml:space="preserve"> EF-354 (FICO). </w:t>
      </w:r>
    </w:p>
    <w:p w14:paraId="0E1F65C7" w14:textId="3DC648E9" w:rsidR="00B87A63" w:rsidRPr="002E2B5B" w:rsidRDefault="00894308" w:rsidP="002E2B5B">
      <w:pPr>
        <w:spacing w:after="120"/>
        <w:ind w:right="57"/>
        <w:jc w:val="both"/>
        <w:rPr>
          <w:rFonts w:ascii="Calibri" w:hAnsi="Calibri" w:cs="Calibri"/>
          <w:sz w:val="22"/>
          <w:szCs w:val="22"/>
        </w:rPr>
      </w:pPr>
      <w:r w:rsidRPr="002E2B5B">
        <w:rPr>
          <w:rFonts w:ascii="Calibri" w:hAnsi="Calibri" w:cs="Calibri"/>
          <w:sz w:val="22"/>
          <w:szCs w:val="22"/>
        </w:rPr>
        <w:t>Conforme o Decreto nº 8.945 de 27</w:t>
      </w:r>
      <w:r w:rsidR="00BD7C0B" w:rsidRPr="002E2B5B">
        <w:rPr>
          <w:rFonts w:ascii="Calibri" w:hAnsi="Calibri" w:cs="Calibri"/>
          <w:sz w:val="22"/>
          <w:szCs w:val="22"/>
        </w:rPr>
        <w:t xml:space="preserve"> de dezembro de </w:t>
      </w:r>
      <w:r w:rsidRPr="002E2B5B">
        <w:rPr>
          <w:rFonts w:ascii="Calibri" w:hAnsi="Calibri" w:cs="Calibri"/>
          <w:sz w:val="22"/>
          <w:szCs w:val="22"/>
        </w:rPr>
        <w:t xml:space="preserve">2016, a atualização monetária pela taxa SELIC não incide mais sobre os valores aportados a partir de </w:t>
      </w:r>
      <w:r w:rsidR="00ED6C30" w:rsidRPr="002E2B5B">
        <w:rPr>
          <w:rFonts w:ascii="Calibri" w:hAnsi="Calibri" w:cs="Calibri"/>
          <w:sz w:val="22"/>
          <w:szCs w:val="22"/>
        </w:rPr>
        <w:t>01 de janeiro de 2017</w:t>
      </w:r>
      <w:r w:rsidRPr="002E2B5B">
        <w:rPr>
          <w:rFonts w:ascii="Calibri" w:hAnsi="Calibri" w:cs="Calibri"/>
          <w:sz w:val="22"/>
          <w:szCs w:val="22"/>
        </w:rPr>
        <w:t xml:space="preserve">, entretanto, a atualização permanece sobre os saldos dos recursos anteriores a </w:t>
      </w:r>
      <w:r w:rsidR="00ED6C30" w:rsidRPr="002E2B5B">
        <w:rPr>
          <w:rFonts w:ascii="Calibri" w:hAnsi="Calibri" w:cs="Calibri"/>
          <w:sz w:val="22"/>
          <w:szCs w:val="22"/>
        </w:rPr>
        <w:t>31 de dezembro de 2016</w:t>
      </w:r>
      <w:r w:rsidRPr="002E2B5B">
        <w:rPr>
          <w:rFonts w:ascii="Calibri" w:hAnsi="Calibri" w:cs="Calibri"/>
          <w:sz w:val="22"/>
          <w:szCs w:val="22"/>
        </w:rPr>
        <w:t xml:space="preserve"> até a sua efetiva integraliz</w:t>
      </w:r>
      <w:r w:rsidR="00B1166A" w:rsidRPr="002E2B5B">
        <w:rPr>
          <w:rFonts w:ascii="Calibri" w:hAnsi="Calibri" w:cs="Calibri"/>
          <w:sz w:val="22"/>
          <w:szCs w:val="22"/>
        </w:rPr>
        <w:t>ação ao capital social da VALEC,</w:t>
      </w:r>
      <w:r w:rsidR="006748DE" w:rsidRPr="002E2B5B">
        <w:rPr>
          <w:rFonts w:ascii="Calibri" w:hAnsi="Calibri" w:cs="Calibri"/>
          <w:sz w:val="22"/>
          <w:szCs w:val="22"/>
        </w:rPr>
        <w:t xml:space="preserve"> </w:t>
      </w:r>
      <w:r w:rsidR="00B1166A" w:rsidRPr="002E2B5B">
        <w:rPr>
          <w:rFonts w:ascii="Calibri" w:hAnsi="Calibri" w:cs="Calibri"/>
          <w:sz w:val="22"/>
          <w:szCs w:val="22"/>
        </w:rPr>
        <w:t>que ocorreu em agosto de 2019 conforme aprovação da 72ª Assembleia Geral Extraordinária realizada no dia 22</w:t>
      </w:r>
      <w:r w:rsidR="00BD7C0B" w:rsidRPr="002E2B5B">
        <w:rPr>
          <w:rFonts w:ascii="Calibri" w:hAnsi="Calibri" w:cs="Calibri"/>
          <w:sz w:val="22"/>
          <w:szCs w:val="22"/>
        </w:rPr>
        <w:t xml:space="preserve"> de agosto </w:t>
      </w:r>
      <w:r w:rsidR="00BD7C0B" w:rsidRPr="002E2B5B">
        <w:rPr>
          <w:rFonts w:ascii="Calibri" w:hAnsi="Calibri" w:cs="Calibri"/>
          <w:sz w:val="22"/>
          <w:szCs w:val="22"/>
        </w:rPr>
        <w:lastRenderedPageBreak/>
        <w:t>de 20</w:t>
      </w:r>
      <w:r w:rsidR="00B1166A" w:rsidRPr="002E2B5B">
        <w:rPr>
          <w:rFonts w:ascii="Calibri" w:hAnsi="Calibri" w:cs="Calibri"/>
          <w:sz w:val="22"/>
          <w:szCs w:val="22"/>
        </w:rPr>
        <w:t>19. Desse modo, os aportes a título de AFAC realizados a partir de 2017 são registrados na conta de AFAC do Patrimônio Líquido.</w:t>
      </w:r>
    </w:p>
    <w:p w14:paraId="0E1D3BD6" w14:textId="572E9FFA" w:rsidR="00994A9D" w:rsidRDefault="000827A5" w:rsidP="00994A9D">
      <w:pPr>
        <w:spacing w:after="120"/>
        <w:jc w:val="both"/>
        <w:rPr>
          <w:rFonts w:ascii="Calibri" w:hAnsi="Calibri" w:cs="Calibri"/>
          <w:sz w:val="22"/>
          <w:szCs w:val="22"/>
        </w:rPr>
      </w:pPr>
      <w:r w:rsidRPr="002E2B5B">
        <w:rPr>
          <w:rFonts w:ascii="Calibri" w:hAnsi="Calibri" w:cs="Calibri"/>
          <w:sz w:val="22"/>
          <w:szCs w:val="22"/>
        </w:rPr>
        <w:t>A movimentação de AFAC</w:t>
      </w:r>
      <w:r w:rsidR="00994A9D">
        <w:rPr>
          <w:rFonts w:ascii="Calibri" w:hAnsi="Calibri" w:cs="Calibri"/>
          <w:sz w:val="22"/>
          <w:szCs w:val="22"/>
        </w:rPr>
        <w:t>,</w:t>
      </w:r>
      <w:r w:rsidRPr="002E2B5B">
        <w:rPr>
          <w:rFonts w:ascii="Calibri" w:hAnsi="Calibri" w:cs="Calibri"/>
          <w:sz w:val="22"/>
          <w:szCs w:val="22"/>
        </w:rPr>
        <w:t xml:space="preserve"> no </w:t>
      </w:r>
      <w:r w:rsidR="00994A9D">
        <w:rPr>
          <w:rFonts w:ascii="Calibri" w:hAnsi="Calibri" w:cs="Calibri"/>
          <w:sz w:val="22"/>
          <w:szCs w:val="22"/>
        </w:rPr>
        <w:t>ano</w:t>
      </w:r>
      <w:r w:rsidR="00456F49">
        <w:rPr>
          <w:rFonts w:ascii="Calibri" w:hAnsi="Calibri" w:cs="Calibri"/>
          <w:sz w:val="22"/>
          <w:szCs w:val="22"/>
        </w:rPr>
        <w:t xml:space="preserve"> de </w:t>
      </w:r>
      <w:r w:rsidRPr="002E2B5B">
        <w:rPr>
          <w:rFonts w:ascii="Calibri" w:hAnsi="Calibri" w:cs="Calibri"/>
          <w:sz w:val="22"/>
          <w:szCs w:val="22"/>
        </w:rPr>
        <w:t>20</w:t>
      </w:r>
      <w:r w:rsidR="00EE24E9" w:rsidRPr="002E2B5B">
        <w:rPr>
          <w:rFonts w:ascii="Calibri" w:hAnsi="Calibri" w:cs="Calibri"/>
          <w:sz w:val="22"/>
          <w:szCs w:val="22"/>
        </w:rPr>
        <w:t>2</w:t>
      </w:r>
      <w:r w:rsidR="00456F49">
        <w:rPr>
          <w:rFonts w:ascii="Calibri" w:hAnsi="Calibri" w:cs="Calibri"/>
          <w:sz w:val="22"/>
          <w:szCs w:val="22"/>
        </w:rPr>
        <w:t>1</w:t>
      </w:r>
      <w:r w:rsidR="00994A9D">
        <w:rPr>
          <w:rFonts w:ascii="Calibri" w:hAnsi="Calibri" w:cs="Calibri"/>
          <w:sz w:val="22"/>
          <w:szCs w:val="22"/>
        </w:rPr>
        <w:t xml:space="preserve"> até o </w:t>
      </w:r>
      <w:r w:rsidR="00F177F2">
        <w:rPr>
          <w:rFonts w:ascii="Calibri" w:hAnsi="Calibri" w:cs="Calibri"/>
          <w:sz w:val="22"/>
          <w:szCs w:val="22"/>
        </w:rPr>
        <w:t>terceiro</w:t>
      </w:r>
      <w:r w:rsidR="00994A9D">
        <w:rPr>
          <w:rFonts w:ascii="Calibri" w:hAnsi="Calibri" w:cs="Calibri"/>
          <w:sz w:val="22"/>
          <w:szCs w:val="22"/>
        </w:rPr>
        <w:t xml:space="preserve"> trimestre,</w:t>
      </w:r>
      <w:r w:rsidRPr="002E2B5B">
        <w:rPr>
          <w:rFonts w:ascii="Calibri" w:hAnsi="Calibri" w:cs="Calibri"/>
          <w:sz w:val="22"/>
          <w:szCs w:val="22"/>
        </w:rPr>
        <w:t xml:space="preserve"> foi:</w:t>
      </w:r>
    </w:p>
    <w:tbl>
      <w:tblPr>
        <w:tblW w:w="5000" w:type="pct"/>
        <w:tblCellMar>
          <w:left w:w="70" w:type="dxa"/>
          <w:right w:w="70" w:type="dxa"/>
        </w:tblCellMar>
        <w:tblLook w:val="04A0" w:firstRow="1" w:lastRow="0" w:firstColumn="1" w:lastColumn="0" w:noHBand="0" w:noVBand="1"/>
      </w:tblPr>
      <w:tblGrid>
        <w:gridCol w:w="2266"/>
        <w:gridCol w:w="1352"/>
        <w:gridCol w:w="2057"/>
        <w:gridCol w:w="2044"/>
        <w:gridCol w:w="2748"/>
      </w:tblGrid>
      <w:tr w:rsidR="00994A9D" w14:paraId="48F9547F" w14:textId="77777777" w:rsidTr="00994A9D">
        <w:trPr>
          <w:trHeight w:hRule="exact" w:val="227"/>
        </w:trPr>
        <w:tc>
          <w:tcPr>
            <w:tcW w:w="1000" w:type="pct"/>
            <w:tcBorders>
              <w:top w:val="nil"/>
              <w:left w:val="nil"/>
              <w:bottom w:val="single" w:sz="8" w:space="0" w:color="auto"/>
              <w:right w:val="nil"/>
            </w:tcBorders>
            <w:shd w:val="clear" w:color="auto" w:fill="auto"/>
            <w:noWrap/>
            <w:vAlign w:val="center"/>
            <w:hideMark/>
          </w:tcPr>
          <w:p w14:paraId="21D2D59F" w14:textId="77777777" w:rsidR="00994A9D" w:rsidRDefault="00994A9D">
            <w:pPr>
              <w:rPr>
                <w:rFonts w:ascii="Calibri" w:hAnsi="Calibri" w:cs="Calibri"/>
                <w:b/>
                <w:bCs/>
                <w:color w:val="000000"/>
                <w:sz w:val="16"/>
                <w:szCs w:val="16"/>
              </w:rPr>
            </w:pPr>
            <w:r>
              <w:rPr>
                <w:rFonts w:ascii="Calibri" w:hAnsi="Calibri" w:cs="Calibri"/>
                <w:b/>
                <w:bCs/>
                <w:color w:val="000000"/>
                <w:sz w:val="16"/>
                <w:szCs w:val="16"/>
              </w:rPr>
              <w:t>AFAC – PL</w:t>
            </w:r>
          </w:p>
        </w:tc>
        <w:tc>
          <w:tcPr>
            <w:tcW w:w="667" w:type="pct"/>
            <w:tcBorders>
              <w:top w:val="nil"/>
              <w:left w:val="nil"/>
              <w:bottom w:val="single" w:sz="8" w:space="0" w:color="auto"/>
              <w:right w:val="nil"/>
            </w:tcBorders>
            <w:shd w:val="clear" w:color="auto" w:fill="auto"/>
            <w:noWrap/>
            <w:vAlign w:val="center"/>
            <w:hideMark/>
          </w:tcPr>
          <w:p w14:paraId="3059EB16" w14:textId="77777777" w:rsidR="00994A9D" w:rsidRDefault="00994A9D">
            <w:pPr>
              <w:jc w:val="right"/>
              <w:rPr>
                <w:rFonts w:ascii="Calibri" w:hAnsi="Calibri" w:cs="Calibri"/>
                <w:b/>
                <w:bCs/>
                <w:color w:val="000000"/>
                <w:sz w:val="16"/>
                <w:szCs w:val="16"/>
              </w:rPr>
            </w:pPr>
            <w:r>
              <w:rPr>
                <w:rFonts w:ascii="Calibri" w:hAnsi="Calibri" w:cs="Calibri"/>
                <w:b/>
                <w:bCs/>
                <w:color w:val="000000"/>
                <w:sz w:val="16"/>
                <w:szCs w:val="16"/>
              </w:rPr>
              <w:t> </w:t>
            </w:r>
          </w:p>
        </w:tc>
        <w:tc>
          <w:tcPr>
            <w:tcW w:w="2000" w:type="pct"/>
            <w:gridSpan w:val="2"/>
            <w:tcBorders>
              <w:top w:val="nil"/>
              <w:left w:val="nil"/>
              <w:bottom w:val="single" w:sz="8" w:space="0" w:color="auto"/>
              <w:right w:val="nil"/>
            </w:tcBorders>
            <w:shd w:val="clear" w:color="auto" w:fill="auto"/>
            <w:vAlign w:val="center"/>
            <w:hideMark/>
          </w:tcPr>
          <w:p w14:paraId="049C78EC" w14:textId="155EBD4D" w:rsidR="00994A9D" w:rsidRDefault="00994A9D">
            <w:pPr>
              <w:jc w:val="right"/>
              <w:rPr>
                <w:rFonts w:ascii="Calibri" w:hAnsi="Calibri" w:cs="Calibri"/>
                <w:b/>
                <w:bCs/>
                <w:color w:val="000000"/>
                <w:sz w:val="16"/>
                <w:szCs w:val="16"/>
              </w:rPr>
            </w:pPr>
            <w:r>
              <w:rPr>
                <w:rFonts w:ascii="Calibri" w:hAnsi="Calibri" w:cs="Calibri"/>
                <w:b/>
                <w:bCs/>
                <w:color w:val="000000"/>
                <w:sz w:val="16"/>
                <w:szCs w:val="16"/>
              </w:rPr>
              <w:t>30/0</w:t>
            </w:r>
            <w:r w:rsidR="00AE620A">
              <w:rPr>
                <w:rFonts w:ascii="Calibri" w:hAnsi="Calibri" w:cs="Calibri"/>
                <w:b/>
                <w:bCs/>
                <w:color w:val="000000"/>
                <w:sz w:val="16"/>
                <w:szCs w:val="16"/>
              </w:rPr>
              <w:t>9</w:t>
            </w:r>
            <w:r>
              <w:rPr>
                <w:rFonts w:ascii="Calibri" w:hAnsi="Calibri" w:cs="Calibri"/>
                <w:b/>
                <w:bCs/>
                <w:color w:val="000000"/>
                <w:sz w:val="16"/>
                <w:szCs w:val="16"/>
              </w:rPr>
              <w:t>/2021</w:t>
            </w:r>
          </w:p>
        </w:tc>
        <w:tc>
          <w:tcPr>
            <w:tcW w:w="1333" w:type="pct"/>
            <w:tcBorders>
              <w:top w:val="nil"/>
              <w:left w:val="nil"/>
              <w:bottom w:val="single" w:sz="8" w:space="0" w:color="auto"/>
              <w:right w:val="nil"/>
            </w:tcBorders>
            <w:shd w:val="clear" w:color="auto" w:fill="auto"/>
            <w:vAlign w:val="center"/>
            <w:hideMark/>
          </w:tcPr>
          <w:p w14:paraId="01D7A59E" w14:textId="77777777" w:rsidR="00994A9D" w:rsidRDefault="00994A9D">
            <w:pPr>
              <w:jc w:val="right"/>
              <w:rPr>
                <w:rFonts w:ascii="Calibri" w:hAnsi="Calibri" w:cs="Calibri"/>
                <w:b/>
                <w:bCs/>
                <w:color w:val="000000"/>
                <w:sz w:val="16"/>
                <w:szCs w:val="16"/>
              </w:rPr>
            </w:pPr>
            <w:r>
              <w:rPr>
                <w:rFonts w:ascii="Calibri" w:hAnsi="Calibri" w:cs="Calibri"/>
                <w:b/>
                <w:bCs/>
                <w:color w:val="000000"/>
                <w:sz w:val="16"/>
                <w:szCs w:val="16"/>
              </w:rPr>
              <w:t>31/12/2020</w:t>
            </w:r>
          </w:p>
        </w:tc>
      </w:tr>
      <w:tr w:rsidR="00994A9D" w14:paraId="650C956D" w14:textId="77777777" w:rsidTr="00994A9D">
        <w:trPr>
          <w:trHeight w:hRule="exact" w:val="227"/>
        </w:trPr>
        <w:tc>
          <w:tcPr>
            <w:tcW w:w="1000" w:type="pct"/>
            <w:tcBorders>
              <w:top w:val="single" w:sz="8" w:space="0" w:color="auto"/>
              <w:left w:val="nil"/>
              <w:bottom w:val="nil"/>
              <w:right w:val="nil"/>
            </w:tcBorders>
            <w:shd w:val="clear" w:color="auto" w:fill="auto"/>
            <w:noWrap/>
            <w:vAlign w:val="center"/>
            <w:hideMark/>
          </w:tcPr>
          <w:p w14:paraId="202B6B86" w14:textId="77777777" w:rsidR="00994A9D" w:rsidRDefault="00994A9D">
            <w:pPr>
              <w:rPr>
                <w:rFonts w:ascii="Calibri" w:hAnsi="Calibri" w:cs="Calibri"/>
                <w:color w:val="000000"/>
                <w:sz w:val="16"/>
                <w:szCs w:val="16"/>
              </w:rPr>
            </w:pPr>
            <w:r>
              <w:rPr>
                <w:rFonts w:ascii="Calibri" w:hAnsi="Calibri" w:cs="Calibri"/>
                <w:color w:val="000000"/>
                <w:sz w:val="16"/>
                <w:szCs w:val="16"/>
              </w:rPr>
              <w:t>Saldo anterior</w:t>
            </w:r>
          </w:p>
        </w:tc>
        <w:tc>
          <w:tcPr>
            <w:tcW w:w="667" w:type="pct"/>
            <w:tcBorders>
              <w:top w:val="nil"/>
              <w:left w:val="nil"/>
              <w:bottom w:val="nil"/>
              <w:right w:val="nil"/>
            </w:tcBorders>
            <w:shd w:val="clear" w:color="auto" w:fill="auto"/>
            <w:noWrap/>
            <w:vAlign w:val="center"/>
            <w:hideMark/>
          </w:tcPr>
          <w:p w14:paraId="3CC8C6ED" w14:textId="77777777" w:rsidR="00994A9D" w:rsidRDefault="00994A9D">
            <w:pPr>
              <w:rPr>
                <w:rFonts w:ascii="Calibri" w:hAnsi="Calibri" w:cs="Calibri"/>
                <w:color w:val="000000"/>
                <w:sz w:val="16"/>
                <w:szCs w:val="16"/>
              </w:rPr>
            </w:pPr>
          </w:p>
        </w:tc>
        <w:tc>
          <w:tcPr>
            <w:tcW w:w="2000" w:type="pct"/>
            <w:gridSpan w:val="2"/>
            <w:tcBorders>
              <w:top w:val="single" w:sz="8" w:space="0" w:color="auto"/>
              <w:left w:val="nil"/>
              <w:bottom w:val="nil"/>
              <w:right w:val="nil"/>
            </w:tcBorders>
            <w:shd w:val="clear" w:color="auto" w:fill="auto"/>
            <w:vAlign w:val="center"/>
            <w:hideMark/>
          </w:tcPr>
          <w:p w14:paraId="7D84445E" w14:textId="77777777" w:rsidR="00994A9D" w:rsidRDefault="00994A9D">
            <w:pPr>
              <w:jc w:val="right"/>
              <w:rPr>
                <w:rFonts w:ascii="Calibri" w:hAnsi="Calibri" w:cs="Calibri"/>
                <w:color w:val="000000"/>
                <w:sz w:val="16"/>
                <w:szCs w:val="16"/>
              </w:rPr>
            </w:pPr>
            <w:r>
              <w:rPr>
                <w:rFonts w:ascii="Calibri" w:hAnsi="Calibri" w:cs="Calibri"/>
                <w:color w:val="000000"/>
                <w:sz w:val="16"/>
                <w:szCs w:val="16"/>
              </w:rPr>
              <w:t>903.489.907</w:t>
            </w:r>
          </w:p>
        </w:tc>
        <w:tc>
          <w:tcPr>
            <w:tcW w:w="1333" w:type="pct"/>
            <w:tcBorders>
              <w:top w:val="nil"/>
              <w:left w:val="nil"/>
              <w:bottom w:val="nil"/>
              <w:right w:val="nil"/>
            </w:tcBorders>
            <w:shd w:val="clear" w:color="auto" w:fill="auto"/>
            <w:vAlign w:val="center"/>
            <w:hideMark/>
          </w:tcPr>
          <w:p w14:paraId="563FB4EC" w14:textId="77777777" w:rsidR="00994A9D" w:rsidRDefault="00994A9D">
            <w:pPr>
              <w:jc w:val="right"/>
              <w:rPr>
                <w:rFonts w:ascii="Calibri" w:hAnsi="Calibri" w:cs="Calibri"/>
                <w:color w:val="000000"/>
                <w:sz w:val="16"/>
                <w:szCs w:val="16"/>
              </w:rPr>
            </w:pPr>
            <w:r>
              <w:rPr>
                <w:rFonts w:ascii="Calibri" w:hAnsi="Calibri" w:cs="Calibri"/>
                <w:color w:val="000000"/>
                <w:sz w:val="16"/>
                <w:szCs w:val="16"/>
              </w:rPr>
              <w:t>568.674.563</w:t>
            </w:r>
          </w:p>
        </w:tc>
      </w:tr>
      <w:tr w:rsidR="00994A9D" w14:paraId="0C7081C5" w14:textId="77777777" w:rsidTr="00994A9D">
        <w:trPr>
          <w:trHeight w:hRule="exact" w:val="227"/>
        </w:trPr>
        <w:tc>
          <w:tcPr>
            <w:tcW w:w="1000" w:type="pct"/>
            <w:tcBorders>
              <w:top w:val="nil"/>
              <w:left w:val="nil"/>
              <w:bottom w:val="nil"/>
              <w:right w:val="nil"/>
            </w:tcBorders>
            <w:shd w:val="clear" w:color="auto" w:fill="auto"/>
            <w:noWrap/>
            <w:vAlign w:val="center"/>
            <w:hideMark/>
          </w:tcPr>
          <w:p w14:paraId="2ECD72AE" w14:textId="77777777" w:rsidR="00994A9D" w:rsidRDefault="00994A9D">
            <w:pPr>
              <w:rPr>
                <w:rFonts w:ascii="Calibri" w:hAnsi="Calibri" w:cs="Calibri"/>
                <w:color w:val="000000"/>
                <w:sz w:val="16"/>
                <w:szCs w:val="16"/>
              </w:rPr>
            </w:pPr>
            <w:r>
              <w:rPr>
                <w:rFonts w:ascii="Calibri" w:hAnsi="Calibri" w:cs="Calibri"/>
                <w:color w:val="000000"/>
                <w:sz w:val="16"/>
                <w:szCs w:val="16"/>
              </w:rPr>
              <w:t>Ingressos</w:t>
            </w:r>
          </w:p>
        </w:tc>
        <w:tc>
          <w:tcPr>
            <w:tcW w:w="667" w:type="pct"/>
            <w:tcBorders>
              <w:top w:val="nil"/>
              <w:left w:val="nil"/>
              <w:bottom w:val="nil"/>
              <w:right w:val="nil"/>
            </w:tcBorders>
            <w:shd w:val="clear" w:color="auto" w:fill="auto"/>
            <w:noWrap/>
            <w:vAlign w:val="center"/>
            <w:hideMark/>
          </w:tcPr>
          <w:p w14:paraId="1AB54F43" w14:textId="77777777" w:rsidR="00994A9D" w:rsidRDefault="00994A9D">
            <w:pPr>
              <w:rPr>
                <w:rFonts w:ascii="Calibri" w:hAnsi="Calibri" w:cs="Calibri"/>
                <w:color w:val="000000"/>
                <w:sz w:val="16"/>
                <w:szCs w:val="16"/>
              </w:rPr>
            </w:pPr>
          </w:p>
        </w:tc>
        <w:tc>
          <w:tcPr>
            <w:tcW w:w="2000" w:type="pct"/>
            <w:gridSpan w:val="2"/>
            <w:tcBorders>
              <w:top w:val="nil"/>
              <w:left w:val="nil"/>
              <w:bottom w:val="nil"/>
              <w:right w:val="nil"/>
            </w:tcBorders>
            <w:shd w:val="clear" w:color="auto" w:fill="auto"/>
            <w:vAlign w:val="center"/>
            <w:hideMark/>
          </w:tcPr>
          <w:p w14:paraId="38AE6CD8" w14:textId="21AFE106" w:rsidR="00994A9D" w:rsidRDefault="00AE620A">
            <w:pPr>
              <w:jc w:val="right"/>
              <w:rPr>
                <w:rFonts w:ascii="Calibri" w:hAnsi="Calibri" w:cs="Calibri"/>
                <w:color w:val="000000"/>
                <w:sz w:val="16"/>
                <w:szCs w:val="16"/>
              </w:rPr>
            </w:pPr>
            <w:r>
              <w:rPr>
                <w:rFonts w:ascii="Calibri" w:hAnsi="Calibri" w:cs="Calibri"/>
                <w:color w:val="000000"/>
                <w:sz w:val="16"/>
                <w:szCs w:val="16"/>
              </w:rPr>
              <w:t>277.743.872</w:t>
            </w:r>
          </w:p>
        </w:tc>
        <w:tc>
          <w:tcPr>
            <w:tcW w:w="1333" w:type="pct"/>
            <w:tcBorders>
              <w:top w:val="nil"/>
              <w:left w:val="nil"/>
              <w:bottom w:val="nil"/>
              <w:right w:val="nil"/>
            </w:tcBorders>
            <w:shd w:val="clear" w:color="auto" w:fill="auto"/>
            <w:vAlign w:val="center"/>
            <w:hideMark/>
          </w:tcPr>
          <w:p w14:paraId="16927A74" w14:textId="77777777" w:rsidR="00994A9D" w:rsidRDefault="00994A9D">
            <w:pPr>
              <w:jc w:val="right"/>
              <w:rPr>
                <w:rFonts w:ascii="Calibri" w:hAnsi="Calibri" w:cs="Calibri"/>
                <w:color w:val="000000"/>
                <w:sz w:val="16"/>
                <w:szCs w:val="16"/>
              </w:rPr>
            </w:pPr>
            <w:r>
              <w:rPr>
                <w:rFonts w:ascii="Calibri" w:hAnsi="Calibri" w:cs="Calibri"/>
                <w:color w:val="000000"/>
                <w:sz w:val="16"/>
                <w:szCs w:val="16"/>
              </w:rPr>
              <w:t>335.415.344</w:t>
            </w:r>
          </w:p>
        </w:tc>
      </w:tr>
      <w:tr w:rsidR="00994A9D" w14:paraId="2C5120A1" w14:textId="77777777" w:rsidTr="00994A9D">
        <w:trPr>
          <w:trHeight w:hRule="exact" w:val="227"/>
        </w:trPr>
        <w:tc>
          <w:tcPr>
            <w:tcW w:w="1000" w:type="pct"/>
            <w:tcBorders>
              <w:top w:val="nil"/>
              <w:left w:val="nil"/>
              <w:bottom w:val="nil"/>
              <w:right w:val="nil"/>
            </w:tcBorders>
            <w:shd w:val="clear" w:color="auto" w:fill="auto"/>
            <w:noWrap/>
            <w:vAlign w:val="center"/>
            <w:hideMark/>
          </w:tcPr>
          <w:p w14:paraId="532F1CEF" w14:textId="77777777" w:rsidR="00994A9D" w:rsidRDefault="00994A9D">
            <w:pPr>
              <w:rPr>
                <w:rFonts w:ascii="Calibri" w:hAnsi="Calibri" w:cs="Calibri"/>
                <w:color w:val="000000"/>
                <w:sz w:val="16"/>
                <w:szCs w:val="16"/>
              </w:rPr>
            </w:pPr>
            <w:r>
              <w:rPr>
                <w:rFonts w:ascii="Calibri" w:hAnsi="Calibri" w:cs="Calibri"/>
                <w:color w:val="000000"/>
                <w:sz w:val="16"/>
                <w:szCs w:val="16"/>
              </w:rPr>
              <w:t>Integralização</w:t>
            </w:r>
          </w:p>
        </w:tc>
        <w:tc>
          <w:tcPr>
            <w:tcW w:w="667" w:type="pct"/>
            <w:tcBorders>
              <w:top w:val="nil"/>
              <w:left w:val="nil"/>
              <w:bottom w:val="nil"/>
              <w:right w:val="nil"/>
            </w:tcBorders>
            <w:shd w:val="clear" w:color="auto" w:fill="auto"/>
            <w:noWrap/>
            <w:vAlign w:val="center"/>
            <w:hideMark/>
          </w:tcPr>
          <w:p w14:paraId="5175E9C5" w14:textId="77777777" w:rsidR="00994A9D" w:rsidRDefault="00994A9D">
            <w:pPr>
              <w:rPr>
                <w:rFonts w:ascii="Calibri" w:hAnsi="Calibri" w:cs="Calibri"/>
                <w:color w:val="000000"/>
                <w:sz w:val="16"/>
                <w:szCs w:val="16"/>
              </w:rPr>
            </w:pPr>
          </w:p>
        </w:tc>
        <w:tc>
          <w:tcPr>
            <w:tcW w:w="2000" w:type="pct"/>
            <w:gridSpan w:val="2"/>
            <w:tcBorders>
              <w:top w:val="nil"/>
              <w:left w:val="nil"/>
              <w:bottom w:val="nil"/>
              <w:right w:val="nil"/>
            </w:tcBorders>
            <w:shd w:val="clear" w:color="auto" w:fill="auto"/>
            <w:vAlign w:val="center"/>
            <w:hideMark/>
          </w:tcPr>
          <w:p w14:paraId="33960874" w14:textId="77777777" w:rsidR="00994A9D" w:rsidRDefault="00994A9D">
            <w:pPr>
              <w:jc w:val="right"/>
              <w:rPr>
                <w:rFonts w:ascii="Calibri" w:hAnsi="Calibri" w:cs="Calibri"/>
                <w:color w:val="000000"/>
                <w:sz w:val="16"/>
                <w:szCs w:val="16"/>
              </w:rPr>
            </w:pPr>
            <w:r>
              <w:rPr>
                <w:rFonts w:ascii="Calibri" w:hAnsi="Calibri" w:cs="Calibri"/>
                <w:color w:val="000000"/>
                <w:sz w:val="16"/>
                <w:szCs w:val="16"/>
              </w:rPr>
              <w:t>0</w:t>
            </w:r>
          </w:p>
        </w:tc>
        <w:tc>
          <w:tcPr>
            <w:tcW w:w="1333" w:type="pct"/>
            <w:tcBorders>
              <w:top w:val="nil"/>
              <w:left w:val="nil"/>
              <w:bottom w:val="nil"/>
              <w:right w:val="nil"/>
            </w:tcBorders>
            <w:shd w:val="clear" w:color="auto" w:fill="auto"/>
            <w:vAlign w:val="center"/>
            <w:hideMark/>
          </w:tcPr>
          <w:p w14:paraId="1DCF1479" w14:textId="77777777" w:rsidR="00994A9D" w:rsidRDefault="00994A9D">
            <w:pPr>
              <w:jc w:val="right"/>
              <w:rPr>
                <w:rFonts w:ascii="Calibri" w:hAnsi="Calibri" w:cs="Calibri"/>
                <w:color w:val="000000"/>
                <w:sz w:val="16"/>
                <w:szCs w:val="16"/>
              </w:rPr>
            </w:pPr>
            <w:r>
              <w:rPr>
                <w:rFonts w:ascii="Calibri" w:hAnsi="Calibri" w:cs="Calibri"/>
                <w:color w:val="000000"/>
                <w:sz w:val="16"/>
                <w:szCs w:val="16"/>
              </w:rPr>
              <w:t>0</w:t>
            </w:r>
          </w:p>
        </w:tc>
      </w:tr>
      <w:tr w:rsidR="00994A9D" w14:paraId="11E92767" w14:textId="77777777" w:rsidTr="00994A9D">
        <w:trPr>
          <w:trHeight w:hRule="exact" w:val="227"/>
        </w:trPr>
        <w:tc>
          <w:tcPr>
            <w:tcW w:w="1000" w:type="pct"/>
            <w:tcBorders>
              <w:top w:val="nil"/>
              <w:left w:val="nil"/>
              <w:bottom w:val="nil"/>
              <w:right w:val="nil"/>
            </w:tcBorders>
            <w:shd w:val="clear" w:color="auto" w:fill="auto"/>
            <w:noWrap/>
            <w:vAlign w:val="center"/>
            <w:hideMark/>
          </w:tcPr>
          <w:p w14:paraId="3F5D7C95" w14:textId="77777777" w:rsidR="00994A9D" w:rsidRDefault="00994A9D">
            <w:pPr>
              <w:rPr>
                <w:rFonts w:ascii="Calibri" w:hAnsi="Calibri" w:cs="Calibri"/>
                <w:color w:val="000000"/>
                <w:sz w:val="16"/>
                <w:szCs w:val="16"/>
              </w:rPr>
            </w:pPr>
            <w:r>
              <w:rPr>
                <w:rFonts w:ascii="Calibri" w:hAnsi="Calibri" w:cs="Calibri"/>
                <w:color w:val="000000"/>
                <w:sz w:val="16"/>
                <w:szCs w:val="16"/>
              </w:rPr>
              <w:t>Devolução de AFAC</w:t>
            </w:r>
          </w:p>
        </w:tc>
        <w:tc>
          <w:tcPr>
            <w:tcW w:w="667" w:type="pct"/>
            <w:tcBorders>
              <w:top w:val="nil"/>
              <w:left w:val="nil"/>
              <w:bottom w:val="nil"/>
              <w:right w:val="nil"/>
            </w:tcBorders>
            <w:shd w:val="clear" w:color="auto" w:fill="auto"/>
            <w:noWrap/>
            <w:vAlign w:val="center"/>
            <w:hideMark/>
          </w:tcPr>
          <w:p w14:paraId="00812D89" w14:textId="77777777" w:rsidR="00994A9D" w:rsidRDefault="00994A9D">
            <w:pPr>
              <w:rPr>
                <w:rFonts w:ascii="Calibri" w:hAnsi="Calibri" w:cs="Calibri"/>
                <w:color w:val="000000"/>
                <w:sz w:val="16"/>
                <w:szCs w:val="16"/>
              </w:rPr>
            </w:pPr>
          </w:p>
        </w:tc>
        <w:tc>
          <w:tcPr>
            <w:tcW w:w="2000" w:type="pct"/>
            <w:gridSpan w:val="2"/>
            <w:tcBorders>
              <w:top w:val="nil"/>
              <w:left w:val="nil"/>
              <w:bottom w:val="nil"/>
              <w:right w:val="nil"/>
            </w:tcBorders>
            <w:shd w:val="clear" w:color="auto" w:fill="auto"/>
            <w:vAlign w:val="center"/>
            <w:hideMark/>
          </w:tcPr>
          <w:p w14:paraId="76BC863B" w14:textId="77777777" w:rsidR="00994A9D" w:rsidRDefault="00994A9D">
            <w:pPr>
              <w:jc w:val="right"/>
              <w:rPr>
                <w:rFonts w:ascii="Calibri" w:hAnsi="Calibri" w:cs="Calibri"/>
                <w:color w:val="000000"/>
                <w:sz w:val="16"/>
                <w:szCs w:val="16"/>
              </w:rPr>
            </w:pPr>
            <w:r>
              <w:rPr>
                <w:rFonts w:ascii="Calibri" w:hAnsi="Calibri" w:cs="Calibri"/>
                <w:color w:val="000000"/>
                <w:sz w:val="16"/>
                <w:szCs w:val="16"/>
              </w:rPr>
              <w:t>0</w:t>
            </w:r>
          </w:p>
        </w:tc>
        <w:tc>
          <w:tcPr>
            <w:tcW w:w="1333" w:type="pct"/>
            <w:tcBorders>
              <w:top w:val="nil"/>
              <w:left w:val="nil"/>
              <w:bottom w:val="nil"/>
              <w:right w:val="nil"/>
            </w:tcBorders>
            <w:shd w:val="clear" w:color="auto" w:fill="auto"/>
            <w:vAlign w:val="center"/>
            <w:hideMark/>
          </w:tcPr>
          <w:p w14:paraId="39767EBF" w14:textId="5B67F64B" w:rsidR="00994A9D" w:rsidRDefault="00994A9D">
            <w:pPr>
              <w:jc w:val="right"/>
              <w:rPr>
                <w:rFonts w:ascii="Calibri" w:hAnsi="Calibri" w:cs="Calibri"/>
                <w:color w:val="000000"/>
                <w:sz w:val="16"/>
                <w:szCs w:val="16"/>
              </w:rPr>
            </w:pPr>
            <w:r>
              <w:rPr>
                <w:rFonts w:ascii="Calibri" w:hAnsi="Calibri" w:cs="Calibri"/>
                <w:color w:val="000000"/>
                <w:sz w:val="16"/>
                <w:szCs w:val="16"/>
              </w:rPr>
              <w:t>(600.000)</w:t>
            </w:r>
          </w:p>
        </w:tc>
      </w:tr>
      <w:tr w:rsidR="00994A9D" w14:paraId="0124B933" w14:textId="77777777" w:rsidTr="00994A9D">
        <w:trPr>
          <w:trHeight w:hRule="exact" w:val="227"/>
        </w:trPr>
        <w:tc>
          <w:tcPr>
            <w:tcW w:w="1000" w:type="pct"/>
            <w:tcBorders>
              <w:top w:val="nil"/>
              <w:left w:val="nil"/>
              <w:bottom w:val="single" w:sz="8" w:space="0" w:color="auto"/>
              <w:right w:val="nil"/>
            </w:tcBorders>
            <w:shd w:val="clear" w:color="auto" w:fill="auto"/>
            <w:noWrap/>
            <w:vAlign w:val="center"/>
            <w:hideMark/>
          </w:tcPr>
          <w:p w14:paraId="38994EDE" w14:textId="77777777" w:rsidR="00994A9D" w:rsidRDefault="00994A9D">
            <w:pPr>
              <w:rPr>
                <w:rFonts w:ascii="Calibri" w:hAnsi="Calibri" w:cs="Calibri"/>
                <w:b/>
                <w:bCs/>
                <w:color w:val="000000"/>
                <w:sz w:val="16"/>
                <w:szCs w:val="16"/>
              </w:rPr>
            </w:pPr>
            <w:r>
              <w:rPr>
                <w:rFonts w:ascii="Calibri" w:hAnsi="Calibri" w:cs="Calibri"/>
                <w:b/>
                <w:bCs/>
                <w:color w:val="000000"/>
                <w:sz w:val="16"/>
                <w:szCs w:val="16"/>
              </w:rPr>
              <w:t xml:space="preserve">TOTAL AFAC Patrimônio Líquido </w:t>
            </w:r>
          </w:p>
        </w:tc>
        <w:tc>
          <w:tcPr>
            <w:tcW w:w="667" w:type="pct"/>
            <w:tcBorders>
              <w:top w:val="nil"/>
              <w:left w:val="nil"/>
              <w:bottom w:val="single" w:sz="8" w:space="0" w:color="auto"/>
              <w:right w:val="nil"/>
            </w:tcBorders>
            <w:shd w:val="clear" w:color="auto" w:fill="auto"/>
            <w:noWrap/>
            <w:vAlign w:val="center"/>
            <w:hideMark/>
          </w:tcPr>
          <w:p w14:paraId="6C737A2E" w14:textId="77777777" w:rsidR="00994A9D" w:rsidRDefault="00994A9D">
            <w:pPr>
              <w:jc w:val="right"/>
              <w:rPr>
                <w:rFonts w:ascii="Calibri" w:hAnsi="Calibri" w:cs="Calibri"/>
                <w:b/>
                <w:bCs/>
                <w:color w:val="000000"/>
                <w:sz w:val="16"/>
                <w:szCs w:val="16"/>
              </w:rPr>
            </w:pPr>
            <w:r>
              <w:rPr>
                <w:rFonts w:ascii="Calibri" w:hAnsi="Calibri" w:cs="Calibri"/>
                <w:b/>
                <w:bCs/>
                <w:color w:val="000000"/>
                <w:sz w:val="16"/>
                <w:szCs w:val="16"/>
              </w:rPr>
              <w:t> </w:t>
            </w:r>
          </w:p>
        </w:tc>
        <w:tc>
          <w:tcPr>
            <w:tcW w:w="2000" w:type="pct"/>
            <w:gridSpan w:val="2"/>
            <w:tcBorders>
              <w:top w:val="nil"/>
              <w:left w:val="nil"/>
              <w:bottom w:val="single" w:sz="8" w:space="0" w:color="auto"/>
              <w:right w:val="nil"/>
            </w:tcBorders>
            <w:shd w:val="clear" w:color="auto" w:fill="auto"/>
            <w:vAlign w:val="center"/>
            <w:hideMark/>
          </w:tcPr>
          <w:p w14:paraId="25232741" w14:textId="0DDB2A9B" w:rsidR="00994A9D" w:rsidRDefault="006B0548">
            <w:pPr>
              <w:jc w:val="right"/>
              <w:rPr>
                <w:rFonts w:ascii="Calibri" w:hAnsi="Calibri" w:cs="Calibri"/>
                <w:b/>
                <w:bCs/>
                <w:color w:val="000000"/>
                <w:sz w:val="16"/>
                <w:szCs w:val="16"/>
              </w:rPr>
            </w:pPr>
            <w:r>
              <w:rPr>
                <w:rFonts w:ascii="Calibri" w:hAnsi="Calibri" w:cs="Calibri"/>
                <w:b/>
                <w:bCs/>
                <w:color w:val="000000"/>
                <w:sz w:val="16"/>
                <w:szCs w:val="16"/>
              </w:rPr>
              <w:t>1.181.233.779</w:t>
            </w:r>
          </w:p>
        </w:tc>
        <w:tc>
          <w:tcPr>
            <w:tcW w:w="1333" w:type="pct"/>
            <w:tcBorders>
              <w:top w:val="nil"/>
              <w:left w:val="nil"/>
              <w:bottom w:val="single" w:sz="8" w:space="0" w:color="auto"/>
              <w:right w:val="nil"/>
            </w:tcBorders>
            <w:shd w:val="clear" w:color="auto" w:fill="auto"/>
            <w:vAlign w:val="center"/>
            <w:hideMark/>
          </w:tcPr>
          <w:p w14:paraId="50A5BBDC" w14:textId="77777777" w:rsidR="00994A9D" w:rsidRDefault="00994A9D">
            <w:pPr>
              <w:jc w:val="right"/>
              <w:rPr>
                <w:rFonts w:ascii="Calibri" w:hAnsi="Calibri" w:cs="Calibri"/>
                <w:b/>
                <w:bCs/>
                <w:color w:val="000000"/>
                <w:sz w:val="16"/>
                <w:szCs w:val="16"/>
              </w:rPr>
            </w:pPr>
            <w:r>
              <w:rPr>
                <w:rFonts w:ascii="Calibri" w:hAnsi="Calibri" w:cs="Calibri"/>
                <w:b/>
                <w:bCs/>
                <w:color w:val="000000"/>
                <w:sz w:val="16"/>
                <w:szCs w:val="16"/>
              </w:rPr>
              <w:t>903.489.907</w:t>
            </w:r>
          </w:p>
        </w:tc>
      </w:tr>
      <w:tr w:rsidR="00994A9D" w14:paraId="3781CB04" w14:textId="77777777" w:rsidTr="00994A9D">
        <w:trPr>
          <w:trHeight w:hRule="exact" w:val="227"/>
        </w:trPr>
        <w:tc>
          <w:tcPr>
            <w:tcW w:w="1667" w:type="pct"/>
            <w:gridSpan w:val="2"/>
            <w:tcBorders>
              <w:top w:val="single" w:sz="8" w:space="0" w:color="auto"/>
              <w:left w:val="nil"/>
              <w:bottom w:val="single" w:sz="8" w:space="0" w:color="auto"/>
              <w:right w:val="nil"/>
            </w:tcBorders>
            <w:shd w:val="clear" w:color="auto" w:fill="auto"/>
            <w:noWrap/>
            <w:vAlign w:val="center"/>
            <w:hideMark/>
          </w:tcPr>
          <w:p w14:paraId="78E17792" w14:textId="77777777" w:rsidR="00994A9D" w:rsidRDefault="00994A9D">
            <w:pPr>
              <w:rPr>
                <w:rFonts w:ascii="Calibri" w:hAnsi="Calibri" w:cs="Calibri"/>
                <w:b/>
                <w:bCs/>
                <w:color w:val="000000"/>
                <w:sz w:val="16"/>
                <w:szCs w:val="16"/>
              </w:rPr>
            </w:pPr>
            <w:r>
              <w:rPr>
                <w:rFonts w:ascii="Calibri" w:hAnsi="Calibri" w:cs="Calibri"/>
                <w:b/>
                <w:bCs/>
                <w:color w:val="000000"/>
                <w:sz w:val="16"/>
                <w:szCs w:val="16"/>
              </w:rPr>
              <w:t>FORMAÇÃO DO SALDO DO AFAC</w:t>
            </w:r>
          </w:p>
        </w:tc>
        <w:tc>
          <w:tcPr>
            <w:tcW w:w="1003" w:type="pct"/>
            <w:tcBorders>
              <w:top w:val="nil"/>
              <w:left w:val="nil"/>
              <w:bottom w:val="single" w:sz="8" w:space="0" w:color="auto"/>
              <w:right w:val="nil"/>
            </w:tcBorders>
            <w:shd w:val="clear" w:color="auto" w:fill="auto"/>
            <w:noWrap/>
            <w:vAlign w:val="center"/>
            <w:hideMark/>
          </w:tcPr>
          <w:p w14:paraId="7CB51605" w14:textId="77777777" w:rsidR="00994A9D" w:rsidRDefault="00994A9D">
            <w:pPr>
              <w:jc w:val="center"/>
              <w:rPr>
                <w:rFonts w:ascii="Calibri" w:hAnsi="Calibri" w:cs="Calibri"/>
                <w:b/>
                <w:bCs/>
                <w:color w:val="000000"/>
                <w:sz w:val="16"/>
                <w:szCs w:val="16"/>
              </w:rPr>
            </w:pPr>
            <w:r>
              <w:rPr>
                <w:rFonts w:ascii="Calibri" w:hAnsi="Calibri" w:cs="Calibri"/>
                <w:b/>
                <w:bCs/>
                <w:color w:val="000000"/>
                <w:sz w:val="16"/>
                <w:szCs w:val="16"/>
              </w:rPr>
              <w:t> </w:t>
            </w:r>
          </w:p>
        </w:tc>
        <w:tc>
          <w:tcPr>
            <w:tcW w:w="997" w:type="pct"/>
            <w:tcBorders>
              <w:top w:val="nil"/>
              <w:left w:val="nil"/>
              <w:bottom w:val="single" w:sz="8" w:space="0" w:color="auto"/>
              <w:right w:val="nil"/>
            </w:tcBorders>
            <w:shd w:val="clear" w:color="auto" w:fill="auto"/>
            <w:noWrap/>
            <w:vAlign w:val="center"/>
            <w:hideMark/>
          </w:tcPr>
          <w:p w14:paraId="4A1ABE78" w14:textId="77777777" w:rsidR="00994A9D" w:rsidRDefault="00994A9D">
            <w:pPr>
              <w:jc w:val="right"/>
              <w:rPr>
                <w:rFonts w:ascii="Calibri" w:hAnsi="Calibri" w:cs="Calibri"/>
                <w:b/>
                <w:bCs/>
                <w:color w:val="000000"/>
                <w:sz w:val="16"/>
                <w:szCs w:val="16"/>
              </w:rPr>
            </w:pPr>
            <w:r>
              <w:rPr>
                <w:rFonts w:ascii="Calibri" w:hAnsi="Calibri" w:cs="Calibri"/>
                <w:b/>
                <w:bCs/>
                <w:color w:val="000000"/>
                <w:sz w:val="16"/>
                <w:szCs w:val="16"/>
              </w:rPr>
              <w:t> </w:t>
            </w:r>
          </w:p>
        </w:tc>
        <w:tc>
          <w:tcPr>
            <w:tcW w:w="1333" w:type="pct"/>
            <w:tcBorders>
              <w:top w:val="single" w:sz="8" w:space="0" w:color="auto"/>
              <w:left w:val="nil"/>
              <w:bottom w:val="single" w:sz="8" w:space="0" w:color="auto"/>
              <w:right w:val="nil"/>
            </w:tcBorders>
            <w:shd w:val="clear" w:color="auto" w:fill="auto"/>
            <w:vAlign w:val="center"/>
            <w:hideMark/>
          </w:tcPr>
          <w:p w14:paraId="7F09D6C9" w14:textId="77777777" w:rsidR="00994A9D" w:rsidRDefault="00994A9D">
            <w:pPr>
              <w:rPr>
                <w:color w:val="000000"/>
                <w:sz w:val="20"/>
                <w:szCs w:val="20"/>
              </w:rPr>
            </w:pPr>
            <w:r>
              <w:rPr>
                <w:color w:val="000000"/>
                <w:sz w:val="20"/>
                <w:szCs w:val="20"/>
              </w:rPr>
              <w:t> </w:t>
            </w:r>
          </w:p>
        </w:tc>
      </w:tr>
      <w:tr w:rsidR="00994A9D" w14:paraId="024F6A92" w14:textId="77777777" w:rsidTr="00994A9D">
        <w:trPr>
          <w:trHeight w:hRule="exact" w:val="227"/>
        </w:trPr>
        <w:tc>
          <w:tcPr>
            <w:tcW w:w="2669" w:type="pct"/>
            <w:gridSpan w:val="3"/>
            <w:tcBorders>
              <w:top w:val="single" w:sz="8" w:space="0" w:color="auto"/>
              <w:left w:val="nil"/>
              <w:bottom w:val="nil"/>
              <w:right w:val="nil"/>
            </w:tcBorders>
            <w:shd w:val="clear" w:color="auto" w:fill="auto"/>
            <w:noWrap/>
            <w:vAlign w:val="center"/>
            <w:hideMark/>
          </w:tcPr>
          <w:p w14:paraId="095624CF" w14:textId="77777777" w:rsidR="00994A9D" w:rsidRDefault="00994A9D">
            <w:pPr>
              <w:rPr>
                <w:rFonts w:ascii="Calibri" w:hAnsi="Calibri" w:cs="Calibri"/>
                <w:color w:val="000000"/>
                <w:sz w:val="16"/>
                <w:szCs w:val="16"/>
              </w:rPr>
            </w:pPr>
            <w:r>
              <w:rPr>
                <w:rFonts w:ascii="Calibri" w:hAnsi="Calibri" w:cs="Calibri"/>
                <w:color w:val="000000"/>
                <w:sz w:val="16"/>
                <w:szCs w:val="16"/>
              </w:rPr>
              <w:t>Recursos recebidos em 2018 (aplicados em 2019)</w:t>
            </w:r>
          </w:p>
        </w:tc>
        <w:tc>
          <w:tcPr>
            <w:tcW w:w="997" w:type="pct"/>
            <w:tcBorders>
              <w:top w:val="nil"/>
              <w:left w:val="nil"/>
              <w:bottom w:val="nil"/>
              <w:right w:val="nil"/>
            </w:tcBorders>
            <w:shd w:val="clear" w:color="auto" w:fill="auto"/>
            <w:noWrap/>
            <w:vAlign w:val="center"/>
            <w:hideMark/>
          </w:tcPr>
          <w:p w14:paraId="48CED032" w14:textId="77777777" w:rsidR="00994A9D" w:rsidRDefault="00994A9D">
            <w:pPr>
              <w:rPr>
                <w:rFonts w:ascii="Calibri" w:hAnsi="Calibri" w:cs="Calibri"/>
                <w:color w:val="000000"/>
                <w:sz w:val="16"/>
                <w:szCs w:val="16"/>
              </w:rPr>
            </w:pPr>
          </w:p>
        </w:tc>
        <w:tc>
          <w:tcPr>
            <w:tcW w:w="1333" w:type="pct"/>
            <w:tcBorders>
              <w:top w:val="single" w:sz="8" w:space="0" w:color="auto"/>
              <w:left w:val="nil"/>
              <w:bottom w:val="nil"/>
              <w:right w:val="nil"/>
            </w:tcBorders>
            <w:shd w:val="clear" w:color="auto" w:fill="auto"/>
            <w:vAlign w:val="center"/>
            <w:hideMark/>
          </w:tcPr>
          <w:p w14:paraId="4115F471" w14:textId="77777777" w:rsidR="00994A9D" w:rsidRDefault="00994A9D">
            <w:pPr>
              <w:jc w:val="right"/>
              <w:rPr>
                <w:rFonts w:ascii="Calibri" w:hAnsi="Calibri" w:cs="Calibri"/>
                <w:color w:val="000000"/>
                <w:sz w:val="16"/>
                <w:szCs w:val="16"/>
              </w:rPr>
            </w:pPr>
            <w:r>
              <w:rPr>
                <w:rFonts w:ascii="Calibri" w:hAnsi="Calibri" w:cs="Calibri"/>
                <w:color w:val="000000"/>
                <w:sz w:val="16"/>
                <w:szCs w:val="16"/>
              </w:rPr>
              <w:t>27.332.435</w:t>
            </w:r>
          </w:p>
        </w:tc>
      </w:tr>
      <w:tr w:rsidR="00994A9D" w14:paraId="1C7454B3" w14:textId="77777777" w:rsidTr="00994A9D">
        <w:trPr>
          <w:trHeight w:hRule="exact" w:val="227"/>
        </w:trPr>
        <w:tc>
          <w:tcPr>
            <w:tcW w:w="2669" w:type="pct"/>
            <w:gridSpan w:val="3"/>
            <w:tcBorders>
              <w:top w:val="nil"/>
              <w:left w:val="nil"/>
              <w:bottom w:val="nil"/>
              <w:right w:val="nil"/>
            </w:tcBorders>
            <w:shd w:val="clear" w:color="auto" w:fill="auto"/>
            <w:noWrap/>
            <w:vAlign w:val="center"/>
            <w:hideMark/>
          </w:tcPr>
          <w:p w14:paraId="3BB81C82" w14:textId="77777777" w:rsidR="00994A9D" w:rsidRDefault="00994A9D">
            <w:pPr>
              <w:rPr>
                <w:rFonts w:ascii="Calibri" w:hAnsi="Calibri" w:cs="Calibri"/>
                <w:color w:val="000000"/>
                <w:sz w:val="16"/>
                <w:szCs w:val="16"/>
              </w:rPr>
            </w:pPr>
            <w:r>
              <w:rPr>
                <w:rFonts w:ascii="Calibri" w:hAnsi="Calibri" w:cs="Calibri"/>
                <w:color w:val="000000"/>
                <w:sz w:val="16"/>
                <w:szCs w:val="16"/>
              </w:rPr>
              <w:t>Recursos recebidos em 2019</w:t>
            </w:r>
          </w:p>
        </w:tc>
        <w:tc>
          <w:tcPr>
            <w:tcW w:w="997" w:type="pct"/>
            <w:tcBorders>
              <w:top w:val="nil"/>
              <w:left w:val="nil"/>
              <w:bottom w:val="nil"/>
              <w:right w:val="nil"/>
            </w:tcBorders>
            <w:shd w:val="clear" w:color="auto" w:fill="auto"/>
            <w:noWrap/>
            <w:vAlign w:val="center"/>
            <w:hideMark/>
          </w:tcPr>
          <w:p w14:paraId="212A8D49" w14:textId="77777777" w:rsidR="00994A9D" w:rsidRDefault="00994A9D">
            <w:pPr>
              <w:rPr>
                <w:rFonts w:ascii="Calibri" w:hAnsi="Calibri" w:cs="Calibri"/>
                <w:color w:val="000000"/>
                <w:sz w:val="16"/>
                <w:szCs w:val="16"/>
              </w:rPr>
            </w:pPr>
          </w:p>
        </w:tc>
        <w:tc>
          <w:tcPr>
            <w:tcW w:w="1333" w:type="pct"/>
            <w:tcBorders>
              <w:top w:val="nil"/>
              <w:left w:val="nil"/>
              <w:bottom w:val="nil"/>
              <w:right w:val="nil"/>
            </w:tcBorders>
            <w:shd w:val="clear" w:color="auto" w:fill="auto"/>
            <w:vAlign w:val="center"/>
            <w:hideMark/>
          </w:tcPr>
          <w:p w14:paraId="787ADCC4" w14:textId="77777777" w:rsidR="00994A9D" w:rsidRDefault="00994A9D">
            <w:pPr>
              <w:jc w:val="right"/>
              <w:rPr>
                <w:rFonts w:ascii="Calibri" w:hAnsi="Calibri" w:cs="Calibri"/>
                <w:color w:val="000000"/>
                <w:sz w:val="16"/>
                <w:szCs w:val="16"/>
              </w:rPr>
            </w:pPr>
            <w:r>
              <w:rPr>
                <w:rFonts w:ascii="Calibri" w:hAnsi="Calibri" w:cs="Calibri"/>
                <w:color w:val="000000"/>
                <w:sz w:val="16"/>
                <w:szCs w:val="16"/>
              </w:rPr>
              <w:t>541.342.128</w:t>
            </w:r>
          </w:p>
        </w:tc>
      </w:tr>
      <w:tr w:rsidR="00994A9D" w14:paraId="3FD15890" w14:textId="77777777" w:rsidTr="00994A9D">
        <w:trPr>
          <w:trHeight w:hRule="exact" w:val="227"/>
        </w:trPr>
        <w:tc>
          <w:tcPr>
            <w:tcW w:w="2669" w:type="pct"/>
            <w:gridSpan w:val="3"/>
            <w:tcBorders>
              <w:top w:val="nil"/>
              <w:left w:val="nil"/>
              <w:bottom w:val="nil"/>
              <w:right w:val="nil"/>
            </w:tcBorders>
            <w:shd w:val="clear" w:color="auto" w:fill="auto"/>
            <w:noWrap/>
            <w:vAlign w:val="center"/>
            <w:hideMark/>
          </w:tcPr>
          <w:p w14:paraId="35E2167E" w14:textId="77777777" w:rsidR="00994A9D" w:rsidRDefault="00994A9D">
            <w:pPr>
              <w:rPr>
                <w:rFonts w:ascii="Calibri" w:hAnsi="Calibri" w:cs="Calibri"/>
                <w:color w:val="000000"/>
                <w:sz w:val="16"/>
                <w:szCs w:val="16"/>
              </w:rPr>
            </w:pPr>
            <w:r>
              <w:rPr>
                <w:rFonts w:ascii="Calibri" w:hAnsi="Calibri" w:cs="Calibri"/>
                <w:color w:val="000000"/>
                <w:sz w:val="16"/>
                <w:szCs w:val="16"/>
              </w:rPr>
              <w:t>Recursos recebidos em 2020</w:t>
            </w:r>
          </w:p>
        </w:tc>
        <w:tc>
          <w:tcPr>
            <w:tcW w:w="997" w:type="pct"/>
            <w:tcBorders>
              <w:top w:val="nil"/>
              <w:left w:val="nil"/>
              <w:bottom w:val="nil"/>
              <w:right w:val="nil"/>
            </w:tcBorders>
            <w:shd w:val="clear" w:color="auto" w:fill="auto"/>
            <w:noWrap/>
            <w:vAlign w:val="center"/>
            <w:hideMark/>
          </w:tcPr>
          <w:p w14:paraId="3D85B3D8" w14:textId="77777777" w:rsidR="00994A9D" w:rsidRDefault="00994A9D">
            <w:pPr>
              <w:rPr>
                <w:rFonts w:ascii="Calibri" w:hAnsi="Calibri" w:cs="Calibri"/>
                <w:color w:val="000000"/>
                <w:sz w:val="16"/>
                <w:szCs w:val="16"/>
              </w:rPr>
            </w:pPr>
          </w:p>
        </w:tc>
        <w:tc>
          <w:tcPr>
            <w:tcW w:w="1333" w:type="pct"/>
            <w:tcBorders>
              <w:top w:val="nil"/>
              <w:left w:val="nil"/>
              <w:bottom w:val="nil"/>
              <w:right w:val="nil"/>
            </w:tcBorders>
            <w:shd w:val="clear" w:color="auto" w:fill="auto"/>
            <w:vAlign w:val="center"/>
            <w:hideMark/>
          </w:tcPr>
          <w:p w14:paraId="4D5137AA" w14:textId="77777777" w:rsidR="00994A9D" w:rsidRDefault="00994A9D">
            <w:pPr>
              <w:jc w:val="right"/>
              <w:rPr>
                <w:rFonts w:ascii="Calibri" w:hAnsi="Calibri" w:cs="Calibri"/>
                <w:color w:val="000000"/>
                <w:sz w:val="16"/>
                <w:szCs w:val="16"/>
              </w:rPr>
            </w:pPr>
            <w:r>
              <w:rPr>
                <w:rFonts w:ascii="Calibri" w:hAnsi="Calibri" w:cs="Calibri"/>
                <w:color w:val="000000"/>
                <w:sz w:val="16"/>
                <w:szCs w:val="16"/>
              </w:rPr>
              <w:t>334.815.344</w:t>
            </w:r>
          </w:p>
        </w:tc>
      </w:tr>
      <w:tr w:rsidR="00994A9D" w14:paraId="5A04ECAF" w14:textId="77777777" w:rsidTr="00994A9D">
        <w:trPr>
          <w:trHeight w:hRule="exact" w:val="227"/>
        </w:trPr>
        <w:tc>
          <w:tcPr>
            <w:tcW w:w="2669" w:type="pct"/>
            <w:gridSpan w:val="3"/>
            <w:tcBorders>
              <w:top w:val="nil"/>
              <w:left w:val="nil"/>
              <w:bottom w:val="single" w:sz="8" w:space="0" w:color="auto"/>
              <w:right w:val="nil"/>
            </w:tcBorders>
            <w:shd w:val="clear" w:color="auto" w:fill="auto"/>
            <w:noWrap/>
            <w:vAlign w:val="center"/>
            <w:hideMark/>
          </w:tcPr>
          <w:p w14:paraId="5D3F640D" w14:textId="046DA056" w:rsidR="00994A9D" w:rsidRDefault="00994A9D">
            <w:pPr>
              <w:rPr>
                <w:rFonts w:ascii="Calibri" w:hAnsi="Calibri" w:cs="Calibri"/>
                <w:color w:val="000000"/>
                <w:sz w:val="16"/>
                <w:szCs w:val="16"/>
              </w:rPr>
            </w:pPr>
            <w:r>
              <w:rPr>
                <w:rFonts w:ascii="Calibri" w:hAnsi="Calibri" w:cs="Calibri"/>
                <w:color w:val="000000"/>
                <w:sz w:val="16"/>
                <w:szCs w:val="16"/>
              </w:rPr>
              <w:t xml:space="preserve">Recursos recebidos até o </w:t>
            </w:r>
            <w:r w:rsidR="006B0548">
              <w:rPr>
                <w:rFonts w:ascii="Calibri" w:hAnsi="Calibri" w:cs="Calibri"/>
                <w:color w:val="000000"/>
                <w:sz w:val="16"/>
                <w:szCs w:val="16"/>
              </w:rPr>
              <w:t>3</w:t>
            </w:r>
            <w:r>
              <w:rPr>
                <w:rFonts w:ascii="Calibri" w:hAnsi="Calibri" w:cs="Calibri"/>
                <w:color w:val="000000"/>
                <w:sz w:val="16"/>
                <w:szCs w:val="16"/>
              </w:rPr>
              <w:t>º trimestre de 2021</w:t>
            </w:r>
          </w:p>
        </w:tc>
        <w:tc>
          <w:tcPr>
            <w:tcW w:w="997" w:type="pct"/>
            <w:tcBorders>
              <w:top w:val="nil"/>
              <w:left w:val="nil"/>
              <w:bottom w:val="single" w:sz="8" w:space="0" w:color="auto"/>
              <w:right w:val="nil"/>
            </w:tcBorders>
            <w:shd w:val="clear" w:color="auto" w:fill="auto"/>
            <w:noWrap/>
            <w:vAlign w:val="center"/>
            <w:hideMark/>
          </w:tcPr>
          <w:p w14:paraId="63EE3B76" w14:textId="77777777" w:rsidR="00994A9D" w:rsidRDefault="00994A9D">
            <w:pPr>
              <w:jc w:val="right"/>
              <w:rPr>
                <w:rFonts w:ascii="Calibri" w:hAnsi="Calibri" w:cs="Calibri"/>
                <w:color w:val="000000"/>
                <w:sz w:val="16"/>
                <w:szCs w:val="16"/>
              </w:rPr>
            </w:pPr>
            <w:r>
              <w:rPr>
                <w:rFonts w:ascii="Calibri" w:hAnsi="Calibri" w:cs="Calibri"/>
                <w:color w:val="000000"/>
                <w:sz w:val="16"/>
                <w:szCs w:val="16"/>
              </w:rPr>
              <w:t> </w:t>
            </w:r>
          </w:p>
        </w:tc>
        <w:tc>
          <w:tcPr>
            <w:tcW w:w="1333" w:type="pct"/>
            <w:tcBorders>
              <w:top w:val="nil"/>
              <w:left w:val="nil"/>
              <w:bottom w:val="single" w:sz="8" w:space="0" w:color="auto"/>
              <w:right w:val="nil"/>
            </w:tcBorders>
            <w:shd w:val="clear" w:color="auto" w:fill="auto"/>
            <w:vAlign w:val="center"/>
            <w:hideMark/>
          </w:tcPr>
          <w:p w14:paraId="456BF78E" w14:textId="7F0D952B" w:rsidR="00994A9D" w:rsidRDefault="006B0548">
            <w:pPr>
              <w:jc w:val="right"/>
              <w:rPr>
                <w:rFonts w:ascii="Calibri" w:hAnsi="Calibri" w:cs="Calibri"/>
                <w:color w:val="000000"/>
                <w:sz w:val="16"/>
                <w:szCs w:val="16"/>
              </w:rPr>
            </w:pPr>
            <w:r>
              <w:rPr>
                <w:rFonts w:ascii="Calibri" w:hAnsi="Calibri" w:cs="Calibri"/>
                <w:color w:val="000000"/>
                <w:sz w:val="16"/>
                <w:szCs w:val="16"/>
              </w:rPr>
              <w:t>277.743.872</w:t>
            </w:r>
          </w:p>
        </w:tc>
      </w:tr>
      <w:tr w:rsidR="00994A9D" w14:paraId="2D72ADC2" w14:textId="77777777" w:rsidTr="00994A9D">
        <w:trPr>
          <w:trHeight w:hRule="exact" w:val="227"/>
        </w:trPr>
        <w:tc>
          <w:tcPr>
            <w:tcW w:w="2669" w:type="pct"/>
            <w:gridSpan w:val="3"/>
            <w:tcBorders>
              <w:top w:val="single" w:sz="8" w:space="0" w:color="auto"/>
              <w:left w:val="nil"/>
              <w:bottom w:val="single" w:sz="8" w:space="0" w:color="auto"/>
              <w:right w:val="nil"/>
            </w:tcBorders>
            <w:shd w:val="clear" w:color="auto" w:fill="auto"/>
            <w:noWrap/>
            <w:vAlign w:val="center"/>
            <w:hideMark/>
          </w:tcPr>
          <w:p w14:paraId="09F8D736" w14:textId="0B1269B0" w:rsidR="00994A9D" w:rsidRDefault="00994A9D">
            <w:pPr>
              <w:rPr>
                <w:rFonts w:ascii="Calibri" w:hAnsi="Calibri" w:cs="Calibri"/>
                <w:b/>
                <w:bCs/>
                <w:color w:val="000000"/>
                <w:sz w:val="16"/>
                <w:szCs w:val="16"/>
              </w:rPr>
            </w:pPr>
            <w:r>
              <w:rPr>
                <w:rFonts w:ascii="Calibri" w:hAnsi="Calibri" w:cs="Calibri"/>
                <w:b/>
                <w:bCs/>
                <w:color w:val="000000"/>
                <w:sz w:val="16"/>
                <w:szCs w:val="16"/>
              </w:rPr>
              <w:t>TOTAL AFAC EM 30/0</w:t>
            </w:r>
            <w:r w:rsidR="006B0548">
              <w:rPr>
                <w:rFonts w:ascii="Calibri" w:hAnsi="Calibri" w:cs="Calibri"/>
                <w:b/>
                <w:bCs/>
                <w:color w:val="000000"/>
                <w:sz w:val="16"/>
                <w:szCs w:val="16"/>
              </w:rPr>
              <w:t>9</w:t>
            </w:r>
            <w:r>
              <w:rPr>
                <w:rFonts w:ascii="Calibri" w:hAnsi="Calibri" w:cs="Calibri"/>
                <w:b/>
                <w:bCs/>
                <w:color w:val="000000"/>
                <w:sz w:val="16"/>
                <w:szCs w:val="16"/>
              </w:rPr>
              <w:t>/2021</w:t>
            </w:r>
          </w:p>
        </w:tc>
        <w:tc>
          <w:tcPr>
            <w:tcW w:w="997" w:type="pct"/>
            <w:tcBorders>
              <w:top w:val="nil"/>
              <w:left w:val="nil"/>
              <w:bottom w:val="single" w:sz="8" w:space="0" w:color="auto"/>
              <w:right w:val="nil"/>
            </w:tcBorders>
            <w:shd w:val="clear" w:color="auto" w:fill="auto"/>
            <w:noWrap/>
            <w:vAlign w:val="center"/>
            <w:hideMark/>
          </w:tcPr>
          <w:p w14:paraId="2A64D9BB" w14:textId="77777777" w:rsidR="00994A9D" w:rsidRDefault="00994A9D">
            <w:pPr>
              <w:jc w:val="right"/>
              <w:rPr>
                <w:rFonts w:ascii="Calibri" w:hAnsi="Calibri" w:cs="Calibri"/>
                <w:b/>
                <w:bCs/>
                <w:color w:val="000000"/>
                <w:sz w:val="16"/>
                <w:szCs w:val="16"/>
              </w:rPr>
            </w:pPr>
            <w:r>
              <w:rPr>
                <w:rFonts w:ascii="Calibri" w:hAnsi="Calibri" w:cs="Calibri"/>
                <w:b/>
                <w:bCs/>
                <w:color w:val="000000"/>
                <w:sz w:val="16"/>
                <w:szCs w:val="16"/>
              </w:rPr>
              <w:t> </w:t>
            </w:r>
          </w:p>
        </w:tc>
        <w:tc>
          <w:tcPr>
            <w:tcW w:w="1333" w:type="pct"/>
            <w:tcBorders>
              <w:top w:val="single" w:sz="8" w:space="0" w:color="auto"/>
              <w:left w:val="nil"/>
              <w:bottom w:val="single" w:sz="8" w:space="0" w:color="auto"/>
              <w:right w:val="nil"/>
            </w:tcBorders>
            <w:shd w:val="clear" w:color="auto" w:fill="auto"/>
            <w:vAlign w:val="center"/>
            <w:hideMark/>
          </w:tcPr>
          <w:p w14:paraId="7A01ADBA" w14:textId="4E51C785" w:rsidR="00994A9D" w:rsidRDefault="00994A9D">
            <w:pPr>
              <w:jc w:val="right"/>
              <w:rPr>
                <w:rFonts w:ascii="Calibri" w:hAnsi="Calibri" w:cs="Calibri"/>
                <w:b/>
                <w:bCs/>
                <w:color w:val="000000"/>
                <w:sz w:val="16"/>
                <w:szCs w:val="16"/>
              </w:rPr>
            </w:pPr>
            <w:r>
              <w:rPr>
                <w:rFonts w:ascii="Calibri" w:hAnsi="Calibri" w:cs="Calibri"/>
                <w:b/>
                <w:bCs/>
                <w:color w:val="000000"/>
                <w:sz w:val="16"/>
                <w:szCs w:val="16"/>
              </w:rPr>
              <w:t>1.</w:t>
            </w:r>
            <w:r w:rsidR="006B0548">
              <w:rPr>
                <w:rFonts w:ascii="Calibri" w:hAnsi="Calibri" w:cs="Calibri"/>
                <w:b/>
                <w:bCs/>
                <w:color w:val="000000"/>
                <w:sz w:val="16"/>
                <w:szCs w:val="16"/>
              </w:rPr>
              <w:t>181.233.779</w:t>
            </w:r>
          </w:p>
        </w:tc>
      </w:tr>
    </w:tbl>
    <w:p w14:paraId="74BF51B7" w14:textId="1629478F" w:rsidR="003657C6" w:rsidRPr="002E2B5B" w:rsidRDefault="003657C6" w:rsidP="00994A9D">
      <w:pPr>
        <w:spacing w:after="120"/>
        <w:jc w:val="both"/>
        <w:rPr>
          <w:rFonts w:ascii="Calibri" w:hAnsi="Calibri" w:cs="Calibri"/>
          <w:sz w:val="22"/>
          <w:szCs w:val="22"/>
        </w:rPr>
      </w:pPr>
    </w:p>
    <w:p w14:paraId="54AB6C61" w14:textId="15FC6C4B" w:rsidR="00783590" w:rsidRPr="00C34E8D" w:rsidRDefault="00D22F5E" w:rsidP="00C34E8D">
      <w:pPr>
        <w:pStyle w:val="Ttulo4"/>
        <w:tabs>
          <w:tab w:val="left" w:pos="0"/>
        </w:tabs>
        <w:spacing w:line="240" w:lineRule="auto"/>
        <w:rPr>
          <w:rFonts w:ascii="Calibri" w:hAnsi="Calibri" w:cs="Calibri"/>
          <w:bCs w:val="0"/>
          <w:sz w:val="22"/>
          <w:szCs w:val="22"/>
        </w:rPr>
      </w:pPr>
      <w:r w:rsidRPr="002E2B5B">
        <w:rPr>
          <w:rFonts w:ascii="Calibri" w:hAnsi="Calibri" w:cs="Calibri"/>
          <w:bCs w:val="0"/>
          <w:sz w:val="22"/>
          <w:szCs w:val="22"/>
        </w:rPr>
        <w:t>NOTA 1</w:t>
      </w:r>
      <w:r w:rsidR="00E24F86">
        <w:rPr>
          <w:rFonts w:ascii="Calibri" w:hAnsi="Calibri" w:cs="Calibri"/>
          <w:bCs w:val="0"/>
          <w:sz w:val="22"/>
          <w:szCs w:val="22"/>
        </w:rPr>
        <w:t>2</w:t>
      </w:r>
      <w:r w:rsidRPr="002E2B5B">
        <w:rPr>
          <w:rFonts w:ascii="Calibri" w:hAnsi="Calibri" w:cs="Calibri"/>
          <w:bCs w:val="0"/>
          <w:sz w:val="22"/>
          <w:szCs w:val="22"/>
        </w:rPr>
        <w:t xml:space="preserve"> </w:t>
      </w:r>
      <w:r w:rsidR="00740478" w:rsidRPr="002E2B5B">
        <w:rPr>
          <w:rFonts w:ascii="Calibri" w:hAnsi="Calibri" w:cs="Calibri"/>
          <w:bCs w:val="0"/>
          <w:sz w:val="22"/>
          <w:szCs w:val="22"/>
        </w:rPr>
        <w:t xml:space="preserve">– </w:t>
      </w:r>
      <w:r w:rsidR="00AB1E5E" w:rsidRPr="002E2B5B">
        <w:rPr>
          <w:rFonts w:ascii="Calibri" w:hAnsi="Calibri" w:cs="Calibri"/>
          <w:bCs w:val="0"/>
          <w:sz w:val="22"/>
          <w:szCs w:val="22"/>
        </w:rPr>
        <w:t>RECEITA A DIFERIR</w:t>
      </w:r>
    </w:p>
    <w:p w14:paraId="18122557" w14:textId="6A77E413" w:rsidR="00E75123" w:rsidRPr="00E75123" w:rsidRDefault="00E75123" w:rsidP="005F3C5A">
      <w:pPr>
        <w:pStyle w:val="PargrafodaLista"/>
        <w:numPr>
          <w:ilvl w:val="0"/>
          <w:numId w:val="39"/>
        </w:numPr>
        <w:spacing w:after="120"/>
        <w:ind w:left="284" w:right="57" w:hanging="284"/>
        <w:jc w:val="both"/>
        <w:rPr>
          <w:rFonts w:ascii="Calibri" w:hAnsi="Calibri" w:cs="Calibri"/>
          <w:b/>
          <w:bCs/>
          <w:sz w:val="22"/>
          <w:szCs w:val="22"/>
        </w:rPr>
      </w:pPr>
      <w:r w:rsidRPr="00E75123">
        <w:rPr>
          <w:rFonts w:ascii="Calibri" w:hAnsi="Calibri" w:cs="Calibri"/>
          <w:b/>
          <w:bCs/>
          <w:sz w:val="22"/>
          <w:szCs w:val="22"/>
        </w:rPr>
        <w:t>Receita a Diferir – Pátios e Terminais</w:t>
      </w:r>
    </w:p>
    <w:p w14:paraId="4F699BEE" w14:textId="0193A449" w:rsidR="00526F70" w:rsidRPr="002E2B5B" w:rsidRDefault="00783590" w:rsidP="002E2B5B">
      <w:pPr>
        <w:spacing w:after="120"/>
        <w:ind w:right="57"/>
        <w:jc w:val="both"/>
        <w:rPr>
          <w:rFonts w:ascii="Calibri" w:hAnsi="Calibri" w:cs="Calibri"/>
          <w:sz w:val="22"/>
          <w:szCs w:val="22"/>
        </w:rPr>
      </w:pPr>
      <w:r w:rsidRPr="002E2B5B">
        <w:rPr>
          <w:rFonts w:ascii="Calibri" w:hAnsi="Calibri" w:cs="Calibri"/>
          <w:sz w:val="22"/>
          <w:szCs w:val="22"/>
        </w:rPr>
        <w:t xml:space="preserve">A conta </w:t>
      </w:r>
      <w:r w:rsidR="00AB1E5E" w:rsidRPr="002E2B5B">
        <w:rPr>
          <w:rFonts w:ascii="Calibri" w:hAnsi="Calibri" w:cs="Calibri"/>
          <w:sz w:val="22"/>
          <w:szCs w:val="22"/>
        </w:rPr>
        <w:t>Receita a Diferir – Pátios e Terminais</w:t>
      </w:r>
      <w:r w:rsidRPr="002E2B5B">
        <w:rPr>
          <w:rFonts w:ascii="Calibri" w:hAnsi="Calibri" w:cs="Calibri"/>
          <w:sz w:val="22"/>
          <w:szCs w:val="22"/>
        </w:rPr>
        <w:t xml:space="preserve"> expressa os valores </w:t>
      </w:r>
      <w:r w:rsidR="00AB1E5E" w:rsidRPr="002E2B5B">
        <w:rPr>
          <w:rFonts w:ascii="Calibri" w:hAnsi="Calibri" w:cs="Calibri"/>
          <w:sz w:val="22"/>
          <w:szCs w:val="22"/>
        </w:rPr>
        <w:t>contratados</w:t>
      </w:r>
      <w:r w:rsidRPr="002E2B5B">
        <w:rPr>
          <w:rFonts w:ascii="Calibri" w:hAnsi="Calibri" w:cs="Calibri"/>
          <w:sz w:val="22"/>
          <w:szCs w:val="22"/>
        </w:rPr>
        <w:t xml:space="preserve">, conforme contratos de Permissão </w:t>
      </w:r>
      <w:r w:rsidR="006E3EE4" w:rsidRPr="002E2B5B">
        <w:rPr>
          <w:rFonts w:ascii="Calibri" w:hAnsi="Calibri" w:cs="Calibri"/>
          <w:sz w:val="22"/>
          <w:szCs w:val="22"/>
        </w:rPr>
        <w:t>para</w:t>
      </w:r>
      <w:r w:rsidRPr="002E2B5B">
        <w:rPr>
          <w:rFonts w:ascii="Calibri" w:hAnsi="Calibri" w:cs="Calibri"/>
          <w:sz w:val="22"/>
          <w:szCs w:val="22"/>
        </w:rPr>
        <w:t xml:space="preserve"> Uso dos Pátios </w:t>
      </w:r>
      <w:r w:rsidR="00AB1E5E" w:rsidRPr="002E2B5B">
        <w:rPr>
          <w:rFonts w:ascii="Calibri" w:hAnsi="Calibri" w:cs="Calibri"/>
          <w:sz w:val="22"/>
          <w:szCs w:val="22"/>
        </w:rPr>
        <w:t xml:space="preserve">e Terminais </w:t>
      </w:r>
      <w:r w:rsidRPr="002E2B5B">
        <w:rPr>
          <w:rFonts w:ascii="Calibri" w:hAnsi="Calibri" w:cs="Calibri"/>
          <w:sz w:val="22"/>
          <w:szCs w:val="22"/>
        </w:rPr>
        <w:t xml:space="preserve">da VALEC. Como são de longo prazo (15 anos), em atendimento ao regime de competência, os </w:t>
      </w:r>
      <w:r w:rsidR="00AB1E5E" w:rsidRPr="002E2B5B">
        <w:rPr>
          <w:rFonts w:ascii="Calibri" w:hAnsi="Calibri" w:cs="Calibri"/>
          <w:sz w:val="22"/>
          <w:szCs w:val="22"/>
        </w:rPr>
        <w:t>contratos</w:t>
      </w:r>
      <w:r w:rsidRPr="002E2B5B">
        <w:rPr>
          <w:rFonts w:ascii="Calibri" w:hAnsi="Calibri" w:cs="Calibri"/>
          <w:sz w:val="22"/>
          <w:szCs w:val="22"/>
        </w:rPr>
        <w:t xml:space="preserve"> são </w:t>
      </w:r>
      <w:r w:rsidR="00AB1E5E" w:rsidRPr="002E2B5B">
        <w:rPr>
          <w:rFonts w:ascii="Calibri" w:hAnsi="Calibri" w:cs="Calibri"/>
          <w:sz w:val="22"/>
          <w:szCs w:val="22"/>
        </w:rPr>
        <w:t>reconhecidos</w:t>
      </w:r>
      <w:r w:rsidRPr="002E2B5B">
        <w:rPr>
          <w:rFonts w:ascii="Calibri" w:hAnsi="Calibri" w:cs="Calibri"/>
          <w:sz w:val="22"/>
          <w:szCs w:val="22"/>
        </w:rPr>
        <w:t xml:space="preserve"> como </w:t>
      </w:r>
      <w:r w:rsidR="00AB1E5E" w:rsidRPr="002E2B5B">
        <w:rPr>
          <w:rFonts w:ascii="Calibri" w:hAnsi="Calibri" w:cs="Calibri"/>
          <w:sz w:val="22"/>
          <w:szCs w:val="22"/>
        </w:rPr>
        <w:t>Receita a Diferir,</w:t>
      </w:r>
      <w:r w:rsidRPr="002E2B5B">
        <w:rPr>
          <w:rFonts w:ascii="Calibri" w:hAnsi="Calibri" w:cs="Calibri"/>
          <w:sz w:val="22"/>
          <w:szCs w:val="22"/>
        </w:rPr>
        <w:t xml:space="preserve"> no passivo</w:t>
      </w:r>
      <w:r w:rsidR="00AB1E5E" w:rsidRPr="002E2B5B">
        <w:rPr>
          <w:rFonts w:ascii="Calibri" w:hAnsi="Calibri" w:cs="Calibri"/>
          <w:sz w:val="22"/>
          <w:szCs w:val="22"/>
        </w:rPr>
        <w:t>,</w:t>
      </w:r>
      <w:r w:rsidRPr="002E2B5B">
        <w:rPr>
          <w:rFonts w:ascii="Calibri" w:hAnsi="Calibri" w:cs="Calibri"/>
          <w:sz w:val="22"/>
          <w:szCs w:val="22"/>
        </w:rPr>
        <w:t xml:space="preserve"> para </w:t>
      </w:r>
      <w:r w:rsidR="00AB1E5E" w:rsidRPr="002E2B5B">
        <w:rPr>
          <w:rFonts w:ascii="Calibri" w:hAnsi="Calibri" w:cs="Calibri"/>
          <w:sz w:val="22"/>
          <w:szCs w:val="22"/>
        </w:rPr>
        <w:t>diferimento</w:t>
      </w:r>
      <w:r w:rsidRPr="002E2B5B">
        <w:rPr>
          <w:rFonts w:ascii="Calibri" w:hAnsi="Calibri" w:cs="Calibri"/>
          <w:sz w:val="22"/>
          <w:szCs w:val="22"/>
        </w:rPr>
        <w:t xml:space="preserve"> mensal no resultado (receita operacional) conforme o prazo contratual. </w:t>
      </w:r>
    </w:p>
    <w:p w14:paraId="2692D82C" w14:textId="051ED49F" w:rsidR="00783590" w:rsidRDefault="006E2E39" w:rsidP="002E2B5B">
      <w:pPr>
        <w:spacing w:after="120"/>
        <w:ind w:right="57"/>
        <w:jc w:val="both"/>
        <w:rPr>
          <w:rFonts w:ascii="Calibri" w:hAnsi="Calibri" w:cs="Calibri"/>
          <w:sz w:val="22"/>
          <w:szCs w:val="22"/>
        </w:rPr>
      </w:pPr>
      <w:r>
        <w:rPr>
          <w:rFonts w:ascii="Calibri" w:hAnsi="Calibri" w:cs="Calibri"/>
          <w:sz w:val="22"/>
          <w:szCs w:val="22"/>
        </w:rPr>
        <w:t>No ano</w:t>
      </w:r>
      <w:r w:rsidR="00995E1B">
        <w:rPr>
          <w:rFonts w:ascii="Calibri" w:hAnsi="Calibri" w:cs="Calibri"/>
          <w:sz w:val="22"/>
          <w:szCs w:val="22"/>
        </w:rPr>
        <w:t xml:space="preserve"> de 2</w:t>
      </w:r>
      <w:r w:rsidR="00F16681" w:rsidRPr="002E2B5B">
        <w:rPr>
          <w:rFonts w:ascii="Calibri" w:hAnsi="Calibri" w:cs="Calibri"/>
          <w:sz w:val="22"/>
          <w:szCs w:val="22"/>
        </w:rPr>
        <w:t>0</w:t>
      </w:r>
      <w:r w:rsidR="00EE24E9" w:rsidRPr="002E2B5B">
        <w:rPr>
          <w:rFonts w:ascii="Calibri" w:hAnsi="Calibri" w:cs="Calibri"/>
          <w:sz w:val="22"/>
          <w:szCs w:val="22"/>
        </w:rPr>
        <w:t>2</w:t>
      </w:r>
      <w:r w:rsidR="00995E1B">
        <w:rPr>
          <w:rFonts w:ascii="Calibri" w:hAnsi="Calibri" w:cs="Calibri"/>
          <w:sz w:val="22"/>
          <w:szCs w:val="22"/>
        </w:rPr>
        <w:t>1</w:t>
      </w:r>
      <w:r w:rsidR="00783590" w:rsidRPr="002E2B5B">
        <w:rPr>
          <w:rFonts w:ascii="Calibri" w:hAnsi="Calibri" w:cs="Calibri"/>
          <w:sz w:val="22"/>
          <w:szCs w:val="22"/>
        </w:rPr>
        <w:t xml:space="preserve">, </w:t>
      </w:r>
      <w:r>
        <w:rPr>
          <w:rFonts w:ascii="Calibri" w:hAnsi="Calibri" w:cs="Calibri"/>
          <w:sz w:val="22"/>
          <w:szCs w:val="22"/>
        </w:rPr>
        <w:t xml:space="preserve">até o </w:t>
      </w:r>
      <w:r w:rsidR="006B0548">
        <w:rPr>
          <w:rFonts w:ascii="Calibri" w:hAnsi="Calibri" w:cs="Calibri"/>
          <w:sz w:val="22"/>
          <w:szCs w:val="22"/>
        </w:rPr>
        <w:t>terceir</w:t>
      </w:r>
      <w:r>
        <w:rPr>
          <w:rFonts w:ascii="Calibri" w:hAnsi="Calibri" w:cs="Calibri"/>
          <w:sz w:val="22"/>
          <w:szCs w:val="22"/>
        </w:rPr>
        <w:t xml:space="preserve">o trimestre. </w:t>
      </w:r>
      <w:r w:rsidR="00136016" w:rsidRPr="002E2B5B">
        <w:rPr>
          <w:rFonts w:ascii="Calibri" w:hAnsi="Calibri" w:cs="Calibri"/>
          <w:sz w:val="22"/>
          <w:szCs w:val="22"/>
        </w:rPr>
        <w:t xml:space="preserve">as contas </w:t>
      </w:r>
      <w:r w:rsidR="00783590" w:rsidRPr="002E2B5B">
        <w:rPr>
          <w:rFonts w:ascii="Calibri" w:hAnsi="Calibri" w:cs="Calibri"/>
          <w:sz w:val="22"/>
          <w:szCs w:val="22"/>
        </w:rPr>
        <w:t xml:space="preserve">de </w:t>
      </w:r>
      <w:r w:rsidR="00AB1E5E" w:rsidRPr="002E2B5B">
        <w:rPr>
          <w:rFonts w:ascii="Calibri" w:hAnsi="Calibri" w:cs="Calibri"/>
          <w:sz w:val="22"/>
          <w:szCs w:val="22"/>
        </w:rPr>
        <w:t xml:space="preserve">Receita a Diferir – Pátios e Terminais, </w:t>
      </w:r>
      <w:r w:rsidR="00783590" w:rsidRPr="002E2B5B">
        <w:rPr>
          <w:rFonts w:ascii="Calibri" w:hAnsi="Calibri" w:cs="Calibri"/>
          <w:sz w:val="22"/>
          <w:szCs w:val="22"/>
        </w:rPr>
        <w:t>de cu</w:t>
      </w:r>
      <w:r w:rsidR="00136016" w:rsidRPr="002E2B5B">
        <w:rPr>
          <w:rFonts w:ascii="Calibri" w:hAnsi="Calibri" w:cs="Calibri"/>
          <w:sz w:val="22"/>
          <w:szCs w:val="22"/>
        </w:rPr>
        <w:t>rto e longo prazo</w:t>
      </w:r>
      <w:r w:rsidR="00AB1E5E" w:rsidRPr="002E2B5B">
        <w:rPr>
          <w:rFonts w:ascii="Calibri" w:hAnsi="Calibri" w:cs="Calibri"/>
          <w:sz w:val="22"/>
          <w:szCs w:val="22"/>
        </w:rPr>
        <w:t>,</w:t>
      </w:r>
      <w:r w:rsidR="00136016" w:rsidRPr="002E2B5B">
        <w:rPr>
          <w:rFonts w:ascii="Calibri" w:hAnsi="Calibri" w:cs="Calibri"/>
          <w:sz w:val="22"/>
          <w:szCs w:val="22"/>
        </w:rPr>
        <w:t xml:space="preserve"> apresentaram o</w:t>
      </w:r>
      <w:r w:rsidR="004706C7" w:rsidRPr="002E2B5B">
        <w:rPr>
          <w:rFonts w:ascii="Calibri" w:hAnsi="Calibri" w:cs="Calibri"/>
          <w:sz w:val="22"/>
          <w:szCs w:val="22"/>
        </w:rPr>
        <w:t>s</w:t>
      </w:r>
      <w:r w:rsidR="00783590" w:rsidRPr="002E2B5B">
        <w:rPr>
          <w:rFonts w:ascii="Calibri" w:hAnsi="Calibri" w:cs="Calibri"/>
          <w:sz w:val="22"/>
          <w:szCs w:val="22"/>
        </w:rPr>
        <w:t xml:space="preserve"> seguinte</w:t>
      </w:r>
      <w:r w:rsidR="004706C7" w:rsidRPr="002E2B5B">
        <w:rPr>
          <w:rFonts w:ascii="Calibri" w:hAnsi="Calibri" w:cs="Calibri"/>
          <w:sz w:val="22"/>
          <w:szCs w:val="22"/>
        </w:rPr>
        <w:t>s</w:t>
      </w:r>
      <w:r w:rsidR="00783590" w:rsidRPr="002E2B5B">
        <w:rPr>
          <w:rFonts w:ascii="Calibri" w:hAnsi="Calibri" w:cs="Calibri"/>
          <w:sz w:val="22"/>
          <w:szCs w:val="22"/>
        </w:rPr>
        <w:t xml:space="preserve"> </w:t>
      </w:r>
      <w:r w:rsidR="00AB1E5E" w:rsidRPr="002E2B5B">
        <w:rPr>
          <w:rFonts w:ascii="Calibri" w:hAnsi="Calibri" w:cs="Calibri"/>
          <w:sz w:val="22"/>
          <w:szCs w:val="22"/>
        </w:rPr>
        <w:t>movimentos:</w:t>
      </w:r>
    </w:p>
    <w:tbl>
      <w:tblPr>
        <w:tblW w:w="5000" w:type="pct"/>
        <w:tblCellMar>
          <w:left w:w="70" w:type="dxa"/>
          <w:right w:w="70" w:type="dxa"/>
        </w:tblCellMar>
        <w:tblLook w:val="04A0" w:firstRow="1" w:lastRow="0" w:firstColumn="1" w:lastColumn="0" w:noHBand="0" w:noVBand="1"/>
      </w:tblPr>
      <w:tblGrid>
        <w:gridCol w:w="5505"/>
        <w:gridCol w:w="389"/>
        <w:gridCol w:w="389"/>
        <w:gridCol w:w="2093"/>
        <w:gridCol w:w="2091"/>
      </w:tblGrid>
      <w:tr w:rsidR="006E2E39" w14:paraId="45D91878" w14:textId="77777777" w:rsidTr="00F26EFF">
        <w:trPr>
          <w:trHeight w:hRule="exact" w:val="227"/>
        </w:trPr>
        <w:tc>
          <w:tcPr>
            <w:tcW w:w="3000" w:type="pct"/>
            <w:gridSpan w:val="3"/>
            <w:tcBorders>
              <w:top w:val="nil"/>
              <w:left w:val="nil"/>
              <w:bottom w:val="single" w:sz="8" w:space="0" w:color="auto"/>
              <w:right w:val="nil"/>
            </w:tcBorders>
            <w:shd w:val="clear" w:color="auto" w:fill="auto"/>
            <w:noWrap/>
            <w:vAlign w:val="center"/>
            <w:hideMark/>
          </w:tcPr>
          <w:p w14:paraId="660B4911" w14:textId="06F13D0E" w:rsidR="006E2E39" w:rsidRDefault="00E75123">
            <w:pPr>
              <w:rPr>
                <w:rFonts w:ascii="Calibri" w:hAnsi="Calibri" w:cs="Calibri"/>
                <w:b/>
                <w:bCs/>
                <w:color w:val="000000"/>
                <w:sz w:val="16"/>
                <w:szCs w:val="16"/>
              </w:rPr>
            </w:pPr>
            <w:r>
              <w:rPr>
                <w:rFonts w:ascii="Calibri" w:hAnsi="Calibri" w:cs="Calibri"/>
                <w:b/>
                <w:bCs/>
                <w:color w:val="000000"/>
                <w:sz w:val="16"/>
                <w:szCs w:val="16"/>
              </w:rPr>
              <w:t>RECEITA A DIFERIR – PÁTIOS E TERMINAIS</w:t>
            </w:r>
            <w:r w:rsidR="006E2E39">
              <w:rPr>
                <w:rFonts w:ascii="Calibri" w:hAnsi="Calibri" w:cs="Calibri"/>
                <w:b/>
                <w:bCs/>
                <w:color w:val="000000"/>
                <w:sz w:val="16"/>
                <w:szCs w:val="16"/>
              </w:rPr>
              <w:t xml:space="preserve"> </w:t>
            </w:r>
          </w:p>
        </w:tc>
        <w:tc>
          <w:tcPr>
            <w:tcW w:w="1000" w:type="pct"/>
            <w:tcBorders>
              <w:top w:val="nil"/>
              <w:left w:val="nil"/>
              <w:bottom w:val="single" w:sz="8" w:space="0" w:color="auto"/>
              <w:right w:val="nil"/>
            </w:tcBorders>
            <w:shd w:val="clear" w:color="auto" w:fill="auto"/>
            <w:noWrap/>
            <w:vAlign w:val="center"/>
            <w:hideMark/>
          </w:tcPr>
          <w:p w14:paraId="59FEEB63" w14:textId="55E702CC" w:rsidR="006E2E39" w:rsidRDefault="006E2E39">
            <w:pPr>
              <w:jc w:val="right"/>
              <w:rPr>
                <w:rFonts w:ascii="Calibri" w:hAnsi="Calibri" w:cs="Calibri"/>
                <w:b/>
                <w:bCs/>
                <w:color w:val="000000"/>
                <w:sz w:val="16"/>
                <w:szCs w:val="16"/>
              </w:rPr>
            </w:pPr>
            <w:r>
              <w:rPr>
                <w:rFonts w:ascii="Calibri" w:hAnsi="Calibri" w:cs="Calibri"/>
                <w:b/>
                <w:bCs/>
                <w:color w:val="000000"/>
                <w:sz w:val="16"/>
                <w:szCs w:val="16"/>
              </w:rPr>
              <w:t>30/0</w:t>
            </w:r>
            <w:r w:rsidR="006B0548">
              <w:rPr>
                <w:rFonts w:ascii="Calibri" w:hAnsi="Calibri" w:cs="Calibri"/>
                <w:b/>
                <w:bCs/>
                <w:color w:val="000000"/>
                <w:sz w:val="16"/>
                <w:szCs w:val="16"/>
              </w:rPr>
              <w:t>9</w:t>
            </w:r>
            <w:r>
              <w:rPr>
                <w:rFonts w:ascii="Calibri" w:hAnsi="Calibri" w:cs="Calibri"/>
                <w:b/>
                <w:bCs/>
                <w:color w:val="000000"/>
                <w:sz w:val="16"/>
                <w:szCs w:val="16"/>
              </w:rPr>
              <w:t>/2021</w:t>
            </w:r>
          </w:p>
        </w:tc>
        <w:tc>
          <w:tcPr>
            <w:tcW w:w="1000" w:type="pct"/>
            <w:tcBorders>
              <w:top w:val="nil"/>
              <w:left w:val="nil"/>
              <w:bottom w:val="single" w:sz="8" w:space="0" w:color="auto"/>
              <w:right w:val="nil"/>
            </w:tcBorders>
            <w:shd w:val="clear" w:color="auto" w:fill="auto"/>
            <w:vAlign w:val="center"/>
            <w:hideMark/>
          </w:tcPr>
          <w:p w14:paraId="2399297B" w14:textId="77777777" w:rsidR="006E2E39" w:rsidRDefault="006E2E39">
            <w:pPr>
              <w:jc w:val="right"/>
              <w:rPr>
                <w:rFonts w:ascii="Calibri" w:hAnsi="Calibri" w:cs="Calibri"/>
                <w:b/>
                <w:bCs/>
                <w:color w:val="000000"/>
                <w:sz w:val="16"/>
                <w:szCs w:val="16"/>
              </w:rPr>
            </w:pPr>
            <w:r>
              <w:rPr>
                <w:rFonts w:ascii="Calibri" w:hAnsi="Calibri" w:cs="Calibri"/>
                <w:b/>
                <w:bCs/>
                <w:color w:val="000000"/>
                <w:sz w:val="16"/>
                <w:szCs w:val="16"/>
              </w:rPr>
              <w:t>31/12/2020</w:t>
            </w:r>
          </w:p>
        </w:tc>
      </w:tr>
      <w:tr w:rsidR="006E2E39" w14:paraId="47DC6EEE" w14:textId="77777777" w:rsidTr="00F26EFF">
        <w:trPr>
          <w:trHeight w:hRule="exact" w:val="227"/>
        </w:trPr>
        <w:tc>
          <w:tcPr>
            <w:tcW w:w="2629" w:type="pct"/>
            <w:tcBorders>
              <w:top w:val="nil"/>
              <w:left w:val="nil"/>
              <w:bottom w:val="nil"/>
              <w:right w:val="nil"/>
            </w:tcBorders>
            <w:shd w:val="clear" w:color="auto" w:fill="auto"/>
            <w:noWrap/>
            <w:vAlign w:val="center"/>
            <w:hideMark/>
          </w:tcPr>
          <w:p w14:paraId="348C83B1" w14:textId="77777777" w:rsidR="006E2E39" w:rsidRDefault="006E2E39">
            <w:pPr>
              <w:rPr>
                <w:rFonts w:ascii="Calibri" w:hAnsi="Calibri" w:cs="Calibri"/>
                <w:color w:val="000000"/>
                <w:sz w:val="16"/>
                <w:szCs w:val="16"/>
              </w:rPr>
            </w:pPr>
            <w:r>
              <w:rPr>
                <w:rFonts w:ascii="Calibri" w:hAnsi="Calibri" w:cs="Calibri"/>
                <w:color w:val="000000"/>
                <w:sz w:val="16"/>
                <w:szCs w:val="16"/>
              </w:rPr>
              <w:t xml:space="preserve">Saldo anterior </w:t>
            </w:r>
          </w:p>
        </w:tc>
        <w:tc>
          <w:tcPr>
            <w:tcW w:w="186" w:type="pct"/>
            <w:tcBorders>
              <w:top w:val="nil"/>
              <w:left w:val="nil"/>
              <w:bottom w:val="nil"/>
              <w:right w:val="nil"/>
            </w:tcBorders>
            <w:shd w:val="clear" w:color="auto" w:fill="auto"/>
            <w:noWrap/>
            <w:vAlign w:val="center"/>
            <w:hideMark/>
          </w:tcPr>
          <w:p w14:paraId="0DA4FDD0" w14:textId="77777777" w:rsidR="006E2E39" w:rsidRDefault="006E2E39">
            <w:pPr>
              <w:rPr>
                <w:rFonts w:ascii="Calibri" w:hAnsi="Calibri" w:cs="Calibri"/>
                <w:color w:val="000000"/>
                <w:sz w:val="16"/>
                <w:szCs w:val="16"/>
              </w:rPr>
            </w:pPr>
          </w:p>
        </w:tc>
        <w:tc>
          <w:tcPr>
            <w:tcW w:w="186" w:type="pct"/>
            <w:tcBorders>
              <w:top w:val="nil"/>
              <w:left w:val="nil"/>
              <w:bottom w:val="nil"/>
              <w:right w:val="nil"/>
            </w:tcBorders>
            <w:shd w:val="clear" w:color="auto" w:fill="auto"/>
            <w:noWrap/>
            <w:vAlign w:val="center"/>
            <w:hideMark/>
          </w:tcPr>
          <w:p w14:paraId="0DA9C63E" w14:textId="77777777" w:rsidR="006E2E39" w:rsidRDefault="006E2E39">
            <w:pPr>
              <w:rPr>
                <w:sz w:val="20"/>
                <w:szCs w:val="20"/>
              </w:rPr>
            </w:pPr>
          </w:p>
        </w:tc>
        <w:tc>
          <w:tcPr>
            <w:tcW w:w="1000" w:type="pct"/>
            <w:tcBorders>
              <w:top w:val="nil"/>
              <w:left w:val="nil"/>
              <w:bottom w:val="nil"/>
              <w:right w:val="nil"/>
            </w:tcBorders>
            <w:shd w:val="clear" w:color="auto" w:fill="auto"/>
            <w:noWrap/>
            <w:vAlign w:val="center"/>
            <w:hideMark/>
          </w:tcPr>
          <w:p w14:paraId="4526FC69" w14:textId="77777777" w:rsidR="006E2E39" w:rsidRDefault="006E2E39">
            <w:pPr>
              <w:jc w:val="right"/>
              <w:rPr>
                <w:rFonts w:ascii="Calibri" w:hAnsi="Calibri" w:cs="Calibri"/>
                <w:color w:val="000000"/>
                <w:sz w:val="16"/>
                <w:szCs w:val="16"/>
              </w:rPr>
            </w:pPr>
            <w:r>
              <w:rPr>
                <w:rFonts w:ascii="Calibri" w:hAnsi="Calibri" w:cs="Calibri"/>
                <w:color w:val="000000"/>
                <w:sz w:val="16"/>
                <w:szCs w:val="16"/>
              </w:rPr>
              <w:t>25.642.834</w:t>
            </w:r>
          </w:p>
        </w:tc>
        <w:tc>
          <w:tcPr>
            <w:tcW w:w="1000" w:type="pct"/>
            <w:tcBorders>
              <w:top w:val="nil"/>
              <w:left w:val="nil"/>
              <w:bottom w:val="nil"/>
              <w:right w:val="nil"/>
            </w:tcBorders>
            <w:shd w:val="clear" w:color="auto" w:fill="auto"/>
            <w:vAlign w:val="center"/>
            <w:hideMark/>
          </w:tcPr>
          <w:p w14:paraId="03AE115A" w14:textId="77777777" w:rsidR="006E2E39" w:rsidRDefault="006E2E39">
            <w:pPr>
              <w:jc w:val="right"/>
              <w:rPr>
                <w:rFonts w:ascii="Calibri" w:hAnsi="Calibri" w:cs="Calibri"/>
                <w:color w:val="000000"/>
                <w:sz w:val="16"/>
                <w:szCs w:val="16"/>
              </w:rPr>
            </w:pPr>
            <w:r>
              <w:rPr>
                <w:rFonts w:ascii="Calibri" w:hAnsi="Calibri" w:cs="Calibri"/>
                <w:color w:val="000000"/>
                <w:sz w:val="16"/>
                <w:szCs w:val="16"/>
              </w:rPr>
              <w:t>26.556.382</w:t>
            </w:r>
          </w:p>
        </w:tc>
      </w:tr>
      <w:tr w:rsidR="006E2E39" w14:paraId="1BEB4B59" w14:textId="77777777" w:rsidTr="00F26EFF">
        <w:trPr>
          <w:trHeight w:hRule="exact" w:val="227"/>
        </w:trPr>
        <w:tc>
          <w:tcPr>
            <w:tcW w:w="2814" w:type="pct"/>
            <w:gridSpan w:val="2"/>
            <w:tcBorders>
              <w:top w:val="nil"/>
              <w:left w:val="nil"/>
              <w:bottom w:val="nil"/>
              <w:right w:val="nil"/>
            </w:tcBorders>
            <w:shd w:val="clear" w:color="auto" w:fill="auto"/>
            <w:noWrap/>
            <w:vAlign w:val="center"/>
            <w:hideMark/>
          </w:tcPr>
          <w:p w14:paraId="6E987401" w14:textId="77777777" w:rsidR="006E2E39" w:rsidRDefault="006E2E39">
            <w:pPr>
              <w:rPr>
                <w:rFonts w:ascii="Calibri" w:hAnsi="Calibri" w:cs="Calibri"/>
                <w:color w:val="000000"/>
                <w:sz w:val="16"/>
                <w:szCs w:val="16"/>
              </w:rPr>
            </w:pPr>
            <w:r>
              <w:rPr>
                <w:rFonts w:ascii="Calibri" w:hAnsi="Calibri" w:cs="Calibri"/>
                <w:color w:val="000000"/>
                <w:sz w:val="16"/>
                <w:szCs w:val="16"/>
              </w:rPr>
              <w:t>Novas permissões</w:t>
            </w:r>
          </w:p>
        </w:tc>
        <w:tc>
          <w:tcPr>
            <w:tcW w:w="186" w:type="pct"/>
            <w:tcBorders>
              <w:top w:val="nil"/>
              <w:left w:val="nil"/>
              <w:bottom w:val="nil"/>
              <w:right w:val="nil"/>
            </w:tcBorders>
            <w:shd w:val="clear" w:color="auto" w:fill="auto"/>
            <w:noWrap/>
            <w:vAlign w:val="center"/>
            <w:hideMark/>
          </w:tcPr>
          <w:p w14:paraId="69A73881" w14:textId="77777777" w:rsidR="006E2E39" w:rsidRDefault="006E2E39">
            <w:pPr>
              <w:rPr>
                <w:rFonts w:ascii="Calibri" w:hAnsi="Calibri" w:cs="Calibri"/>
                <w:color w:val="000000"/>
                <w:sz w:val="16"/>
                <w:szCs w:val="16"/>
              </w:rPr>
            </w:pPr>
          </w:p>
        </w:tc>
        <w:tc>
          <w:tcPr>
            <w:tcW w:w="1000" w:type="pct"/>
            <w:tcBorders>
              <w:top w:val="nil"/>
              <w:left w:val="nil"/>
              <w:bottom w:val="nil"/>
              <w:right w:val="nil"/>
            </w:tcBorders>
            <w:shd w:val="clear" w:color="auto" w:fill="auto"/>
            <w:noWrap/>
            <w:vAlign w:val="center"/>
            <w:hideMark/>
          </w:tcPr>
          <w:p w14:paraId="4F2FADAA" w14:textId="722EA5E3" w:rsidR="006E2E39" w:rsidRDefault="006B0548">
            <w:pPr>
              <w:jc w:val="right"/>
              <w:rPr>
                <w:rFonts w:ascii="Calibri" w:hAnsi="Calibri" w:cs="Calibri"/>
                <w:color w:val="000000"/>
                <w:sz w:val="16"/>
                <w:szCs w:val="16"/>
              </w:rPr>
            </w:pPr>
            <w:r>
              <w:rPr>
                <w:rFonts w:ascii="Calibri" w:hAnsi="Calibri" w:cs="Calibri"/>
                <w:color w:val="000000"/>
                <w:sz w:val="16"/>
                <w:szCs w:val="16"/>
              </w:rPr>
              <w:t>13.410.00</w:t>
            </w:r>
            <w:r w:rsidR="001A3B64">
              <w:rPr>
                <w:rFonts w:ascii="Calibri" w:hAnsi="Calibri" w:cs="Calibri"/>
                <w:color w:val="000000"/>
                <w:sz w:val="16"/>
                <w:szCs w:val="16"/>
              </w:rPr>
              <w:t>2</w:t>
            </w:r>
          </w:p>
        </w:tc>
        <w:tc>
          <w:tcPr>
            <w:tcW w:w="1000" w:type="pct"/>
            <w:tcBorders>
              <w:top w:val="nil"/>
              <w:left w:val="nil"/>
              <w:bottom w:val="nil"/>
              <w:right w:val="nil"/>
            </w:tcBorders>
            <w:shd w:val="clear" w:color="auto" w:fill="auto"/>
            <w:vAlign w:val="center"/>
            <w:hideMark/>
          </w:tcPr>
          <w:p w14:paraId="732635CF" w14:textId="77777777" w:rsidR="006E2E39" w:rsidRDefault="006E2E39">
            <w:pPr>
              <w:jc w:val="right"/>
              <w:rPr>
                <w:rFonts w:ascii="Calibri" w:hAnsi="Calibri" w:cs="Calibri"/>
                <w:color w:val="000000"/>
                <w:sz w:val="16"/>
                <w:szCs w:val="16"/>
              </w:rPr>
            </w:pPr>
            <w:r>
              <w:rPr>
                <w:rFonts w:ascii="Calibri" w:hAnsi="Calibri" w:cs="Calibri"/>
                <w:color w:val="000000"/>
                <w:sz w:val="16"/>
                <w:szCs w:val="16"/>
              </w:rPr>
              <w:t>1.050.000</w:t>
            </w:r>
          </w:p>
        </w:tc>
      </w:tr>
      <w:tr w:rsidR="006E2E39" w14:paraId="2FE2BD6D" w14:textId="77777777" w:rsidTr="00F26EFF">
        <w:trPr>
          <w:trHeight w:hRule="exact" w:val="227"/>
        </w:trPr>
        <w:tc>
          <w:tcPr>
            <w:tcW w:w="2814" w:type="pct"/>
            <w:gridSpan w:val="2"/>
            <w:tcBorders>
              <w:top w:val="nil"/>
              <w:left w:val="nil"/>
              <w:bottom w:val="nil"/>
              <w:right w:val="nil"/>
            </w:tcBorders>
            <w:shd w:val="clear" w:color="auto" w:fill="auto"/>
            <w:noWrap/>
            <w:vAlign w:val="center"/>
            <w:hideMark/>
          </w:tcPr>
          <w:p w14:paraId="2CB666A1" w14:textId="77777777" w:rsidR="006E2E39" w:rsidRDefault="006E2E39">
            <w:pPr>
              <w:rPr>
                <w:rFonts w:ascii="Calibri" w:hAnsi="Calibri" w:cs="Calibri"/>
                <w:color w:val="000000"/>
                <w:sz w:val="16"/>
                <w:szCs w:val="16"/>
              </w:rPr>
            </w:pPr>
            <w:r>
              <w:rPr>
                <w:rFonts w:ascii="Calibri" w:hAnsi="Calibri" w:cs="Calibri"/>
                <w:color w:val="000000"/>
                <w:sz w:val="16"/>
                <w:szCs w:val="16"/>
              </w:rPr>
              <w:t>Reconhecimento da receita</w:t>
            </w:r>
          </w:p>
        </w:tc>
        <w:tc>
          <w:tcPr>
            <w:tcW w:w="186" w:type="pct"/>
            <w:tcBorders>
              <w:top w:val="nil"/>
              <w:left w:val="nil"/>
              <w:bottom w:val="nil"/>
              <w:right w:val="nil"/>
            </w:tcBorders>
            <w:shd w:val="clear" w:color="auto" w:fill="auto"/>
            <w:noWrap/>
            <w:vAlign w:val="center"/>
            <w:hideMark/>
          </w:tcPr>
          <w:p w14:paraId="6C8C0B66" w14:textId="77777777" w:rsidR="006E2E39" w:rsidRDefault="006E2E39">
            <w:pPr>
              <w:rPr>
                <w:rFonts w:ascii="Calibri" w:hAnsi="Calibri" w:cs="Calibri"/>
                <w:color w:val="000000"/>
                <w:sz w:val="16"/>
                <w:szCs w:val="16"/>
              </w:rPr>
            </w:pPr>
          </w:p>
        </w:tc>
        <w:tc>
          <w:tcPr>
            <w:tcW w:w="1000" w:type="pct"/>
            <w:tcBorders>
              <w:top w:val="nil"/>
              <w:left w:val="nil"/>
              <w:bottom w:val="nil"/>
              <w:right w:val="nil"/>
            </w:tcBorders>
            <w:shd w:val="clear" w:color="auto" w:fill="auto"/>
            <w:noWrap/>
            <w:vAlign w:val="center"/>
            <w:hideMark/>
          </w:tcPr>
          <w:p w14:paraId="539E2AE2" w14:textId="7E86F4EB" w:rsidR="006E2E39" w:rsidRDefault="006E2E39">
            <w:pPr>
              <w:jc w:val="right"/>
              <w:rPr>
                <w:rFonts w:ascii="Calibri" w:hAnsi="Calibri" w:cs="Calibri"/>
                <w:color w:val="000000"/>
                <w:sz w:val="16"/>
                <w:szCs w:val="16"/>
              </w:rPr>
            </w:pPr>
            <w:r>
              <w:rPr>
                <w:rFonts w:ascii="Calibri" w:hAnsi="Calibri" w:cs="Calibri"/>
                <w:color w:val="000000"/>
                <w:sz w:val="16"/>
                <w:szCs w:val="16"/>
              </w:rPr>
              <w:t>(</w:t>
            </w:r>
            <w:r w:rsidR="006B0548">
              <w:rPr>
                <w:rFonts w:ascii="Calibri" w:hAnsi="Calibri" w:cs="Calibri"/>
                <w:color w:val="000000"/>
                <w:sz w:val="16"/>
                <w:szCs w:val="16"/>
              </w:rPr>
              <w:t>1.905.712</w:t>
            </w:r>
            <w:r>
              <w:rPr>
                <w:rFonts w:ascii="Calibri" w:hAnsi="Calibri" w:cs="Calibri"/>
                <w:color w:val="000000"/>
                <w:sz w:val="16"/>
                <w:szCs w:val="16"/>
              </w:rPr>
              <w:t>)</w:t>
            </w:r>
          </w:p>
        </w:tc>
        <w:tc>
          <w:tcPr>
            <w:tcW w:w="1000" w:type="pct"/>
            <w:tcBorders>
              <w:top w:val="nil"/>
              <w:left w:val="nil"/>
              <w:bottom w:val="nil"/>
              <w:right w:val="nil"/>
            </w:tcBorders>
            <w:shd w:val="clear" w:color="auto" w:fill="auto"/>
            <w:vAlign w:val="center"/>
            <w:hideMark/>
          </w:tcPr>
          <w:p w14:paraId="75E0106B" w14:textId="3B002394" w:rsidR="006E2E39" w:rsidRDefault="006E2E39">
            <w:pPr>
              <w:jc w:val="right"/>
              <w:rPr>
                <w:rFonts w:ascii="Calibri" w:hAnsi="Calibri" w:cs="Calibri"/>
                <w:color w:val="000000"/>
                <w:sz w:val="16"/>
                <w:szCs w:val="16"/>
              </w:rPr>
            </w:pPr>
            <w:r>
              <w:rPr>
                <w:rFonts w:ascii="Calibri" w:hAnsi="Calibri" w:cs="Calibri"/>
                <w:color w:val="000000"/>
                <w:sz w:val="16"/>
                <w:szCs w:val="16"/>
              </w:rPr>
              <w:t>(1.963.548)</w:t>
            </w:r>
          </w:p>
        </w:tc>
      </w:tr>
      <w:tr w:rsidR="006E2E39" w14:paraId="3C1C37EB" w14:textId="77777777" w:rsidTr="00F26EFF">
        <w:trPr>
          <w:trHeight w:hRule="exact" w:val="227"/>
        </w:trPr>
        <w:tc>
          <w:tcPr>
            <w:tcW w:w="2629" w:type="pct"/>
            <w:tcBorders>
              <w:top w:val="nil"/>
              <w:left w:val="nil"/>
              <w:bottom w:val="single" w:sz="8" w:space="0" w:color="auto"/>
              <w:right w:val="nil"/>
            </w:tcBorders>
            <w:shd w:val="clear" w:color="auto" w:fill="auto"/>
            <w:noWrap/>
            <w:vAlign w:val="center"/>
            <w:hideMark/>
          </w:tcPr>
          <w:p w14:paraId="2889CF72" w14:textId="77777777" w:rsidR="006E2E39" w:rsidRDefault="006E2E39">
            <w:pPr>
              <w:rPr>
                <w:rFonts w:ascii="Calibri" w:hAnsi="Calibri" w:cs="Calibri"/>
                <w:b/>
                <w:bCs/>
                <w:color w:val="000000"/>
                <w:sz w:val="16"/>
                <w:szCs w:val="16"/>
              </w:rPr>
            </w:pPr>
            <w:r>
              <w:rPr>
                <w:rFonts w:ascii="Calibri" w:hAnsi="Calibri" w:cs="Calibri"/>
                <w:b/>
                <w:bCs/>
                <w:color w:val="000000"/>
                <w:sz w:val="16"/>
                <w:szCs w:val="16"/>
              </w:rPr>
              <w:t xml:space="preserve"> TOTAL </w:t>
            </w:r>
          </w:p>
        </w:tc>
        <w:tc>
          <w:tcPr>
            <w:tcW w:w="186" w:type="pct"/>
            <w:tcBorders>
              <w:top w:val="nil"/>
              <w:left w:val="nil"/>
              <w:bottom w:val="single" w:sz="8" w:space="0" w:color="auto"/>
              <w:right w:val="nil"/>
            </w:tcBorders>
            <w:shd w:val="clear" w:color="auto" w:fill="auto"/>
            <w:noWrap/>
            <w:vAlign w:val="center"/>
            <w:hideMark/>
          </w:tcPr>
          <w:p w14:paraId="49E821E1" w14:textId="77777777" w:rsidR="006E2E39" w:rsidRDefault="006E2E39">
            <w:pPr>
              <w:rPr>
                <w:rFonts w:ascii="Calibri" w:hAnsi="Calibri" w:cs="Calibri"/>
                <w:color w:val="000000"/>
                <w:sz w:val="16"/>
                <w:szCs w:val="16"/>
              </w:rPr>
            </w:pPr>
            <w:r>
              <w:rPr>
                <w:rFonts w:ascii="Calibri" w:hAnsi="Calibri" w:cs="Calibri"/>
                <w:color w:val="000000"/>
                <w:sz w:val="16"/>
                <w:szCs w:val="16"/>
              </w:rPr>
              <w:t> </w:t>
            </w:r>
          </w:p>
        </w:tc>
        <w:tc>
          <w:tcPr>
            <w:tcW w:w="186" w:type="pct"/>
            <w:tcBorders>
              <w:top w:val="nil"/>
              <w:left w:val="nil"/>
              <w:bottom w:val="single" w:sz="8" w:space="0" w:color="auto"/>
              <w:right w:val="nil"/>
            </w:tcBorders>
            <w:shd w:val="clear" w:color="auto" w:fill="auto"/>
            <w:noWrap/>
            <w:vAlign w:val="center"/>
            <w:hideMark/>
          </w:tcPr>
          <w:p w14:paraId="696889EE" w14:textId="77777777" w:rsidR="006E2E39" w:rsidRDefault="006E2E39">
            <w:pPr>
              <w:jc w:val="right"/>
              <w:rPr>
                <w:rFonts w:ascii="Calibri" w:hAnsi="Calibri" w:cs="Calibri"/>
                <w:b/>
                <w:bCs/>
                <w:color w:val="000000"/>
                <w:sz w:val="16"/>
                <w:szCs w:val="16"/>
              </w:rPr>
            </w:pPr>
            <w:r>
              <w:rPr>
                <w:rFonts w:ascii="Calibri" w:hAnsi="Calibri" w:cs="Calibri"/>
                <w:b/>
                <w:bCs/>
                <w:color w:val="000000"/>
                <w:sz w:val="16"/>
                <w:szCs w:val="16"/>
              </w:rPr>
              <w:t> </w:t>
            </w:r>
          </w:p>
        </w:tc>
        <w:tc>
          <w:tcPr>
            <w:tcW w:w="1000" w:type="pct"/>
            <w:tcBorders>
              <w:top w:val="nil"/>
              <w:left w:val="nil"/>
              <w:bottom w:val="single" w:sz="8" w:space="0" w:color="auto"/>
              <w:right w:val="nil"/>
            </w:tcBorders>
            <w:shd w:val="clear" w:color="auto" w:fill="auto"/>
            <w:noWrap/>
            <w:vAlign w:val="center"/>
            <w:hideMark/>
          </w:tcPr>
          <w:p w14:paraId="6A805D74" w14:textId="16A9B100" w:rsidR="006E2E39" w:rsidRDefault="006B0548">
            <w:pPr>
              <w:jc w:val="right"/>
              <w:rPr>
                <w:rFonts w:ascii="Calibri" w:hAnsi="Calibri" w:cs="Calibri"/>
                <w:b/>
                <w:bCs/>
                <w:color w:val="000000"/>
                <w:sz w:val="16"/>
                <w:szCs w:val="16"/>
              </w:rPr>
            </w:pPr>
            <w:r>
              <w:rPr>
                <w:rFonts w:ascii="Calibri" w:hAnsi="Calibri" w:cs="Calibri"/>
                <w:b/>
                <w:bCs/>
                <w:color w:val="000000"/>
                <w:sz w:val="16"/>
                <w:szCs w:val="16"/>
              </w:rPr>
              <w:t>37.147.12</w:t>
            </w:r>
            <w:r w:rsidR="001A3B64">
              <w:rPr>
                <w:rFonts w:ascii="Calibri" w:hAnsi="Calibri" w:cs="Calibri"/>
                <w:b/>
                <w:bCs/>
                <w:color w:val="000000"/>
                <w:sz w:val="16"/>
                <w:szCs w:val="16"/>
              </w:rPr>
              <w:t>4</w:t>
            </w:r>
          </w:p>
        </w:tc>
        <w:tc>
          <w:tcPr>
            <w:tcW w:w="1000" w:type="pct"/>
            <w:tcBorders>
              <w:top w:val="nil"/>
              <w:left w:val="nil"/>
              <w:bottom w:val="single" w:sz="8" w:space="0" w:color="auto"/>
              <w:right w:val="nil"/>
            </w:tcBorders>
            <w:shd w:val="clear" w:color="auto" w:fill="auto"/>
            <w:vAlign w:val="center"/>
            <w:hideMark/>
          </w:tcPr>
          <w:p w14:paraId="598E1DDB" w14:textId="77777777" w:rsidR="006E2E39" w:rsidRDefault="006E2E39">
            <w:pPr>
              <w:jc w:val="right"/>
              <w:rPr>
                <w:rFonts w:ascii="Calibri" w:hAnsi="Calibri" w:cs="Calibri"/>
                <w:b/>
                <w:bCs/>
                <w:color w:val="000000"/>
                <w:sz w:val="16"/>
                <w:szCs w:val="16"/>
              </w:rPr>
            </w:pPr>
            <w:r>
              <w:rPr>
                <w:rFonts w:ascii="Calibri" w:hAnsi="Calibri" w:cs="Calibri"/>
                <w:b/>
                <w:bCs/>
                <w:color w:val="000000"/>
                <w:sz w:val="16"/>
                <w:szCs w:val="16"/>
              </w:rPr>
              <w:t>25.642.834</w:t>
            </w:r>
          </w:p>
        </w:tc>
      </w:tr>
      <w:tr w:rsidR="006E2E39" w14:paraId="13B7AA51" w14:textId="77777777" w:rsidTr="00F26EFF">
        <w:trPr>
          <w:trHeight w:hRule="exact" w:val="227"/>
        </w:trPr>
        <w:tc>
          <w:tcPr>
            <w:tcW w:w="3000" w:type="pct"/>
            <w:gridSpan w:val="3"/>
            <w:tcBorders>
              <w:top w:val="nil"/>
              <w:left w:val="nil"/>
              <w:bottom w:val="single" w:sz="8" w:space="0" w:color="auto"/>
              <w:right w:val="nil"/>
            </w:tcBorders>
            <w:shd w:val="clear" w:color="auto" w:fill="auto"/>
            <w:noWrap/>
            <w:vAlign w:val="center"/>
            <w:hideMark/>
          </w:tcPr>
          <w:p w14:paraId="219A18A7" w14:textId="77777777" w:rsidR="006E2E39" w:rsidRDefault="006E2E39">
            <w:pPr>
              <w:rPr>
                <w:rFonts w:ascii="Calibri" w:hAnsi="Calibri" w:cs="Calibri"/>
                <w:b/>
                <w:bCs/>
                <w:color w:val="000000"/>
                <w:sz w:val="16"/>
                <w:szCs w:val="16"/>
              </w:rPr>
            </w:pPr>
            <w:r>
              <w:rPr>
                <w:rFonts w:ascii="Calibri" w:hAnsi="Calibri" w:cs="Calibri"/>
                <w:b/>
                <w:bCs/>
                <w:color w:val="000000"/>
                <w:sz w:val="16"/>
                <w:szCs w:val="16"/>
              </w:rPr>
              <w:t>Receita a Diferir Pátios e Terminais – Circulante</w:t>
            </w:r>
          </w:p>
        </w:tc>
        <w:tc>
          <w:tcPr>
            <w:tcW w:w="1000" w:type="pct"/>
            <w:tcBorders>
              <w:top w:val="nil"/>
              <w:left w:val="nil"/>
              <w:bottom w:val="single" w:sz="8" w:space="0" w:color="auto"/>
              <w:right w:val="nil"/>
            </w:tcBorders>
            <w:shd w:val="clear" w:color="auto" w:fill="auto"/>
            <w:noWrap/>
            <w:vAlign w:val="center"/>
            <w:hideMark/>
          </w:tcPr>
          <w:p w14:paraId="2FB06FD2" w14:textId="74A8F8F4" w:rsidR="006E2E39" w:rsidRDefault="006B0548">
            <w:pPr>
              <w:jc w:val="right"/>
              <w:rPr>
                <w:rFonts w:ascii="Calibri" w:hAnsi="Calibri" w:cs="Calibri"/>
                <w:b/>
                <w:bCs/>
                <w:color w:val="000000"/>
                <w:sz w:val="16"/>
                <w:szCs w:val="16"/>
              </w:rPr>
            </w:pPr>
            <w:r>
              <w:rPr>
                <w:rFonts w:ascii="Calibri" w:hAnsi="Calibri" w:cs="Calibri"/>
                <w:b/>
                <w:bCs/>
                <w:color w:val="000000"/>
                <w:sz w:val="16"/>
                <w:szCs w:val="16"/>
              </w:rPr>
              <w:t>3.070.781</w:t>
            </w:r>
          </w:p>
        </w:tc>
        <w:tc>
          <w:tcPr>
            <w:tcW w:w="1000" w:type="pct"/>
            <w:tcBorders>
              <w:top w:val="nil"/>
              <w:left w:val="nil"/>
              <w:bottom w:val="single" w:sz="8" w:space="0" w:color="auto"/>
              <w:right w:val="nil"/>
            </w:tcBorders>
            <w:shd w:val="clear" w:color="auto" w:fill="auto"/>
            <w:vAlign w:val="center"/>
            <w:hideMark/>
          </w:tcPr>
          <w:p w14:paraId="1EBEAB20" w14:textId="77777777" w:rsidR="006E2E39" w:rsidRDefault="006E2E39">
            <w:pPr>
              <w:jc w:val="right"/>
              <w:rPr>
                <w:rFonts w:ascii="Calibri" w:hAnsi="Calibri" w:cs="Calibri"/>
                <w:b/>
                <w:bCs/>
                <w:color w:val="000000"/>
                <w:sz w:val="16"/>
                <w:szCs w:val="16"/>
              </w:rPr>
            </w:pPr>
            <w:r>
              <w:rPr>
                <w:rFonts w:ascii="Calibri" w:hAnsi="Calibri" w:cs="Calibri"/>
                <w:b/>
                <w:bCs/>
                <w:color w:val="000000"/>
                <w:sz w:val="16"/>
                <w:szCs w:val="16"/>
              </w:rPr>
              <w:t>2.271.695</w:t>
            </w:r>
          </w:p>
        </w:tc>
      </w:tr>
      <w:tr w:rsidR="006E2E39" w14:paraId="1281F913" w14:textId="77777777" w:rsidTr="00F26EFF">
        <w:trPr>
          <w:trHeight w:hRule="exact" w:val="227"/>
        </w:trPr>
        <w:tc>
          <w:tcPr>
            <w:tcW w:w="3000" w:type="pct"/>
            <w:gridSpan w:val="3"/>
            <w:tcBorders>
              <w:top w:val="nil"/>
              <w:left w:val="nil"/>
              <w:bottom w:val="single" w:sz="8" w:space="0" w:color="auto"/>
              <w:right w:val="nil"/>
            </w:tcBorders>
            <w:shd w:val="clear" w:color="auto" w:fill="auto"/>
            <w:noWrap/>
            <w:vAlign w:val="center"/>
            <w:hideMark/>
          </w:tcPr>
          <w:p w14:paraId="080DA80A" w14:textId="77777777" w:rsidR="006E2E39" w:rsidRDefault="006E2E39">
            <w:pPr>
              <w:rPr>
                <w:rFonts w:ascii="Calibri" w:hAnsi="Calibri" w:cs="Calibri"/>
                <w:b/>
                <w:bCs/>
                <w:color w:val="000000"/>
                <w:sz w:val="16"/>
                <w:szCs w:val="16"/>
              </w:rPr>
            </w:pPr>
            <w:r>
              <w:rPr>
                <w:rFonts w:ascii="Calibri" w:hAnsi="Calibri" w:cs="Calibri"/>
                <w:b/>
                <w:bCs/>
                <w:color w:val="000000"/>
                <w:sz w:val="16"/>
                <w:szCs w:val="16"/>
              </w:rPr>
              <w:t>Receita a Diferir Pátios e Terminais – Não Circulante</w:t>
            </w:r>
          </w:p>
        </w:tc>
        <w:tc>
          <w:tcPr>
            <w:tcW w:w="1000" w:type="pct"/>
            <w:tcBorders>
              <w:top w:val="nil"/>
              <w:left w:val="nil"/>
              <w:bottom w:val="single" w:sz="8" w:space="0" w:color="auto"/>
              <w:right w:val="nil"/>
            </w:tcBorders>
            <w:shd w:val="clear" w:color="auto" w:fill="auto"/>
            <w:noWrap/>
            <w:vAlign w:val="center"/>
            <w:hideMark/>
          </w:tcPr>
          <w:p w14:paraId="0EF44D78" w14:textId="7026F89D" w:rsidR="006E2E39" w:rsidRDefault="001A3B64">
            <w:pPr>
              <w:jc w:val="right"/>
              <w:rPr>
                <w:rFonts w:ascii="Calibri" w:hAnsi="Calibri" w:cs="Calibri"/>
                <w:b/>
                <w:bCs/>
                <w:color w:val="000000"/>
                <w:sz w:val="16"/>
                <w:szCs w:val="16"/>
              </w:rPr>
            </w:pPr>
            <w:r>
              <w:rPr>
                <w:rFonts w:ascii="Calibri" w:hAnsi="Calibri" w:cs="Calibri"/>
                <w:b/>
                <w:bCs/>
                <w:color w:val="000000"/>
                <w:sz w:val="16"/>
                <w:szCs w:val="16"/>
              </w:rPr>
              <w:t>34.076.343</w:t>
            </w:r>
          </w:p>
        </w:tc>
        <w:tc>
          <w:tcPr>
            <w:tcW w:w="1000" w:type="pct"/>
            <w:tcBorders>
              <w:top w:val="nil"/>
              <w:left w:val="nil"/>
              <w:bottom w:val="single" w:sz="8" w:space="0" w:color="auto"/>
              <w:right w:val="nil"/>
            </w:tcBorders>
            <w:shd w:val="clear" w:color="auto" w:fill="auto"/>
            <w:vAlign w:val="center"/>
            <w:hideMark/>
          </w:tcPr>
          <w:p w14:paraId="4D4CB329" w14:textId="77777777" w:rsidR="006E2E39" w:rsidRDefault="006E2E39">
            <w:pPr>
              <w:jc w:val="right"/>
              <w:rPr>
                <w:rFonts w:ascii="Calibri" w:hAnsi="Calibri" w:cs="Calibri"/>
                <w:b/>
                <w:bCs/>
                <w:color w:val="000000"/>
                <w:sz w:val="16"/>
                <w:szCs w:val="16"/>
              </w:rPr>
            </w:pPr>
            <w:r>
              <w:rPr>
                <w:rFonts w:ascii="Calibri" w:hAnsi="Calibri" w:cs="Calibri"/>
                <w:b/>
                <w:bCs/>
                <w:color w:val="000000"/>
                <w:sz w:val="16"/>
                <w:szCs w:val="16"/>
              </w:rPr>
              <w:t>23.371.139</w:t>
            </w:r>
          </w:p>
        </w:tc>
      </w:tr>
    </w:tbl>
    <w:p w14:paraId="536A207A" w14:textId="1475A95C" w:rsidR="00810E4B" w:rsidRDefault="00810E4B" w:rsidP="002E2B5B">
      <w:pPr>
        <w:pStyle w:val="Ttulo4"/>
        <w:tabs>
          <w:tab w:val="left" w:pos="0"/>
        </w:tabs>
        <w:spacing w:line="240" w:lineRule="auto"/>
        <w:rPr>
          <w:rFonts w:ascii="Calibri" w:hAnsi="Calibri" w:cs="Calibri"/>
          <w:bCs w:val="0"/>
          <w:sz w:val="22"/>
          <w:szCs w:val="22"/>
        </w:rPr>
      </w:pPr>
    </w:p>
    <w:p w14:paraId="00EEFCF3" w14:textId="1D573A65" w:rsidR="00E75123" w:rsidRPr="00F158C0" w:rsidRDefault="00E75123" w:rsidP="00F158C0">
      <w:pPr>
        <w:pStyle w:val="PargrafodaLista"/>
        <w:numPr>
          <w:ilvl w:val="0"/>
          <w:numId w:val="39"/>
        </w:numPr>
        <w:spacing w:after="120"/>
        <w:ind w:left="284" w:right="57" w:hanging="284"/>
        <w:jc w:val="both"/>
        <w:rPr>
          <w:rFonts w:ascii="Calibri" w:hAnsi="Calibri" w:cs="Calibri"/>
          <w:b/>
          <w:bCs/>
          <w:sz w:val="22"/>
          <w:szCs w:val="22"/>
        </w:rPr>
      </w:pPr>
      <w:r w:rsidRPr="00F158C0">
        <w:rPr>
          <w:rFonts w:ascii="Calibri" w:hAnsi="Calibri" w:cs="Calibri"/>
          <w:b/>
          <w:bCs/>
          <w:sz w:val="22"/>
          <w:szCs w:val="22"/>
        </w:rPr>
        <w:t>Receita e Diferir – Subconcessão – FIOL I</w:t>
      </w:r>
    </w:p>
    <w:p w14:paraId="34649069" w14:textId="7242EDB7" w:rsidR="00E75123" w:rsidRPr="00F158C0" w:rsidRDefault="009F1683" w:rsidP="00164619">
      <w:pPr>
        <w:jc w:val="both"/>
        <w:rPr>
          <w:rFonts w:ascii="Calibri" w:hAnsi="Calibri" w:cs="Calibri"/>
          <w:sz w:val="22"/>
          <w:szCs w:val="22"/>
        </w:rPr>
      </w:pPr>
      <w:r w:rsidRPr="00F158C0">
        <w:rPr>
          <w:rFonts w:ascii="Calibri" w:hAnsi="Calibri" w:cs="Calibri"/>
          <w:sz w:val="22"/>
          <w:szCs w:val="22"/>
        </w:rPr>
        <w:t xml:space="preserve">O trecho da Ferrovia de Integração Oeste </w:t>
      </w:r>
      <w:r w:rsidR="00164619" w:rsidRPr="00F158C0">
        <w:rPr>
          <w:rFonts w:ascii="Calibri" w:hAnsi="Calibri" w:cs="Calibri"/>
          <w:sz w:val="22"/>
          <w:szCs w:val="22"/>
        </w:rPr>
        <w:t>L</w:t>
      </w:r>
      <w:r w:rsidRPr="00F158C0">
        <w:rPr>
          <w:rFonts w:ascii="Calibri" w:hAnsi="Calibri" w:cs="Calibri"/>
          <w:sz w:val="22"/>
          <w:szCs w:val="22"/>
        </w:rPr>
        <w:t xml:space="preserve">este, denominado FIOL I, compreendido entre os municípios de Ilhéus/BA e Caetité/BA foi subconcedido à Bahia Ferrovias S/A por um período de 35 anos. O Contrato foi assinado em </w:t>
      </w:r>
      <w:r w:rsidR="00164619" w:rsidRPr="00F158C0">
        <w:rPr>
          <w:rFonts w:ascii="Calibri" w:hAnsi="Calibri" w:cs="Calibri"/>
          <w:sz w:val="22"/>
          <w:szCs w:val="22"/>
        </w:rPr>
        <w:t xml:space="preserve">03 de setembro de 2021, no valor de R$ R$ 32,7 milhões de reais. </w:t>
      </w:r>
    </w:p>
    <w:p w14:paraId="14054D46" w14:textId="4A630F27" w:rsidR="00164619" w:rsidRPr="00F158C0" w:rsidRDefault="00164619" w:rsidP="00164619">
      <w:pPr>
        <w:jc w:val="both"/>
        <w:rPr>
          <w:rFonts w:ascii="Calibri" w:hAnsi="Calibri" w:cs="Calibri"/>
          <w:sz w:val="22"/>
          <w:szCs w:val="22"/>
        </w:rPr>
      </w:pPr>
      <w:r w:rsidRPr="00F158C0">
        <w:rPr>
          <w:rFonts w:ascii="Calibri" w:hAnsi="Calibri" w:cs="Calibri"/>
          <w:sz w:val="22"/>
          <w:szCs w:val="22"/>
        </w:rPr>
        <w:t>Por ser um contrato de longo prazo, em atendimento ao regime de competência, o valor contratual foi registrado no passivo como Receita a Diferir – Subconcessão FIOL I e será diferido no resultado mensamente pelo prazo contratual, a partir do mês de outubro de 2021.</w:t>
      </w:r>
    </w:p>
    <w:p w14:paraId="163277CA" w14:textId="77777777" w:rsidR="009F1683" w:rsidRPr="00E75123" w:rsidRDefault="009F1683" w:rsidP="00E75123"/>
    <w:p w14:paraId="43798450" w14:textId="7BBE6D0A" w:rsidR="0097313E" w:rsidRPr="002E2B5B" w:rsidRDefault="0097313E" w:rsidP="002E2B5B">
      <w:pPr>
        <w:pStyle w:val="Ttulo4"/>
        <w:tabs>
          <w:tab w:val="left" w:pos="0"/>
        </w:tabs>
        <w:spacing w:line="240" w:lineRule="auto"/>
        <w:rPr>
          <w:rFonts w:ascii="Calibri" w:hAnsi="Calibri" w:cs="Calibri"/>
          <w:bCs w:val="0"/>
          <w:sz w:val="22"/>
          <w:szCs w:val="22"/>
        </w:rPr>
      </w:pPr>
      <w:r w:rsidRPr="002E2B5B">
        <w:rPr>
          <w:rFonts w:ascii="Calibri" w:hAnsi="Calibri" w:cs="Calibri"/>
          <w:bCs w:val="0"/>
          <w:sz w:val="22"/>
          <w:szCs w:val="22"/>
        </w:rPr>
        <w:t xml:space="preserve">NOTA </w:t>
      </w:r>
      <w:r w:rsidR="00C57BA3" w:rsidRPr="002E2B5B">
        <w:rPr>
          <w:rFonts w:ascii="Calibri" w:hAnsi="Calibri" w:cs="Calibri"/>
          <w:bCs w:val="0"/>
          <w:sz w:val="22"/>
          <w:szCs w:val="22"/>
        </w:rPr>
        <w:t>1</w:t>
      </w:r>
      <w:r w:rsidR="00E24F86">
        <w:rPr>
          <w:rFonts w:ascii="Calibri" w:hAnsi="Calibri" w:cs="Calibri"/>
          <w:bCs w:val="0"/>
          <w:sz w:val="22"/>
          <w:szCs w:val="22"/>
        </w:rPr>
        <w:t>3</w:t>
      </w:r>
      <w:r w:rsidRPr="002E2B5B">
        <w:rPr>
          <w:rFonts w:ascii="Calibri" w:hAnsi="Calibri" w:cs="Calibri"/>
          <w:bCs w:val="0"/>
          <w:sz w:val="22"/>
          <w:szCs w:val="22"/>
        </w:rPr>
        <w:t xml:space="preserve"> – DIREITOS DE USO E PASSIVOS DE ARRENDAMENTOS</w:t>
      </w:r>
    </w:p>
    <w:p w14:paraId="5683CF53" w14:textId="77777777" w:rsidR="000C065B" w:rsidRPr="002E2B5B" w:rsidRDefault="000C065B" w:rsidP="002E2B5B"/>
    <w:p w14:paraId="27D5C090" w14:textId="77777777" w:rsidR="0097313E" w:rsidRPr="002E2B5B" w:rsidRDefault="0097313E" w:rsidP="002E2B5B">
      <w:pPr>
        <w:ind w:right="57"/>
        <w:jc w:val="both"/>
        <w:rPr>
          <w:rFonts w:ascii="Calibri" w:hAnsi="Calibri" w:cs="Calibri"/>
          <w:sz w:val="22"/>
          <w:szCs w:val="22"/>
        </w:rPr>
      </w:pPr>
      <w:r w:rsidRPr="002E2B5B">
        <w:rPr>
          <w:rFonts w:ascii="Calibri" w:hAnsi="Calibri" w:cs="Calibri"/>
          <w:sz w:val="22"/>
          <w:szCs w:val="22"/>
        </w:rPr>
        <w:t>O Pronunciamento Contábil CPC  06 (R2) estabeleceu um modelo único de contabilização de arrendamentos no balanço patrimonial para arrendatários. Um arrendatário reconhece um ativo de direito de uso que representa o seu direito de utilizar o ativo arrendado, o qual é reconhecido inicialmente pelo custo e, subsequentemente, pelo custo menos qualquer depreciação acumulada e ajustado pela taxa dos respectivos contratos</w:t>
      </w:r>
      <w:r w:rsidR="004966A1" w:rsidRPr="002E2B5B">
        <w:rPr>
          <w:rFonts w:ascii="Calibri" w:hAnsi="Calibri" w:cs="Calibri"/>
          <w:sz w:val="22"/>
          <w:szCs w:val="22"/>
        </w:rPr>
        <w:t>; e um passivo de arrendamento que representa sua obrigação de efetuar pagamentos do arrendamento, mensurado inicialmente pelo valor presente dos pagamentos.</w:t>
      </w:r>
    </w:p>
    <w:p w14:paraId="653D95DA" w14:textId="255C9D5B" w:rsidR="001B71DD" w:rsidRPr="00E24F86" w:rsidRDefault="001B71DD" w:rsidP="002E2B5B">
      <w:pPr>
        <w:spacing w:before="120" w:after="120"/>
        <w:ind w:right="57"/>
        <w:jc w:val="both"/>
        <w:rPr>
          <w:rFonts w:ascii="Calibri" w:hAnsi="Calibri" w:cs="Calibri"/>
          <w:sz w:val="22"/>
          <w:szCs w:val="22"/>
        </w:rPr>
      </w:pPr>
      <w:r w:rsidRPr="00E24F86">
        <w:rPr>
          <w:rFonts w:ascii="Calibri" w:hAnsi="Calibri" w:cs="Calibri"/>
          <w:sz w:val="22"/>
          <w:szCs w:val="22"/>
        </w:rPr>
        <w:t xml:space="preserve">A VALEC realiza periodicamente a análise de seus contratos de locação vigentes para identificar quais se enquadram no alcance abrangência do referido normativo contábil. Atualmente são contabilizados como Direito de Uso e Passivos </w:t>
      </w:r>
      <w:r w:rsidRPr="00E24F86">
        <w:rPr>
          <w:rFonts w:ascii="Calibri" w:hAnsi="Calibri" w:cs="Calibri"/>
          <w:sz w:val="22"/>
          <w:szCs w:val="22"/>
        </w:rPr>
        <w:lastRenderedPageBreak/>
        <w:t>de Arrendamentos os contratos de locação de imóveis e veículos, com período contratual superior a 12 meses, considerando a possibilidade de renovação, que obedecem aos critérios para mensuração, reconhecimento e registro de contratos de arrendamento.</w:t>
      </w:r>
    </w:p>
    <w:p w14:paraId="23A943A0" w14:textId="0FD34082" w:rsidR="00554B7B" w:rsidRDefault="0097313E" w:rsidP="002E2B5B">
      <w:pPr>
        <w:spacing w:before="120" w:after="120"/>
        <w:ind w:right="57"/>
        <w:jc w:val="both"/>
        <w:rPr>
          <w:rFonts w:ascii="Calibri" w:hAnsi="Calibri" w:cs="Calibri"/>
          <w:sz w:val="22"/>
          <w:szCs w:val="22"/>
        </w:rPr>
      </w:pPr>
      <w:r w:rsidRPr="002E2B5B">
        <w:rPr>
          <w:rFonts w:ascii="Calibri" w:hAnsi="Calibri" w:cs="Calibri"/>
          <w:sz w:val="22"/>
          <w:szCs w:val="22"/>
        </w:rPr>
        <w:t xml:space="preserve">A conta “Direito de Uso de Veículos” trata-se de direitos estabelecidos em contratos de locação de veículos para utilização na sede e nos trechos em obras da VALEC. Já a conta “Direito de Uso de Imóvel” trata-se de direitos com origem em contratos de locação de imóveis que, após análise nos contratos, verificou-se que somente o contrato de locação do imóvel onde se encontra a sede da empresa preenche os requisitos estabelecidos no CPC 06 (R2). </w:t>
      </w:r>
    </w:p>
    <w:tbl>
      <w:tblPr>
        <w:tblW w:w="5000" w:type="pct"/>
        <w:tblCellMar>
          <w:left w:w="70" w:type="dxa"/>
          <w:right w:w="70" w:type="dxa"/>
        </w:tblCellMar>
        <w:tblLook w:val="04A0" w:firstRow="1" w:lastRow="0" w:firstColumn="1" w:lastColumn="0" w:noHBand="0" w:noVBand="1"/>
      </w:tblPr>
      <w:tblGrid>
        <w:gridCol w:w="3718"/>
        <w:gridCol w:w="2144"/>
        <w:gridCol w:w="2537"/>
        <w:gridCol w:w="2068"/>
      </w:tblGrid>
      <w:tr w:rsidR="00554B7B" w14:paraId="173CD5E2" w14:textId="77777777" w:rsidTr="00554B7B">
        <w:trPr>
          <w:trHeight w:val="227"/>
        </w:trPr>
        <w:tc>
          <w:tcPr>
            <w:tcW w:w="1776" w:type="pct"/>
            <w:tcBorders>
              <w:top w:val="nil"/>
              <w:left w:val="nil"/>
              <w:bottom w:val="single" w:sz="8" w:space="0" w:color="auto"/>
              <w:right w:val="nil"/>
            </w:tcBorders>
            <w:shd w:val="clear" w:color="auto" w:fill="auto"/>
            <w:noWrap/>
            <w:vAlign w:val="center"/>
            <w:hideMark/>
          </w:tcPr>
          <w:p w14:paraId="67D2B85C" w14:textId="77777777" w:rsidR="00554B7B" w:rsidRDefault="00554B7B">
            <w:pPr>
              <w:rPr>
                <w:rFonts w:ascii="Calibri" w:hAnsi="Calibri" w:cs="Calibri"/>
                <w:b/>
                <w:bCs/>
                <w:color w:val="000000"/>
                <w:sz w:val="16"/>
                <w:szCs w:val="16"/>
              </w:rPr>
            </w:pPr>
            <w:r>
              <w:rPr>
                <w:rFonts w:ascii="Calibri" w:hAnsi="Calibri" w:cs="Calibri"/>
                <w:b/>
                <w:bCs/>
                <w:color w:val="000000"/>
                <w:sz w:val="16"/>
                <w:szCs w:val="16"/>
              </w:rPr>
              <w:t xml:space="preserve">DIREITO DE USO </w:t>
            </w:r>
          </w:p>
        </w:tc>
        <w:tc>
          <w:tcPr>
            <w:tcW w:w="1024" w:type="pct"/>
            <w:tcBorders>
              <w:top w:val="nil"/>
              <w:left w:val="nil"/>
              <w:bottom w:val="single" w:sz="8" w:space="0" w:color="auto"/>
              <w:right w:val="nil"/>
            </w:tcBorders>
            <w:shd w:val="clear" w:color="auto" w:fill="auto"/>
            <w:noWrap/>
            <w:vAlign w:val="center"/>
            <w:hideMark/>
          </w:tcPr>
          <w:p w14:paraId="19F78AC6" w14:textId="77777777" w:rsidR="00554B7B" w:rsidRDefault="00554B7B">
            <w:pPr>
              <w:jc w:val="right"/>
              <w:rPr>
                <w:rFonts w:ascii="Calibri" w:hAnsi="Calibri" w:cs="Calibri"/>
                <w:b/>
                <w:bCs/>
                <w:color w:val="000000"/>
                <w:sz w:val="16"/>
                <w:szCs w:val="16"/>
              </w:rPr>
            </w:pPr>
            <w:r>
              <w:rPr>
                <w:rFonts w:ascii="Calibri" w:hAnsi="Calibri" w:cs="Calibri"/>
                <w:b/>
                <w:bCs/>
                <w:color w:val="000000"/>
                <w:sz w:val="16"/>
                <w:szCs w:val="16"/>
              </w:rPr>
              <w:t>VALOR CONTRATUAL</w:t>
            </w:r>
          </w:p>
        </w:tc>
        <w:tc>
          <w:tcPr>
            <w:tcW w:w="1212" w:type="pct"/>
            <w:tcBorders>
              <w:top w:val="nil"/>
              <w:left w:val="nil"/>
              <w:bottom w:val="single" w:sz="8" w:space="0" w:color="auto"/>
              <w:right w:val="nil"/>
            </w:tcBorders>
            <w:shd w:val="clear" w:color="auto" w:fill="auto"/>
            <w:noWrap/>
            <w:vAlign w:val="center"/>
            <w:hideMark/>
          </w:tcPr>
          <w:p w14:paraId="4893903E" w14:textId="77777777" w:rsidR="00554B7B" w:rsidRDefault="00554B7B">
            <w:pPr>
              <w:jc w:val="right"/>
              <w:rPr>
                <w:rFonts w:ascii="Calibri" w:hAnsi="Calibri" w:cs="Calibri"/>
                <w:b/>
                <w:bCs/>
                <w:color w:val="000000"/>
                <w:sz w:val="16"/>
                <w:szCs w:val="16"/>
              </w:rPr>
            </w:pPr>
            <w:r>
              <w:rPr>
                <w:rFonts w:ascii="Calibri" w:hAnsi="Calibri" w:cs="Calibri"/>
                <w:b/>
                <w:bCs/>
                <w:color w:val="000000"/>
                <w:sz w:val="16"/>
                <w:szCs w:val="16"/>
              </w:rPr>
              <w:t>DEPRECIAÇÃO ACUMULADA</w:t>
            </w:r>
          </w:p>
        </w:tc>
        <w:tc>
          <w:tcPr>
            <w:tcW w:w="988" w:type="pct"/>
            <w:tcBorders>
              <w:top w:val="nil"/>
              <w:left w:val="nil"/>
              <w:bottom w:val="single" w:sz="8" w:space="0" w:color="auto"/>
              <w:right w:val="nil"/>
            </w:tcBorders>
            <w:shd w:val="clear" w:color="auto" w:fill="auto"/>
            <w:vAlign w:val="center"/>
            <w:hideMark/>
          </w:tcPr>
          <w:p w14:paraId="60116AD8" w14:textId="3CC5938C" w:rsidR="00554B7B" w:rsidRDefault="00554B7B">
            <w:pPr>
              <w:jc w:val="right"/>
              <w:rPr>
                <w:rFonts w:ascii="Calibri" w:hAnsi="Calibri" w:cs="Calibri"/>
                <w:b/>
                <w:bCs/>
                <w:color w:val="000000"/>
                <w:sz w:val="16"/>
                <w:szCs w:val="16"/>
              </w:rPr>
            </w:pPr>
            <w:r>
              <w:rPr>
                <w:rFonts w:ascii="Calibri" w:hAnsi="Calibri" w:cs="Calibri"/>
                <w:b/>
                <w:bCs/>
                <w:color w:val="000000"/>
                <w:sz w:val="16"/>
                <w:szCs w:val="16"/>
              </w:rPr>
              <w:t>SALDO LÍQUIDO EM 30/0</w:t>
            </w:r>
            <w:r w:rsidR="001A3B64">
              <w:rPr>
                <w:rFonts w:ascii="Calibri" w:hAnsi="Calibri" w:cs="Calibri"/>
                <w:b/>
                <w:bCs/>
                <w:color w:val="000000"/>
                <w:sz w:val="16"/>
                <w:szCs w:val="16"/>
              </w:rPr>
              <w:t>9</w:t>
            </w:r>
            <w:r>
              <w:rPr>
                <w:rFonts w:ascii="Calibri" w:hAnsi="Calibri" w:cs="Calibri"/>
                <w:b/>
                <w:bCs/>
                <w:color w:val="000000"/>
                <w:sz w:val="16"/>
                <w:szCs w:val="16"/>
              </w:rPr>
              <w:t>/2021</w:t>
            </w:r>
          </w:p>
        </w:tc>
      </w:tr>
      <w:tr w:rsidR="00554B7B" w14:paraId="3D18A1B6" w14:textId="77777777" w:rsidTr="00554B7B">
        <w:trPr>
          <w:trHeight w:val="227"/>
        </w:trPr>
        <w:tc>
          <w:tcPr>
            <w:tcW w:w="1776" w:type="pct"/>
            <w:tcBorders>
              <w:top w:val="nil"/>
              <w:left w:val="nil"/>
              <w:bottom w:val="nil"/>
              <w:right w:val="nil"/>
            </w:tcBorders>
            <w:shd w:val="clear" w:color="auto" w:fill="auto"/>
            <w:noWrap/>
            <w:vAlign w:val="center"/>
            <w:hideMark/>
          </w:tcPr>
          <w:p w14:paraId="13E60AC8" w14:textId="77777777" w:rsidR="00554B7B" w:rsidRDefault="00554B7B">
            <w:pPr>
              <w:rPr>
                <w:rFonts w:ascii="Calibri" w:hAnsi="Calibri" w:cs="Calibri"/>
                <w:color w:val="000000"/>
                <w:sz w:val="16"/>
                <w:szCs w:val="16"/>
              </w:rPr>
            </w:pPr>
            <w:r>
              <w:rPr>
                <w:rFonts w:ascii="Calibri" w:hAnsi="Calibri" w:cs="Calibri"/>
                <w:color w:val="000000"/>
                <w:sz w:val="16"/>
                <w:szCs w:val="16"/>
              </w:rPr>
              <w:t xml:space="preserve">Direito de Uso de Veículos </w:t>
            </w:r>
          </w:p>
        </w:tc>
        <w:tc>
          <w:tcPr>
            <w:tcW w:w="1024" w:type="pct"/>
            <w:tcBorders>
              <w:top w:val="nil"/>
              <w:left w:val="nil"/>
              <w:bottom w:val="nil"/>
              <w:right w:val="nil"/>
            </w:tcBorders>
            <w:shd w:val="clear" w:color="auto" w:fill="auto"/>
            <w:noWrap/>
            <w:vAlign w:val="center"/>
            <w:hideMark/>
          </w:tcPr>
          <w:p w14:paraId="7B385FA9" w14:textId="77777777" w:rsidR="00554B7B" w:rsidRDefault="00554B7B">
            <w:pPr>
              <w:jc w:val="right"/>
              <w:rPr>
                <w:rFonts w:ascii="Calibri" w:hAnsi="Calibri" w:cs="Calibri"/>
                <w:color w:val="000000"/>
                <w:sz w:val="16"/>
                <w:szCs w:val="16"/>
              </w:rPr>
            </w:pPr>
            <w:r>
              <w:rPr>
                <w:rFonts w:ascii="Calibri" w:hAnsi="Calibri" w:cs="Calibri"/>
                <w:color w:val="000000"/>
                <w:sz w:val="16"/>
                <w:szCs w:val="16"/>
              </w:rPr>
              <w:t>2.700.800</w:t>
            </w:r>
          </w:p>
        </w:tc>
        <w:tc>
          <w:tcPr>
            <w:tcW w:w="1212" w:type="pct"/>
            <w:tcBorders>
              <w:top w:val="nil"/>
              <w:left w:val="nil"/>
              <w:bottom w:val="nil"/>
              <w:right w:val="nil"/>
            </w:tcBorders>
            <w:shd w:val="clear" w:color="auto" w:fill="auto"/>
            <w:noWrap/>
            <w:vAlign w:val="center"/>
            <w:hideMark/>
          </w:tcPr>
          <w:p w14:paraId="3CBAE1C3" w14:textId="234FB726" w:rsidR="00554B7B" w:rsidRDefault="00554B7B">
            <w:pPr>
              <w:jc w:val="right"/>
              <w:rPr>
                <w:rFonts w:ascii="Calibri" w:hAnsi="Calibri" w:cs="Calibri"/>
                <w:color w:val="000000"/>
                <w:sz w:val="16"/>
                <w:szCs w:val="16"/>
              </w:rPr>
            </w:pPr>
            <w:r>
              <w:rPr>
                <w:rFonts w:ascii="Calibri" w:hAnsi="Calibri" w:cs="Calibri"/>
                <w:color w:val="000000"/>
                <w:sz w:val="16"/>
                <w:szCs w:val="16"/>
              </w:rPr>
              <w:t>(</w:t>
            </w:r>
            <w:r w:rsidR="001A3B64">
              <w:rPr>
                <w:rFonts w:ascii="Calibri" w:hAnsi="Calibri" w:cs="Calibri"/>
                <w:color w:val="000000"/>
                <w:sz w:val="16"/>
                <w:szCs w:val="16"/>
              </w:rPr>
              <w:t>849.150</w:t>
            </w:r>
            <w:r>
              <w:rPr>
                <w:rFonts w:ascii="Calibri" w:hAnsi="Calibri" w:cs="Calibri"/>
                <w:color w:val="000000"/>
                <w:sz w:val="16"/>
                <w:szCs w:val="16"/>
              </w:rPr>
              <w:t>)</w:t>
            </w:r>
          </w:p>
        </w:tc>
        <w:tc>
          <w:tcPr>
            <w:tcW w:w="988" w:type="pct"/>
            <w:tcBorders>
              <w:top w:val="nil"/>
              <w:left w:val="nil"/>
              <w:bottom w:val="nil"/>
              <w:right w:val="nil"/>
            </w:tcBorders>
            <w:shd w:val="clear" w:color="auto" w:fill="auto"/>
            <w:noWrap/>
            <w:vAlign w:val="center"/>
            <w:hideMark/>
          </w:tcPr>
          <w:p w14:paraId="6873C9FB" w14:textId="04B329F0" w:rsidR="00554B7B" w:rsidRDefault="001A3B64">
            <w:pPr>
              <w:jc w:val="right"/>
              <w:rPr>
                <w:rFonts w:ascii="Calibri" w:hAnsi="Calibri" w:cs="Calibri"/>
                <w:color w:val="000000"/>
                <w:sz w:val="16"/>
                <w:szCs w:val="16"/>
              </w:rPr>
            </w:pPr>
            <w:r>
              <w:rPr>
                <w:rFonts w:ascii="Calibri" w:hAnsi="Calibri" w:cs="Calibri"/>
                <w:color w:val="000000"/>
                <w:sz w:val="16"/>
                <w:szCs w:val="16"/>
              </w:rPr>
              <w:t>1</w:t>
            </w:r>
            <w:r w:rsidR="00554B7B">
              <w:rPr>
                <w:rFonts w:ascii="Calibri" w:hAnsi="Calibri" w:cs="Calibri"/>
                <w:color w:val="000000"/>
                <w:sz w:val="16"/>
                <w:szCs w:val="16"/>
              </w:rPr>
              <w:t>.</w:t>
            </w:r>
            <w:r>
              <w:rPr>
                <w:rFonts w:ascii="Calibri" w:hAnsi="Calibri" w:cs="Calibri"/>
                <w:color w:val="000000"/>
                <w:sz w:val="16"/>
                <w:szCs w:val="16"/>
              </w:rPr>
              <w:t>851</w:t>
            </w:r>
            <w:r w:rsidR="00554B7B">
              <w:rPr>
                <w:rFonts w:ascii="Calibri" w:hAnsi="Calibri" w:cs="Calibri"/>
                <w:color w:val="000000"/>
                <w:sz w:val="16"/>
                <w:szCs w:val="16"/>
              </w:rPr>
              <w:t>.</w:t>
            </w:r>
            <w:r>
              <w:rPr>
                <w:rFonts w:ascii="Calibri" w:hAnsi="Calibri" w:cs="Calibri"/>
                <w:color w:val="000000"/>
                <w:sz w:val="16"/>
                <w:szCs w:val="16"/>
              </w:rPr>
              <w:t>650</w:t>
            </w:r>
          </w:p>
        </w:tc>
      </w:tr>
      <w:tr w:rsidR="00554B7B" w14:paraId="7B1CA47F" w14:textId="77777777" w:rsidTr="00554B7B">
        <w:trPr>
          <w:trHeight w:val="227"/>
        </w:trPr>
        <w:tc>
          <w:tcPr>
            <w:tcW w:w="1776" w:type="pct"/>
            <w:tcBorders>
              <w:top w:val="nil"/>
              <w:left w:val="nil"/>
              <w:bottom w:val="single" w:sz="8" w:space="0" w:color="auto"/>
              <w:right w:val="nil"/>
            </w:tcBorders>
            <w:shd w:val="clear" w:color="auto" w:fill="auto"/>
            <w:noWrap/>
            <w:vAlign w:val="center"/>
            <w:hideMark/>
          </w:tcPr>
          <w:p w14:paraId="7500A2CC" w14:textId="77777777" w:rsidR="00554B7B" w:rsidRDefault="00554B7B">
            <w:pPr>
              <w:rPr>
                <w:rFonts w:ascii="Calibri" w:hAnsi="Calibri" w:cs="Calibri"/>
                <w:color w:val="000000"/>
                <w:sz w:val="16"/>
                <w:szCs w:val="16"/>
              </w:rPr>
            </w:pPr>
            <w:r>
              <w:rPr>
                <w:rFonts w:ascii="Calibri" w:hAnsi="Calibri" w:cs="Calibri"/>
                <w:color w:val="000000"/>
                <w:sz w:val="16"/>
                <w:szCs w:val="16"/>
              </w:rPr>
              <w:t>Direito de Uso de Imóveis</w:t>
            </w:r>
          </w:p>
        </w:tc>
        <w:tc>
          <w:tcPr>
            <w:tcW w:w="1024" w:type="pct"/>
            <w:tcBorders>
              <w:top w:val="nil"/>
              <w:left w:val="nil"/>
              <w:bottom w:val="single" w:sz="8" w:space="0" w:color="auto"/>
              <w:right w:val="nil"/>
            </w:tcBorders>
            <w:shd w:val="clear" w:color="auto" w:fill="auto"/>
            <w:noWrap/>
            <w:vAlign w:val="center"/>
            <w:hideMark/>
          </w:tcPr>
          <w:p w14:paraId="34726A97" w14:textId="542845ED" w:rsidR="00554B7B" w:rsidRDefault="001A3B64">
            <w:pPr>
              <w:jc w:val="right"/>
              <w:rPr>
                <w:rFonts w:ascii="Calibri" w:hAnsi="Calibri" w:cs="Calibri"/>
                <w:color w:val="000000"/>
                <w:sz w:val="16"/>
                <w:szCs w:val="16"/>
              </w:rPr>
            </w:pPr>
            <w:r>
              <w:rPr>
                <w:rFonts w:ascii="Calibri" w:hAnsi="Calibri" w:cs="Calibri"/>
                <w:color w:val="000000"/>
                <w:sz w:val="16"/>
                <w:szCs w:val="16"/>
              </w:rPr>
              <w:t>54.506.527</w:t>
            </w:r>
          </w:p>
        </w:tc>
        <w:tc>
          <w:tcPr>
            <w:tcW w:w="1212" w:type="pct"/>
            <w:tcBorders>
              <w:top w:val="nil"/>
              <w:left w:val="nil"/>
              <w:bottom w:val="single" w:sz="8" w:space="0" w:color="auto"/>
              <w:right w:val="nil"/>
            </w:tcBorders>
            <w:shd w:val="clear" w:color="auto" w:fill="auto"/>
            <w:noWrap/>
            <w:vAlign w:val="center"/>
            <w:hideMark/>
          </w:tcPr>
          <w:p w14:paraId="246FEDB6" w14:textId="50C22C4D" w:rsidR="00554B7B" w:rsidRDefault="00554B7B">
            <w:pPr>
              <w:jc w:val="right"/>
              <w:rPr>
                <w:rFonts w:ascii="Calibri" w:hAnsi="Calibri" w:cs="Calibri"/>
                <w:color w:val="000000"/>
                <w:sz w:val="16"/>
                <w:szCs w:val="16"/>
              </w:rPr>
            </w:pPr>
            <w:r>
              <w:rPr>
                <w:rFonts w:ascii="Calibri" w:hAnsi="Calibri" w:cs="Calibri"/>
                <w:color w:val="000000"/>
                <w:sz w:val="16"/>
                <w:szCs w:val="16"/>
              </w:rPr>
              <w:t>(3</w:t>
            </w:r>
            <w:r w:rsidR="001A3B64">
              <w:rPr>
                <w:rFonts w:ascii="Calibri" w:hAnsi="Calibri" w:cs="Calibri"/>
                <w:color w:val="000000"/>
                <w:sz w:val="16"/>
                <w:szCs w:val="16"/>
              </w:rPr>
              <w:t>3</w:t>
            </w:r>
            <w:r>
              <w:rPr>
                <w:rFonts w:ascii="Calibri" w:hAnsi="Calibri" w:cs="Calibri"/>
                <w:color w:val="000000"/>
                <w:sz w:val="16"/>
                <w:szCs w:val="16"/>
              </w:rPr>
              <w:t>.</w:t>
            </w:r>
            <w:r w:rsidR="001A3B64">
              <w:rPr>
                <w:rFonts w:ascii="Calibri" w:hAnsi="Calibri" w:cs="Calibri"/>
                <w:color w:val="000000"/>
                <w:sz w:val="16"/>
                <w:szCs w:val="16"/>
              </w:rPr>
              <w:t>506</w:t>
            </w:r>
            <w:r>
              <w:rPr>
                <w:rFonts w:ascii="Calibri" w:hAnsi="Calibri" w:cs="Calibri"/>
                <w:color w:val="000000"/>
                <w:sz w:val="16"/>
                <w:szCs w:val="16"/>
              </w:rPr>
              <w:t>.5</w:t>
            </w:r>
            <w:r w:rsidR="001A3B64">
              <w:rPr>
                <w:rFonts w:ascii="Calibri" w:hAnsi="Calibri" w:cs="Calibri"/>
                <w:color w:val="000000"/>
                <w:sz w:val="16"/>
                <w:szCs w:val="16"/>
              </w:rPr>
              <w:t>2</w:t>
            </w:r>
            <w:r w:rsidR="00042BE5">
              <w:rPr>
                <w:rFonts w:ascii="Calibri" w:hAnsi="Calibri" w:cs="Calibri"/>
                <w:color w:val="000000"/>
                <w:sz w:val="16"/>
                <w:szCs w:val="16"/>
              </w:rPr>
              <w:t>6</w:t>
            </w:r>
            <w:r>
              <w:rPr>
                <w:rFonts w:ascii="Calibri" w:hAnsi="Calibri" w:cs="Calibri"/>
                <w:color w:val="000000"/>
                <w:sz w:val="16"/>
                <w:szCs w:val="16"/>
              </w:rPr>
              <w:t>)</w:t>
            </w:r>
          </w:p>
        </w:tc>
        <w:tc>
          <w:tcPr>
            <w:tcW w:w="988" w:type="pct"/>
            <w:tcBorders>
              <w:top w:val="nil"/>
              <w:left w:val="nil"/>
              <w:bottom w:val="single" w:sz="8" w:space="0" w:color="auto"/>
              <w:right w:val="nil"/>
            </w:tcBorders>
            <w:shd w:val="clear" w:color="auto" w:fill="auto"/>
            <w:vAlign w:val="center"/>
            <w:hideMark/>
          </w:tcPr>
          <w:p w14:paraId="74FF2433" w14:textId="3425D50F" w:rsidR="00554B7B" w:rsidRDefault="001A3B64">
            <w:pPr>
              <w:jc w:val="right"/>
              <w:rPr>
                <w:rFonts w:ascii="Calibri" w:hAnsi="Calibri" w:cs="Calibri"/>
                <w:color w:val="000000"/>
                <w:sz w:val="16"/>
                <w:szCs w:val="16"/>
              </w:rPr>
            </w:pPr>
            <w:r>
              <w:rPr>
                <w:rFonts w:ascii="Calibri" w:hAnsi="Calibri" w:cs="Calibri"/>
                <w:color w:val="000000"/>
                <w:sz w:val="16"/>
                <w:szCs w:val="16"/>
              </w:rPr>
              <w:t>21.000.00</w:t>
            </w:r>
            <w:r w:rsidR="00042BE5">
              <w:rPr>
                <w:rFonts w:ascii="Calibri" w:hAnsi="Calibri" w:cs="Calibri"/>
                <w:color w:val="000000"/>
                <w:sz w:val="16"/>
                <w:szCs w:val="16"/>
              </w:rPr>
              <w:t>1</w:t>
            </w:r>
          </w:p>
        </w:tc>
      </w:tr>
      <w:tr w:rsidR="00554B7B" w14:paraId="26C8E4F6" w14:textId="77777777" w:rsidTr="00554B7B">
        <w:trPr>
          <w:trHeight w:val="227"/>
        </w:trPr>
        <w:tc>
          <w:tcPr>
            <w:tcW w:w="1776" w:type="pct"/>
            <w:tcBorders>
              <w:top w:val="nil"/>
              <w:left w:val="nil"/>
              <w:bottom w:val="single" w:sz="8" w:space="0" w:color="auto"/>
              <w:right w:val="nil"/>
            </w:tcBorders>
            <w:shd w:val="clear" w:color="auto" w:fill="auto"/>
            <w:noWrap/>
            <w:vAlign w:val="center"/>
            <w:hideMark/>
          </w:tcPr>
          <w:p w14:paraId="14DF929A" w14:textId="77777777" w:rsidR="00554B7B" w:rsidRDefault="00554B7B">
            <w:pPr>
              <w:rPr>
                <w:rFonts w:ascii="Calibri" w:hAnsi="Calibri" w:cs="Calibri"/>
                <w:b/>
                <w:bCs/>
                <w:color w:val="000000"/>
                <w:sz w:val="16"/>
                <w:szCs w:val="16"/>
              </w:rPr>
            </w:pPr>
            <w:r>
              <w:rPr>
                <w:rFonts w:ascii="Calibri" w:hAnsi="Calibri" w:cs="Calibri"/>
                <w:b/>
                <w:bCs/>
                <w:color w:val="000000"/>
                <w:sz w:val="16"/>
                <w:szCs w:val="16"/>
              </w:rPr>
              <w:t>TOTAL DIREITO DE USO</w:t>
            </w:r>
          </w:p>
        </w:tc>
        <w:tc>
          <w:tcPr>
            <w:tcW w:w="1024" w:type="pct"/>
            <w:tcBorders>
              <w:top w:val="nil"/>
              <w:left w:val="nil"/>
              <w:bottom w:val="single" w:sz="8" w:space="0" w:color="auto"/>
              <w:right w:val="nil"/>
            </w:tcBorders>
            <w:shd w:val="clear" w:color="auto" w:fill="auto"/>
            <w:noWrap/>
            <w:vAlign w:val="center"/>
            <w:hideMark/>
          </w:tcPr>
          <w:p w14:paraId="6007D82A" w14:textId="6D481D2F" w:rsidR="00554B7B" w:rsidRDefault="001A3B64">
            <w:pPr>
              <w:jc w:val="right"/>
              <w:rPr>
                <w:rFonts w:ascii="Calibri" w:hAnsi="Calibri" w:cs="Calibri"/>
                <w:b/>
                <w:bCs/>
                <w:color w:val="000000"/>
                <w:sz w:val="16"/>
                <w:szCs w:val="16"/>
              </w:rPr>
            </w:pPr>
            <w:r>
              <w:rPr>
                <w:rFonts w:ascii="Calibri" w:hAnsi="Calibri" w:cs="Calibri"/>
                <w:b/>
                <w:bCs/>
                <w:color w:val="000000"/>
                <w:sz w:val="16"/>
                <w:szCs w:val="16"/>
              </w:rPr>
              <w:t>57.207.327</w:t>
            </w:r>
          </w:p>
        </w:tc>
        <w:tc>
          <w:tcPr>
            <w:tcW w:w="1212" w:type="pct"/>
            <w:tcBorders>
              <w:top w:val="nil"/>
              <w:left w:val="nil"/>
              <w:bottom w:val="single" w:sz="8" w:space="0" w:color="auto"/>
              <w:right w:val="nil"/>
            </w:tcBorders>
            <w:shd w:val="clear" w:color="auto" w:fill="auto"/>
            <w:noWrap/>
            <w:vAlign w:val="center"/>
            <w:hideMark/>
          </w:tcPr>
          <w:p w14:paraId="27FCA245" w14:textId="2BE65AFD" w:rsidR="00554B7B" w:rsidRDefault="00554B7B">
            <w:pPr>
              <w:jc w:val="right"/>
              <w:rPr>
                <w:rFonts w:ascii="Calibri" w:hAnsi="Calibri" w:cs="Calibri"/>
                <w:b/>
                <w:bCs/>
                <w:color w:val="000000"/>
                <w:sz w:val="16"/>
                <w:szCs w:val="16"/>
              </w:rPr>
            </w:pPr>
            <w:r>
              <w:rPr>
                <w:rFonts w:ascii="Calibri" w:hAnsi="Calibri" w:cs="Calibri"/>
                <w:b/>
                <w:bCs/>
                <w:color w:val="000000"/>
                <w:sz w:val="16"/>
                <w:szCs w:val="16"/>
              </w:rPr>
              <w:t>(3</w:t>
            </w:r>
            <w:r w:rsidR="001A3B64">
              <w:rPr>
                <w:rFonts w:ascii="Calibri" w:hAnsi="Calibri" w:cs="Calibri"/>
                <w:b/>
                <w:bCs/>
                <w:color w:val="000000"/>
                <w:sz w:val="16"/>
                <w:szCs w:val="16"/>
              </w:rPr>
              <w:t>4.355.67</w:t>
            </w:r>
            <w:r w:rsidR="00042BE5">
              <w:rPr>
                <w:rFonts w:ascii="Calibri" w:hAnsi="Calibri" w:cs="Calibri"/>
                <w:b/>
                <w:bCs/>
                <w:color w:val="000000"/>
                <w:sz w:val="16"/>
                <w:szCs w:val="16"/>
              </w:rPr>
              <w:t>6</w:t>
            </w:r>
            <w:r>
              <w:rPr>
                <w:rFonts w:ascii="Calibri" w:hAnsi="Calibri" w:cs="Calibri"/>
                <w:b/>
                <w:bCs/>
                <w:color w:val="000000"/>
                <w:sz w:val="16"/>
                <w:szCs w:val="16"/>
              </w:rPr>
              <w:t>)</w:t>
            </w:r>
          </w:p>
        </w:tc>
        <w:tc>
          <w:tcPr>
            <w:tcW w:w="988" w:type="pct"/>
            <w:tcBorders>
              <w:top w:val="nil"/>
              <w:left w:val="nil"/>
              <w:bottom w:val="single" w:sz="8" w:space="0" w:color="auto"/>
              <w:right w:val="nil"/>
            </w:tcBorders>
            <w:shd w:val="clear" w:color="auto" w:fill="auto"/>
            <w:vAlign w:val="center"/>
            <w:hideMark/>
          </w:tcPr>
          <w:p w14:paraId="21E9F0D5" w14:textId="795EAD9E" w:rsidR="00554B7B" w:rsidRDefault="001A3B64">
            <w:pPr>
              <w:jc w:val="right"/>
              <w:rPr>
                <w:rFonts w:ascii="Calibri" w:hAnsi="Calibri" w:cs="Calibri"/>
                <w:b/>
                <w:bCs/>
                <w:color w:val="000000"/>
                <w:sz w:val="16"/>
                <w:szCs w:val="16"/>
              </w:rPr>
            </w:pPr>
            <w:r>
              <w:rPr>
                <w:rFonts w:ascii="Calibri" w:hAnsi="Calibri" w:cs="Calibri"/>
                <w:b/>
                <w:bCs/>
                <w:color w:val="000000"/>
                <w:sz w:val="16"/>
                <w:szCs w:val="16"/>
              </w:rPr>
              <w:t>22.851.65</w:t>
            </w:r>
            <w:r w:rsidR="00042BE5">
              <w:rPr>
                <w:rFonts w:ascii="Calibri" w:hAnsi="Calibri" w:cs="Calibri"/>
                <w:b/>
                <w:bCs/>
                <w:color w:val="000000"/>
                <w:sz w:val="16"/>
                <w:szCs w:val="16"/>
              </w:rPr>
              <w:t>1</w:t>
            </w:r>
          </w:p>
        </w:tc>
      </w:tr>
    </w:tbl>
    <w:p w14:paraId="73986DD8" w14:textId="4DAA597F" w:rsidR="00554B7B" w:rsidRPr="00554B7B" w:rsidRDefault="00F77F85" w:rsidP="00554B7B">
      <w:pPr>
        <w:spacing w:before="240" w:after="120"/>
        <w:ind w:right="57"/>
        <w:jc w:val="both"/>
        <w:rPr>
          <w:rFonts w:ascii="Calibri" w:hAnsi="Calibri" w:cs="Calibri"/>
          <w:sz w:val="22"/>
          <w:szCs w:val="22"/>
        </w:rPr>
      </w:pPr>
      <w:r w:rsidRPr="002E2B5B">
        <w:rPr>
          <w:rFonts w:ascii="Calibri" w:hAnsi="Calibri" w:cs="Calibri"/>
          <w:sz w:val="22"/>
          <w:szCs w:val="22"/>
        </w:rPr>
        <w:t>As o</w:t>
      </w:r>
      <w:r w:rsidR="009A20A2" w:rsidRPr="002E2B5B">
        <w:rPr>
          <w:rFonts w:ascii="Calibri" w:hAnsi="Calibri" w:cs="Calibri"/>
          <w:sz w:val="22"/>
          <w:szCs w:val="22"/>
        </w:rPr>
        <w:t xml:space="preserve">brigações contratuais a pagar referente a contratos de locação de veículos e imóveis classificados como contratos de arrendamentos como base na vigência do contrato, em conformidade com o </w:t>
      </w:r>
      <w:r w:rsidR="00633924" w:rsidRPr="002E2B5B">
        <w:rPr>
          <w:rFonts w:ascii="Calibri" w:hAnsi="Calibri" w:cs="Calibri"/>
          <w:sz w:val="22"/>
          <w:szCs w:val="22"/>
        </w:rPr>
        <w:t>C</w:t>
      </w:r>
      <w:r w:rsidR="009A20A2" w:rsidRPr="002E2B5B">
        <w:rPr>
          <w:rFonts w:ascii="Calibri" w:hAnsi="Calibri" w:cs="Calibri"/>
          <w:sz w:val="22"/>
          <w:szCs w:val="22"/>
        </w:rPr>
        <w:t>PC 06 (R2)</w:t>
      </w:r>
      <w:r w:rsidR="00633924" w:rsidRPr="002E2B5B">
        <w:rPr>
          <w:rFonts w:ascii="Calibri" w:hAnsi="Calibri" w:cs="Calibri"/>
          <w:sz w:val="22"/>
          <w:szCs w:val="22"/>
        </w:rPr>
        <w:t xml:space="preserve"> apresentam a seguinte movimentação </w:t>
      </w:r>
      <w:r w:rsidR="000155FA">
        <w:rPr>
          <w:rFonts w:ascii="Calibri" w:hAnsi="Calibri" w:cs="Calibri"/>
          <w:sz w:val="22"/>
          <w:szCs w:val="22"/>
        </w:rPr>
        <w:t xml:space="preserve">até o </w:t>
      </w:r>
      <w:r w:rsidR="001A3B64">
        <w:rPr>
          <w:rFonts w:ascii="Calibri" w:hAnsi="Calibri" w:cs="Calibri"/>
          <w:sz w:val="22"/>
          <w:szCs w:val="22"/>
        </w:rPr>
        <w:t>terceir</w:t>
      </w:r>
      <w:r w:rsidR="000155FA">
        <w:rPr>
          <w:rFonts w:ascii="Calibri" w:hAnsi="Calibri" w:cs="Calibri"/>
          <w:sz w:val="22"/>
          <w:szCs w:val="22"/>
        </w:rPr>
        <w:t>o trimestre</w:t>
      </w:r>
      <w:r w:rsidR="0025648E">
        <w:rPr>
          <w:rFonts w:ascii="Calibri" w:hAnsi="Calibri" w:cs="Calibri"/>
          <w:sz w:val="22"/>
          <w:szCs w:val="22"/>
        </w:rPr>
        <w:t xml:space="preserve"> de </w:t>
      </w:r>
      <w:r w:rsidR="00633924" w:rsidRPr="002E2B5B">
        <w:rPr>
          <w:rFonts w:ascii="Calibri" w:hAnsi="Calibri" w:cs="Calibri"/>
          <w:sz w:val="22"/>
          <w:szCs w:val="22"/>
        </w:rPr>
        <w:t>20</w:t>
      </w:r>
      <w:r w:rsidR="00DF33EF" w:rsidRPr="002E2B5B">
        <w:rPr>
          <w:rFonts w:ascii="Calibri" w:hAnsi="Calibri" w:cs="Calibri"/>
          <w:sz w:val="22"/>
          <w:szCs w:val="22"/>
        </w:rPr>
        <w:t>2</w:t>
      </w:r>
      <w:r w:rsidR="0025648E">
        <w:rPr>
          <w:rFonts w:ascii="Calibri" w:hAnsi="Calibri" w:cs="Calibri"/>
          <w:sz w:val="22"/>
          <w:szCs w:val="22"/>
        </w:rPr>
        <w:t>1</w:t>
      </w:r>
      <w:r w:rsidR="00633924" w:rsidRPr="002E2B5B">
        <w:rPr>
          <w:rFonts w:ascii="Calibri" w:hAnsi="Calibri" w:cs="Calibri"/>
          <w:sz w:val="22"/>
          <w:szCs w:val="22"/>
        </w:rPr>
        <w:t>:</w:t>
      </w:r>
    </w:p>
    <w:tbl>
      <w:tblPr>
        <w:tblW w:w="5000" w:type="pct"/>
        <w:tblCellMar>
          <w:left w:w="70" w:type="dxa"/>
          <w:right w:w="70" w:type="dxa"/>
        </w:tblCellMar>
        <w:tblLook w:val="04A0" w:firstRow="1" w:lastRow="0" w:firstColumn="1" w:lastColumn="0" w:noHBand="0" w:noVBand="1"/>
      </w:tblPr>
      <w:tblGrid>
        <w:gridCol w:w="2973"/>
        <w:gridCol w:w="1531"/>
        <w:gridCol w:w="1822"/>
        <w:gridCol w:w="1477"/>
        <w:gridCol w:w="1333"/>
        <w:gridCol w:w="1331"/>
      </w:tblGrid>
      <w:tr w:rsidR="00554B7B" w14:paraId="3218C907" w14:textId="77777777" w:rsidTr="001A3B64">
        <w:trPr>
          <w:trHeight w:hRule="exact" w:val="542"/>
        </w:trPr>
        <w:tc>
          <w:tcPr>
            <w:tcW w:w="1308" w:type="pct"/>
            <w:tcBorders>
              <w:top w:val="nil"/>
              <w:left w:val="nil"/>
              <w:bottom w:val="single" w:sz="8" w:space="0" w:color="auto"/>
              <w:right w:val="nil"/>
            </w:tcBorders>
            <w:shd w:val="clear" w:color="auto" w:fill="auto"/>
            <w:noWrap/>
            <w:vAlign w:val="center"/>
            <w:hideMark/>
          </w:tcPr>
          <w:p w14:paraId="17F6D7BB" w14:textId="77777777" w:rsidR="00554B7B" w:rsidRDefault="00554B7B">
            <w:pPr>
              <w:rPr>
                <w:rFonts w:ascii="Calibri" w:hAnsi="Calibri" w:cs="Calibri"/>
                <w:b/>
                <w:bCs/>
                <w:color w:val="000000"/>
                <w:sz w:val="16"/>
                <w:szCs w:val="16"/>
              </w:rPr>
            </w:pPr>
            <w:r>
              <w:rPr>
                <w:rFonts w:ascii="Calibri" w:hAnsi="Calibri" w:cs="Calibri"/>
                <w:b/>
                <w:bCs/>
                <w:color w:val="000000"/>
                <w:sz w:val="16"/>
                <w:szCs w:val="16"/>
              </w:rPr>
              <w:t>PASSIVO DE ARRENDAMENTO</w:t>
            </w:r>
          </w:p>
        </w:tc>
        <w:tc>
          <w:tcPr>
            <w:tcW w:w="754" w:type="pct"/>
            <w:tcBorders>
              <w:top w:val="nil"/>
              <w:left w:val="nil"/>
              <w:bottom w:val="single" w:sz="8" w:space="0" w:color="auto"/>
              <w:right w:val="nil"/>
            </w:tcBorders>
            <w:shd w:val="clear" w:color="auto" w:fill="auto"/>
            <w:vAlign w:val="center"/>
            <w:hideMark/>
          </w:tcPr>
          <w:p w14:paraId="73BECEDD" w14:textId="77777777" w:rsidR="00554B7B" w:rsidRDefault="00554B7B">
            <w:pPr>
              <w:jc w:val="center"/>
              <w:rPr>
                <w:rFonts w:ascii="Calibri" w:hAnsi="Calibri" w:cs="Calibri"/>
                <w:b/>
                <w:bCs/>
                <w:color w:val="000000"/>
                <w:sz w:val="16"/>
                <w:szCs w:val="16"/>
              </w:rPr>
            </w:pPr>
            <w:r>
              <w:rPr>
                <w:rFonts w:ascii="Calibri" w:hAnsi="Calibri" w:cs="Calibri"/>
                <w:b/>
                <w:bCs/>
                <w:color w:val="000000"/>
                <w:sz w:val="16"/>
                <w:szCs w:val="16"/>
              </w:rPr>
              <w:t>SALDO LÍQUIDO EM 31/12/2020</w:t>
            </w:r>
          </w:p>
        </w:tc>
        <w:tc>
          <w:tcPr>
            <w:tcW w:w="893" w:type="pct"/>
            <w:tcBorders>
              <w:top w:val="nil"/>
              <w:left w:val="nil"/>
              <w:bottom w:val="single" w:sz="8" w:space="0" w:color="auto"/>
              <w:right w:val="nil"/>
            </w:tcBorders>
            <w:shd w:val="clear" w:color="auto" w:fill="auto"/>
            <w:vAlign w:val="center"/>
            <w:hideMark/>
          </w:tcPr>
          <w:p w14:paraId="7A12DB62" w14:textId="77777777" w:rsidR="00554B7B" w:rsidRDefault="00554B7B">
            <w:pPr>
              <w:jc w:val="center"/>
              <w:rPr>
                <w:rFonts w:ascii="Calibri" w:hAnsi="Calibri" w:cs="Calibri"/>
                <w:b/>
                <w:bCs/>
                <w:color w:val="000000"/>
                <w:sz w:val="16"/>
                <w:szCs w:val="16"/>
              </w:rPr>
            </w:pPr>
            <w:r>
              <w:rPr>
                <w:rFonts w:ascii="Calibri" w:hAnsi="Calibri" w:cs="Calibri"/>
                <w:b/>
                <w:bCs/>
                <w:color w:val="000000"/>
                <w:sz w:val="16"/>
                <w:szCs w:val="16"/>
              </w:rPr>
              <w:t>REVISÃO CONTRATUAL/ REAJUSTES</w:t>
            </w:r>
          </w:p>
        </w:tc>
        <w:tc>
          <w:tcPr>
            <w:tcW w:w="728" w:type="pct"/>
            <w:tcBorders>
              <w:top w:val="nil"/>
              <w:left w:val="nil"/>
              <w:bottom w:val="single" w:sz="8" w:space="0" w:color="auto"/>
              <w:right w:val="nil"/>
            </w:tcBorders>
            <w:shd w:val="clear" w:color="auto" w:fill="auto"/>
            <w:vAlign w:val="center"/>
            <w:hideMark/>
          </w:tcPr>
          <w:p w14:paraId="40773C68" w14:textId="77777777" w:rsidR="00554B7B" w:rsidRDefault="00554B7B">
            <w:pPr>
              <w:jc w:val="center"/>
              <w:rPr>
                <w:rFonts w:ascii="Calibri" w:hAnsi="Calibri" w:cs="Calibri"/>
                <w:b/>
                <w:bCs/>
                <w:color w:val="000000"/>
                <w:sz w:val="16"/>
                <w:szCs w:val="16"/>
              </w:rPr>
            </w:pPr>
            <w:r>
              <w:rPr>
                <w:rFonts w:ascii="Calibri" w:hAnsi="Calibri" w:cs="Calibri"/>
                <w:b/>
                <w:bCs/>
                <w:color w:val="000000"/>
                <w:sz w:val="16"/>
                <w:szCs w:val="16"/>
              </w:rPr>
              <w:t xml:space="preserve">DESCONTOS OBTIDOS </w:t>
            </w:r>
          </w:p>
        </w:tc>
        <w:tc>
          <w:tcPr>
            <w:tcW w:w="659" w:type="pct"/>
            <w:tcBorders>
              <w:top w:val="nil"/>
              <w:left w:val="nil"/>
              <w:bottom w:val="single" w:sz="8" w:space="0" w:color="auto"/>
              <w:right w:val="nil"/>
            </w:tcBorders>
            <w:shd w:val="clear" w:color="auto" w:fill="auto"/>
            <w:vAlign w:val="center"/>
            <w:hideMark/>
          </w:tcPr>
          <w:p w14:paraId="39553AB9" w14:textId="77777777" w:rsidR="00554B7B" w:rsidRDefault="00554B7B">
            <w:pPr>
              <w:jc w:val="center"/>
              <w:rPr>
                <w:rFonts w:ascii="Calibri" w:hAnsi="Calibri" w:cs="Calibri"/>
                <w:b/>
                <w:bCs/>
                <w:color w:val="000000"/>
                <w:sz w:val="16"/>
                <w:szCs w:val="16"/>
              </w:rPr>
            </w:pPr>
            <w:r>
              <w:rPr>
                <w:rFonts w:ascii="Calibri" w:hAnsi="Calibri" w:cs="Calibri"/>
                <w:b/>
                <w:bCs/>
                <w:color w:val="000000"/>
                <w:sz w:val="16"/>
                <w:szCs w:val="16"/>
              </w:rPr>
              <w:t>PAGAMENTOS EFETUADOS</w:t>
            </w:r>
          </w:p>
        </w:tc>
        <w:tc>
          <w:tcPr>
            <w:tcW w:w="659" w:type="pct"/>
            <w:tcBorders>
              <w:top w:val="nil"/>
              <w:left w:val="nil"/>
              <w:bottom w:val="single" w:sz="8" w:space="0" w:color="auto"/>
              <w:right w:val="nil"/>
            </w:tcBorders>
            <w:shd w:val="clear" w:color="auto" w:fill="auto"/>
            <w:vAlign w:val="center"/>
            <w:hideMark/>
          </w:tcPr>
          <w:p w14:paraId="15BA95FD" w14:textId="544B46EE" w:rsidR="00554B7B" w:rsidRDefault="00554B7B">
            <w:pPr>
              <w:jc w:val="center"/>
              <w:rPr>
                <w:rFonts w:ascii="Calibri" w:hAnsi="Calibri" w:cs="Calibri"/>
                <w:b/>
                <w:bCs/>
                <w:color w:val="000000"/>
                <w:sz w:val="16"/>
                <w:szCs w:val="16"/>
              </w:rPr>
            </w:pPr>
            <w:r>
              <w:rPr>
                <w:rFonts w:ascii="Calibri" w:hAnsi="Calibri" w:cs="Calibri"/>
                <w:b/>
                <w:bCs/>
                <w:color w:val="000000"/>
                <w:sz w:val="16"/>
                <w:szCs w:val="16"/>
              </w:rPr>
              <w:t>SALDO LÍQUIDO EM 30/0</w:t>
            </w:r>
            <w:r w:rsidR="001A3B64">
              <w:rPr>
                <w:rFonts w:ascii="Calibri" w:hAnsi="Calibri" w:cs="Calibri"/>
                <w:b/>
                <w:bCs/>
                <w:color w:val="000000"/>
                <w:sz w:val="16"/>
                <w:szCs w:val="16"/>
              </w:rPr>
              <w:t>9</w:t>
            </w:r>
            <w:r>
              <w:rPr>
                <w:rFonts w:ascii="Calibri" w:hAnsi="Calibri" w:cs="Calibri"/>
                <w:b/>
                <w:bCs/>
                <w:color w:val="000000"/>
                <w:sz w:val="16"/>
                <w:szCs w:val="16"/>
              </w:rPr>
              <w:t>/2021</w:t>
            </w:r>
          </w:p>
        </w:tc>
      </w:tr>
      <w:tr w:rsidR="00554B7B" w14:paraId="4E8DFAD9" w14:textId="77777777" w:rsidTr="00554B7B">
        <w:trPr>
          <w:trHeight w:hRule="exact" w:val="227"/>
        </w:trPr>
        <w:tc>
          <w:tcPr>
            <w:tcW w:w="1308" w:type="pct"/>
            <w:tcBorders>
              <w:top w:val="nil"/>
              <w:left w:val="nil"/>
              <w:bottom w:val="nil"/>
              <w:right w:val="nil"/>
            </w:tcBorders>
            <w:shd w:val="clear" w:color="auto" w:fill="auto"/>
            <w:noWrap/>
            <w:vAlign w:val="center"/>
            <w:hideMark/>
          </w:tcPr>
          <w:p w14:paraId="7BE4DB45" w14:textId="77777777" w:rsidR="00554B7B" w:rsidRDefault="00554B7B">
            <w:pPr>
              <w:rPr>
                <w:rFonts w:ascii="Calibri" w:hAnsi="Calibri" w:cs="Calibri"/>
                <w:color w:val="000000"/>
                <w:sz w:val="16"/>
                <w:szCs w:val="16"/>
              </w:rPr>
            </w:pPr>
            <w:r>
              <w:rPr>
                <w:rFonts w:ascii="Calibri" w:hAnsi="Calibri" w:cs="Calibri"/>
                <w:color w:val="000000"/>
                <w:sz w:val="16"/>
                <w:szCs w:val="16"/>
              </w:rPr>
              <w:t xml:space="preserve">Passivo de Arrendamento de Veículos </w:t>
            </w:r>
          </w:p>
        </w:tc>
        <w:tc>
          <w:tcPr>
            <w:tcW w:w="754" w:type="pct"/>
            <w:tcBorders>
              <w:top w:val="nil"/>
              <w:left w:val="nil"/>
              <w:bottom w:val="nil"/>
              <w:right w:val="nil"/>
            </w:tcBorders>
            <w:shd w:val="clear" w:color="auto" w:fill="auto"/>
            <w:noWrap/>
            <w:vAlign w:val="center"/>
            <w:hideMark/>
          </w:tcPr>
          <w:p w14:paraId="15BCDC15" w14:textId="77777777" w:rsidR="00554B7B" w:rsidRDefault="00554B7B">
            <w:pPr>
              <w:jc w:val="right"/>
              <w:rPr>
                <w:rFonts w:ascii="Calibri" w:hAnsi="Calibri" w:cs="Calibri"/>
                <w:color w:val="000000"/>
                <w:sz w:val="16"/>
                <w:szCs w:val="16"/>
              </w:rPr>
            </w:pPr>
            <w:r>
              <w:rPr>
                <w:rFonts w:ascii="Calibri" w:hAnsi="Calibri" w:cs="Calibri"/>
                <w:color w:val="000000"/>
                <w:sz w:val="16"/>
                <w:szCs w:val="16"/>
              </w:rPr>
              <w:t>2.592.700</w:t>
            </w:r>
          </w:p>
        </w:tc>
        <w:tc>
          <w:tcPr>
            <w:tcW w:w="893" w:type="pct"/>
            <w:tcBorders>
              <w:top w:val="nil"/>
              <w:left w:val="nil"/>
              <w:bottom w:val="nil"/>
              <w:right w:val="nil"/>
            </w:tcBorders>
            <w:shd w:val="clear" w:color="auto" w:fill="auto"/>
            <w:vAlign w:val="center"/>
            <w:hideMark/>
          </w:tcPr>
          <w:p w14:paraId="0953C868" w14:textId="06B0D5CF" w:rsidR="00554B7B" w:rsidRDefault="00554B7B" w:rsidP="001A3B64">
            <w:pPr>
              <w:jc w:val="right"/>
              <w:rPr>
                <w:rFonts w:ascii="Calibri" w:hAnsi="Calibri" w:cs="Calibri"/>
                <w:color w:val="000000"/>
                <w:sz w:val="16"/>
                <w:szCs w:val="16"/>
              </w:rPr>
            </w:pPr>
            <w:r>
              <w:rPr>
                <w:rFonts w:ascii="Calibri" w:hAnsi="Calibri" w:cs="Calibri"/>
                <w:color w:val="000000"/>
                <w:sz w:val="16"/>
                <w:szCs w:val="16"/>
              </w:rPr>
              <w:t>(362.200)</w:t>
            </w:r>
          </w:p>
        </w:tc>
        <w:tc>
          <w:tcPr>
            <w:tcW w:w="728" w:type="pct"/>
            <w:tcBorders>
              <w:top w:val="nil"/>
              <w:left w:val="nil"/>
              <w:bottom w:val="nil"/>
              <w:right w:val="nil"/>
            </w:tcBorders>
            <w:shd w:val="clear" w:color="auto" w:fill="auto"/>
            <w:noWrap/>
            <w:vAlign w:val="center"/>
            <w:hideMark/>
          </w:tcPr>
          <w:p w14:paraId="6E3BE8CA" w14:textId="3E4D0E89" w:rsidR="00554B7B" w:rsidRDefault="00554B7B" w:rsidP="00554B7B">
            <w:pPr>
              <w:jc w:val="center"/>
              <w:rPr>
                <w:rFonts w:ascii="Calibri" w:hAnsi="Calibri" w:cs="Calibri"/>
                <w:color w:val="000000"/>
                <w:sz w:val="16"/>
                <w:szCs w:val="16"/>
              </w:rPr>
            </w:pPr>
            <w:r>
              <w:rPr>
                <w:rFonts w:ascii="Calibri" w:hAnsi="Calibri" w:cs="Calibri"/>
                <w:color w:val="000000"/>
                <w:sz w:val="16"/>
                <w:szCs w:val="16"/>
              </w:rPr>
              <w:t>(173)</w:t>
            </w:r>
          </w:p>
        </w:tc>
        <w:tc>
          <w:tcPr>
            <w:tcW w:w="659" w:type="pct"/>
            <w:tcBorders>
              <w:top w:val="nil"/>
              <w:left w:val="nil"/>
              <w:bottom w:val="nil"/>
              <w:right w:val="nil"/>
            </w:tcBorders>
            <w:shd w:val="clear" w:color="auto" w:fill="auto"/>
            <w:noWrap/>
            <w:vAlign w:val="center"/>
            <w:hideMark/>
          </w:tcPr>
          <w:p w14:paraId="0B5E7144" w14:textId="723716E4" w:rsidR="00554B7B" w:rsidRDefault="00554B7B">
            <w:pPr>
              <w:jc w:val="right"/>
              <w:rPr>
                <w:rFonts w:ascii="Calibri" w:hAnsi="Calibri" w:cs="Calibri"/>
                <w:color w:val="000000"/>
                <w:sz w:val="16"/>
                <w:szCs w:val="16"/>
              </w:rPr>
            </w:pPr>
            <w:r>
              <w:rPr>
                <w:rFonts w:ascii="Calibri" w:hAnsi="Calibri" w:cs="Calibri"/>
                <w:color w:val="000000"/>
                <w:sz w:val="16"/>
                <w:szCs w:val="16"/>
              </w:rPr>
              <w:t>(</w:t>
            </w:r>
            <w:r w:rsidR="001A3B64">
              <w:rPr>
                <w:rFonts w:ascii="Calibri" w:hAnsi="Calibri" w:cs="Calibri"/>
                <w:color w:val="000000"/>
                <w:sz w:val="16"/>
                <w:szCs w:val="16"/>
              </w:rPr>
              <w:t>378.677</w:t>
            </w:r>
            <w:r>
              <w:rPr>
                <w:rFonts w:ascii="Calibri" w:hAnsi="Calibri" w:cs="Calibri"/>
                <w:color w:val="000000"/>
                <w:sz w:val="16"/>
                <w:szCs w:val="16"/>
              </w:rPr>
              <w:t>)</w:t>
            </w:r>
          </w:p>
        </w:tc>
        <w:tc>
          <w:tcPr>
            <w:tcW w:w="659" w:type="pct"/>
            <w:tcBorders>
              <w:top w:val="nil"/>
              <w:left w:val="nil"/>
              <w:bottom w:val="nil"/>
              <w:right w:val="nil"/>
            </w:tcBorders>
            <w:shd w:val="clear" w:color="auto" w:fill="auto"/>
            <w:noWrap/>
            <w:vAlign w:val="center"/>
            <w:hideMark/>
          </w:tcPr>
          <w:p w14:paraId="412BF620" w14:textId="71F643CA" w:rsidR="00554B7B" w:rsidRDefault="00537BFD">
            <w:pPr>
              <w:jc w:val="right"/>
              <w:rPr>
                <w:rFonts w:ascii="Calibri" w:hAnsi="Calibri" w:cs="Calibri"/>
                <w:color w:val="000000"/>
                <w:sz w:val="16"/>
                <w:szCs w:val="16"/>
              </w:rPr>
            </w:pPr>
            <w:r>
              <w:rPr>
                <w:rFonts w:ascii="Calibri" w:hAnsi="Calibri" w:cs="Calibri"/>
                <w:color w:val="000000"/>
                <w:sz w:val="16"/>
                <w:szCs w:val="16"/>
              </w:rPr>
              <w:t>1.851.650</w:t>
            </w:r>
          </w:p>
        </w:tc>
      </w:tr>
      <w:tr w:rsidR="00554B7B" w14:paraId="311D8129" w14:textId="77777777" w:rsidTr="00554B7B">
        <w:trPr>
          <w:trHeight w:hRule="exact" w:val="227"/>
        </w:trPr>
        <w:tc>
          <w:tcPr>
            <w:tcW w:w="1308" w:type="pct"/>
            <w:tcBorders>
              <w:top w:val="nil"/>
              <w:left w:val="nil"/>
              <w:bottom w:val="single" w:sz="8" w:space="0" w:color="auto"/>
              <w:right w:val="nil"/>
            </w:tcBorders>
            <w:shd w:val="clear" w:color="auto" w:fill="auto"/>
            <w:noWrap/>
            <w:vAlign w:val="center"/>
            <w:hideMark/>
          </w:tcPr>
          <w:p w14:paraId="37DD2CC7" w14:textId="77777777" w:rsidR="00554B7B" w:rsidRDefault="00554B7B">
            <w:pPr>
              <w:rPr>
                <w:rFonts w:ascii="Calibri" w:hAnsi="Calibri" w:cs="Calibri"/>
                <w:color w:val="000000"/>
                <w:sz w:val="16"/>
                <w:szCs w:val="16"/>
              </w:rPr>
            </w:pPr>
            <w:r>
              <w:rPr>
                <w:rFonts w:ascii="Calibri" w:hAnsi="Calibri" w:cs="Calibri"/>
                <w:color w:val="000000"/>
                <w:sz w:val="16"/>
                <w:szCs w:val="16"/>
              </w:rPr>
              <w:t>Passivo de Arrendamento de Imóveis</w:t>
            </w:r>
          </w:p>
        </w:tc>
        <w:tc>
          <w:tcPr>
            <w:tcW w:w="754" w:type="pct"/>
            <w:tcBorders>
              <w:top w:val="nil"/>
              <w:left w:val="nil"/>
              <w:bottom w:val="single" w:sz="8" w:space="0" w:color="auto"/>
              <w:right w:val="nil"/>
            </w:tcBorders>
            <w:shd w:val="clear" w:color="auto" w:fill="auto"/>
            <w:noWrap/>
            <w:vAlign w:val="center"/>
            <w:hideMark/>
          </w:tcPr>
          <w:p w14:paraId="3B0B8EE2" w14:textId="77777777" w:rsidR="00554B7B" w:rsidRDefault="00554B7B">
            <w:pPr>
              <w:jc w:val="right"/>
              <w:rPr>
                <w:rFonts w:ascii="Calibri" w:hAnsi="Calibri" w:cs="Calibri"/>
                <w:color w:val="000000"/>
                <w:sz w:val="16"/>
                <w:szCs w:val="16"/>
              </w:rPr>
            </w:pPr>
            <w:r>
              <w:rPr>
                <w:rFonts w:ascii="Calibri" w:hAnsi="Calibri" w:cs="Calibri"/>
                <w:color w:val="000000"/>
                <w:sz w:val="16"/>
                <w:szCs w:val="16"/>
              </w:rPr>
              <w:t>3.451.954</w:t>
            </w:r>
          </w:p>
        </w:tc>
        <w:tc>
          <w:tcPr>
            <w:tcW w:w="893" w:type="pct"/>
            <w:tcBorders>
              <w:top w:val="nil"/>
              <w:left w:val="nil"/>
              <w:bottom w:val="single" w:sz="8" w:space="0" w:color="auto"/>
              <w:right w:val="nil"/>
            </w:tcBorders>
            <w:shd w:val="clear" w:color="auto" w:fill="auto"/>
            <w:vAlign w:val="center"/>
            <w:hideMark/>
          </w:tcPr>
          <w:p w14:paraId="45753D9B" w14:textId="0667F53D" w:rsidR="00554B7B" w:rsidRDefault="001A3B64" w:rsidP="001A3B64">
            <w:pPr>
              <w:jc w:val="right"/>
              <w:rPr>
                <w:rFonts w:ascii="Calibri" w:hAnsi="Calibri" w:cs="Calibri"/>
                <w:color w:val="000000"/>
                <w:sz w:val="16"/>
                <w:szCs w:val="16"/>
              </w:rPr>
            </w:pPr>
            <w:r>
              <w:rPr>
                <w:rFonts w:ascii="Calibri" w:hAnsi="Calibri" w:cs="Calibri"/>
                <w:color w:val="000000"/>
                <w:sz w:val="16"/>
                <w:szCs w:val="16"/>
              </w:rPr>
              <w:t>21.431.494</w:t>
            </w:r>
          </w:p>
        </w:tc>
        <w:tc>
          <w:tcPr>
            <w:tcW w:w="728" w:type="pct"/>
            <w:tcBorders>
              <w:top w:val="nil"/>
              <w:left w:val="nil"/>
              <w:bottom w:val="single" w:sz="8" w:space="0" w:color="auto"/>
              <w:right w:val="nil"/>
            </w:tcBorders>
            <w:shd w:val="clear" w:color="auto" w:fill="auto"/>
            <w:noWrap/>
            <w:vAlign w:val="center"/>
            <w:hideMark/>
          </w:tcPr>
          <w:p w14:paraId="3DC9446B" w14:textId="77777777" w:rsidR="00554B7B" w:rsidRDefault="00554B7B" w:rsidP="00554B7B">
            <w:pPr>
              <w:jc w:val="center"/>
              <w:rPr>
                <w:rFonts w:ascii="Calibri" w:hAnsi="Calibri" w:cs="Calibri"/>
                <w:color w:val="000000"/>
                <w:sz w:val="16"/>
                <w:szCs w:val="16"/>
              </w:rPr>
            </w:pPr>
            <w:r>
              <w:rPr>
                <w:rFonts w:ascii="Calibri" w:hAnsi="Calibri" w:cs="Calibri"/>
                <w:color w:val="000000"/>
                <w:sz w:val="16"/>
                <w:szCs w:val="16"/>
              </w:rPr>
              <w:t>0</w:t>
            </w:r>
          </w:p>
        </w:tc>
        <w:tc>
          <w:tcPr>
            <w:tcW w:w="659" w:type="pct"/>
            <w:tcBorders>
              <w:top w:val="nil"/>
              <w:left w:val="nil"/>
              <w:bottom w:val="single" w:sz="8" w:space="0" w:color="auto"/>
              <w:right w:val="nil"/>
            </w:tcBorders>
            <w:shd w:val="clear" w:color="auto" w:fill="auto"/>
            <w:noWrap/>
            <w:vAlign w:val="center"/>
            <w:hideMark/>
          </w:tcPr>
          <w:p w14:paraId="6D527FEE" w14:textId="087F6142" w:rsidR="00554B7B" w:rsidRDefault="00554B7B">
            <w:pPr>
              <w:jc w:val="right"/>
              <w:rPr>
                <w:rFonts w:ascii="Calibri" w:hAnsi="Calibri" w:cs="Calibri"/>
                <w:color w:val="000000"/>
                <w:sz w:val="16"/>
                <w:szCs w:val="16"/>
              </w:rPr>
            </w:pPr>
            <w:r>
              <w:rPr>
                <w:rFonts w:ascii="Calibri" w:hAnsi="Calibri" w:cs="Calibri"/>
                <w:color w:val="000000"/>
                <w:sz w:val="16"/>
                <w:szCs w:val="16"/>
              </w:rPr>
              <w:t>(</w:t>
            </w:r>
            <w:r w:rsidR="001A3B64">
              <w:rPr>
                <w:rFonts w:ascii="Calibri" w:hAnsi="Calibri" w:cs="Calibri"/>
                <w:color w:val="000000"/>
                <w:sz w:val="16"/>
                <w:szCs w:val="16"/>
              </w:rPr>
              <w:t>3.883.4</w:t>
            </w:r>
            <w:r w:rsidR="005D2F2E">
              <w:rPr>
                <w:rFonts w:ascii="Calibri" w:hAnsi="Calibri" w:cs="Calibri"/>
                <w:color w:val="000000"/>
                <w:sz w:val="16"/>
                <w:szCs w:val="16"/>
              </w:rPr>
              <w:t>48</w:t>
            </w:r>
            <w:r>
              <w:rPr>
                <w:rFonts w:ascii="Calibri" w:hAnsi="Calibri" w:cs="Calibri"/>
                <w:color w:val="000000"/>
                <w:sz w:val="16"/>
                <w:szCs w:val="16"/>
              </w:rPr>
              <w:t>)</w:t>
            </w:r>
          </w:p>
        </w:tc>
        <w:tc>
          <w:tcPr>
            <w:tcW w:w="659" w:type="pct"/>
            <w:tcBorders>
              <w:top w:val="nil"/>
              <w:left w:val="nil"/>
              <w:bottom w:val="single" w:sz="8" w:space="0" w:color="auto"/>
              <w:right w:val="nil"/>
            </w:tcBorders>
            <w:shd w:val="clear" w:color="auto" w:fill="auto"/>
            <w:noWrap/>
            <w:vAlign w:val="center"/>
            <w:hideMark/>
          </w:tcPr>
          <w:p w14:paraId="1102BD1B" w14:textId="0A139F3A" w:rsidR="00554B7B" w:rsidRDefault="00537BFD">
            <w:pPr>
              <w:jc w:val="right"/>
              <w:rPr>
                <w:rFonts w:ascii="Calibri" w:hAnsi="Calibri" w:cs="Calibri"/>
                <w:color w:val="000000"/>
                <w:sz w:val="16"/>
                <w:szCs w:val="16"/>
              </w:rPr>
            </w:pPr>
            <w:r>
              <w:rPr>
                <w:rFonts w:ascii="Calibri" w:hAnsi="Calibri" w:cs="Calibri"/>
                <w:color w:val="000000"/>
                <w:sz w:val="16"/>
                <w:szCs w:val="16"/>
              </w:rPr>
              <w:t>21.000.000</w:t>
            </w:r>
          </w:p>
        </w:tc>
      </w:tr>
      <w:tr w:rsidR="00554B7B" w14:paraId="10A2EEC2" w14:textId="77777777" w:rsidTr="00554B7B">
        <w:trPr>
          <w:trHeight w:hRule="exact" w:val="227"/>
        </w:trPr>
        <w:tc>
          <w:tcPr>
            <w:tcW w:w="1308" w:type="pct"/>
            <w:tcBorders>
              <w:top w:val="nil"/>
              <w:left w:val="nil"/>
              <w:bottom w:val="single" w:sz="8" w:space="0" w:color="auto"/>
              <w:right w:val="nil"/>
            </w:tcBorders>
            <w:shd w:val="clear" w:color="auto" w:fill="auto"/>
            <w:noWrap/>
            <w:vAlign w:val="center"/>
            <w:hideMark/>
          </w:tcPr>
          <w:p w14:paraId="53F0DF41" w14:textId="77777777" w:rsidR="00554B7B" w:rsidRDefault="00554B7B">
            <w:pPr>
              <w:rPr>
                <w:rFonts w:ascii="Calibri" w:hAnsi="Calibri" w:cs="Calibri"/>
                <w:b/>
                <w:bCs/>
                <w:color w:val="000000"/>
                <w:sz w:val="16"/>
                <w:szCs w:val="16"/>
              </w:rPr>
            </w:pPr>
            <w:r>
              <w:rPr>
                <w:rFonts w:ascii="Calibri" w:hAnsi="Calibri" w:cs="Calibri"/>
                <w:b/>
                <w:bCs/>
                <w:color w:val="000000"/>
                <w:sz w:val="16"/>
                <w:szCs w:val="16"/>
              </w:rPr>
              <w:t>TOTAL DE PASSIVOS DE ARRENDAMENTOS</w:t>
            </w:r>
          </w:p>
        </w:tc>
        <w:tc>
          <w:tcPr>
            <w:tcW w:w="754" w:type="pct"/>
            <w:tcBorders>
              <w:top w:val="nil"/>
              <w:left w:val="nil"/>
              <w:bottom w:val="single" w:sz="8" w:space="0" w:color="auto"/>
              <w:right w:val="nil"/>
            </w:tcBorders>
            <w:shd w:val="clear" w:color="auto" w:fill="auto"/>
            <w:noWrap/>
            <w:vAlign w:val="center"/>
            <w:hideMark/>
          </w:tcPr>
          <w:p w14:paraId="5AB1A6E4" w14:textId="77777777" w:rsidR="00554B7B" w:rsidRDefault="00554B7B">
            <w:pPr>
              <w:jc w:val="right"/>
              <w:rPr>
                <w:rFonts w:ascii="Calibri" w:hAnsi="Calibri" w:cs="Calibri"/>
                <w:b/>
                <w:bCs/>
                <w:color w:val="000000"/>
                <w:sz w:val="16"/>
                <w:szCs w:val="16"/>
              </w:rPr>
            </w:pPr>
            <w:r>
              <w:rPr>
                <w:rFonts w:ascii="Calibri" w:hAnsi="Calibri" w:cs="Calibri"/>
                <w:b/>
                <w:bCs/>
                <w:color w:val="000000"/>
                <w:sz w:val="16"/>
                <w:szCs w:val="16"/>
              </w:rPr>
              <w:t>6.044.654</w:t>
            </w:r>
          </w:p>
        </w:tc>
        <w:tc>
          <w:tcPr>
            <w:tcW w:w="893" w:type="pct"/>
            <w:tcBorders>
              <w:top w:val="nil"/>
              <w:left w:val="nil"/>
              <w:bottom w:val="single" w:sz="8" w:space="0" w:color="auto"/>
              <w:right w:val="nil"/>
            </w:tcBorders>
            <w:shd w:val="clear" w:color="auto" w:fill="auto"/>
            <w:noWrap/>
            <w:vAlign w:val="center"/>
            <w:hideMark/>
          </w:tcPr>
          <w:p w14:paraId="6C5C5058" w14:textId="6985CE3B" w:rsidR="00554B7B" w:rsidRDefault="001A3B64" w:rsidP="001A3B64">
            <w:pPr>
              <w:jc w:val="right"/>
              <w:rPr>
                <w:rFonts w:ascii="Calibri" w:hAnsi="Calibri" w:cs="Calibri"/>
                <w:b/>
                <w:bCs/>
                <w:color w:val="000000"/>
                <w:sz w:val="16"/>
                <w:szCs w:val="16"/>
              </w:rPr>
            </w:pPr>
            <w:r>
              <w:rPr>
                <w:rFonts w:ascii="Calibri" w:hAnsi="Calibri" w:cs="Calibri"/>
                <w:b/>
                <w:bCs/>
                <w:color w:val="000000"/>
                <w:sz w:val="16"/>
                <w:szCs w:val="16"/>
              </w:rPr>
              <w:t>21.069.294</w:t>
            </w:r>
          </w:p>
        </w:tc>
        <w:tc>
          <w:tcPr>
            <w:tcW w:w="728" w:type="pct"/>
            <w:tcBorders>
              <w:top w:val="nil"/>
              <w:left w:val="nil"/>
              <w:bottom w:val="single" w:sz="8" w:space="0" w:color="auto"/>
              <w:right w:val="nil"/>
            </w:tcBorders>
            <w:shd w:val="clear" w:color="auto" w:fill="auto"/>
            <w:noWrap/>
            <w:vAlign w:val="center"/>
            <w:hideMark/>
          </w:tcPr>
          <w:p w14:paraId="2C831FCE" w14:textId="124E10EF" w:rsidR="00554B7B" w:rsidRDefault="00554B7B" w:rsidP="00554B7B">
            <w:pPr>
              <w:jc w:val="center"/>
              <w:rPr>
                <w:rFonts w:ascii="Calibri" w:hAnsi="Calibri" w:cs="Calibri"/>
                <w:b/>
                <w:bCs/>
                <w:color w:val="000000"/>
                <w:sz w:val="16"/>
                <w:szCs w:val="16"/>
              </w:rPr>
            </w:pPr>
            <w:r>
              <w:rPr>
                <w:rFonts w:ascii="Calibri" w:hAnsi="Calibri" w:cs="Calibri"/>
                <w:b/>
                <w:bCs/>
                <w:color w:val="000000"/>
                <w:sz w:val="16"/>
                <w:szCs w:val="16"/>
              </w:rPr>
              <w:t>(173)</w:t>
            </w:r>
          </w:p>
        </w:tc>
        <w:tc>
          <w:tcPr>
            <w:tcW w:w="659" w:type="pct"/>
            <w:tcBorders>
              <w:top w:val="nil"/>
              <w:left w:val="nil"/>
              <w:bottom w:val="single" w:sz="8" w:space="0" w:color="auto"/>
              <w:right w:val="nil"/>
            </w:tcBorders>
            <w:shd w:val="clear" w:color="auto" w:fill="auto"/>
            <w:noWrap/>
            <w:vAlign w:val="center"/>
            <w:hideMark/>
          </w:tcPr>
          <w:p w14:paraId="3D67E19A" w14:textId="027136EE" w:rsidR="00554B7B" w:rsidRDefault="00554B7B">
            <w:pPr>
              <w:jc w:val="right"/>
              <w:rPr>
                <w:rFonts w:ascii="Calibri" w:hAnsi="Calibri" w:cs="Calibri"/>
                <w:b/>
                <w:bCs/>
                <w:color w:val="000000"/>
                <w:sz w:val="16"/>
                <w:szCs w:val="16"/>
              </w:rPr>
            </w:pPr>
            <w:r>
              <w:rPr>
                <w:rFonts w:ascii="Calibri" w:hAnsi="Calibri" w:cs="Calibri"/>
                <w:b/>
                <w:bCs/>
                <w:color w:val="000000"/>
                <w:sz w:val="16"/>
                <w:szCs w:val="16"/>
              </w:rPr>
              <w:t>(</w:t>
            </w:r>
            <w:r w:rsidR="001A3B64">
              <w:rPr>
                <w:rFonts w:ascii="Calibri" w:hAnsi="Calibri" w:cs="Calibri"/>
                <w:b/>
                <w:bCs/>
                <w:color w:val="000000"/>
                <w:sz w:val="16"/>
                <w:szCs w:val="16"/>
              </w:rPr>
              <w:t>4.262.12</w:t>
            </w:r>
            <w:r w:rsidR="005D2F2E">
              <w:rPr>
                <w:rFonts w:ascii="Calibri" w:hAnsi="Calibri" w:cs="Calibri"/>
                <w:b/>
                <w:bCs/>
                <w:color w:val="000000"/>
                <w:sz w:val="16"/>
                <w:szCs w:val="16"/>
              </w:rPr>
              <w:t>5</w:t>
            </w:r>
            <w:r>
              <w:rPr>
                <w:rFonts w:ascii="Calibri" w:hAnsi="Calibri" w:cs="Calibri"/>
                <w:b/>
                <w:bCs/>
                <w:color w:val="000000"/>
                <w:sz w:val="16"/>
                <w:szCs w:val="16"/>
              </w:rPr>
              <w:t>)</w:t>
            </w:r>
          </w:p>
        </w:tc>
        <w:tc>
          <w:tcPr>
            <w:tcW w:w="659" w:type="pct"/>
            <w:tcBorders>
              <w:top w:val="nil"/>
              <w:left w:val="nil"/>
              <w:bottom w:val="single" w:sz="8" w:space="0" w:color="auto"/>
              <w:right w:val="nil"/>
            </w:tcBorders>
            <w:shd w:val="clear" w:color="auto" w:fill="auto"/>
            <w:noWrap/>
            <w:vAlign w:val="center"/>
            <w:hideMark/>
          </w:tcPr>
          <w:p w14:paraId="55469A86" w14:textId="034C7534" w:rsidR="00554B7B" w:rsidRDefault="00537BFD">
            <w:pPr>
              <w:jc w:val="right"/>
              <w:rPr>
                <w:rFonts w:ascii="Calibri" w:hAnsi="Calibri" w:cs="Calibri"/>
                <w:b/>
                <w:bCs/>
                <w:color w:val="000000"/>
                <w:sz w:val="16"/>
                <w:szCs w:val="16"/>
              </w:rPr>
            </w:pPr>
            <w:r>
              <w:rPr>
                <w:rFonts w:ascii="Calibri" w:hAnsi="Calibri" w:cs="Calibri"/>
                <w:b/>
                <w:bCs/>
                <w:color w:val="000000"/>
                <w:sz w:val="16"/>
                <w:szCs w:val="16"/>
              </w:rPr>
              <w:t>22.851.650</w:t>
            </w:r>
          </w:p>
        </w:tc>
      </w:tr>
      <w:tr w:rsidR="00554B7B" w14:paraId="3FB7FAC8" w14:textId="77777777" w:rsidTr="00554B7B">
        <w:trPr>
          <w:trHeight w:hRule="exact" w:val="227"/>
        </w:trPr>
        <w:tc>
          <w:tcPr>
            <w:tcW w:w="1308" w:type="pct"/>
            <w:tcBorders>
              <w:top w:val="nil"/>
              <w:left w:val="nil"/>
              <w:bottom w:val="single" w:sz="8" w:space="0" w:color="auto"/>
              <w:right w:val="nil"/>
            </w:tcBorders>
            <w:shd w:val="clear" w:color="auto" w:fill="auto"/>
            <w:noWrap/>
            <w:vAlign w:val="center"/>
            <w:hideMark/>
          </w:tcPr>
          <w:p w14:paraId="55AE476A" w14:textId="77777777" w:rsidR="00554B7B" w:rsidRDefault="00554B7B">
            <w:pPr>
              <w:rPr>
                <w:rFonts w:ascii="Calibri" w:hAnsi="Calibri" w:cs="Calibri"/>
                <w:b/>
                <w:bCs/>
                <w:color w:val="000000"/>
                <w:sz w:val="16"/>
                <w:szCs w:val="16"/>
              </w:rPr>
            </w:pPr>
            <w:r>
              <w:rPr>
                <w:rFonts w:ascii="Calibri" w:hAnsi="Calibri" w:cs="Calibri"/>
                <w:b/>
                <w:bCs/>
                <w:color w:val="000000"/>
                <w:sz w:val="16"/>
                <w:szCs w:val="16"/>
              </w:rPr>
              <w:t>Passivo Circulante</w:t>
            </w:r>
          </w:p>
        </w:tc>
        <w:tc>
          <w:tcPr>
            <w:tcW w:w="754" w:type="pct"/>
            <w:tcBorders>
              <w:top w:val="nil"/>
              <w:left w:val="nil"/>
              <w:bottom w:val="single" w:sz="8" w:space="0" w:color="auto"/>
              <w:right w:val="nil"/>
            </w:tcBorders>
            <w:shd w:val="clear" w:color="auto" w:fill="auto"/>
            <w:noWrap/>
            <w:vAlign w:val="center"/>
            <w:hideMark/>
          </w:tcPr>
          <w:p w14:paraId="19F69D87" w14:textId="77777777" w:rsidR="00554B7B" w:rsidRDefault="00554B7B">
            <w:pPr>
              <w:jc w:val="right"/>
              <w:rPr>
                <w:rFonts w:ascii="Calibri" w:hAnsi="Calibri" w:cs="Calibri"/>
                <w:b/>
                <w:bCs/>
                <w:color w:val="000000"/>
                <w:sz w:val="16"/>
                <w:szCs w:val="16"/>
              </w:rPr>
            </w:pPr>
            <w:r>
              <w:rPr>
                <w:rFonts w:ascii="Calibri" w:hAnsi="Calibri" w:cs="Calibri"/>
                <w:b/>
                <w:bCs/>
                <w:color w:val="000000"/>
                <w:sz w:val="16"/>
                <w:szCs w:val="16"/>
              </w:rPr>
              <w:t>4.064.554</w:t>
            </w:r>
          </w:p>
        </w:tc>
        <w:tc>
          <w:tcPr>
            <w:tcW w:w="893" w:type="pct"/>
            <w:tcBorders>
              <w:top w:val="nil"/>
              <w:left w:val="nil"/>
              <w:bottom w:val="single" w:sz="8" w:space="0" w:color="auto"/>
              <w:right w:val="nil"/>
            </w:tcBorders>
            <w:shd w:val="clear" w:color="auto" w:fill="auto"/>
            <w:vAlign w:val="center"/>
            <w:hideMark/>
          </w:tcPr>
          <w:p w14:paraId="25060CBA" w14:textId="77777777" w:rsidR="00554B7B" w:rsidRDefault="00554B7B">
            <w:pPr>
              <w:jc w:val="right"/>
              <w:rPr>
                <w:rFonts w:ascii="Calibri" w:hAnsi="Calibri" w:cs="Calibri"/>
                <w:b/>
                <w:bCs/>
                <w:color w:val="000000"/>
                <w:sz w:val="16"/>
                <w:szCs w:val="16"/>
              </w:rPr>
            </w:pPr>
            <w:r>
              <w:rPr>
                <w:rFonts w:ascii="Calibri" w:hAnsi="Calibri" w:cs="Calibri"/>
                <w:b/>
                <w:bCs/>
                <w:color w:val="000000"/>
                <w:sz w:val="16"/>
                <w:szCs w:val="16"/>
              </w:rPr>
              <w:t> </w:t>
            </w:r>
          </w:p>
        </w:tc>
        <w:tc>
          <w:tcPr>
            <w:tcW w:w="728" w:type="pct"/>
            <w:tcBorders>
              <w:top w:val="nil"/>
              <w:left w:val="nil"/>
              <w:bottom w:val="single" w:sz="8" w:space="0" w:color="auto"/>
              <w:right w:val="nil"/>
            </w:tcBorders>
            <w:shd w:val="clear" w:color="auto" w:fill="auto"/>
            <w:noWrap/>
            <w:vAlign w:val="center"/>
            <w:hideMark/>
          </w:tcPr>
          <w:p w14:paraId="7422F663" w14:textId="77777777" w:rsidR="00554B7B" w:rsidRDefault="00554B7B">
            <w:pPr>
              <w:jc w:val="right"/>
              <w:rPr>
                <w:rFonts w:ascii="Calibri" w:hAnsi="Calibri" w:cs="Calibri"/>
                <w:b/>
                <w:bCs/>
                <w:color w:val="000000"/>
                <w:sz w:val="16"/>
                <w:szCs w:val="16"/>
              </w:rPr>
            </w:pPr>
            <w:r>
              <w:rPr>
                <w:rFonts w:ascii="Calibri" w:hAnsi="Calibri" w:cs="Calibri"/>
                <w:b/>
                <w:bCs/>
                <w:color w:val="000000"/>
                <w:sz w:val="16"/>
                <w:szCs w:val="16"/>
              </w:rPr>
              <w:t> </w:t>
            </w:r>
          </w:p>
        </w:tc>
        <w:tc>
          <w:tcPr>
            <w:tcW w:w="659" w:type="pct"/>
            <w:tcBorders>
              <w:top w:val="nil"/>
              <w:left w:val="nil"/>
              <w:bottom w:val="single" w:sz="8" w:space="0" w:color="auto"/>
              <w:right w:val="nil"/>
            </w:tcBorders>
            <w:shd w:val="clear" w:color="auto" w:fill="auto"/>
            <w:noWrap/>
            <w:vAlign w:val="center"/>
            <w:hideMark/>
          </w:tcPr>
          <w:p w14:paraId="7C53245B" w14:textId="77777777" w:rsidR="00554B7B" w:rsidRDefault="00554B7B">
            <w:pPr>
              <w:jc w:val="right"/>
              <w:rPr>
                <w:rFonts w:ascii="Calibri" w:hAnsi="Calibri" w:cs="Calibri"/>
                <w:b/>
                <w:bCs/>
                <w:color w:val="000000"/>
                <w:sz w:val="16"/>
                <w:szCs w:val="16"/>
              </w:rPr>
            </w:pPr>
            <w:r>
              <w:rPr>
                <w:rFonts w:ascii="Calibri" w:hAnsi="Calibri" w:cs="Calibri"/>
                <w:b/>
                <w:bCs/>
                <w:color w:val="000000"/>
                <w:sz w:val="16"/>
                <w:szCs w:val="16"/>
              </w:rPr>
              <w:t> </w:t>
            </w:r>
          </w:p>
        </w:tc>
        <w:tc>
          <w:tcPr>
            <w:tcW w:w="659" w:type="pct"/>
            <w:tcBorders>
              <w:top w:val="nil"/>
              <w:left w:val="nil"/>
              <w:bottom w:val="single" w:sz="8" w:space="0" w:color="auto"/>
              <w:right w:val="nil"/>
            </w:tcBorders>
            <w:shd w:val="clear" w:color="auto" w:fill="auto"/>
            <w:noWrap/>
            <w:vAlign w:val="center"/>
            <w:hideMark/>
          </w:tcPr>
          <w:p w14:paraId="1CA6A295" w14:textId="3AF2FFB8" w:rsidR="00554B7B" w:rsidRDefault="00537BFD">
            <w:pPr>
              <w:jc w:val="right"/>
              <w:rPr>
                <w:rFonts w:ascii="Calibri" w:hAnsi="Calibri" w:cs="Calibri"/>
                <w:b/>
                <w:bCs/>
                <w:color w:val="000000"/>
                <w:sz w:val="16"/>
                <w:szCs w:val="16"/>
              </w:rPr>
            </w:pPr>
            <w:r>
              <w:rPr>
                <w:rFonts w:ascii="Calibri" w:hAnsi="Calibri" w:cs="Calibri"/>
                <w:b/>
                <w:bCs/>
                <w:color w:val="000000"/>
                <w:sz w:val="16"/>
                <w:szCs w:val="16"/>
              </w:rPr>
              <w:t>4.721.400</w:t>
            </w:r>
          </w:p>
        </w:tc>
      </w:tr>
      <w:tr w:rsidR="00554B7B" w14:paraId="77B77A48" w14:textId="77777777" w:rsidTr="00554B7B">
        <w:trPr>
          <w:trHeight w:hRule="exact" w:val="227"/>
        </w:trPr>
        <w:tc>
          <w:tcPr>
            <w:tcW w:w="1308" w:type="pct"/>
            <w:tcBorders>
              <w:top w:val="nil"/>
              <w:left w:val="nil"/>
              <w:bottom w:val="single" w:sz="8" w:space="0" w:color="auto"/>
              <w:right w:val="nil"/>
            </w:tcBorders>
            <w:shd w:val="clear" w:color="auto" w:fill="auto"/>
            <w:noWrap/>
            <w:vAlign w:val="center"/>
            <w:hideMark/>
          </w:tcPr>
          <w:p w14:paraId="101C9D88" w14:textId="77777777" w:rsidR="00554B7B" w:rsidRDefault="00554B7B">
            <w:pPr>
              <w:rPr>
                <w:rFonts w:ascii="Calibri" w:hAnsi="Calibri" w:cs="Calibri"/>
                <w:b/>
                <w:bCs/>
                <w:color w:val="000000"/>
                <w:sz w:val="16"/>
                <w:szCs w:val="16"/>
              </w:rPr>
            </w:pPr>
            <w:r>
              <w:rPr>
                <w:rFonts w:ascii="Calibri" w:hAnsi="Calibri" w:cs="Calibri"/>
                <w:b/>
                <w:bCs/>
                <w:color w:val="000000"/>
                <w:sz w:val="16"/>
                <w:szCs w:val="16"/>
              </w:rPr>
              <w:t>Passivo Não Circulante</w:t>
            </w:r>
          </w:p>
        </w:tc>
        <w:tc>
          <w:tcPr>
            <w:tcW w:w="754" w:type="pct"/>
            <w:tcBorders>
              <w:top w:val="nil"/>
              <w:left w:val="nil"/>
              <w:bottom w:val="single" w:sz="8" w:space="0" w:color="auto"/>
              <w:right w:val="nil"/>
            </w:tcBorders>
            <w:shd w:val="clear" w:color="auto" w:fill="auto"/>
            <w:noWrap/>
            <w:vAlign w:val="center"/>
            <w:hideMark/>
          </w:tcPr>
          <w:p w14:paraId="34D419D6" w14:textId="77777777" w:rsidR="00554B7B" w:rsidRDefault="00554B7B">
            <w:pPr>
              <w:jc w:val="right"/>
              <w:rPr>
                <w:rFonts w:ascii="Calibri" w:hAnsi="Calibri" w:cs="Calibri"/>
                <w:b/>
                <w:bCs/>
                <w:color w:val="000000"/>
                <w:sz w:val="16"/>
                <w:szCs w:val="16"/>
              </w:rPr>
            </w:pPr>
            <w:r>
              <w:rPr>
                <w:rFonts w:ascii="Calibri" w:hAnsi="Calibri" w:cs="Calibri"/>
                <w:b/>
                <w:bCs/>
                <w:color w:val="000000"/>
                <w:sz w:val="16"/>
                <w:szCs w:val="16"/>
              </w:rPr>
              <w:t>1.980.100</w:t>
            </w:r>
          </w:p>
        </w:tc>
        <w:tc>
          <w:tcPr>
            <w:tcW w:w="893" w:type="pct"/>
            <w:tcBorders>
              <w:top w:val="nil"/>
              <w:left w:val="nil"/>
              <w:bottom w:val="single" w:sz="8" w:space="0" w:color="auto"/>
              <w:right w:val="nil"/>
            </w:tcBorders>
            <w:shd w:val="clear" w:color="auto" w:fill="auto"/>
            <w:vAlign w:val="center"/>
            <w:hideMark/>
          </w:tcPr>
          <w:p w14:paraId="47EFFFC2" w14:textId="77777777" w:rsidR="00554B7B" w:rsidRDefault="00554B7B">
            <w:pPr>
              <w:jc w:val="right"/>
              <w:rPr>
                <w:rFonts w:ascii="Calibri" w:hAnsi="Calibri" w:cs="Calibri"/>
                <w:b/>
                <w:bCs/>
                <w:color w:val="000000"/>
                <w:sz w:val="16"/>
                <w:szCs w:val="16"/>
              </w:rPr>
            </w:pPr>
            <w:r>
              <w:rPr>
                <w:rFonts w:ascii="Calibri" w:hAnsi="Calibri" w:cs="Calibri"/>
                <w:b/>
                <w:bCs/>
                <w:color w:val="000000"/>
                <w:sz w:val="16"/>
                <w:szCs w:val="16"/>
              </w:rPr>
              <w:t> </w:t>
            </w:r>
          </w:p>
        </w:tc>
        <w:tc>
          <w:tcPr>
            <w:tcW w:w="728" w:type="pct"/>
            <w:tcBorders>
              <w:top w:val="nil"/>
              <w:left w:val="nil"/>
              <w:bottom w:val="single" w:sz="8" w:space="0" w:color="auto"/>
              <w:right w:val="nil"/>
            </w:tcBorders>
            <w:shd w:val="clear" w:color="auto" w:fill="auto"/>
            <w:noWrap/>
            <w:vAlign w:val="center"/>
            <w:hideMark/>
          </w:tcPr>
          <w:p w14:paraId="5D338739" w14:textId="77777777" w:rsidR="00554B7B" w:rsidRDefault="00554B7B">
            <w:pPr>
              <w:jc w:val="right"/>
              <w:rPr>
                <w:rFonts w:ascii="Calibri" w:hAnsi="Calibri" w:cs="Calibri"/>
                <w:b/>
                <w:bCs/>
                <w:color w:val="000000"/>
                <w:sz w:val="16"/>
                <w:szCs w:val="16"/>
              </w:rPr>
            </w:pPr>
            <w:r>
              <w:rPr>
                <w:rFonts w:ascii="Calibri" w:hAnsi="Calibri" w:cs="Calibri"/>
                <w:b/>
                <w:bCs/>
                <w:color w:val="000000"/>
                <w:sz w:val="16"/>
                <w:szCs w:val="16"/>
              </w:rPr>
              <w:t> </w:t>
            </w:r>
          </w:p>
        </w:tc>
        <w:tc>
          <w:tcPr>
            <w:tcW w:w="659" w:type="pct"/>
            <w:tcBorders>
              <w:top w:val="nil"/>
              <w:left w:val="nil"/>
              <w:bottom w:val="single" w:sz="8" w:space="0" w:color="auto"/>
              <w:right w:val="nil"/>
            </w:tcBorders>
            <w:shd w:val="clear" w:color="auto" w:fill="auto"/>
            <w:noWrap/>
            <w:vAlign w:val="center"/>
            <w:hideMark/>
          </w:tcPr>
          <w:p w14:paraId="1CD77611" w14:textId="77777777" w:rsidR="00554B7B" w:rsidRDefault="00554B7B">
            <w:pPr>
              <w:jc w:val="right"/>
              <w:rPr>
                <w:rFonts w:ascii="Calibri" w:hAnsi="Calibri" w:cs="Calibri"/>
                <w:b/>
                <w:bCs/>
                <w:color w:val="000000"/>
                <w:sz w:val="16"/>
                <w:szCs w:val="16"/>
              </w:rPr>
            </w:pPr>
            <w:r>
              <w:rPr>
                <w:rFonts w:ascii="Calibri" w:hAnsi="Calibri" w:cs="Calibri"/>
                <w:b/>
                <w:bCs/>
                <w:color w:val="000000"/>
                <w:sz w:val="16"/>
                <w:szCs w:val="16"/>
              </w:rPr>
              <w:t> </w:t>
            </w:r>
          </w:p>
        </w:tc>
        <w:tc>
          <w:tcPr>
            <w:tcW w:w="659" w:type="pct"/>
            <w:tcBorders>
              <w:top w:val="nil"/>
              <w:left w:val="nil"/>
              <w:bottom w:val="single" w:sz="8" w:space="0" w:color="auto"/>
              <w:right w:val="nil"/>
            </w:tcBorders>
            <w:shd w:val="clear" w:color="auto" w:fill="auto"/>
            <w:noWrap/>
            <w:vAlign w:val="center"/>
            <w:hideMark/>
          </w:tcPr>
          <w:p w14:paraId="10D93448" w14:textId="6DF9F23C" w:rsidR="00554B7B" w:rsidRDefault="00537BFD">
            <w:pPr>
              <w:jc w:val="right"/>
              <w:rPr>
                <w:rFonts w:ascii="Calibri" w:hAnsi="Calibri" w:cs="Calibri"/>
                <w:b/>
                <w:bCs/>
                <w:color w:val="000000"/>
                <w:sz w:val="16"/>
                <w:szCs w:val="16"/>
              </w:rPr>
            </w:pPr>
            <w:r>
              <w:rPr>
                <w:rFonts w:ascii="Calibri" w:hAnsi="Calibri" w:cs="Calibri"/>
                <w:b/>
                <w:bCs/>
                <w:color w:val="000000"/>
                <w:sz w:val="16"/>
                <w:szCs w:val="16"/>
              </w:rPr>
              <w:t>18.130.250</w:t>
            </w:r>
          </w:p>
        </w:tc>
      </w:tr>
    </w:tbl>
    <w:p w14:paraId="3FC411B6" w14:textId="77777777" w:rsidR="00554B7B" w:rsidRPr="00554B7B" w:rsidRDefault="00554B7B" w:rsidP="00554B7B"/>
    <w:p w14:paraId="227EEFBC" w14:textId="49A5AADB" w:rsidR="00F40821" w:rsidRPr="002E2B5B" w:rsidRDefault="00D22F5E" w:rsidP="002E2B5B">
      <w:pPr>
        <w:pStyle w:val="Ttulo4"/>
        <w:spacing w:line="240" w:lineRule="auto"/>
        <w:jc w:val="left"/>
        <w:rPr>
          <w:rFonts w:ascii="Calibri" w:hAnsi="Calibri" w:cs="Calibri"/>
          <w:bCs w:val="0"/>
          <w:sz w:val="22"/>
          <w:szCs w:val="22"/>
        </w:rPr>
      </w:pPr>
      <w:r w:rsidRPr="002E2B5B">
        <w:rPr>
          <w:rFonts w:ascii="Calibri" w:hAnsi="Calibri" w:cs="Calibri"/>
          <w:bCs w:val="0"/>
          <w:sz w:val="22"/>
          <w:szCs w:val="22"/>
        </w:rPr>
        <w:t>NOTA 1</w:t>
      </w:r>
      <w:r w:rsidR="00586E18">
        <w:rPr>
          <w:rFonts w:ascii="Calibri" w:hAnsi="Calibri" w:cs="Calibri"/>
          <w:bCs w:val="0"/>
          <w:sz w:val="22"/>
          <w:szCs w:val="22"/>
        </w:rPr>
        <w:t>4</w:t>
      </w:r>
      <w:r w:rsidR="00F40821" w:rsidRPr="002E2B5B">
        <w:rPr>
          <w:rFonts w:ascii="Calibri" w:hAnsi="Calibri" w:cs="Calibri"/>
          <w:bCs w:val="0"/>
          <w:sz w:val="22"/>
          <w:szCs w:val="22"/>
        </w:rPr>
        <w:t xml:space="preserve"> - PATRIMÔNIO LÍQUIDO </w:t>
      </w:r>
    </w:p>
    <w:p w14:paraId="7ABFC188" w14:textId="77777777" w:rsidR="00F40821" w:rsidRPr="002E2B5B" w:rsidRDefault="00F40821" w:rsidP="002E2B5B">
      <w:pPr>
        <w:rPr>
          <w:rFonts w:ascii="Calibri" w:hAnsi="Calibri" w:cs="Calibri"/>
          <w:color w:val="FF0000"/>
          <w:sz w:val="22"/>
          <w:szCs w:val="22"/>
        </w:rPr>
      </w:pPr>
    </w:p>
    <w:p w14:paraId="29706E20" w14:textId="77777777" w:rsidR="00CE32D4" w:rsidRPr="002E2B5B" w:rsidRDefault="00997B3F" w:rsidP="002E2B5B">
      <w:pPr>
        <w:numPr>
          <w:ilvl w:val="0"/>
          <w:numId w:val="7"/>
        </w:numPr>
        <w:ind w:left="284" w:right="-142" w:hanging="284"/>
        <w:rPr>
          <w:rFonts w:ascii="Calibri" w:hAnsi="Calibri" w:cs="Calibri"/>
          <w:b/>
          <w:sz w:val="22"/>
          <w:szCs w:val="22"/>
        </w:rPr>
      </w:pPr>
      <w:r w:rsidRPr="002E2B5B">
        <w:rPr>
          <w:rFonts w:ascii="Calibri" w:hAnsi="Calibri" w:cs="Calibri"/>
          <w:b/>
          <w:sz w:val="22"/>
          <w:szCs w:val="22"/>
        </w:rPr>
        <w:t xml:space="preserve">Capital Social </w:t>
      </w:r>
    </w:p>
    <w:p w14:paraId="2A850149" w14:textId="24739ABC" w:rsidR="006069D0" w:rsidRPr="002E2B5B" w:rsidRDefault="00796E5C" w:rsidP="002E2B5B">
      <w:pPr>
        <w:spacing w:before="120" w:after="120"/>
        <w:ind w:right="57"/>
        <w:jc w:val="both"/>
        <w:rPr>
          <w:rFonts w:ascii="Calibri" w:hAnsi="Calibri" w:cs="Calibri"/>
          <w:sz w:val="22"/>
          <w:szCs w:val="22"/>
        </w:rPr>
      </w:pPr>
      <w:r w:rsidRPr="002E2B5B">
        <w:rPr>
          <w:rFonts w:ascii="Calibri" w:hAnsi="Calibri" w:cs="Calibri"/>
          <w:sz w:val="22"/>
          <w:szCs w:val="22"/>
        </w:rPr>
        <w:t>O Capital Social</w:t>
      </w:r>
      <w:r w:rsidR="00DB795A" w:rsidRPr="002E2B5B">
        <w:rPr>
          <w:rFonts w:ascii="Calibri" w:hAnsi="Calibri" w:cs="Calibri"/>
          <w:sz w:val="22"/>
          <w:szCs w:val="22"/>
        </w:rPr>
        <w:t>, a</w:t>
      </w:r>
      <w:r w:rsidR="00EC6EEC" w:rsidRPr="002E2B5B">
        <w:rPr>
          <w:rFonts w:ascii="Calibri" w:hAnsi="Calibri" w:cs="Calibri"/>
          <w:sz w:val="22"/>
          <w:szCs w:val="22"/>
        </w:rPr>
        <w:t xml:space="preserve">pós a integralização de capital, Conforme Ata da </w:t>
      </w:r>
      <w:r w:rsidR="002136B7" w:rsidRPr="002E2B5B">
        <w:rPr>
          <w:rFonts w:ascii="Calibri" w:hAnsi="Calibri" w:cs="Calibri"/>
          <w:sz w:val="22"/>
          <w:szCs w:val="22"/>
        </w:rPr>
        <w:t>72</w:t>
      </w:r>
      <w:r w:rsidR="00EC6EEC" w:rsidRPr="002E2B5B">
        <w:rPr>
          <w:rFonts w:ascii="Calibri" w:hAnsi="Calibri" w:cs="Calibri"/>
          <w:sz w:val="22"/>
          <w:szCs w:val="22"/>
        </w:rPr>
        <w:t>ª Assembleia Geral Extraordinária de 22</w:t>
      </w:r>
      <w:r w:rsidR="00BD7C0B" w:rsidRPr="002E2B5B">
        <w:rPr>
          <w:rFonts w:ascii="Calibri" w:hAnsi="Calibri" w:cs="Calibri"/>
          <w:sz w:val="22"/>
          <w:szCs w:val="22"/>
        </w:rPr>
        <w:t xml:space="preserve"> de agosto de </w:t>
      </w:r>
      <w:r w:rsidR="00EC6EEC" w:rsidRPr="002E2B5B">
        <w:rPr>
          <w:rFonts w:ascii="Calibri" w:hAnsi="Calibri" w:cs="Calibri"/>
          <w:sz w:val="22"/>
          <w:szCs w:val="22"/>
        </w:rPr>
        <w:t>201</w:t>
      </w:r>
      <w:r w:rsidR="002136B7" w:rsidRPr="002E2B5B">
        <w:rPr>
          <w:rFonts w:ascii="Calibri" w:hAnsi="Calibri" w:cs="Calibri"/>
          <w:sz w:val="22"/>
          <w:szCs w:val="22"/>
        </w:rPr>
        <w:t>9</w:t>
      </w:r>
      <w:r w:rsidR="00DB795A" w:rsidRPr="002E2B5B">
        <w:rPr>
          <w:rFonts w:ascii="Calibri" w:hAnsi="Calibri" w:cs="Calibri"/>
          <w:sz w:val="22"/>
          <w:szCs w:val="22"/>
        </w:rPr>
        <w:t>,</w:t>
      </w:r>
      <w:r w:rsidRPr="002E2B5B">
        <w:rPr>
          <w:rFonts w:ascii="Calibri" w:hAnsi="Calibri" w:cs="Calibri"/>
          <w:sz w:val="22"/>
          <w:szCs w:val="22"/>
        </w:rPr>
        <w:t xml:space="preserve"> </w:t>
      </w:r>
      <w:r w:rsidR="00DB795A" w:rsidRPr="002E2B5B">
        <w:rPr>
          <w:rFonts w:ascii="Calibri" w:hAnsi="Calibri" w:cs="Calibri"/>
          <w:sz w:val="22"/>
          <w:szCs w:val="22"/>
        </w:rPr>
        <w:t>totaliza</w:t>
      </w:r>
      <w:r w:rsidRPr="002E2B5B">
        <w:rPr>
          <w:rFonts w:ascii="Calibri" w:hAnsi="Calibri" w:cs="Calibri"/>
          <w:sz w:val="22"/>
          <w:szCs w:val="22"/>
        </w:rPr>
        <w:t xml:space="preserve"> R$ </w:t>
      </w:r>
      <w:r w:rsidR="000C194A" w:rsidRPr="002E2B5B">
        <w:rPr>
          <w:rFonts w:ascii="Calibri" w:hAnsi="Calibri" w:cs="Calibri"/>
          <w:sz w:val="22"/>
          <w:szCs w:val="22"/>
        </w:rPr>
        <w:t>22</w:t>
      </w:r>
      <w:r w:rsidR="00586E18">
        <w:rPr>
          <w:rFonts w:ascii="Calibri" w:hAnsi="Calibri" w:cs="Calibri"/>
          <w:sz w:val="22"/>
          <w:szCs w:val="22"/>
        </w:rPr>
        <w:t xml:space="preserve"> bilhões</w:t>
      </w:r>
      <w:r w:rsidR="00DB795A" w:rsidRPr="002E2B5B">
        <w:rPr>
          <w:rFonts w:ascii="Calibri" w:hAnsi="Calibri" w:cs="Calibri"/>
          <w:sz w:val="22"/>
          <w:szCs w:val="22"/>
        </w:rPr>
        <w:t xml:space="preserve"> </w:t>
      </w:r>
      <w:r w:rsidR="000C3E4F" w:rsidRPr="002E2B5B">
        <w:rPr>
          <w:rFonts w:ascii="Calibri" w:hAnsi="Calibri" w:cs="Calibri"/>
          <w:sz w:val="22"/>
          <w:szCs w:val="22"/>
        </w:rPr>
        <w:t xml:space="preserve">e </w:t>
      </w:r>
      <w:r w:rsidRPr="002E2B5B">
        <w:rPr>
          <w:rFonts w:ascii="Calibri" w:hAnsi="Calibri" w:cs="Calibri"/>
          <w:sz w:val="22"/>
          <w:szCs w:val="22"/>
        </w:rPr>
        <w:t xml:space="preserve">é composto de 8.090.009 ações ordinárias, sem valor nominal, </w:t>
      </w:r>
      <w:r w:rsidR="00657941" w:rsidRPr="002E2B5B">
        <w:rPr>
          <w:rFonts w:ascii="Calibri" w:hAnsi="Calibri" w:cs="Calibri"/>
          <w:sz w:val="22"/>
          <w:szCs w:val="22"/>
        </w:rPr>
        <w:t xml:space="preserve">no qual a </w:t>
      </w:r>
      <w:r w:rsidRPr="002E2B5B">
        <w:rPr>
          <w:rFonts w:ascii="Calibri" w:hAnsi="Calibri" w:cs="Calibri"/>
          <w:sz w:val="22"/>
          <w:szCs w:val="22"/>
        </w:rPr>
        <w:t xml:space="preserve">União é detentora de 100% dessas ações. </w:t>
      </w:r>
    </w:p>
    <w:tbl>
      <w:tblPr>
        <w:tblW w:w="10120" w:type="dxa"/>
        <w:tblLayout w:type="fixed"/>
        <w:tblCellMar>
          <w:left w:w="70" w:type="dxa"/>
          <w:right w:w="70" w:type="dxa"/>
        </w:tblCellMar>
        <w:tblLook w:val="04A0" w:firstRow="1" w:lastRow="0" w:firstColumn="1" w:lastColumn="0" w:noHBand="0" w:noVBand="1"/>
      </w:tblPr>
      <w:tblGrid>
        <w:gridCol w:w="3732"/>
        <w:gridCol w:w="1056"/>
        <w:gridCol w:w="1378"/>
        <w:gridCol w:w="101"/>
        <w:gridCol w:w="2167"/>
        <w:gridCol w:w="1686"/>
      </w:tblGrid>
      <w:tr w:rsidR="00852C9E" w:rsidRPr="002E2B5B" w14:paraId="2C1435F0" w14:textId="77777777" w:rsidTr="00852C9E">
        <w:trPr>
          <w:trHeight w:val="315"/>
        </w:trPr>
        <w:tc>
          <w:tcPr>
            <w:tcW w:w="3732" w:type="dxa"/>
            <w:tcBorders>
              <w:top w:val="nil"/>
              <w:left w:val="nil"/>
              <w:bottom w:val="single" w:sz="8" w:space="0" w:color="auto"/>
              <w:right w:val="nil"/>
            </w:tcBorders>
            <w:shd w:val="clear" w:color="auto" w:fill="auto"/>
            <w:noWrap/>
            <w:vAlign w:val="center"/>
            <w:hideMark/>
          </w:tcPr>
          <w:p w14:paraId="4B8F11EE" w14:textId="77777777" w:rsidR="00852C9E" w:rsidRPr="002E2B5B" w:rsidRDefault="00852C9E" w:rsidP="002E2B5B">
            <w:pPr>
              <w:rPr>
                <w:rFonts w:ascii="Calibri" w:hAnsi="Calibri" w:cs="Calibri"/>
                <w:b/>
                <w:bCs/>
                <w:color w:val="000000"/>
                <w:sz w:val="16"/>
                <w:szCs w:val="16"/>
              </w:rPr>
            </w:pPr>
            <w:r w:rsidRPr="002E2B5B">
              <w:rPr>
                <w:rFonts w:ascii="Calibri" w:hAnsi="Calibri" w:cs="Calibri"/>
                <w:b/>
                <w:bCs/>
                <w:color w:val="000000"/>
                <w:sz w:val="16"/>
                <w:szCs w:val="16"/>
              </w:rPr>
              <w:t>CAPITAL SOCIAL</w:t>
            </w:r>
          </w:p>
        </w:tc>
        <w:tc>
          <w:tcPr>
            <w:tcW w:w="1056" w:type="dxa"/>
            <w:tcBorders>
              <w:top w:val="nil"/>
              <w:left w:val="nil"/>
              <w:bottom w:val="single" w:sz="8" w:space="0" w:color="auto"/>
              <w:right w:val="nil"/>
            </w:tcBorders>
            <w:shd w:val="clear" w:color="auto" w:fill="auto"/>
            <w:noWrap/>
            <w:vAlign w:val="center"/>
            <w:hideMark/>
          </w:tcPr>
          <w:p w14:paraId="4AAFAB15" w14:textId="77777777" w:rsidR="00852C9E" w:rsidRPr="002E2B5B" w:rsidRDefault="00852C9E" w:rsidP="002E2B5B">
            <w:pPr>
              <w:rPr>
                <w:rFonts w:ascii="Calibri" w:hAnsi="Calibri" w:cs="Calibri"/>
                <w:b/>
                <w:bCs/>
                <w:color w:val="000000"/>
                <w:sz w:val="16"/>
                <w:szCs w:val="16"/>
              </w:rPr>
            </w:pPr>
            <w:r w:rsidRPr="002E2B5B">
              <w:rPr>
                <w:rFonts w:ascii="Calibri" w:hAnsi="Calibri" w:cs="Calibri"/>
                <w:b/>
                <w:bCs/>
                <w:color w:val="000000"/>
                <w:sz w:val="16"/>
                <w:szCs w:val="16"/>
              </w:rPr>
              <w:t> </w:t>
            </w:r>
          </w:p>
        </w:tc>
        <w:tc>
          <w:tcPr>
            <w:tcW w:w="1378" w:type="dxa"/>
            <w:tcBorders>
              <w:top w:val="nil"/>
              <w:left w:val="nil"/>
              <w:bottom w:val="single" w:sz="8" w:space="0" w:color="auto"/>
              <w:right w:val="nil"/>
            </w:tcBorders>
            <w:shd w:val="clear" w:color="auto" w:fill="auto"/>
            <w:noWrap/>
            <w:vAlign w:val="center"/>
          </w:tcPr>
          <w:p w14:paraId="50431361" w14:textId="77777777" w:rsidR="00852C9E" w:rsidRPr="002E2B5B" w:rsidRDefault="00852C9E" w:rsidP="002E2B5B">
            <w:pPr>
              <w:jc w:val="right"/>
              <w:rPr>
                <w:rFonts w:ascii="Calibri" w:hAnsi="Calibri" w:cs="Calibri"/>
                <w:b/>
                <w:bCs/>
                <w:color w:val="000000"/>
                <w:sz w:val="16"/>
                <w:szCs w:val="16"/>
              </w:rPr>
            </w:pPr>
          </w:p>
        </w:tc>
        <w:tc>
          <w:tcPr>
            <w:tcW w:w="2268" w:type="dxa"/>
            <w:gridSpan w:val="2"/>
            <w:tcBorders>
              <w:top w:val="nil"/>
              <w:left w:val="nil"/>
              <w:bottom w:val="single" w:sz="8" w:space="0" w:color="auto"/>
              <w:right w:val="nil"/>
            </w:tcBorders>
            <w:shd w:val="clear" w:color="auto" w:fill="auto"/>
            <w:noWrap/>
            <w:vAlign w:val="center"/>
          </w:tcPr>
          <w:p w14:paraId="384B4668" w14:textId="24791BD1" w:rsidR="00852C9E" w:rsidRPr="002E2B5B" w:rsidRDefault="00C43A93" w:rsidP="002E2B5B">
            <w:pPr>
              <w:jc w:val="right"/>
              <w:rPr>
                <w:rFonts w:ascii="Calibri" w:hAnsi="Calibri" w:cs="Calibri"/>
                <w:b/>
                <w:bCs/>
                <w:color w:val="000000"/>
                <w:sz w:val="16"/>
                <w:szCs w:val="16"/>
              </w:rPr>
            </w:pPr>
            <w:r>
              <w:rPr>
                <w:rFonts w:ascii="Calibri" w:hAnsi="Calibri" w:cs="Calibri"/>
                <w:b/>
                <w:bCs/>
                <w:color w:val="000000"/>
                <w:sz w:val="16"/>
                <w:szCs w:val="16"/>
              </w:rPr>
              <w:t>30/0</w:t>
            </w:r>
            <w:r w:rsidR="00537BFD">
              <w:rPr>
                <w:rFonts w:ascii="Calibri" w:hAnsi="Calibri" w:cs="Calibri"/>
                <w:b/>
                <w:bCs/>
                <w:color w:val="000000"/>
                <w:sz w:val="16"/>
                <w:szCs w:val="16"/>
              </w:rPr>
              <w:t>9</w:t>
            </w:r>
            <w:r>
              <w:rPr>
                <w:rFonts w:ascii="Calibri" w:hAnsi="Calibri" w:cs="Calibri"/>
                <w:b/>
                <w:bCs/>
                <w:color w:val="000000"/>
                <w:sz w:val="16"/>
                <w:szCs w:val="16"/>
              </w:rPr>
              <w:t>/2021</w:t>
            </w:r>
          </w:p>
        </w:tc>
        <w:tc>
          <w:tcPr>
            <w:tcW w:w="1686" w:type="dxa"/>
            <w:tcBorders>
              <w:top w:val="nil"/>
              <w:left w:val="nil"/>
              <w:bottom w:val="single" w:sz="8" w:space="0" w:color="auto"/>
              <w:right w:val="nil"/>
            </w:tcBorders>
            <w:vAlign w:val="center"/>
          </w:tcPr>
          <w:p w14:paraId="3AD8D946" w14:textId="1D529E3D" w:rsidR="00852C9E" w:rsidRPr="002E2B5B" w:rsidRDefault="00852C9E" w:rsidP="002E2B5B">
            <w:pPr>
              <w:jc w:val="right"/>
              <w:rPr>
                <w:rFonts w:ascii="Calibri" w:hAnsi="Calibri" w:cs="Calibri"/>
                <w:b/>
                <w:bCs/>
                <w:color w:val="000000"/>
                <w:sz w:val="16"/>
                <w:szCs w:val="16"/>
              </w:rPr>
            </w:pPr>
            <w:r w:rsidRPr="002E2B5B">
              <w:rPr>
                <w:rFonts w:ascii="Calibri" w:hAnsi="Calibri" w:cs="Calibri"/>
                <w:b/>
                <w:bCs/>
                <w:color w:val="000000"/>
                <w:sz w:val="16"/>
                <w:szCs w:val="16"/>
              </w:rPr>
              <w:t>31/12/2</w:t>
            </w:r>
            <w:r w:rsidR="00FA301F">
              <w:rPr>
                <w:rFonts w:ascii="Calibri" w:hAnsi="Calibri" w:cs="Calibri"/>
                <w:b/>
                <w:bCs/>
                <w:color w:val="000000"/>
                <w:sz w:val="16"/>
                <w:szCs w:val="16"/>
              </w:rPr>
              <w:t>020</w:t>
            </w:r>
          </w:p>
        </w:tc>
      </w:tr>
      <w:tr w:rsidR="00852C9E" w:rsidRPr="002E2B5B" w14:paraId="5F113EE8" w14:textId="77777777" w:rsidTr="00852C9E">
        <w:trPr>
          <w:trHeight w:val="300"/>
        </w:trPr>
        <w:tc>
          <w:tcPr>
            <w:tcW w:w="3732" w:type="dxa"/>
            <w:tcBorders>
              <w:top w:val="nil"/>
              <w:left w:val="nil"/>
              <w:bottom w:val="nil"/>
              <w:right w:val="nil"/>
            </w:tcBorders>
            <w:shd w:val="clear" w:color="auto" w:fill="auto"/>
            <w:noWrap/>
            <w:vAlign w:val="center"/>
            <w:hideMark/>
          </w:tcPr>
          <w:p w14:paraId="1E65F40F" w14:textId="77777777" w:rsidR="00852C9E" w:rsidRPr="002E2B5B" w:rsidRDefault="00852C9E" w:rsidP="002E2B5B">
            <w:pPr>
              <w:rPr>
                <w:rFonts w:ascii="Calibri" w:hAnsi="Calibri" w:cs="Calibri"/>
                <w:color w:val="000000"/>
                <w:sz w:val="16"/>
                <w:szCs w:val="16"/>
              </w:rPr>
            </w:pPr>
            <w:r w:rsidRPr="002E2B5B">
              <w:rPr>
                <w:rFonts w:ascii="Calibri" w:hAnsi="Calibri" w:cs="Calibri"/>
                <w:color w:val="000000"/>
                <w:sz w:val="16"/>
                <w:szCs w:val="16"/>
              </w:rPr>
              <w:t xml:space="preserve"> Saldo anterior</w:t>
            </w:r>
          </w:p>
        </w:tc>
        <w:tc>
          <w:tcPr>
            <w:tcW w:w="1056" w:type="dxa"/>
            <w:tcBorders>
              <w:top w:val="nil"/>
              <w:left w:val="nil"/>
              <w:bottom w:val="nil"/>
              <w:right w:val="nil"/>
            </w:tcBorders>
            <w:shd w:val="clear" w:color="auto" w:fill="auto"/>
            <w:noWrap/>
            <w:vAlign w:val="center"/>
            <w:hideMark/>
          </w:tcPr>
          <w:p w14:paraId="48509BF2" w14:textId="77777777" w:rsidR="00852C9E" w:rsidRPr="002E2B5B" w:rsidRDefault="00852C9E" w:rsidP="002E2B5B">
            <w:pPr>
              <w:rPr>
                <w:rFonts w:ascii="Calibri" w:hAnsi="Calibri" w:cs="Calibri"/>
                <w:color w:val="000000"/>
                <w:sz w:val="16"/>
                <w:szCs w:val="16"/>
              </w:rPr>
            </w:pPr>
            <w:r w:rsidRPr="002E2B5B">
              <w:rPr>
                <w:rFonts w:ascii="Calibri" w:hAnsi="Calibri" w:cs="Calibri"/>
                <w:color w:val="000000"/>
                <w:sz w:val="16"/>
                <w:szCs w:val="16"/>
              </w:rPr>
              <w:t> </w:t>
            </w:r>
          </w:p>
        </w:tc>
        <w:tc>
          <w:tcPr>
            <w:tcW w:w="1479" w:type="dxa"/>
            <w:gridSpan w:val="2"/>
            <w:tcBorders>
              <w:top w:val="nil"/>
              <w:left w:val="nil"/>
              <w:bottom w:val="nil"/>
              <w:right w:val="nil"/>
            </w:tcBorders>
            <w:shd w:val="clear" w:color="auto" w:fill="auto"/>
            <w:noWrap/>
            <w:vAlign w:val="center"/>
          </w:tcPr>
          <w:p w14:paraId="577B6B1B" w14:textId="77777777" w:rsidR="00852C9E" w:rsidRPr="002E2B5B" w:rsidRDefault="00852C9E" w:rsidP="002E2B5B">
            <w:pPr>
              <w:jc w:val="right"/>
              <w:rPr>
                <w:rFonts w:ascii="Calibri" w:hAnsi="Calibri" w:cs="Calibri"/>
                <w:b/>
                <w:bCs/>
                <w:color w:val="000000"/>
                <w:sz w:val="16"/>
                <w:szCs w:val="16"/>
              </w:rPr>
            </w:pPr>
          </w:p>
        </w:tc>
        <w:tc>
          <w:tcPr>
            <w:tcW w:w="2167" w:type="dxa"/>
            <w:tcBorders>
              <w:top w:val="nil"/>
              <w:left w:val="nil"/>
              <w:bottom w:val="nil"/>
              <w:right w:val="nil"/>
            </w:tcBorders>
            <w:shd w:val="clear" w:color="auto" w:fill="auto"/>
            <w:noWrap/>
            <w:vAlign w:val="center"/>
            <w:hideMark/>
          </w:tcPr>
          <w:p w14:paraId="34C8BCA2" w14:textId="77777777" w:rsidR="00852C9E" w:rsidRPr="002E2B5B" w:rsidRDefault="00852C9E" w:rsidP="002E2B5B">
            <w:pPr>
              <w:jc w:val="right"/>
              <w:rPr>
                <w:rFonts w:ascii="Calibri" w:hAnsi="Calibri" w:cs="Calibri"/>
                <w:color w:val="000000"/>
                <w:sz w:val="16"/>
                <w:szCs w:val="16"/>
              </w:rPr>
            </w:pPr>
            <w:r w:rsidRPr="002E2B5B">
              <w:rPr>
                <w:rFonts w:ascii="Calibri" w:hAnsi="Calibri" w:cs="Calibri"/>
                <w:color w:val="000000"/>
                <w:sz w:val="16"/>
                <w:szCs w:val="16"/>
              </w:rPr>
              <w:t>22.233.502.272</w:t>
            </w:r>
          </w:p>
        </w:tc>
        <w:tc>
          <w:tcPr>
            <w:tcW w:w="1686" w:type="dxa"/>
            <w:tcBorders>
              <w:top w:val="nil"/>
              <w:left w:val="nil"/>
              <w:bottom w:val="nil"/>
              <w:right w:val="nil"/>
            </w:tcBorders>
            <w:vAlign w:val="center"/>
          </w:tcPr>
          <w:p w14:paraId="13F953D1" w14:textId="326392E2" w:rsidR="00852C9E" w:rsidRPr="002E2B5B" w:rsidRDefault="00FA301F" w:rsidP="002E2B5B">
            <w:pPr>
              <w:jc w:val="right"/>
              <w:rPr>
                <w:rFonts w:ascii="Calibri" w:hAnsi="Calibri" w:cs="Calibri"/>
                <w:b/>
                <w:bCs/>
                <w:color w:val="000000"/>
                <w:sz w:val="16"/>
                <w:szCs w:val="16"/>
              </w:rPr>
            </w:pPr>
            <w:r w:rsidRPr="002E2B5B">
              <w:rPr>
                <w:rFonts w:ascii="Calibri" w:hAnsi="Calibri" w:cs="Calibri"/>
                <w:color w:val="000000"/>
                <w:sz w:val="16"/>
                <w:szCs w:val="16"/>
              </w:rPr>
              <w:t>22.233.502.272</w:t>
            </w:r>
          </w:p>
        </w:tc>
      </w:tr>
      <w:tr w:rsidR="00852C9E" w:rsidRPr="002E2B5B" w14:paraId="2C8A4241" w14:textId="77777777" w:rsidTr="00852C9E">
        <w:trPr>
          <w:trHeight w:val="315"/>
        </w:trPr>
        <w:tc>
          <w:tcPr>
            <w:tcW w:w="4788" w:type="dxa"/>
            <w:gridSpan w:val="2"/>
            <w:tcBorders>
              <w:top w:val="nil"/>
              <w:left w:val="nil"/>
              <w:bottom w:val="single" w:sz="8" w:space="0" w:color="auto"/>
              <w:right w:val="nil"/>
            </w:tcBorders>
            <w:shd w:val="clear" w:color="auto" w:fill="auto"/>
            <w:noWrap/>
            <w:vAlign w:val="center"/>
            <w:hideMark/>
          </w:tcPr>
          <w:p w14:paraId="33A73D26" w14:textId="77777777" w:rsidR="00852C9E" w:rsidRPr="002E2B5B" w:rsidRDefault="00852C9E" w:rsidP="002E2B5B">
            <w:pPr>
              <w:rPr>
                <w:rFonts w:ascii="Calibri" w:hAnsi="Calibri" w:cs="Calibri"/>
                <w:color w:val="000000"/>
                <w:sz w:val="16"/>
                <w:szCs w:val="16"/>
              </w:rPr>
            </w:pPr>
            <w:r w:rsidRPr="002E2B5B">
              <w:rPr>
                <w:rFonts w:ascii="Calibri" w:hAnsi="Calibri" w:cs="Calibri"/>
                <w:color w:val="000000"/>
                <w:sz w:val="16"/>
                <w:szCs w:val="16"/>
              </w:rPr>
              <w:t>Aumento do capital pela integralização do AFAC</w:t>
            </w:r>
          </w:p>
        </w:tc>
        <w:tc>
          <w:tcPr>
            <w:tcW w:w="1479" w:type="dxa"/>
            <w:gridSpan w:val="2"/>
            <w:tcBorders>
              <w:top w:val="nil"/>
              <w:left w:val="nil"/>
              <w:bottom w:val="nil"/>
              <w:right w:val="nil"/>
            </w:tcBorders>
            <w:shd w:val="clear" w:color="auto" w:fill="auto"/>
            <w:noWrap/>
            <w:vAlign w:val="center"/>
          </w:tcPr>
          <w:p w14:paraId="31E19FBD" w14:textId="77777777" w:rsidR="00852C9E" w:rsidRPr="002E2B5B" w:rsidRDefault="00852C9E" w:rsidP="002E2B5B">
            <w:pPr>
              <w:jc w:val="right"/>
              <w:rPr>
                <w:rFonts w:ascii="Calibri" w:hAnsi="Calibri" w:cs="Calibri"/>
                <w:color w:val="000000"/>
                <w:sz w:val="16"/>
                <w:szCs w:val="16"/>
              </w:rPr>
            </w:pPr>
          </w:p>
        </w:tc>
        <w:tc>
          <w:tcPr>
            <w:tcW w:w="2167" w:type="dxa"/>
            <w:tcBorders>
              <w:top w:val="nil"/>
              <w:left w:val="nil"/>
              <w:bottom w:val="nil"/>
              <w:right w:val="nil"/>
            </w:tcBorders>
            <w:shd w:val="clear" w:color="auto" w:fill="auto"/>
            <w:noWrap/>
            <w:vAlign w:val="center"/>
            <w:hideMark/>
          </w:tcPr>
          <w:p w14:paraId="37B9F3B2" w14:textId="77777777" w:rsidR="00852C9E" w:rsidRPr="002E2B5B" w:rsidRDefault="00837D86" w:rsidP="002E2B5B">
            <w:pPr>
              <w:jc w:val="right"/>
              <w:rPr>
                <w:rFonts w:ascii="Calibri" w:hAnsi="Calibri" w:cs="Calibri"/>
                <w:color w:val="000000"/>
                <w:sz w:val="16"/>
                <w:szCs w:val="16"/>
              </w:rPr>
            </w:pPr>
            <w:r w:rsidRPr="002E2B5B">
              <w:rPr>
                <w:rFonts w:ascii="Calibri" w:hAnsi="Calibri" w:cs="Calibri"/>
                <w:color w:val="000000"/>
                <w:sz w:val="16"/>
                <w:szCs w:val="16"/>
              </w:rPr>
              <w:t>0</w:t>
            </w:r>
          </w:p>
        </w:tc>
        <w:tc>
          <w:tcPr>
            <w:tcW w:w="1686" w:type="dxa"/>
            <w:tcBorders>
              <w:top w:val="nil"/>
              <w:left w:val="nil"/>
              <w:bottom w:val="nil"/>
              <w:right w:val="nil"/>
            </w:tcBorders>
            <w:shd w:val="clear" w:color="auto" w:fill="auto"/>
            <w:noWrap/>
            <w:vAlign w:val="center"/>
            <w:hideMark/>
          </w:tcPr>
          <w:p w14:paraId="73C6CBED" w14:textId="6BACC7D3" w:rsidR="00852C9E" w:rsidRPr="002E2B5B" w:rsidRDefault="00FA301F" w:rsidP="002E2B5B">
            <w:pPr>
              <w:jc w:val="right"/>
              <w:rPr>
                <w:rFonts w:ascii="Calibri" w:hAnsi="Calibri" w:cs="Calibri"/>
                <w:color w:val="000000"/>
                <w:sz w:val="16"/>
                <w:szCs w:val="16"/>
              </w:rPr>
            </w:pPr>
            <w:r>
              <w:rPr>
                <w:rFonts w:ascii="Calibri" w:hAnsi="Calibri" w:cs="Calibri"/>
                <w:color w:val="000000"/>
                <w:sz w:val="16"/>
                <w:szCs w:val="16"/>
              </w:rPr>
              <w:t>0</w:t>
            </w:r>
          </w:p>
        </w:tc>
      </w:tr>
      <w:tr w:rsidR="00852C9E" w:rsidRPr="002E2B5B" w14:paraId="3C46EB82" w14:textId="77777777" w:rsidTr="00852C9E">
        <w:trPr>
          <w:trHeight w:val="315"/>
        </w:trPr>
        <w:tc>
          <w:tcPr>
            <w:tcW w:w="3732" w:type="dxa"/>
            <w:tcBorders>
              <w:top w:val="nil"/>
              <w:left w:val="nil"/>
              <w:bottom w:val="single" w:sz="8" w:space="0" w:color="auto"/>
              <w:right w:val="nil"/>
            </w:tcBorders>
            <w:shd w:val="clear" w:color="auto" w:fill="auto"/>
            <w:noWrap/>
            <w:vAlign w:val="center"/>
            <w:hideMark/>
          </w:tcPr>
          <w:p w14:paraId="4F1C7488" w14:textId="77777777" w:rsidR="00852C9E" w:rsidRPr="002E2B5B" w:rsidRDefault="00852C9E" w:rsidP="002E2B5B">
            <w:pPr>
              <w:rPr>
                <w:rFonts w:ascii="Calibri" w:hAnsi="Calibri" w:cs="Calibri"/>
                <w:b/>
                <w:bCs/>
                <w:color w:val="000000"/>
                <w:sz w:val="16"/>
                <w:szCs w:val="16"/>
              </w:rPr>
            </w:pPr>
            <w:r w:rsidRPr="002E2B5B">
              <w:rPr>
                <w:rFonts w:ascii="Calibri" w:hAnsi="Calibri" w:cs="Calibri"/>
                <w:b/>
                <w:bCs/>
                <w:color w:val="000000"/>
                <w:sz w:val="16"/>
                <w:szCs w:val="16"/>
              </w:rPr>
              <w:t xml:space="preserve"> TOTAL </w:t>
            </w:r>
          </w:p>
        </w:tc>
        <w:tc>
          <w:tcPr>
            <w:tcW w:w="1056" w:type="dxa"/>
            <w:tcBorders>
              <w:top w:val="nil"/>
              <w:left w:val="nil"/>
              <w:bottom w:val="single" w:sz="8" w:space="0" w:color="auto"/>
              <w:right w:val="nil"/>
            </w:tcBorders>
            <w:shd w:val="clear" w:color="auto" w:fill="auto"/>
            <w:noWrap/>
            <w:vAlign w:val="center"/>
            <w:hideMark/>
          </w:tcPr>
          <w:p w14:paraId="11AF52BC" w14:textId="77777777" w:rsidR="00852C9E" w:rsidRPr="002E2B5B" w:rsidRDefault="00852C9E" w:rsidP="002E2B5B">
            <w:pPr>
              <w:rPr>
                <w:rFonts w:ascii="Calibri" w:hAnsi="Calibri" w:cs="Calibri"/>
                <w:color w:val="000000"/>
                <w:sz w:val="16"/>
                <w:szCs w:val="16"/>
              </w:rPr>
            </w:pPr>
            <w:r w:rsidRPr="002E2B5B">
              <w:rPr>
                <w:rFonts w:ascii="Calibri" w:hAnsi="Calibri" w:cs="Calibri"/>
                <w:color w:val="000000"/>
                <w:sz w:val="16"/>
                <w:szCs w:val="16"/>
              </w:rPr>
              <w:t> </w:t>
            </w:r>
          </w:p>
        </w:tc>
        <w:tc>
          <w:tcPr>
            <w:tcW w:w="1479" w:type="dxa"/>
            <w:gridSpan w:val="2"/>
            <w:tcBorders>
              <w:top w:val="single" w:sz="8" w:space="0" w:color="auto"/>
              <w:left w:val="nil"/>
              <w:bottom w:val="single" w:sz="8" w:space="0" w:color="auto"/>
              <w:right w:val="nil"/>
            </w:tcBorders>
            <w:shd w:val="clear" w:color="auto" w:fill="auto"/>
            <w:noWrap/>
            <w:vAlign w:val="center"/>
          </w:tcPr>
          <w:p w14:paraId="0E05BB29" w14:textId="77777777" w:rsidR="00852C9E" w:rsidRPr="002E2B5B" w:rsidRDefault="00852C9E" w:rsidP="002E2B5B">
            <w:pPr>
              <w:jc w:val="right"/>
              <w:rPr>
                <w:rFonts w:ascii="Calibri" w:hAnsi="Calibri" w:cs="Calibri"/>
                <w:b/>
                <w:bCs/>
                <w:color w:val="000000"/>
                <w:sz w:val="16"/>
                <w:szCs w:val="16"/>
              </w:rPr>
            </w:pPr>
          </w:p>
        </w:tc>
        <w:tc>
          <w:tcPr>
            <w:tcW w:w="2167" w:type="dxa"/>
            <w:tcBorders>
              <w:top w:val="single" w:sz="8" w:space="0" w:color="auto"/>
              <w:left w:val="nil"/>
              <w:bottom w:val="single" w:sz="8" w:space="0" w:color="auto"/>
              <w:right w:val="nil"/>
            </w:tcBorders>
            <w:shd w:val="clear" w:color="auto" w:fill="auto"/>
            <w:noWrap/>
            <w:vAlign w:val="center"/>
            <w:hideMark/>
          </w:tcPr>
          <w:p w14:paraId="0CE9C49A" w14:textId="77777777" w:rsidR="00852C9E" w:rsidRPr="002E2B5B" w:rsidRDefault="00837D86" w:rsidP="002E2B5B">
            <w:pPr>
              <w:jc w:val="right"/>
              <w:rPr>
                <w:rFonts w:ascii="Calibri" w:hAnsi="Calibri" w:cs="Calibri"/>
                <w:b/>
                <w:bCs/>
                <w:color w:val="000000"/>
                <w:sz w:val="16"/>
                <w:szCs w:val="16"/>
              </w:rPr>
            </w:pPr>
            <w:r w:rsidRPr="002E2B5B">
              <w:rPr>
                <w:rFonts w:ascii="Calibri" w:hAnsi="Calibri" w:cs="Calibri"/>
                <w:b/>
                <w:bCs/>
                <w:color w:val="000000"/>
                <w:sz w:val="16"/>
                <w:szCs w:val="16"/>
              </w:rPr>
              <w:t>22.233.502.272</w:t>
            </w:r>
          </w:p>
        </w:tc>
        <w:tc>
          <w:tcPr>
            <w:tcW w:w="1686" w:type="dxa"/>
            <w:tcBorders>
              <w:top w:val="single" w:sz="8" w:space="0" w:color="auto"/>
              <w:left w:val="nil"/>
              <w:bottom w:val="single" w:sz="8" w:space="0" w:color="auto"/>
              <w:right w:val="nil"/>
            </w:tcBorders>
            <w:vAlign w:val="center"/>
          </w:tcPr>
          <w:p w14:paraId="7F27FDF7" w14:textId="77777777" w:rsidR="00852C9E" w:rsidRPr="002E2B5B" w:rsidRDefault="00852C9E" w:rsidP="002E2B5B">
            <w:pPr>
              <w:jc w:val="right"/>
              <w:rPr>
                <w:rFonts w:ascii="Calibri" w:hAnsi="Calibri" w:cs="Calibri"/>
                <w:b/>
                <w:bCs/>
                <w:color w:val="000000"/>
                <w:sz w:val="16"/>
                <w:szCs w:val="16"/>
              </w:rPr>
            </w:pPr>
            <w:r w:rsidRPr="002E2B5B">
              <w:rPr>
                <w:rFonts w:ascii="Calibri" w:hAnsi="Calibri" w:cs="Calibri"/>
                <w:b/>
                <w:bCs/>
                <w:color w:val="000000"/>
                <w:sz w:val="16"/>
                <w:szCs w:val="16"/>
              </w:rPr>
              <w:t>22.233.502.272</w:t>
            </w:r>
          </w:p>
        </w:tc>
      </w:tr>
    </w:tbl>
    <w:p w14:paraId="7236060E" w14:textId="77777777" w:rsidR="00FA301F" w:rsidRDefault="00FA301F" w:rsidP="00FA301F">
      <w:pPr>
        <w:ind w:left="284" w:right="-142"/>
        <w:jc w:val="both"/>
        <w:rPr>
          <w:rFonts w:ascii="Calibri" w:hAnsi="Calibri" w:cs="Calibri"/>
          <w:b/>
          <w:sz w:val="22"/>
          <w:szCs w:val="22"/>
        </w:rPr>
      </w:pPr>
    </w:p>
    <w:p w14:paraId="48882B9A" w14:textId="1D934ABD" w:rsidR="00CB1154" w:rsidRDefault="00D2082F" w:rsidP="002E2B5B">
      <w:pPr>
        <w:numPr>
          <w:ilvl w:val="0"/>
          <w:numId w:val="3"/>
        </w:numPr>
        <w:ind w:left="284" w:right="-142" w:hanging="284"/>
        <w:jc w:val="both"/>
        <w:rPr>
          <w:rFonts w:ascii="Calibri" w:hAnsi="Calibri" w:cs="Calibri"/>
          <w:b/>
          <w:sz w:val="22"/>
          <w:szCs w:val="22"/>
        </w:rPr>
      </w:pPr>
      <w:r w:rsidRPr="002E2B5B">
        <w:rPr>
          <w:rFonts w:ascii="Calibri" w:hAnsi="Calibri" w:cs="Calibri"/>
          <w:b/>
          <w:sz w:val="22"/>
          <w:szCs w:val="22"/>
        </w:rPr>
        <w:t>Prejuízos Acumulados</w:t>
      </w:r>
    </w:p>
    <w:p w14:paraId="36A6EDAE" w14:textId="77777777" w:rsidR="00FA301F" w:rsidRPr="002E2B5B" w:rsidRDefault="00FA301F" w:rsidP="00FA301F">
      <w:pPr>
        <w:ind w:left="284" w:right="-142"/>
        <w:jc w:val="both"/>
        <w:rPr>
          <w:rFonts w:ascii="Calibri" w:hAnsi="Calibri" w:cs="Calibri"/>
          <w:b/>
          <w:sz w:val="22"/>
          <w:szCs w:val="22"/>
        </w:rPr>
      </w:pPr>
    </w:p>
    <w:p w14:paraId="0E74AFFB" w14:textId="53EE6930" w:rsidR="00B87A63" w:rsidRPr="002E2B5B" w:rsidRDefault="00E458B9" w:rsidP="002E2B5B">
      <w:pPr>
        <w:spacing w:after="120"/>
        <w:ind w:right="57"/>
        <w:jc w:val="both"/>
        <w:rPr>
          <w:rFonts w:ascii="Calibri" w:hAnsi="Calibri" w:cs="Calibri"/>
          <w:sz w:val="22"/>
          <w:szCs w:val="22"/>
        </w:rPr>
      </w:pPr>
      <w:r w:rsidRPr="002E2B5B">
        <w:rPr>
          <w:rFonts w:ascii="Calibri" w:hAnsi="Calibri" w:cs="Calibri"/>
          <w:sz w:val="22"/>
          <w:szCs w:val="22"/>
        </w:rPr>
        <w:t xml:space="preserve">O Prejuízo Acumulado no valor </w:t>
      </w:r>
      <w:r w:rsidR="00824D67" w:rsidRPr="002E2B5B">
        <w:rPr>
          <w:rFonts w:ascii="Calibri" w:hAnsi="Calibri" w:cs="Calibri"/>
          <w:sz w:val="22"/>
          <w:szCs w:val="22"/>
        </w:rPr>
        <w:t xml:space="preserve">de R$ </w:t>
      </w:r>
      <w:r w:rsidR="000D65C1" w:rsidRPr="002E2B5B">
        <w:rPr>
          <w:rFonts w:ascii="Calibri" w:hAnsi="Calibri" w:cs="Calibri"/>
          <w:sz w:val="22"/>
          <w:szCs w:val="22"/>
        </w:rPr>
        <w:t>20,</w:t>
      </w:r>
      <w:r w:rsidR="000A115F" w:rsidRPr="002E2B5B">
        <w:rPr>
          <w:rFonts w:ascii="Calibri" w:hAnsi="Calibri" w:cs="Calibri"/>
          <w:sz w:val="22"/>
          <w:szCs w:val="22"/>
        </w:rPr>
        <w:t>3</w:t>
      </w:r>
      <w:r w:rsidR="006A236D" w:rsidRPr="002E2B5B">
        <w:rPr>
          <w:rFonts w:ascii="Calibri" w:hAnsi="Calibri" w:cs="Calibri"/>
          <w:sz w:val="22"/>
          <w:szCs w:val="22"/>
        </w:rPr>
        <w:t xml:space="preserve"> </w:t>
      </w:r>
      <w:r w:rsidR="0035020D" w:rsidRPr="002E2B5B">
        <w:rPr>
          <w:rFonts w:ascii="Calibri" w:hAnsi="Calibri" w:cs="Calibri"/>
          <w:sz w:val="22"/>
          <w:szCs w:val="22"/>
        </w:rPr>
        <w:t>b</w:t>
      </w:r>
      <w:r w:rsidR="006A236D" w:rsidRPr="002E2B5B">
        <w:rPr>
          <w:rFonts w:ascii="Calibri" w:hAnsi="Calibri" w:cs="Calibri"/>
          <w:sz w:val="22"/>
          <w:szCs w:val="22"/>
        </w:rPr>
        <w:t>ilhões</w:t>
      </w:r>
      <w:r w:rsidRPr="002E2B5B">
        <w:rPr>
          <w:rFonts w:ascii="Calibri" w:hAnsi="Calibri" w:cs="Calibri"/>
          <w:sz w:val="22"/>
          <w:szCs w:val="22"/>
        </w:rPr>
        <w:t xml:space="preserve"> decorre</w:t>
      </w:r>
      <w:r w:rsidR="00FB744A" w:rsidRPr="002E2B5B">
        <w:rPr>
          <w:rFonts w:ascii="Calibri" w:hAnsi="Calibri" w:cs="Calibri"/>
          <w:sz w:val="22"/>
          <w:szCs w:val="22"/>
        </w:rPr>
        <w:t xml:space="preserve"> </w:t>
      </w:r>
      <w:r w:rsidR="00AA74D1" w:rsidRPr="002E2B5B">
        <w:rPr>
          <w:rFonts w:ascii="Calibri" w:hAnsi="Calibri" w:cs="Calibri"/>
          <w:sz w:val="22"/>
          <w:szCs w:val="22"/>
        </w:rPr>
        <w:t xml:space="preserve">das depreciações dos bens patrimoniais e amortizações dos bens intangíveis; </w:t>
      </w:r>
      <w:r w:rsidRPr="002E2B5B">
        <w:rPr>
          <w:rFonts w:ascii="Calibri" w:hAnsi="Calibri" w:cs="Calibri"/>
          <w:sz w:val="22"/>
          <w:szCs w:val="22"/>
        </w:rPr>
        <w:t>dos efeitos inflacionários da atualização monetária dos Adiantamentos para Futuro Aumento de Capital; da constituição de provisões e atualizações monetárias; do resultado negativo da equivalência patrimonial sobre o investimento n</w:t>
      </w:r>
      <w:r w:rsidR="001011FD" w:rsidRPr="002E2B5B">
        <w:rPr>
          <w:rFonts w:ascii="Calibri" w:hAnsi="Calibri" w:cs="Calibri"/>
          <w:sz w:val="22"/>
          <w:szCs w:val="22"/>
        </w:rPr>
        <w:t>a Transnordestina Logística S/A;  da baixa de ativo</w:t>
      </w:r>
      <w:r w:rsidR="000C3C86" w:rsidRPr="002E2B5B">
        <w:rPr>
          <w:rFonts w:ascii="Calibri" w:hAnsi="Calibri" w:cs="Calibri"/>
          <w:sz w:val="22"/>
          <w:szCs w:val="22"/>
        </w:rPr>
        <w:t>s</w:t>
      </w:r>
      <w:r w:rsidR="001011FD" w:rsidRPr="002E2B5B">
        <w:rPr>
          <w:rFonts w:ascii="Calibri" w:hAnsi="Calibri" w:cs="Calibri"/>
          <w:sz w:val="22"/>
          <w:szCs w:val="22"/>
        </w:rPr>
        <w:t xml:space="preserve"> imobilizad</w:t>
      </w:r>
      <w:r w:rsidR="00604EFA" w:rsidRPr="002E2B5B">
        <w:rPr>
          <w:rFonts w:ascii="Calibri" w:hAnsi="Calibri" w:cs="Calibri"/>
          <w:sz w:val="22"/>
          <w:szCs w:val="22"/>
        </w:rPr>
        <w:t>o</w:t>
      </w:r>
      <w:r w:rsidR="000C3C86" w:rsidRPr="002E2B5B">
        <w:rPr>
          <w:rFonts w:ascii="Calibri" w:hAnsi="Calibri" w:cs="Calibri"/>
          <w:sz w:val="22"/>
          <w:szCs w:val="22"/>
        </w:rPr>
        <w:t>s</w:t>
      </w:r>
      <w:r w:rsidR="00604EFA" w:rsidRPr="002E2B5B">
        <w:rPr>
          <w:rFonts w:ascii="Calibri" w:hAnsi="Calibri" w:cs="Calibri"/>
          <w:sz w:val="22"/>
          <w:szCs w:val="22"/>
        </w:rPr>
        <w:t xml:space="preserve"> em decorrência da conclusão de Tomadas de Contas Especiais do</w:t>
      </w:r>
      <w:r w:rsidR="001011FD" w:rsidRPr="002E2B5B">
        <w:rPr>
          <w:rFonts w:ascii="Calibri" w:hAnsi="Calibri" w:cs="Calibri"/>
          <w:sz w:val="22"/>
          <w:szCs w:val="22"/>
        </w:rPr>
        <w:t xml:space="preserve"> TCU</w:t>
      </w:r>
      <w:r w:rsidR="00FB744A" w:rsidRPr="002E2B5B">
        <w:rPr>
          <w:rFonts w:ascii="Calibri" w:hAnsi="Calibri" w:cs="Calibri"/>
          <w:sz w:val="22"/>
          <w:szCs w:val="22"/>
        </w:rPr>
        <w:t xml:space="preserve">; e principalmente, pela </w:t>
      </w:r>
      <w:r w:rsidR="0035020D" w:rsidRPr="002E2B5B">
        <w:rPr>
          <w:rFonts w:ascii="Calibri" w:hAnsi="Calibri" w:cs="Calibri"/>
          <w:sz w:val="22"/>
          <w:szCs w:val="22"/>
        </w:rPr>
        <w:t>provisão de perda ao valor recuperável</w:t>
      </w:r>
      <w:r w:rsidR="00FB744A" w:rsidRPr="002E2B5B">
        <w:rPr>
          <w:rFonts w:ascii="Calibri" w:hAnsi="Calibri" w:cs="Calibri"/>
          <w:sz w:val="22"/>
          <w:szCs w:val="22"/>
        </w:rPr>
        <w:t xml:space="preserve"> dos ativos da Ferrovia Norte Sul</w:t>
      </w:r>
      <w:r w:rsidR="00D518C0" w:rsidRPr="002E2B5B">
        <w:rPr>
          <w:rFonts w:ascii="Calibri" w:hAnsi="Calibri" w:cs="Calibri"/>
          <w:sz w:val="22"/>
          <w:szCs w:val="22"/>
        </w:rPr>
        <w:t xml:space="preserve"> e da Ferrovia de Integração Oeste Leste</w:t>
      </w:r>
      <w:r w:rsidR="00586E18">
        <w:rPr>
          <w:rFonts w:ascii="Calibri" w:hAnsi="Calibri" w:cs="Calibri"/>
          <w:sz w:val="22"/>
          <w:szCs w:val="22"/>
        </w:rPr>
        <w:t>.</w:t>
      </w:r>
    </w:p>
    <w:p w14:paraId="7F9B861A" w14:textId="1D7F693D" w:rsidR="00B87A63" w:rsidRPr="002E2B5B" w:rsidRDefault="001A1797" w:rsidP="002E2B5B">
      <w:pPr>
        <w:spacing w:after="120"/>
        <w:ind w:right="57"/>
        <w:jc w:val="both"/>
        <w:rPr>
          <w:rFonts w:ascii="Calibri" w:hAnsi="Calibri" w:cs="Calibri"/>
          <w:sz w:val="22"/>
          <w:szCs w:val="22"/>
        </w:rPr>
      </w:pPr>
      <w:r w:rsidRPr="002E2B5B">
        <w:rPr>
          <w:rFonts w:ascii="Calibri" w:hAnsi="Calibri" w:cs="Calibri"/>
          <w:sz w:val="22"/>
          <w:szCs w:val="22"/>
        </w:rPr>
        <w:t>O valor total da provisão para perda ao valor recuperável de ativos – FNS é de R$ 11,</w:t>
      </w:r>
      <w:r w:rsidR="00F07F25" w:rsidRPr="002E2B5B">
        <w:rPr>
          <w:rFonts w:ascii="Calibri" w:hAnsi="Calibri" w:cs="Calibri"/>
          <w:sz w:val="22"/>
          <w:szCs w:val="22"/>
        </w:rPr>
        <w:t>3</w:t>
      </w:r>
      <w:r w:rsidRPr="002E2B5B">
        <w:rPr>
          <w:rFonts w:ascii="Calibri" w:hAnsi="Calibri" w:cs="Calibri"/>
          <w:sz w:val="22"/>
          <w:szCs w:val="22"/>
        </w:rPr>
        <w:t xml:space="preserve"> bilhões, sendo que R$ 2,3 bilhões foram provisionados em exercícios anteriores</w:t>
      </w:r>
      <w:r w:rsidR="00F07F25" w:rsidRPr="002E2B5B">
        <w:rPr>
          <w:rFonts w:ascii="Calibri" w:hAnsi="Calibri" w:cs="Calibri"/>
          <w:sz w:val="22"/>
          <w:szCs w:val="22"/>
        </w:rPr>
        <w:t xml:space="preserve"> a 2019</w:t>
      </w:r>
      <w:r w:rsidRPr="002E2B5B">
        <w:rPr>
          <w:rFonts w:ascii="Calibri" w:hAnsi="Calibri" w:cs="Calibri"/>
          <w:sz w:val="22"/>
          <w:szCs w:val="22"/>
        </w:rPr>
        <w:t>, por se tratar do Trecho da Ferrovia Norte-Sul subconcedido em 2007 para a empresa FNS S/A</w:t>
      </w:r>
      <w:r w:rsidR="00F07F25" w:rsidRPr="002E2B5B">
        <w:rPr>
          <w:rFonts w:ascii="Calibri" w:hAnsi="Calibri" w:cs="Calibri"/>
          <w:sz w:val="22"/>
          <w:szCs w:val="22"/>
        </w:rPr>
        <w:t>,</w:t>
      </w:r>
      <w:r w:rsidRPr="002E2B5B">
        <w:rPr>
          <w:rFonts w:ascii="Calibri" w:hAnsi="Calibri" w:cs="Calibri"/>
          <w:sz w:val="22"/>
          <w:szCs w:val="22"/>
        </w:rPr>
        <w:t xml:space="preserve"> R$ 8,9 bilhões foram provisionados no exercício de 2019, por ocasião da subconcessão à Rumo </w:t>
      </w:r>
      <w:r w:rsidR="00DB7529" w:rsidRPr="002E2B5B">
        <w:rPr>
          <w:rFonts w:ascii="Calibri" w:hAnsi="Calibri" w:cs="Calibri"/>
          <w:sz w:val="22"/>
          <w:szCs w:val="22"/>
        </w:rPr>
        <w:t>M</w:t>
      </w:r>
      <w:r w:rsidRPr="002E2B5B">
        <w:rPr>
          <w:rFonts w:ascii="Calibri" w:hAnsi="Calibri" w:cs="Calibri"/>
          <w:sz w:val="22"/>
          <w:szCs w:val="22"/>
        </w:rPr>
        <w:t xml:space="preserve">alha Central S/A ocorrida </w:t>
      </w:r>
      <w:r w:rsidR="007A6436" w:rsidRPr="002E2B5B">
        <w:rPr>
          <w:rFonts w:ascii="Calibri" w:hAnsi="Calibri" w:cs="Calibri"/>
          <w:sz w:val="22"/>
          <w:szCs w:val="22"/>
        </w:rPr>
        <w:t xml:space="preserve">em </w:t>
      </w:r>
      <w:r w:rsidR="00216A83">
        <w:rPr>
          <w:rFonts w:ascii="Calibri" w:hAnsi="Calibri" w:cs="Calibri"/>
          <w:sz w:val="22"/>
          <w:szCs w:val="22"/>
        </w:rPr>
        <w:t>j</w:t>
      </w:r>
      <w:r w:rsidR="007A6436" w:rsidRPr="002E2B5B">
        <w:rPr>
          <w:rFonts w:ascii="Calibri" w:hAnsi="Calibri" w:cs="Calibri"/>
          <w:sz w:val="22"/>
          <w:szCs w:val="22"/>
        </w:rPr>
        <w:t>ulho de 2019 e</w:t>
      </w:r>
      <w:r w:rsidR="00F07F25" w:rsidRPr="002E2B5B">
        <w:rPr>
          <w:rFonts w:ascii="Calibri" w:hAnsi="Calibri" w:cs="Calibri"/>
          <w:sz w:val="22"/>
          <w:szCs w:val="22"/>
        </w:rPr>
        <w:t xml:space="preserve"> R$ 42,4 milhões, referente a entrada de custos Ferrovia Norte Sul, foram provisionados no exercício de 2020.</w:t>
      </w:r>
    </w:p>
    <w:p w14:paraId="1ADFDB0C" w14:textId="552CF67E" w:rsidR="009203C8" w:rsidRDefault="000D65C1" w:rsidP="002E2B5B">
      <w:pPr>
        <w:ind w:right="57"/>
        <w:jc w:val="both"/>
        <w:rPr>
          <w:rFonts w:ascii="Calibri" w:hAnsi="Calibri" w:cs="Calibri"/>
          <w:sz w:val="22"/>
          <w:szCs w:val="22"/>
        </w:rPr>
      </w:pPr>
      <w:r w:rsidRPr="002E2B5B">
        <w:rPr>
          <w:rFonts w:ascii="Calibri" w:hAnsi="Calibri" w:cs="Calibri"/>
          <w:sz w:val="22"/>
          <w:szCs w:val="22"/>
        </w:rPr>
        <w:lastRenderedPageBreak/>
        <w:t>O valor total da provisão para perda ao valor recuperável de ativos – FIOL é de R$ 3,2</w:t>
      </w:r>
      <w:r w:rsidR="002E504F" w:rsidRPr="002E2B5B">
        <w:rPr>
          <w:rFonts w:ascii="Calibri" w:hAnsi="Calibri" w:cs="Calibri"/>
          <w:sz w:val="22"/>
          <w:szCs w:val="22"/>
        </w:rPr>
        <w:t>4 bilhões, sendo provisionados R$ 3,19 bilhões em 2019 (reapresentado) e R$ 54,8 milhões em 2020.</w:t>
      </w:r>
    </w:p>
    <w:p w14:paraId="38F92A3F" w14:textId="49D690FF" w:rsidR="00537BFD" w:rsidRDefault="00537BFD" w:rsidP="002E2B5B">
      <w:pPr>
        <w:ind w:right="57"/>
        <w:jc w:val="both"/>
        <w:rPr>
          <w:rFonts w:ascii="Calibri" w:hAnsi="Calibri" w:cs="Calibri"/>
          <w:sz w:val="22"/>
          <w:szCs w:val="22"/>
        </w:rPr>
      </w:pPr>
    </w:p>
    <w:p w14:paraId="478565DF" w14:textId="77777777" w:rsidR="00537BFD" w:rsidRPr="002E2B5B" w:rsidRDefault="00537BFD" w:rsidP="002E2B5B">
      <w:pPr>
        <w:ind w:right="57"/>
        <w:jc w:val="both"/>
        <w:rPr>
          <w:rFonts w:ascii="Calibri" w:hAnsi="Calibri" w:cs="Calibri"/>
          <w:sz w:val="22"/>
          <w:szCs w:val="22"/>
        </w:rPr>
      </w:pPr>
    </w:p>
    <w:p w14:paraId="6FEF7C80" w14:textId="77777777" w:rsidR="00564DCF" w:rsidRPr="002E2B5B" w:rsidRDefault="00564DCF" w:rsidP="002E2B5B">
      <w:pPr>
        <w:ind w:right="57"/>
        <w:jc w:val="both"/>
        <w:rPr>
          <w:rFonts w:ascii="Calibri" w:hAnsi="Calibri" w:cs="Calibri"/>
          <w:sz w:val="22"/>
          <w:szCs w:val="22"/>
        </w:rPr>
      </w:pPr>
    </w:p>
    <w:p w14:paraId="790F8650" w14:textId="443020FC" w:rsidR="000C065B" w:rsidRPr="002E2B5B" w:rsidRDefault="009D6DA2" w:rsidP="002E2B5B">
      <w:pPr>
        <w:spacing w:after="120"/>
        <w:ind w:right="-142"/>
        <w:jc w:val="both"/>
        <w:rPr>
          <w:rFonts w:ascii="Calibri" w:hAnsi="Calibri" w:cs="Calibri"/>
          <w:b/>
          <w:sz w:val="22"/>
          <w:szCs w:val="22"/>
        </w:rPr>
      </w:pPr>
      <w:r w:rsidRPr="002E2B5B">
        <w:rPr>
          <w:rFonts w:ascii="Calibri" w:hAnsi="Calibri" w:cs="Calibri"/>
          <w:b/>
          <w:sz w:val="22"/>
          <w:szCs w:val="22"/>
        </w:rPr>
        <w:t>N</w:t>
      </w:r>
      <w:r w:rsidR="00BE1376" w:rsidRPr="002E2B5B">
        <w:rPr>
          <w:rFonts w:ascii="Calibri" w:hAnsi="Calibri" w:cs="Calibri"/>
          <w:b/>
          <w:sz w:val="22"/>
          <w:szCs w:val="22"/>
        </w:rPr>
        <w:t>OTA 1</w:t>
      </w:r>
      <w:r w:rsidR="00216A83">
        <w:rPr>
          <w:rFonts w:ascii="Calibri" w:hAnsi="Calibri" w:cs="Calibri"/>
          <w:b/>
          <w:sz w:val="22"/>
          <w:szCs w:val="22"/>
        </w:rPr>
        <w:t>5</w:t>
      </w:r>
      <w:r w:rsidR="004E146F" w:rsidRPr="002E2B5B">
        <w:rPr>
          <w:rFonts w:ascii="Calibri" w:hAnsi="Calibri" w:cs="Calibri"/>
          <w:b/>
          <w:sz w:val="22"/>
          <w:szCs w:val="22"/>
        </w:rPr>
        <w:t xml:space="preserve"> </w:t>
      </w:r>
      <w:r w:rsidR="00BD043E" w:rsidRPr="002E2B5B">
        <w:rPr>
          <w:rFonts w:ascii="Calibri" w:hAnsi="Calibri" w:cs="Calibri"/>
          <w:b/>
          <w:sz w:val="22"/>
          <w:szCs w:val="22"/>
        </w:rPr>
        <w:t>–</w:t>
      </w:r>
      <w:r w:rsidR="004E146F" w:rsidRPr="002E2B5B">
        <w:rPr>
          <w:rFonts w:ascii="Calibri" w:hAnsi="Calibri" w:cs="Calibri"/>
          <w:b/>
          <w:sz w:val="22"/>
          <w:szCs w:val="22"/>
        </w:rPr>
        <w:t xml:space="preserve"> </w:t>
      </w:r>
      <w:r w:rsidR="00BD043E" w:rsidRPr="002E2B5B">
        <w:rPr>
          <w:rFonts w:ascii="Calibri" w:hAnsi="Calibri" w:cs="Calibri"/>
          <w:b/>
          <w:sz w:val="22"/>
          <w:szCs w:val="22"/>
        </w:rPr>
        <w:t xml:space="preserve">RECEITAS </w:t>
      </w:r>
      <w:r w:rsidR="00F0179E" w:rsidRPr="002E2B5B">
        <w:rPr>
          <w:rFonts w:ascii="Calibri" w:hAnsi="Calibri" w:cs="Calibri"/>
          <w:b/>
          <w:sz w:val="22"/>
          <w:szCs w:val="22"/>
        </w:rPr>
        <w:t>LÍ</w:t>
      </w:r>
      <w:r w:rsidR="00472E99" w:rsidRPr="002E2B5B">
        <w:rPr>
          <w:rFonts w:ascii="Calibri" w:hAnsi="Calibri" w:cs="Calibri"/>
          <w:b/>
          <w:sz w:val="22"/>
          <w:szCs w:val="22"/>
        </w:rPr>
        <w:t>QUIDAS</w:t>
      </w:r>
    </w:p>
    <w:p w14:paraId="532A392B" w14:textId="7DAEBF11" w:rsidR="00317CCE" w:rsidRDefault="00440A58" w:rsidP="002E2B5B">
      <w:pPr>
        <w:spacing w:after="120"/>
        <w:ind w:right="57"/>
        <w:jc w:val="both"/>
        <w:rPr>
          <w:rFonts w:ascii="Calibri" w:hAnsi="Calibri" w:cs="Calibri"/>
          <w:sz w:val="22"/>
          <w:szCs w:val="22"/>
        </w:rPr>
      </w:pPr>
      <w:r w:rsidRPr="002E2B5B">
        <w:rPr>
          <w:rFonts w:ascii="Calibri" w:hAnsi="Calibri" w:cs="Calibri"/>
          <w:sz w:val="22"/>
          <w:szCs w:val="22"/>
        </w:rPr>
        <w:t>A</w:t>
      </w:r>
      <w:r w:rsidR="009F15D2" w:rsidRPr="002E2B5B">
        <w:rPr>
          <w:rFonts w:ascii="Calibri" w:hAnsi="Calibri" w:cs="Calibri"/>
          <w:sz w:val="22"/>
          <w:szCs w:val="22"/>
        </w:rPr>
        <w:t>s</w:t>
      </w:r>
      <w:r w:rsidRPr="002E2B5B">
        <w:rPr>
          <w:rFonts w:ascii="Calibri" w:hAnsi="Calibri" w:cs="Calibri"/>
          <w:sz w:val="22"/>
          <w:szCs w:val="22"/>
        </w:rPr>
        <w:t xml:space="preserve"> receita</w:t>
      </w:r>
      <w:r w:rsidR="009F15D2" w:rsidRPr="002E2B5B">
        <w:rPr>
          <w:rFonts w:ascii="Calibri" w:hAnsi="Calibri" w:cs="Calibri"/>
          <w:sz w:val="22"/>
          <w:szCs w:val="22"/>
        </w:rPr>
        <w:t>s operacionais da VALEC compreendem as receitas</w:t>
      </w:r>
      <w:r w:rsidRPr="002E2B5B">
        <w:rPr>
          <w:rFonts w:ascii="Calibri" w:hAnsi="Calibri" w:cs="Calibri"/>
          <w:sz w:val="22"/>
          <w:szCs w:val="22"/>
        </w:rPr>
        <w:t xml:space="preserve"> de ex</w:t>
      </w:r>
      <w:r w:rsidR="00733B35" w:rsidRPr="002E2B5B">
        <w:rPr>
          <w:rFonts w:ascii="Calibri" w:hAnsi="Calibri" w:cs="Calibri"/>
          <w:sz w:val="22"/>
          <w:szCs w:val="22"/>
        </w:rPr>
        <w:t>ploração da ferrovia</w:t>
      </w:r>
      <w:r w:rsidR="002A4F16" w:rsidRPr="002E2B5B">
        <w:rPr>
          <w:rFonts w:ascii="Calibri" w:hAnsi="Calibri" w:cs="Calibri"/>
          <w:sz w:val="22"/>
          <w:szCs w:val="22"/>
        </w:rPr>
        <w:t xml:space="preserve"> e</w:t>
      </w:r>
      <w:r w:rsidR="009F15D2" w:rsidRPr="002E2B5B">
        <w:rPr>
          <w:rFonts w:ascii="Calibri" w:hAnsi="Calibri" w:cs="Calibri"/>
          <w:sz w:val="22"/>
          <w:szCs w:val="22"/>
        </w:rPr>
        <w:t xml:space="preserve"> as receitas de permissões de uso de pátios. A receita </w:t>
      </w:r>
      <w:r w:rsidR="00472E99" w:rsidRPr="002E2B5B">
        <w:rPr>
          <w:rFonts w:ascii="Calibri" w:hAnsi="Calibri" w:cs="Calibri"/>
          <w:sz w:val="22"/>
          <w:szCs w:val="22"/>
        </w:rPr>
        <w:t>l</w:t>
      </w:r>
      <w:r w:rsidR="006478A2" w:rsidRPr="002E2B5B">
        <w:rPr>
          <w:rFonts w:ascii="Calibri" w:hAnsi="Calibri" w:cs="Calibri"/>
          <w:sz w:val="22"/>
          <w:szCs w:val="22"/>
        </w:rPr>
        <w:t>í</w:t>
      </w:r>
      <w:r w:rsidR="00472E99" w:rsidRPr="002E2B5B">
        <w:rPr>
          <w:rFonts w:ascii="Calibri" w:hAnsi="Calibri" w:cs="Calibri"/>
          <w:sz w:val="22"/>
          <w:szCs w:val="22"/>
        </w:rPr>
        <w:t xml:space="preserve">quida </w:t>
      </w:r>
      <w:r w:rsidR="009F15D2" w:rsidRPr="002E2B5B">
        <w:rPr>
          <w:rFonts w:ascii="Calibri" w:hAnsi="Calibri" w:cs="Calibri"/>
          <w:sz w:val="22"/>
          <w:szCs w:val="22"/>
        </w:rPr>
        <w:t>realizada</w:t>
      </w:r>
      <w:r w:rsidR="006D335E">
        <w:rPr>
          <w:rFonts w:ascii="Calibri" w:hAnsi="Calibri" w:cs="Calibri"/>
          <w:sz w:val="22"/>
          <w:szCs w:val="22"/>
        </w:rPr>
        <w:t xml:space="preserve"> </w:t>
      </w:r>
      <w:r w:rsidR="00317CCE">
        <w:rPr>
          <w:rFonts w:ascii="Calibri" w:hAnsi="Calibri" w:cs="Calibri"/>
          <w:sz w:val="22"/>
          <w:szCs w:val="22"/>
        </w:rPr>
        <w:t xml:space="preserve">até o </w:t>
      </w:r>
      <w:r w:rsidR="00537BFD">
        <w:rPr>
          <w:rFonts w:ascii="Calibri" w:hAnsi="Calibri" w:cs="Calibri"/>
          <w:sz w:val="22"/>
          <w:szCs w:val="22"/>
        </w:rPr>
        <w:t>terceiro</w:t>
      </w:r>
      <w:r w:rsidR="006D335E">
        <w:rPr>
          <w:rFonts w:ascii="Calibri" w:hAnsi="Calibri" w:cs="Calibri"/>
          <w:sz w:val="22"/>
          <w:szCs w:val="22"/>
        </w:rPr>
        <w:t xml:space="preserve"> trimestre de </w:t>
      </w:r>
      <w:r w:rsidR="008005D5" w:rsidRPr="002E2B5B">
        <w:rPr>
          <w:rFonts w:ascii="Calibri" w:hAnsi="Calibri" w:cs="Calibri"/>
          <w:sz w:val="22"/>
          <w:szCs w:val="22"/>
        </w:rPr>
        <w:t>20</w:t>
      </w:r>
      <w:r w:rsidR="00837D86" w:rsidRPr="002E2B5B">
        <w:rPr>
          <w:rFonts w:ascii="Calibri" w:hAnsi="Calibri" w:cs="Calibri"/>
          <w:sz w:val="22"/>
          <w:szCs w:val="22"/>
        </w:rPr>
        <w:t>2</w:t>
      </w:r>
      <w:r w:rsidR="006D335E">
        <w:rPr>
          <w:rFonts w:ascii="Calibri" w:hAnsi="Calibri" w:cs="Calibri"/>
          <w:sz w:val="22"/>
          <w:szCs w:val="22"/>
        </w:rPr>
        <w:t>1</w:t>
      </w:r>
      <w:r w:rsidR="008005D5" w:rsidRPr="002E2B5B">
        <w:rPr>
          <w:rFonts w:ascii="Calibri" w:hAnsi="Calibri" w:cs="Calibri"/>
          <w:sz w:val="22"/>
          <w:szCs w:val="22"/>
        </w:rPr>
        <w:t xml:space="preserve"> </w:t>
      </w:r>
      <w:r w:rsidR="009F15D2" w:rsidRPr="002E2B5B">
        <w:rPr>
          <w:rFonts w:ascii="Calibri" w:hAnsi="Calibri" w:cs="Calibri"/>
          <w:sz w:val="22"/>
          <w:szCs w:val="22"/>
        </w:rPr>
        <w:t xml:space="preserve">foi de R$ </w:t>
      </w:r>
      <w:r w:rsidR="00317CCE">
        <w:rPr>
          <w:rFonts w:ascii="Calibri" w:hAnsi="Calibri" w:cs="Calibri"/>
          <w:sz w:val="22"/>
          <w:szCs w:val="22"/>
        </w:rPr>
        <w:t>1,</w:t>
      </w:r>
      <w:r w:rsidR="00890FF1">
        <w:rPr>
          <w:rFonts w:ascii="Calibri" w:hAnsi="Calibri" w:cs="Calibri"/>
          <w:sz w:val="22"/>
          <w:szCs w:val="22"/>
        </w:rPr>
        <w:t xml:space="preserve">85 </w:t>
      </w:r>
      <w:r w:rsidR="00317CCE">
        <w:rPr>
          <w:rFonts w:ascii="Calibri" w:hAnsi="Calibri" w:cs="Calibri"/>
          <w:sz w:val="22"/>
          <w:szCs w:val="22"/>
        </w:rPr>
        <w:t>milhões</w:t>
      </w:r>
      <w:r w:rsidR="00216A83">
        <w:rPr>
          <w:rFonts w:ascii="Calibri" w:hAnsi="Calibri" w:cs="Calibri"/>
          <w:sz w:val="22"/>
          <w:szCs w:val="22"/>
        </w:rPr>
        <w:t>.</w:t>
      </w:r>
    </w:p>
    <w:tbl>
      <w:tblPr>
        <w:tblW w:w="5000" w:type="pct"/>
        <w:tblCellMar>
          <w:left w:w="70" w:type="dxa"/>
          <w:right w:w="70" w:type="dxa"/>
        </w:tblCellMar>
        <w:tblLook w:val="04A0" w:firstRow="1" w:lastRow="0" w:firstColumn="1" w:lastColumn="0" w:noHBand="0" w:noVBand="1"/>
      </w:tblPr>
      <w:tblGrid>
        <w:gridCol w:w="3076"/>
        <w:gridCol w:w="415"/>
        <w:gridCol w:w="1744"/>
        <w:gridCol w:w="1744"/>
        <w:gridCol w:w="1744"/>
        <w:gridCol w:w="1744"/>
      </w:tblGrid>
      <w:tr w:rsidR="00317CCE" w:rsidRPr="00B13DBD" w14:paraId="3CD04DCC" w14:textId="77777777" w:rsidTr="00317CCE">
        <w:trPr>
          <w:trHeight w:val="227"/>
        </w:trPr>
        <w:tc>
          <w:tcPr>
            <w:tcW w:w="1667" w:type="pct"/>
            <w:gridSpan w:val="2"/>
            <w:tcBorders>
              <w:top w:val="nil"/>
              <w:left w:val="nil"/>
              <w:bottom w:val="single" w:sz="8" w:space="0" w:color="auto"/>
              <w:right w:val="nil"/>
            </w:tcBorders>
            <w:shd w:val="clear" w:color="auto" w:fill="auto"/>
            <w:noWrap/>
            <w:vAlign w:val="center"/>
            <w:hideMark/>
          </w:tcPr>
          <w:p w14:paraId="0E5F2E68" w14:textId="77777777" w:rsidR="00317CCE" w:rsidRDefault="00317CCE">
            <w:pPr>
              <w:rPr>
                <w:rFonts w:ascii="Calibri" w:hAnsi="Calibri" w:cs="Calibri"/>
                <w:b/>
                <w:bCs/>
                <w:color w:val="000000"/>
                <w:sz w:val="16"/>
                <w:szCs w:val="16"/>
              </w:rPr>
            </w:pPr>
            <w:r>
              <w:rPr>
                <w:rFonts w:ascii="Calibri" w:hAnsi="Calibri" w:cs="Calibri"/>
                <w:b/>
                <w:bCs/>
                <w:color w:val="000000"/>
                <w:sz w:val="16"/>
                <w:szCs w:val="16"/>
              </w:rPr>
              <w:t>RECEITAS LÍQUIDAS</w:t>
            </w:r>
          </w:p>
        </w:tc>
        <w:tc>
          <w:tcPr>
            <w:tcW w:w="833" w:type="pct"/>
            <w:tcBorders>
              <w:top w:val="nil"/>
              <w:left w:val="nil"/>
              <w:bottom w:val="single" w:sz="8" w:space="0" w:color="auto"/>
              <w:right w:val="nil"/>
            </w:tcBorders>
            <w:shd w:val="clear" w:color="auto" w:fill="auto"/>
            <w:noWrap/>
            <w:vAlign w:val="center"/>
            <w:hideMark/>
          </w:tcPr>
          <w:p w14:paraId="7483FFB4" w14:textId="77777777" w:rsidR="00317CCE" w:rsidRDefault="00317CCE">
            <w:pPr>
              <w:rPr>
                <w:rFonts w:ascii="Calibri" w:hAnsi="Calibri" w:cs="Calibri"/>
                <w:b/>
                <w:bCs/>
                <w:color w:val="000000"/>
                <w:sz w:val="16"/>
                <w:szCs w:val="16"/>
              </w:rPr>
            </w:pPr>
            <w:r>
              <w:rPr>
                <w:rFonts w:ascii="Calibri" w:hAnsi="Calibri" w:cs="Calibri"/>
                <w:b/>
                <w:bCs/>
                <w:color w:val="000000"/>
                <w:sz w:val="16"/>
                <w:szCs w:val="16"/>
              </w:rPr>
              <w:t> </w:t>
            </w:r>
          </w:p>
        </w:tc>
        <w:tc>
          <w:tcPr>
            <w:tcW w:w="833" w:type="pct"/>
            <w:tcBorders>
              <w:top w:val="nil"/>
              <w:left w:val="nil"/>
              <w:bottom w:val="single" w:sz="8" w:space="0" w:color="auto"/>
              <w:right w:val="nil"/>
            </w:tcBorders>
            <w:shd w:val="clear" w:color="auto" w:fill="auto"/>
            <w:noWrap/>
            <w:vAlign w:val="center"/>
            <w:hideMark/>
          </w:tcPr>
          <w:p w14:paraId="06F597E0" w14:textId="77777777" w:rsidR="00317CCE" w:rsidRDefault="00317CCE">
            <w:pPr>
              <w:jc w:val="right"/>
              <w:rPr>
                <w:rFonts w:ascii="Calibri" w:hAnsi="Calibri" w:cs="Calibri"/>
                <w:b/>
                <w:bCs/>
                <w:color w:val="000000"/>
                <w:sz w:val="16"/>
                <w:szCs w:val="16"/>
              </w:rPr>
            </w:pPr>
            <w:r>
              <w:rPr>
                <w:rFonts w:ascii="Calibri" w:hAnsi="Calibri" w:cs="Calibri"/>
                <w:b/>
                <w:bCs/>
                <w:color w:val="000000"/>
                <w:sz w:val="16"/>
                <w:szCs w:val="16"/>
              </w:rPr>
              <w:t> </w:t>
            </w:r>
          </w:p>
        </w:tc>
        <w:tc>
          <w:tcPr>
            <w:tcW w:w="833" w:type="pct"/>
            <w:tcBorders>
              <w:top w:val="nil"/>
              <w:left w:val="nil"/>
              <w:bottom w:val="single" w:sz="8" w:space="0" w:color="auto"/>
              <w:right w:val="nil"/>
            </w:tcBorders>
            <w:shd w:val="clear" w:color="auto" w:fill="auto"/>
            <w:noWrap/>
            <w:vAlign w:val="center"/>
            <w:hideMark/>
          </w:tcPr>
          <w:p w14:paraId="16D02D0A" w14:textId="7E11B46D" w:rsidR="00317CCE" w:rsidRDefault="00317CCE">
            <w:pPr>
              <w:jc w:val="right"/>
              <w:rPr>
                <w:rFonts w:ascii="Calibri" w:hAnsi="Calibri" w:cs="Calibri"/>
                <w:b/>
                <w:bCs/>
                <w:color w:val="000000"/>
                <w:sz w:val="16"/>
                <w:szCs w:val="16"/>
              </w:rPr>
            </w:pPr>
            <w:r>
              <w:rPr>
                <w:rFonts w:ascii="Calibri" w:hAnsi="Calibri" w:cs="Calibri"/>
                <w:b/>
                <w:bCs/>
                <w:color w:val="000000"/>
                <w:sz w:val="16"/>
                <w:szCs w:val="16"/>
              </w:rPr>
              <w:t>30/0</w:t>
            </w:r>
            <w:r w:rsidR="00890FF1">
              <w:rPr>
                <w:rFonts w:ascii="Calibri" w:hAnsi="Calibri" w:cs="Calibri"/>
                <w:b/>
                <w:bCs/>
                <w:color w:val="000000"/>
                <w:sz w:val="16"/>
                <w:szCs w:val="16"/>
              </w:rPr>
              <w:t>9</w:t>
            </w:r>
            <w:r>
              <w:rPr>
                <w:rFonts w:ascii="Calibri" w:hAnsi="Calibri" w:cs="Calibri"/>
                <w:b/>
                <w:bCs/>
                <w:color w:val="000000"/>
                <w:sz w:val="16"/>
                <w:szCs w:val="16"/>
              </w:rPr>
              <w:t>/2021</w:t>
            </w:r>
          </w:p>
        </w:tc>
        <w:tc>
          <w:tcPr>
            <w:tcW w:w="833" w:type="pct"/>
            <w:tcBorders>
              <w:top w:val="nil"/>
              <w:left w:val="nil"/>
              <w:bottom w:val="single" w:sz="8" w:space="0" w:color="auto"/>
              <w:right w:val="nil"/>
            </w:tcBorders>
            <w:shd w:val="clear" w:color="auto" w:fill="auto"/>
            <w:noWrap/>
            <w:vAlign w:val="center"/>
            <w:hideMark/>
          </w:tcPr>
          <w:p w14:paraId="4B5CA91B" w14:textId="65586278" w:rsidR="00317CCE" w:rsidRPr="00B13DBD" w:rsidRDefault="00317CCE">
            <w:pPr>
              <w:jc w:val="right"/>
              <w:rPr>
                <w:rFonts w:ascii="Calibri" w:hAnsi="Calibri" w:cs="Calibri"/>
                <w:b/>
                <w:bCs/>
                <w:color w:val="000000"/>
                <w:sz w:val="16"/>
                <w:szCs w:val="16"/>
              </w:rPr>
            </w:pPr>
            <w:r w:rsidRPr="00B13DBD">
              <w:rPr>
                <w:rFonts w:ascii="Calibri" w:hAnsi="Calibri" w:cs="Calibri"/>
                <w:b/>
                <w:bCs/>
                <w:color w:val="000000"/>
                <w:sz w:val="16"/>
                <w:szCs w:val="16"/>
              </w:rPr>
              <w:t>30/0</w:t>
            </w:r>
            <w:r w:rsidR="00890FF1" w:rsidRPr="00B13DBD">
              <w:rPr>
                <w:rFonts w:ascii="Calibri" w:hAnsi="Calibri" w:cs="Calibri"/>
                <w:b/>
                <w:bCs/>
                <w:color w:val="000000"/>
                <w:sz w:val="16"/>
                <w:szCs w:val="16"/>
              </w:rPr>
              <w:t>9</w:t>
            </w:r>
            <w:r w:rsidRPr="00B13DBD">
              <w:rPr>
                <w:rFonts w:ascii="Calibri" w:hAnsi="Calibri" w:cs="Calibri"/>
                <w:b/>
                <w:bCs/>
                <w:color w:val="000000"/>
                <w:sz w:val="16"/>
                <w:szCs w:val="16"/>
              </w:rPr>
              <w:t>/2020</w:t>
            </w:r>
          </w:p>
        </w:tc>
      </w:tr>
      <w:tr w:rsidR="00317CCE" w:rsidRPr="00B13DBD" w14:paraId="1A76B8F2" w14:textId="77777777" w:rsidTr="00317CCE">
        <w:trPr>
          <w:trHeight w:val="227"/>
        </w:trPr>
        <w:tc>
          <w:tcPr>
            <w:tcW w:w="1667" w:type="pct"/>
            <w:gridSpan w:val="2"/>
            <w:tcBorders>
              <w:top w:val="single" w:sz="8" w:space="0" w:color="auto"/>
              <w:left w:val="nil"/>
              <w:bottom w:val="nil"/>
              <w:right w:val="nil"/>
            </w:tcBorders>
            <w:shd w:val="clear" w:color="auto" w:fill="auto"/>
            <w:noWrap/>
            <w:vAlign w:val="center"/>
            <w:hideMark/>
          </w:tcPr>
          <w:p w14:paraId="1E454E8C" w14:textId="77777777" w:rsidR="00317CCE" w:rsidRDefault="00317CCE">
            <w:pPr>
              <w:rPr>
                <w:rFonts w:ascii="Calibri" w:hAnsi="Calibri" w:cs="Calibri"/>
                <w:color w:val="000000"/>
                <w:sz w:val="16"/>
                <w:szCs w:val="16"/>
              </w:rPr>
            </w:pPr>
            <w:r>
              <w:rPr>
                <w:rFonts w:ascii="Calibri" w:hAnsi="Calibri" w:cs="Calibri"/>
                <w:color w:val="000000"/>
                <w:sz w:val="16"/>
                <w:szCs w:val="16"/>
              </w:rPr>
              <w:t>Exploração de ferrovia</w:t>
            </w:r>
          </w:p>
        </w:tc>
        <w:tc>
          <w:tcPr>
            <w:tcW w:w="833" w:type="pct"/>
            <w:tcBorders>
              <w:top w:val="nil"/>
              <w:left w:val="nil"/>
              <w:bottom w:val="nil"/>
              <w:right w:val="nil"/>
            </w:tcBorders>
            <w:shd w:val="clear" w:color="auto" w:fill="auto"/>
            <w:noWrap/>
            <w:vAlign w:val="center"/>
            <w:hideMark/>
          </w:tcPr>
          <w:p w14:paraId="63E3169E" w14:textId="77777777" w:rsidR="00317CCE" w:rsidRDefault="00317CCE">
            <w:pPr>
              <w:rPr>
                <w:rFonts w:ascii="Calibri" w:hAnsi="Calibri" w:cs="Calibri"/>
                <w:color w:val="000000"/>
                <w:sz w:val="16"/>
                <w:szCs w:val="16"/>
              </w:rPr>
            </w:pPr>
          </w:p>
        </w:tc>
        <w:tc>
          <w:tcPr>
            <w:tcW w:w="833" w:type="pct"/>
            <w:tcBorders>
              <w:top w:val="nil"/>
              <w:left w:val="nil"/>
              <w:bottom w:val="nil"/>
              <w:right w:val="nil"/>
            </w:tcBorders>
            <w:shd w:val="clear" w:color="auto" w:fill="auto"/>
            <w:noWrap/>
            <w:vAlign w:val="center"/>
            <w:hideMark/>
          </w:tcPr>
          <w:p w14:paraId="19E7895C" w14:textId="77777777" w:rsidR="00317CCE" w:rsidRDefault="00317CCE">
            <w:pPr>
              <w:rPr>
                <w:sz w:val="20"/>
                <w:szCs w:val="20"/>
              </w:rPr>
            </w:pPr>
          </w:p>
        </w:tc>
        <w:tc>
          <w:tcPr>
            <w:tcW w:w="833" w:type="pct"/>
            <w:tcBorders>
              <w:top w:val="nil"/>
              <w:left w:val="nil"/>
              <w:bottom w:val="nil"/>
              <w:right w:val="nil"/>
            </w:tcBorders>
            <w:shd w:val="clear" w:color="auto" w:fill="auto"/>
            <w:noWrap/>
            <w:vAlign w:val="center"/>
            <w:hideMark/>
          </w:tcPr>
          <w:p w14:paraId="628D5FB8" w14:textId="77777777" w:rsidR="00317CCE" w:rsidRDefault="00317CCE">
            <w:pPr>
              <w:jc w:val="right"/>
              <w:rPr>
                <w:rFonts w:ascii="Calibri" w:hAnsi="Calibri" w:cs="Calibri"/>
                <w:color w:val="000000"/>
                <w:sz w:val="16"/>
                <w:szCs w:val="16"/>
              </w:rPr>
            </w:pPr>
            <w:r>
              <w:rPr>
                <w:rFonts w:ascii="Calibri" w:hAnsi="Calibri" w:cs="Calibri"/>
                <w:color w:val="000000"/>
                <w:sz w:val="16"/>
                <w:szCs w:val="16"/>
              </w:rPr>
              <w:t>110.877</w:t>
            </w:r>
          </w:p>
        </w:tc>
        <w:tc>
          <w:tcPr>
            <w:tcW w:w="833" w:type="pct"/>
            <w:tcBorders>
              <w:top w:val="nil"/>
              <w:left w:val="nil"/>
              <w:bottom w:val="nil"/>
              <w:right w:val="nil"/>
            </w:tcBorders>
            <w:shd w:val="clear" w:color="auto" w:fill="auto"/>
            <w:noWrap/>
            <w:vAlign w:val="center"/>
            <w:hideMark/>
          </w:tcPr>
          <w:p w14:paraId="649DF2C1" w14:textId="59D75D18" w:rsidR="00317CCE" w:rsidRPr="00B13DBD" w:rsidRDefault="00317CCE">
            <w:pPr>
              <w:jc w:val="right"/>
              <w:rPr>
                <w:rFonts w:ascii="Calibri" w:hAnsi="Calibri" w:cs="Calibri"/>
                <w:color w:val="000000"/>
                <w:sz w:val="16"/>
                <w:szCs w:val="16"/>
              </w:rPr>
            </w:pPr>
            <w:r w:rsidRPr="00B13DBD">
              <w:rPr>
                <w:rFonts w:ascii="Calibri" w:hAnsi="Calibri" w:cs="Calibri"/>
                <w:color w:val="000000"/>
                <w:sz w:val="16"/>
                <w:szCs w:val="16"/>
              </w:rPr>
              <w:t>6.251</w:t>
            </w:r>
          </w:p>
        </w:tc>
      </w:tr>
      <w:tr w:rsidR="00317CCE" w:rsidRPr="00B13DBD" w14:paraId="023B66AC" w14:textId="77777777" w:rsidTr="00317CCE">
        <w:trPr>
          <w:trHeight w:val="227"/>
        </w:trPr>
        <w:tc>
          <w:tcPr>
            <w:tcW w:w="2500" w:type="pct"/>
            <w:gridSpan w:val="3"/>
            <w:tcBorders>
              <w:top w:val="nil"/>
              <w:left w:val="nil"/>
              <w:bottom w:val="nil"/>
              <w:right w:val="nil"/>
            </w:tcBorders>
            <w:shd w:val="clear" w:color="auto" w:fill="auto"/>
            <w:noWrap/>
            <w:vAlign w:val="center"/>
            <w:hideMark/>
          </w:tcPr>
          <w:p w14:paraId="57A1E5CB" w14:textId="77777777" w:rsidR="00317CCE" w:rsidRDefault="00317CCE">
            <w:pPr>
              <w:rPr>
                <w:rFonts w:ascii="Calibri" w:hAnsi="Calibri" w:cs="Calibri"/>
                <w:color w:val="000000"/>
                <w:sz w:val="16"/>
                <w:szCs w:val="16"/>
              </w:rPr>
            </w:pPr>
            <w:r>
              <w:rPr>
                <w:rFonts w:ascii="Calibri" w:hAnsi="Calibri" w:cs="Calibri"/>
                <w:color w:val="000000"/>
                <w:sz w:val="16"/>
                <w:szCs w:val="16"/>
              </w:rPr>
              <w:t xml:space="preserve">Permissão de uso de pátios </w:t>
            </w:r>
          </w:p>
        </w:tc>
        <w:tc>
          <w:tcPr>
            <w:tcW w:w="833" w:type="pct"/>
            <w:tcBorders>
              <w:top w:val="nil"/>
              <w:left w:val="nil"/>
              <w:bottom w:val="nil"/>
              <w:right w:val="nil"/>
            </w:tcBorders>
            <w:shd w:val="clear" w:color="auto" w:fill="auto"/>
            <w:noWrap/>
            <w:vAlign w:val="center"/>
            <w:hideMark/>
          </w:tcPr>
          <w:p w14:paraId="78F97A54" w14:textId="77777777" w:rsidR="00317CCE" w:rsidRDefault="00317CCE">
            <w:pPr>
              <w:rPr>
                <w:rFonts w:ascii="Calibri" w:hAnsi="Calibri" w:cs="Calibri"/>
                <w:color w:val="000000"/>
                <w:sz w:val="16"/>
                <w:szCs w:val="16"/>
              </w:rPr>
            </w:pPr>
          </w:p>
        </w:tc>
        <w:tc>
          <w:tcPr>
            <w:tcW w:w="833" w:type="pct"/>
            <w:tcBorders>
              <w:top w:val="nil"/>
              <w:left w:val="nil"/>
              <w:bottom w:val="nil"/>
              <w:right w:val="nil"/>
            </w:tcBorders>
            <w:shd w:val="clear" w:color="auto" w:fill="auto"/>
            <w:noWrap/>
            <w:vAlign w:val="center"/>
            <w:hideMark/>
          </w:tcPr>
          <w:p w14:paraId="15D6E3B3" w14:textId="3BFBCB05" w:rsidR="00317CCE" w:rsidRDefault="00890FF1">
            <w:pPr>
              <w:jc w:val="right"/>
              <w:rPr>
                <w:rFonts w:ascii="Calibri" w:hAnsi="Calibri" w:cs="Calibri"/>
                <w:color w:val="000000"/>
                <w:sz w:val="16"/>
                <w:szCs w:val="16"/>
              </w:rPr>
            </w:pPr>
            <w:r>
              <w:rPr>
                <w:rFonts w:ascii="Calibri" w:hAnsi="Calibri" w:cs="Calibri"/>
                <w:color w:val="000000"/>
                <w:sz w:val="16"/>
                <w:szCs w:val="16"/>
              </w:rPr>
              <w:t>1.905.712</w:t>
            </w:r>
          </w:p>
        </w:tc>
        <w:tc>
          <w:tcPr>
            <w:tcW w:w="833" w:type="pct"/>
            <w:tcBorders>
              <w:top w:val="nil"/>
              <w:left w:val="nil"/>
              <w:bottom w:val="nil"/>
              <w:right w:val="nil"/>
            </w:tcBorders>
            <w:shd w:val="clear" w:color="auto" w:fill="auto"/>
            <w:noWrap/>
            <w:vAlign w:val="center"/>
            <w:hideMark/>
          </w:tcPr>
          <w:p w14:paraId="6FEA152E" w14:textId="52133F19" w:rsidR="00317CCE" w:rsidRPr="00B13DBD" w:rsidRDefault="00B13DBD">
            <w:pPr>
              <w:jc w:val="right"/>
              <w:rPr>
                <w:rFonts w:ascii="Calibri" w:hAnsi="Calibri" w:cs="Calibri"/>
                <w:color w:val="000000"/>
                <w:sz w:val="16"/>
                <w:szCs w:val="16"/>
              </w:rPr>
            </w:pPr>
            <w:r>
              <w:rPr>
                <w:rFonts w:ascii="Calibri" w:hAnsi="Calibri" w:cs="Calibri"/>
                <w:color w:val="000000"/>
                <w:sz w:val="16"/>
                <w:szCs w:val="16"/>
              </w:rPr>
              <w:t>1.395.411</w:t>
            </w:r>
          </w:p>
        </w:tc>
      </w:tr>
      <w:tr w:rsidR="00317CCE" w:rsidRPr="00B13DBD" w14:paraId="5386EFC0" w14:textId="77777777" w:rsidTr="00317CCE">
        <w:trPr>
          <w:trHeight w:val="227"/>
        </w:trPr>
        <w:tc>
          <w:tcPr>
            <w:tcW w:w="1667" w:type="pct"/>
            <w:gridSpan w:val="2"/>
            <w:tcBorders>
              <w:top w:val="nil"/>
              <w:left w:val="nil"/>
              <w:bottom w:val="single" w:sz="8" w:space="0" w:color="auto"/>
              <w:right w:val="nil"/>
            </w:tcBorders>
            <w:shd w:val="clear" w:color="auto" w:fill="auto"/>
            <w:noWrap/>
            <w:vAlign w:val="center"/>
            <w:hideMark/>
          </w:tcPr>
          <w:p w14:paraId="3BDE89C2" w14:textId="64E5F9A6" w:rsidR="00317CCE" w:rsidRDefault="00317CCE">
            <w:pPr>
              <w:rPr>
                <w:rFonts w:ascii="Calibri" w:hAnsi="Calibri" w:cs="Calibri"/>
                <w:color w:val="000000"/>
                <w:sz w:val="16"/>
                <w:szCs w:val="16"/>
              </w:rPr>
            </w:pPr>
            <w:r>
              <w:rPr>
                <w:rFonts w:ascii="Calibri" w:hAnsi="Calibri" w:cs="Calibri"/>
                <w:color w:val="000000"/>
                <w:sz w:val="16"/>
                <w:szCs w:val="16"/>
              </w:rPr>
              <w:t>Dedução de receita (-)</w:t>
            </w:r>
          </w:p>
        </w:tc>
        <w:tc>
          <w:tcPr>
            <w:tcW w:w="833" w:type="pct"/>
            <w:tcBorders>
              <w:top w:val="nil"/>
              <w:left w:val="nil"/>
              <w:bottom w:val="nil"/>
              <w:right w:val="nil"/>
            </w:tcBorders>
            <w:shd w:val="clear" w:color="auto" w:fill="auto"/>
            <w:noWrap/>
            <w:vAlign w:val="center"/>
            <w:hideMark/>
          </w:tcPr>
          <w:p w14:paraId="6357B6F0" w14:textId="77777777" w:rsidR="00317CCE" w:rsidRDefault="00317CCE">
            <w:pPr>
              <w:rPr>
                <w:rFonts w:ascii="Calibri" w:hAnsi="Calibri" w:cs="Calibri"/>
                <w:color w:val="000000"/>
                <w:sz w:val="16"/>
                <w:szCs w:val="16"/>
              </w:rPr>
            </w:pPr>
          </w:p>
        </w:tc>
        <w:tc>
          <w:tcPr>
            <w:tcW w:w="833" w:type="pct"/>
            <w:tcBorders>
              <w:top w:val="nil"/>
              <w:left w:val="nil"/>
              <w:bottom w:val="nil"/>
              <w:right w:val="nil"/>
            </w:tcBorders>
            <w:shd w:val="clear" w:color="auto" w:fill="auto"/>
            <w:noWrap/>
            <w:vAlign w:val="center"/>
            <w:hideMark/>
          </w:tcPr>
          <w:p w14:paraId="3711EF67" w14:textId="77777777" w:rsidR="00317CCE" w:rsidRDefault="00317CCE">
            <w:pPr>
              <w:rPr>
                <w:sz w:val="20"/>
                <w:szCs w:val="20"/>
              </w:rPr>
            </w:pPr>
          </w:p>
        </w:tc>
        <w:tc>
          <w:tcPr>
            <w:tcW w:w="833" w:type="pct"/>
            <w:tcBorders>
              <w:top w:val="nil"/>
              <w:left w:val="nil"/>
              <w:bottom w:val="nil"/>
              <w:right w:val="nil"/>
            </w:tcBorders>
            <w:shd w:val="clear" w:color="auto" w:fill="auto"/>
            <w:noWrap/>
            <w:vAlign w:val="center"/>
            <w:hideMark/>
          </w:tcPr>
          <w:p w14:paraId="461A1091" w14:textId="1D5E4C49" w:rsidR="00317CCE" w:rsidRDefault="00317CCE">
            <w:pPr>
              <w:jc w:val="right"/>
              <w:rPr>
                <w:rFonts w:ascii="Calibri" w:hAnsi="Calibri" w:cs="Calibri"/>
                <w:color w:val="000000"/>
                <w:sz w:val="16"/>
                <w:szCs w:val="16"/>
              </w:rPr>
            </w:pPr>
            <w:r>
              <w:rPr>
                <w:rFonts w:ascii="Calibri" w:hAnsi="Calibri" w:cs="Calibri"/>
                <w:color w:val="000000"/>
                <w:sz w:val="16"/>
                <w:szCs w:val="16"/>
              </w:rPr>
              <w:t>(163.240)</w:t>
            </w:r>
          </w:p>
        </w:tc>
        <w:tc>
          <w:tcPr>
            <w:tcW w:w="833" w:type="pct"/>
            <w:tcBorders>
              <w:top w:val="nil"/>
              <w:left w:val="nil"/>
              <w:bottom w:val="nil"/>
              <w:right w:val="nil"/>
            </w:tcBorders>
            <w:shd w:val="clear" w:color="auto" w:fill="auto"/>
            <w:noWrap/>
            <w:vAlign w:val="center"/>
            <w:hideMark/>
          </w:tcPr>
          <w:p w14:paraId="70FA75D2" w14:textId="30247578" w:rsidR="00317CCE" w:rsidRPr="00B13DBD" w:rsidRDefault="00317CCE">
            <w:pPr>
              <w:jc w:val="right"/>
              <w:rPr>
                <w:rFonts w:ascii="Calibri" w:hAnsi="Calibri" w:cs="Calibri"/>
                <w:color w:val="000000"/>
                <w:sz w:val="16"/>
                <w:szCs w:val="16"/>
              </w:rPr>
            </w:pPr>
            <w:r w:rsidRPr="00B13DBD">
              <w:rPr>
                <w:rFonts w:ascii="Calibri" w:hAnsi="Calibri" w:cs="Calibri"/>
                <w:color w:val="000000"/>
                <w:sz w:val="16"/>
                <w:szCs w:val="16"/>
              </w:rPr>
              <w:t>(443.967)</w:t>
            </w:r>
          </w:p>
        </w:tc>
      </w:tr>
      <w:tr w:rsidR="00317CCE" w:rsidRPr="00B13DBD" w14:paraId="251F76E5" w14:textId="77777777" w:rsidTr="00317CCE">
        <w:trPr>
          <w:trHeight w:val="227"/>
        </w:trPr>
        <w:tc>
          <w:tcPr>
            <w:tcW w:w="1469" w:type="pct"/>
            <w:tcBorders>
              <w:top w:val="nil"/>
              <w:left w:val="nil"/>
              <w:bottom w:val="single" w:sz="8" w:space="0" w:color="auto"/>
              <w:right w:val="nil"/>
            </w:tcBorders>
            <w:shd w:val="clear" w:color="auto" w:fill="auto"/>
            <w:noWrap/>
            <w:vAlign w:val="center"/>
            <w:hideMark/>
          </w:tcPr>
          <w:p w14:paraId="7AA87954" w14:textId="77777777" w:rsidR="00317CCE" w:rsidRDefault="00317CCE">
            <w:pPr>
              <w:rPr>
                <w:rFonts w:ascii="Calibri" w:hAnsi="Calibri" w:cs="Calibri"/>
                <w:b/>
                <w:bCs/>
                <w:color w:val="000000"/>
                <w:sz w:val="16"/>
                <w:szCs w:val="16"/>
              </w:rPr>
            </w:pPr>
            <w:r>
              <w:rPr>
                <w:rFonts w:ascii="Calibri" w:hAnsi="Calibri" w:cs="Calibri"/>
                <w:b/>
                <w:bCs/>
                <w:color w:val="000000"/>
                <w:sz w:val="16"/>
                <w:szCs w:val="16"/>
              </w:rPr>
              <w:t xml:space="preserve"> TOTAL </w:t>
            </w:r>
          </w:p>
        </w:tc>
        <w:tc>
          <w:tcPr>
            <w:tcW w:w="197" w:type="pct"/>
            <w:tcBorders>
              <w:top w:val="nil"/>
              <w:left w:val="nil"/>
              <w:bottom w:val="single" w:sz="8" w:space="0" w:color="auto"/>
              <w:right w:val="nil"/>
            </w:tcBorders>
            <w:shd w:val="clear" w:color="auto" w:fill="auto"/>
            <w:noWrap/>
            <w:vAlign w:val="center"/>
            <w:hideMark/>
          </w:tcPr>
          <w:p w14:paraId="2C4390E4" w14:textId="77777777" w:rsidR="00317CCE" w:rsidRDefault="00317CCE">
            <w:pPr>
              <w:rPr>
                <w:rFonts w:ascii="Calibri" w:hAnsi="Calibri" w:cs="Calibri"/>
                <w:color w:val="000000"/>
                <w:sz w:val="16"/>
                <w:szCs w:val="16"/>
              </w:rPr>
            </w:pPr>
            <w:r>
              <w:rPr>
                <w:rFonts w:ascii="Calibri" w:hAnsi="Calibri" w:cs="Calibri"/>
                <w:color w:val="000000"/>
                <w:sz w:val="16"/>
                <w:szCs w:val="16"/>
              </w:rPr>
              <w:t> </w:t>
            </w:r>
          </w:p>
        </w:tc>
        <w:tc>
          <w:tcPr>
            <w:tcW w:w="833" w:type="pct"/>
            <w:tcBorders>
              <w:top w:val="single" w:sz="8" w:space="0" w:color="auto"/>
              <w:left w:val="nil"/>
              <w:bottom w:val="single" w:sz="8" w:space="0" w:color="auto"/>
              <w:right w:val="nil"/>
            </w:tcBorders>
            <w:shd w:val="clear" w:color="auto" w:fill="auto"/>
            <w:noWrap/>
            <w:vAlign w:val="center"/>
            <w:hideMark/>
          </w:tcPr>
          <w:p w14:paraId="371A3A98" w14:textId="77777777" w:rsidR="00317CCE" w:rsidRDefault="00317CCE">
            <w:pPr>
              <w:rPr>
                <w:rFonts w:ascii="Calibri" w:hAnsi="Calibri" w:cs="Calibri"/>
                <w:color w:val="000000"/>
                <w:sz w:val="16"/>
                <w:szCs w:val="16"/>
              </w:rPr>
            </w:pPr>
            <w:r>
              <w:rPr>
                <w:rFonts w:ascii="Calibri" w:hAnsi="Calibri" w:cs="Calibri"/>
                <w:color w:val="000000"/>
                <w:sz w:val="16"/>
                <w:szCs w:val="16"/>
              </w:rPr>
              <w:t> </w:t>
            </w:r>
          </w:p>
        </w:tc>
        <w:tc>
          <w:tcPr>
            <w:tcW w:w="833" w:type="pct"/>
            <w:tcBorders>
              <w:top w:val="single" w:sz="8" w:space="0" w:color="auto"/>
              <w:left w:val="nil"/>
              <w:bottom w:val="single" w:sz="8" w:space="0" w:color="auto"/>
              <w:right w:val="nil"/>
            </w:tcBorders>
            <w:shd w:val="clear" w:color="auto" w:fill="auto"/>
            <w:noWrap/>
            <w:vAlign w:val="center"/>
            <w:hideMark/>
          </w:tcPr>
          <w:p w14:paraId="0446A2CD" w14:textId="77777777" w:rsidR="00317CCE" w:rsidRDefault="00317CCE">
            <w:pPr>
              <w:jc w:val="right"/>
              <w:rPr>
                <w:rFonts w:ascii="Calibri" w:hAnsi="Calibri" w:cs="Calibri"/>
                <w:b/>
                <w:bCs/>
                <w:color w:val="000000"/>
                <w:sz w:val="16"/>
                <w:szCs w:val="16"/>
              </w:rPr>
            </w:pPr>
            <w:r>
              <w:rPr>
                <w:rFonts w:ascii="Calibri" w:hAnsi="Calibri" w:cs="Calibri"/>
                <w:b/>
                <w:bCs/>
                <w:color w:val="000000"/>
                <w:sz w:val="16"/>
                <w:szCs w:val="16"/>
              </w:rPr>
              <w:t> </w:t>
            </w:r>
          </w:p>
        </w:tc>
        <w:tc>
          <w:tcPr>
            <w:tcW w:w="833" w:type="pct"/>
            <w:tcBorders>
              <w:top w:val="single" w:sz="8" w:space="0" w:color="auto"/>
              <w:left w:val="nil"/>
              <w:bottom w:val="single" w:sz="8" w:space="0" w:color="auto"/>
              <w:right w:val="nil"/>
            </w:tcBorders>
            <w:shd w:val="clear" w:color="auto" w:fill="auto"/>
            <w:noWrap/>
            <w:vAlign w:val="center"/>
            <w:hideMark/>
          </w:tcPr>
          <w:p w14:paraId="24E05430" w14:textId="22956917" w:rsidR="00317CCE" w:rsidRDefault="00890FF1">
            <w:pPr>
              <w:jc w:val="right"/>
              <w:rPr>
                <w:rFonts w:ascii="Calibri" w:hAnsi="Calibri" w:cs="Calibri"/>
                <w:b/>
                <w:bCs/>
                <w:color w:val="000000"/>
                <w:sz w:val="16"/>
                <w:szCs w:val="16"/>
              </w:rPr>
            </w:pPr>
            <w:r>
              <w:rPr>
                <w:rFonts w:ascii="Calibri" w:hAnsi="Calibri" w:cs="Calibri"/>
                <w:b/>
                <w:bCs/>
                <w:color w:val="000000"/>
                <w:sz w:val="16"/>
                <w:szCs w:val="16"/>
              </w:rPr>
              <w:t>1.853.349</w:t>
            </w:r>
          </w:p>
        </w:tc>
        <w:tc>
          <w:tcPr>
            <w:tcW w:w="833" w:type="pct"/>
            <w:tcBorders>
              <w:top w:val="single" w:sz="8" w:space="0" w:color="auto"/>
              <w:left w:val="nil"/>
              <w:bottom w:val="single" w:sz="8" w:space="0" w:color="auto"/>
              <w:right w:val="nil"/>
            </w:tcBorders>
            <w:shd w:val="clear" w:color="auto" w:fill="auto"/>
            <w:noWrap/>
            <w:vAlign w:val="center"/>
            <w:hideMark/>
          </w:tcPr>
          <w:p w14:paraId="4D0A7460" w14:textId="7667E6D9" w:rsidR="00317CCE" w:rsidRPr="00B13DBD" w:rsidRDefault="00B13DBD">
            <w:pPr>
              <w:jc w:val="right"/>
              <w:rPr>
                <w:rFonts w:ascii="Calibri" w:hAnsi="Calibri" w:cs="Calibri"/>
                <w:b/>
                <w:bCs/>
                <w:color w:val="000000"/>
                <w:sz w:val="16"/>
                <w:szCs w:val="16"/>
              </w:rPr>
            </w:pPr>
            <w:r>
              <w:rPr>
                <w:rFonts w:ascii="Calibri" w:hAnsi="Calibri" w:cs="Calibri"/>
                <w:b/>
                <w:bCs/>
                <w:color w:val="000000"/>
                <w:sz w:val="16"/>
                <w:szCs w:val="16"/>
              </w:rPr>
              <w:t>957.695</w:t>
            </w:r>
          </w:p>
        </w:tc>
      </w:tr>
    </w:tbl>
    <w:p w14:paraId="1DBF27CF" w14:textId="77777777" w:rsidR="005D2F2E" w:rsidRDefault="005D2F2E" w:rsidP="002E2B5B">
      <w:pPr>
        <w:ind w:right="-142"/>
        <w:rPr>
          <w:rFonts w:ascii="Calibri" w:hAnsi="Calibri" w:cs="Calibri"/>
          <w:b/>
          <w:color w:val="000000"/>
          <w:sz w:val="22"/>
          <w:szCs w:val="22"/>
        </w:rPr>
      </w:pPr>
    </w:p>
    <w:p w14:paraId="58553EBF" w14:textId="5629D437" w:rsidR="004E146F" w:rsidRPr="002E2B5B" w:rsidRDefault="00434FB3" w:rsidP="002E2B5B">
      <w:pPr>
        <w:ind w:right="-142"/>
        <w:rPr>
          <w:rFonts w:ascii="Calibri" w:hAnsi="Calibri" w:cs="Calibri"/>
          <w:b/>
          <w:color w:val="000000"/>
          <w:sz w:val="22"/>
          <w:szCs w:val="22"/>
        </w:rPr>
      </w:pPr>
      <w:r w:rsidRPr="002E2B5B">
        <w:rPr>
          <w:rFonts w:ascii="Calibri" w:hAnsi="Calibri" w:cs="Calibri"/>
          <w:b/>
          <w:color w:val="000000"/>
          <w:sz w:val="22"/>
          <w:szCs w:val="22"/>
        </w:rPr>
        <w:t>NOTA 1</w:t>
      </w:r>
      <w:r w:rsidR="00216A83">
        <w:rPr>
          <w:rFonts w:ascii="Calibri" w:hAnsi="Calibri" w:cs="Calibri"/>
          <w:b/>
          <w:color w:val="000000"/>
          <w:sz w:val="22"/>
          <w:szCs w:val="22"/>
        </w:rPr>
        <w:t>6</w:t>
      </w:r>
      <w:r w:rsidRPr="002E2B5B">
        <w:rPr>
          <w:rFonts w:ascii="Calibri" w:hAnsi="Calibri" w:cs="Calibri"/>
          <w:b/>
          <w:color w:val="000000"/>
          <w:sz w:val="22"/>
          <w:szCs w:val="22"/>
        </w:rPr>
        <w:t xml:space="preserve"> - </w:t>
      </w:r>
      <w:r w:rsidR="004E146F" w:rsidRPr="002E2B5B">
        <w:rPr>
          <w:rFonts w:ascii="Calibri" w:hAnsi="Calibri" w:cs="Calibri"/>
          <w:b/>
          <w:color w:val="000000"/>
          <w:sz w:val="22"/>
          <w:szCs w:val="22"/>
        </w:rPr>
        <w:t>DESPESAS OPERACIONAIS</w:t>
      </w:r>
    </w:p>
    <w:p w14:paraId="12FE1760" w14:textId="77777777" w:rsidR="00B0612B" w:rsidRPr="002E2B5B" w:rsidRDefault="00B0612B" w:rsidP="002E2B5B">
      <w:pPr>
        <w:ind w:right="-142"/>
        <w:rPr>
          <w:rFonts w:ascii="Calibri" w:hAnsi="Calibri" w:cs="Calibri"/>
          <w:b/>
          <w:color w:val="FF0000"/>
          <w:sz w:val="22"/>
          <w:szCs w:val="22"/>
        </w:rPr>
      </w:pPr>
    </w:p>
    <w:p w14:paraId="5954F75B" w14:textId="3435E9A0" w:rsidR="001C75AC" w:rsidRPr="00B92F90" w:rsidRDefault="00235CD9" w:rsidP="002E2B5B">
      <w:pPr>
        <w:numPr>
          <w:ilvl w:val="0"/>
          <w:numId w:val="1"/>
        </w:numPr>
        <w:ind w:left="284" w:right="-142" w:hanging="284"/>
        <w:rPr>
          <w:rFonts w:ascii="Calibri" w:hAnsi="Calibri" w:cs="Calibri"/>
          <w:b/>
          <w:sz w:val="22"/>
          <w:szCs w:val="22"/>
        </w:rPr>
      </w:pPr>
      <w:r w:rsidRPr="002E2B5B">
        <w:rPr>
          <w:rFonts w:ascii="Calibri" w:hAnsi="Calibri" w:cs="Calibri"/>
          <w:b/>
          <w:color w:val="000000"/>
          <w:sz w:val="22"/>
          <w:szCs w:val="22"/>
        </w:rPr>
        <w:t>Despesas com Pessoal</w:t>
      </w:r>
    </w:p>
    <w:p w14:paraId="135077B1" w14:textId="77777777" w:rsidR="00B92F90" w:rsidRPr="00216A83" w:rsidRDefault="00B92F90" w:rsidP="00B92F90">
      <w:pPr>
        <w:ind w:left="284" w:right="-142"/>
        <w:rPr>
          <w:rFonts w:ascii="Calibri" w:hAnsi="Calibri" w:cs="Calibri"/>
          <w:b/>
          <w:sz w:val="22"/>
          <w:szCs w:val="22"/>
        </w:rPr>
      </w:pPr>
    </w:p>
    <w:p w14:paraId="2975842F" w14:textId="1A8FD0E5" w:rsidR="00216A83" w:rsidRDefault="00216A83" w:rsidP="00216A83">
      <w:pPr>
        <w:jc w:val="both"/>
        <w:rPr>
          <w:rFonts w:ascii="Calibri" w:hAnsi="Calibri" w:cs="Calibri"/>
          <w:color w:val="000000"/>
          <w:sz w:val="22"/>
          <w:szCs w:val="22"/>
        </w:rPr>
      </w:pPr>
      <w:r w:rsidRPr="00216A83">
        <w:rPr>
          <w:rFonts w:ascii="Calibri" w:hAnsi="Calibri" w:cs="Calibri"/>
          <w:color w:val="000000"/>
          <w:sz w:val="22"/>
          <w:szCs w:val="22"/>
        </w:rPr>
        <w:t xml:space="preserve">As despesas com pessoal, incluindo remuneração, encargos e benefícios totalizaram no período R$ </w:t>
      </w:r>
      <w:r w:rsidR="001F5F93">
        <w:rPr>
          <w:rFonts w:ascii="Calibri" w:hAnsi="Calibri" w:cs="Calibri"/>
          <w:color w:val="000000"/>
          <w:sz w:val="22"/>
          <w:szCs w:val="22"/>
        </w:rPr>
        <w:t>85</w:t>
      </w:r>
      <w:r w:rsidRPr="00216A83">
        <w:rPr>
          <w:rFonts w:ascii="Calibri" w:hAnsi="Calibri" w:cs="Calibri"/>
          <w:color w:val="000000"/>
          <w:sz w:val="22"/>
          <w:szCs w:val="22"/>
        </w:rPr>
        <w:t xml:space="preserve"> milhões</w:t>
      </w:r>
      <w:r>
        <w:rPr>
          <w:rFonts w:ascii="Calibri" w:hAnsi="Calibri" w:cs="Calibri"/>
          <w:color w:val="000000"/>
          <w:sz w:val="22"/>
          <w:szCs w:val="22"/>
        </w:rPr>
        <w:t>:</w:t>
      </w:r>
    </w:p>
    <w:p w14:paraId="0F504E6A" w14:textId="77777777" w:rsidR="0033029E" w:rsidRDefault="0033029E" w:rsidP="00216A83">
      <w:pPr>
        <w:jc w:val="both"/>
        <w:rPr>
          <w:rFonts w:ascii="Calibri" w:hAnsi="Calibri" w:cs="Calibri"/>
          <w:color w:val="000000"/>
          <w:sz w:val="22"/>
          <w:szCs w:val="22"/>
        </w:rPr>
      </w:pPr>
    </w:p>
    <w:tbl>
      <w:tblPr>
        <w:tblW w:w="5000" w:type="pct"/>
        <w:tblCellMar>
          <w:left w:w="70" w:type="dxa"/>
          <w:right w:w="70" w:type="dxa"/>
        </w:tblCellMar>
        <w:tblLook w:val="04A0" w:firstRow="1" w:lastRow="0" w:firstColumn="1" w:lastColumn="0" w:noHBand="0" w:noVBand="1"/>
      </w:tblPr>
      <w:tblGrid>
        <w:gridCol w:w="6037"/>
        <w:gridCol w:w="2215"/>
        <w:gridCol w:w="2215"/>
      </w:tblGrid>
      <w:tr w:rsidR="0033029E" w14:paraId="025E5247" w14:textId="77777777" w:rsidTr="0033029E">
        <w:trPr>
          <w:trHeight w:hRule="exact" w:val="227"/>
        </w:trPr>
        <w:tc>
          <w:tcPr>
            <w:tcW w:w="2883" w:type="pct"/>
            <w:tcBorders>
              <w:top w:val="single" w:sz="8" w:space="0" w:color="auto"/>
              <w:left w:val="nil"/>
              <w:bottom w:val="single" w:sz="8" w:space="0" w:color="auto"/>
              <w:right w:val="nil"/>
            </w:tcBorders>
            <w:shd w:val="clear" w:color="auto" w:fill="auto"/>
            <w:noWrap/>
            <w:vAlign w:val="center"/>
            <w:hideMark/>
          </w:tcPr>
          <w:p w14:paraId="51CC3D46" w14:textId="77777777" w:rsidR="0033029E" w:rsidRDefault="0033029E">
            <w:pPr>
              <w:rPr>
                <w:rFonts w:ascii="Calibri" w:hAnsi="Calibri" w:cs="Calibri"/>
                <w:b/>
                <w:bCs/>
                <w:color w:val="000000"/>
                <w:sz w:val="16"/>
                <w:szCs w:val="16"/>
              </w:rPr>
            </w:pPr>
            <w:r>
              <w:rPr>
                <w:rFonts w:ascii="Calibri" w:hAnsi="Calibri" w:cs="Calibri"/>
                <w:b/>
                <w:bCs/>
                <w:color w:val="000000"/>
                <w:sz w:val="16"/>
                <w:szCs w:val="16"/>
              </w:rPr>
              <w:t>DESPESAS COM PESSOAL</w:t>
            </w:r>
          </w:p>
        </w:tc>
        <w:tc>
          <w:tcPr>
            <w:tcW w:w="1058" w:type="pct"/>
            <w:tcBorders>
              <w:top w:val="single" w:sz="8" w:space="0" w:color="auto"/>
              <w:left w:val="nil"/>
              <w:bottom w:val="single" w:sz="8" w:space="0" w:color="auto"/>
              <w:right w:val="nil"/>
            </w:tcBorders>
            <w:shd w:val="clear" w:color="auto" w:fill="auto"/>
            <w:vAlign w:val="center"/>
            <w:hideMark/>
          </w:tcPr>
          <w:p w14:paraId="235789B6" w14:textId="4889BFC5" w:rsidR="0033029E" w:rsidRDefault="0033029E">
            <w:pPr>
              <w:jc w:val="right"/>
              <w:rPr>
                <w:rFonts w:ascii="Calibri" w:hAnsi="Calibri" w:cs="Calibri"/>
                <w:b/>
                <w:bCs/>
                <w:color w:val="000000"/>
                <w:sz w:val="16"/>
                <w:szCs w:val="16"/>
              </w:rPr>
            </w:pPr>
            <w:r>
              <w:rPr>
                <w:rFonts w:ascii="Calibri" w:hAnsi="Calibri" w:cs="Calibri"/>
                <w:b/>
                <w:bCs/>
                <w:color w:val="000000"/>
                <w:sz w:val="16"/>
                <w:szCs w:val="16"/>
              </w:rPr>
              <w:t>30/0</w:t>
            </w:r>
            <w:r w:rsidR="00890FF1">
              <w:rPr>
                <w:rFonts w:ascii="Calibri" w:hAnsi="Calibri" w:cs="Calibri"/>
                <w:b/>
                <w:bCs/>
                <w:color w:val="000000"/>
                <w:sz w:val="16"/>
                <w:szCs w:val="16"/>
              </w:rPr>
              <w:t>9</w:t>
            </w:r>
            <w:r>
              <w:rPr>
                <w:rFonts w:ascii="Calibri" w:hAnsi="Calibri" w:cs="Calibri"/>
                <w:b/>
                <w:bCs/>
                <w:color w:val="000000"/>
                <w:sz w:val="16"/>
                <w:szCs w:val="16"/>
              </w:rPr>
              <w:t>/2021</w:t>
            </w:r>
          </w:p>
        </w:tc>
        <w:tc>
          <w:tcPr>
            <w:tcW w:w="1058" w:type="pct"/>
            <w:tcBorders>
              <w:top w:val="single" w:sz="8" w:space="0" w:color="auto"/>
              <w:left w:val="nil"/>
              <w:bottom w:val="single" w:sz="8" w:space="0" w:color="auto"/>
              <w:right w:val="nil"/>
            </w:tcBorders>
            <w:shd w:val="clear" w:color="auto" w:fill="auto"/>
            <w:vAlign w:val="center"/>
            <w:hideMark/>
          </w:tcPr>
          <w:p w14:paraId="704AD871" w14:textId="6F44BF0E" w:rsidR="0033029E" w:rsidRPr="00B13DBD" w:rsidRDefault="0033029E">
            <w:pPr>
              <w:jc w:val="right"/>
              <w:rPr>
                <w:rFonts w:ascii="Calibri" w:hAnsi="Calibri" w:cs="Calibri"/>
                <w:b/>
                <w:bCs/>
                <w:color w:val="000000"/>
                <w:sz w:val="16"/>
                <w:szCs w:val="16"/>
              </w:rPr>
            </w:pPr>
            <w:r w:rsidRPr="00B13DBD">
              <w:rPr>
                <w:rFonts w:ascii="Calibri" w:hAnsi="Calibri" w:cs="Calibri"/>
                <w:b/>
                <w:bCs/>
                <w:color w:val="000000"/>
                <w:sz w:val="16"/>
                <w:szCs w:val="16"/>
              </w:rPr>
              <w:t>30/0</w:t>
            </w:r>
            <w:r w:rsidR="00890FF1" w:rsidRPr="00B13DBD">
              <w:rPr>
                <w:rFonts w:ascii="Calibri" w:hAnsi="Calibri" w:cs="Calibri"/>
                <w:b/>
                <w:bCs/>
                <w:color w:val="000000"/>
                <w:sz w:val="16"/>
                <w:szCs w:val="16"/>
              </w:rPr>
              <w:t>9</w:t>
            </w:r>
            <w:r w:rsidRPr="00B13DBD">
              <w:rPr>
                <w:rFonts w:ascii="Calibri" w:hAnsi="Calibri" w:cs="Calibri"/>
                <w:b/>
                <w:bCs/>
                <w:color w:val="000000"/>
                <w:sz w:val="16"/>
                <w:szCs w:val="16"/>
              </w:rPr>
              <w:t>/2020</w:t>
            </w:r>
          </w:p>
        </w:tc>
      </w:tr>
      <w:tr w:rsidR="0033029E" w14:paraId="7267DAD0" w14:textId="77777777" w:rsidTr="0033029E">
        <w:trPr>
          <w:trHeight w:hRule="exact" w:val="227"/>
        </w:trPr>
        <w:tc>
          <w:tcPr>
            <w:tcW w:w="2883" w:type="pct"/>
            <w:tcBorders>
              <w:top w:val="nil"/>
              <w:left w:val="nil"/>
              <w:bottom w:val="nil"/>
              <w:right w:val="nil"/>
            </w:tcBorders>
            <w:shd w:val="clear" w:color="auto" w:fill="auto"/>
            <w:noWrap/>
            <w:vAlign w:val="center"/>
            <w:hideMark/>
          </w:tcPr>
          <w:p w14:paraId="77871E91" w14:textId="77777777" w:rsidR="0033029E" w:rsidRDefault="0033029E">
            <w:pPr>
              <w:rPr>
                <w:rFonts w:ascii="Calibri" w:hAnsi="Calibri" w:cs="Calibri"/>
                <w:color w:val="000000"/>
                <w:sz w:val="16"/>
                <w:szCs w:val="16"/>
              </w:rPr>
            </w:pPr>
            <w:r>
              <w:rPr>
                <w:rFonts w:ascii="Calibri" w:hAnsi="Calibri" w:cs="Calibri"/>
                <w:color w:val="000000"/>
                <w:sz w:val="16"/>
                <w:szCs w:val="16"/>
              </w:rPr>
              <w:t>Remuneração (Salários, gratificações, 13º salário e férias)</w:t>
            </w:r>
          </w:p>
        </w:tc>
        <w:tc>
          <w:tcPr>
            <w:tcW w:w="1058" w:type="pct"/>
            <w:tcBorders>
              <w:top w:val="nil"/>
              <w:left w:val="nil"/>
              <w:bottom w:val="nil"/>
              <w:right w:val="nil"/>
            </w:tcBorders>
            <w:shd w:val="clear" w:color="auto" w:fill="auto"/>
            <w:vAlign w:val="center"/>
            <w:hideMark/>
          </w:tcPr>
          <w:p w14:paraId="15ACAA66" w14:textId="68572E46" w:rsidR="0033029E" w:rsidRDefault="0033029E">
            <w:pPr>
              <w:jc w:val="right"/>
              <w:rPr>
                <w:rFonts w:ascii="Calibri" w:hAnsi="Calibri" w:cs="Calibri"/>
                <w:color w:val="000000"/>
                <w:sz w:val="16"/>
                <w:szCs w:val="16"/>
              </w:rPr>
            </w:pPr>
            <w:r>
              <w:rPr>
                <w:rFonts w:ascii="Calibri" w:hAnsi="Calibri" w:cs="Calibri"/>
                <w:color w:val="000000"/>
                <w:sz w:val="16"/>
                <w:szCs w:val="16"/>
              </w:rPr>
              <w:t>(</w:t>
            </w:r>
            <w:r w:rsidR="002656B6">
              <w:rPr>
                <w:rFonts w:ascii="Calibri" w:hAnsi="Calibri" w:cs="Calibri"/>
                <w:color w:val="000000"/>
                <w:sz w:val="16"/>
                <w:szCs w:val="16"/>
              </w:rPr>
              <w:t>55.892.515</w:t>
            </w:r>
            <w:r>
              <w:rPr>
                <w:rFonts w:ascii="Calibri" w:hAnsi="Calibri" w:cs="Calibri"/>
                <w:color w:val="000000"/>
                <w:sz w:val="16"/>
                <w:szCs w:val="16"/>
              </w:rPr>
              <w:t>)</w:t>
            </w:r>
          </w:p>
        </w:tc>
        <w:tc>
          <w:tcPr>
            <w:tcW w:w="1058" w:type="pct"/>
            <w:tcBorders>
              <w:top w:val="nil"/>
              <w:left w:val="nil"/>
              <w:bottom w:val="nil"/>
              <w:right w:val="nil"/>
            </w:tcBorders>
            <w:shd w:val="clear" w:color="auto" w:fill="auto"/>
            <w:vAlign w:val="center"/>
            <w:hideMark/>
          </w:tcPr>
          <w:p w14:paraId="1C11D011" w14:textId="183AC971" w:rsidR="0033029E" w:rsidRPr="00B13DBD" w:rsidRDefault="0033029E">
            <w:pPr>
              <w:jc w:val="right"/>
              <w:rPr>
                <w:rFonts w:ascii="Calibri" w:hAnsi="Calibri" w:cs="Calibri"/>
                <w:color w:val="000000"/>
                <w:sz w:val="16"/>
                <w:szCs w:val="16"/>
              </w:rPr>
            </w:pPr>
            <w:r w:rsidRPr="00B13DBD">
              <w:rPr>
                <w:rFonts w:ascii="Calibri" w:hAnsi="Calibri" w:cs="Calibri"/>
                <w:color w:val="000000"/>
                <w:sz w:val="16"/>
                <w:szCs w:val="16"/>
              </w:rPr>
              <w:t>(</w:t>
            </w:r>
            <w:r w:rsidR="001F5F93">
              <w:rPr>
                <w:rFonts w:ascii="Calibri" w:hAnsi="Calibri" w:cs="Calibri"/>
                <w:color w:val="000000"/>
                <w:sz w:val="16"/>
                <w:szCs w:val="16"/>
              </w:rPr>
              <w:t>59.265.735</w:t>
            </w:r>
            <w:r w:rsidRPr="00B13DBD">
              <w:rPr>
                <w:rFonts w:ascii="Calibri" w:hAnsi="Calibri" w:cs="Calibri"/>
                <w:color w:val="000000"/>
                <w:sz w:val="16"/>
                <w:szCs w:val="16"/>
              </w:rPr>
              <w:t>)</w:t>
            </w:r>
          </w:p>
        </w:tc>
      </w:tr>
      <w:tr w:rsidR="0033029E" w14:paraId="05E4CAEA" w14:textId="77777777" w:rsidTr="0033029E">
        <w:trPr>
          <w:trHeight w:hRule="exact" w:val="227"/>
        </w:trPr>
        <w:tc>
          <w:tcPr>
            <w:tcW w:w="2883" w:type="pct"/>
            <w:tcBorders>
              <w:top w:val="nil"/>
              <w:left w:val="nil"/>
              <w:bottom w:val="nil"/>
              <w:right w:val="nil"/>
            </w:tcBorders>
            <w:shd w:val="clear" w:color="auto" w:fill="auto"/>
            <w:noWrap/>
            <w:vAlign w:val="center"/>
            <w:hideMark/>
          </w:tcPr>
          <w:p w14:paraId="15425813" w14:textId="77777777" w:rsidR="0033029E" w:rsidRDefault="0033029E">
            <w:pPr>
              <w:rPr>
                <w:rFonts w:ascii="Calibri" w:hAnsi="Calibri" w:cs="Calibri"/>
                <w:color w:val="000000"/>
                <w:sz w:val="16"/>
                <w:szCs w:val="16"/>
              </w:rPr>
            </w:pPr>
            <w:r>
              <w:rPr>
                <w:rFonts w:ascii="Calibri" w:hAnsi="Calibri" w:cs="Calibri"/>
                <w:color w:val="000000"/>
                <w:sz w:val="16"/>
                <w:szCs w:val="16"/>
              </w:rPr>
              <w:t>Encargos Sociais (INSS, FGTS e Prev. Complementar)</w:t>
            </w:r>
          </w:p>
        </w:tc>
        <w:tc>
          <w:tcPr>
            <w:tcW w:w="1058" w:type="pct"/>
            <w:tcBorders>
              <w:top w:val="nil"/>
              <w:left w:val="nil"/>
              <w:bottom w:val="nil"/>
              <w:right w:val="nil"/>
            </w:tcBorders>
            <w:shd w:val="clear" w:color="auto" w:fill="auto"/>
            <w:vAlign w:val="center"/>
            <w:hideMark/>
          </w:tcPr>
          <w:p w14:paraId="2D3983C8" w14:textId="641E436E" w:rsidR="0033029E" w:rsidRDefault="0033029E">
            <w:pPr>
              <w:jc w:val="right"/>
              <w:rPr>
                <w:rFonts w:ascii="Calibri" w:hAnsi="Calibri" w:cs="Calibri"/>
                <w:color w:val="000000"/>
                <w:sz w:val="16"/>
                <w:szCs w:val="16"/>
              </w:rPr>
            </w:pPr>
            <w:r>
              <w:rPr>
                <w:rFonts w:ascii="Calibri" w:hAnsi="Calibri" w:cs="Calibri"/>
                <w:color w:val="000000"/>
                <w:sz w:val="16"/>
                <w:szCs w:val="16"/>
              </w:rPr>
              <w:t>(</w:t>
            </w:r>
            <w:r w:rsidR="002656B6">
              <w:rPr>
                <w:rFonts w:ascii="Calibri" w:hAnsi="Calibri" w:cs="Calibri"/>
                <w:color w:val="000000"/>
                <w:sz w:val="16"/>
                <w:szCs w:val="16"/>
              </w:rPr>
              <w:t>21.844.006</w:t>
            </w:r>
            <w:r>
              <w:rPr>
                <w:rFonts w:ascii="Calibri" w:hAnsi="Calibri" w:cs="Calibri"/>
                <w:color w:val="000000"/>
                <w:sz w:val="16"/>
                <w:szCs w:val="16"/>
              </w:rPr>
              <w:t>)</w:t>
            </w:r>
          </w:p>
        </w:tc>
        <w:tc>
          <w:tcPr>
            <w:tcW w:w="1058" w:type="pct"/>
            <w:tcBorders>
              <w:top w:val="nil"/>
              <w:left w:val="nil"/>
              <w:bottom w:val="nil"/>
              <w:right w:val="nil"/>
            </w:tcBorders>
            <w:shd w:val="clear" w:color="auto" w:fill="auto"/>
            <w:vAlign w:val="center"/>
            <w:hideMark/>
          </w:tcPr>
          <w:p w14:paraId="12814FF3" w14:textId="637328B5" w:rsidR="0033029E" w:rsidRPr="00B13DBD" w:rsidRDefault="0033029E">
            <w:pPr>
              <w:jc w:val="right"/>
              <w:rPr>
                <w:rFonts w:ascii="Calibri" w:hAnsi="Calibri" w:cs="Calibri"/>
                <w:color w:val="000000"/>
                <w:sz w:val="16"/>
                <w:szCs w:val="16"/>
              </w:rPr>
            </w:pPr>
            <w:r w:rsidRPr="00B13DBD">
              <w:rPr>
                <w:rFonts w:ascii="Calibri" w:hAnsi="Calibri" w:cs="Calibri"/>
                <w:color w:val="000000"/>
                <w:sz w:val="16"/>
                <w:szCs w:val="16"/>
              </w:rPr>
              <w:t>(</w:t>
            </w:r>
            <w:r w:rsidR="001F5F93">
              <w:rPr>
                <w:rFonts w:ascii="Calibri" w:hAnsi="Calibri" w:cs="Calibri"/>
                <w:color w:val="000000"/>
                <w:sz w:val="16"/>
                <w:szCs w:val="16"/>
              </w:rPr>
              <w:t>22.861.709</w:t>
            </w:r>
            <w:r w:rsidRPr="00B13DBD">
              <w:rPr>
                <w:rFonts w:ascii="Calibri" w:hAnsi="Calibri" w:cs="Calibri"/>
                <w:color w:val="000000"/>
                <w:sz w:val="16"/>
                <w:szCs w:val="16"/>
              </w:rPr>
              <w:t>)</w:t>
            </w:r>
          </w:p>
        </w:tc>
      </w:tr>
      <w:tr w:rsidR="0033029E" w14:paraId="0BBEC47C" w14:textId="77777777" w:rsidTr="0033029E">
        <w:trPr>
          <w:trHeight w:hRule="exact" w:val="227"/>
        </w:trPr>
        <w:tc>
          <w:tcPr>
            <w:tcW w:w="2883" w:type="pct"/>
            <w:tcBorders>
              <w:top w:val="nil"/>
              <w:left w:val="nil"/>
              <w:bottom w:val="single" w:sz="8" w:space="0" w:color="auto"/>
              <w:right w:val="nil"/>
            </w:tcBorders>
            <w:shd w:val="clear" w:color="auto" w:fill="auto"/>
            <w:noWrap/>
            <w:vAlign w:val="center"/>
            <w:hideMark/>
          </w:tcPr>
          <w:p w14:paraId="354917E0" w14:textId="77777777" w:rsidR="0033029E" w:rsidRDefault="0033029E">
            <w:pPr>
              <w:rPr>
                <w:rFonts w:ascii="Calibri" w:hAnsi="Calibri" w:cs="Calibri"/>
                <w:color w:val="000000"/>
                <w:sz w:val="16"/>
                <w:szCs w:val="16"/>
              </w:rPr>
            </w:pPr>
            <w:r>
              <w:rPr>
                <w:rFonts w:ascii="Calibri" w:hAnsi="Calibri" w:cs="Calibri"/>
                <w:color w:val="000000"/>
                <w:sz w:val="16"/>
                <w:szCs w:val="16"/>
              </w:rPr>
              <w:t>Benefícios (transporte, creche, saúde e alimentação)</w:t>
            </w:r>
          </w:p>
        </w:tc>
        <w:tc>
          <w:tcPr>
            <w:tcW w:w="1058" w:type="pct"/>
            <w:tcBorders>
              <w:top w:val="nil"/>
              <w:left w:val="nil"/>
              <w:bottom w:val="single" w:sz="8" w:space="0" w:color="auto"/>
              <w:right w:val="nil"/>
            </w:tcBorders>
            <w:shd w:val="clear" w:color="auto" w:fill="auto"/>
            <w:vAlign w:val="center"/>
            <w:hideMark/>
          </w:tcPr>
          <w:p w14:paraId="5025ADF0" w14:textId="698E2276" w:rsidR="0033029E" w:rsidRDefault="0033029E">
            <w:pPr>
              <w:jc w:val="right"/>
              <w:rPr>
                <w:rFonts w:ascii="Calibri" w:hAnsi="Calibri" w:cs="Calibri"/>
                <w:color w:val="000000"/>
                <w:sz w:val="16"/>
                <w:szCs w:val="16"/>
              </w:rPr>
            </w:pPr>
            <w:r>
              <w:rPr>
                <w:rFonts w:ascii="Calibri" w:hAnsi="Calibri" w:cs="Calibri"/>
                <w:color w:val="000000"/>
                <w:sz w:val="16"/>
                <w:szCs w:val="16"/>
              </w:rPr>
              <w:t>(</w:t>
            </w:r>
            <w:r w:rsidR="002656B6">
              <w:rPr>
                <w:rFonts w:ascii="Calibri" w:hAnsi="Calibri" w:cs="Calibri"/>
                <w:color w:val="000000"/>
                <w:sz w:val="16"/>
                <w:szCs w:val="16"/>
              </w:rPr>
              <w:t>7.653.236</w:t>
            </w:r>
            <w:r>
              <w:rPr>
                <w:rFonts w:ascii="Calibri" w:hAnsi="Calibri" w:cs="Calibri"/>
                <w:color w:val="000000"/>
                <w:sz w:val="16"/>
                <w:szCs w:val="16"/>
              </w:rPr>
              <w:t>)</w:t>
            </w:r>
          </w:p>
        </w:tc>
        <w:tc>
          <w:tcPr>
            <w:tcW w:w="1058" w:type="pct"/>
            <w:tcBorders>
              <w:top w:val="nil"/>
              <w:left w:val="nil"/>
              <w:bottom w:val="single" w:sz="8" w:space="0" w:color="auto"/>
              <w:right w:val="nil"/>
            </w:tcBorders>
            <w:shd w:val="clear" w:color="auto" w:fill="auto"/>
            <w:vAlign w:val="center"/>
            <w:hideMark/>
          </w:tcPr>
          <w:p w14:paraId="508EA78E" w14:textId="11C0B45C" w:rsidR="0033029E" w:rsidRPr="00B13DBD" w:rsidRDefault="0033029E">
            <w:pPr>
              <w:jc w:val="right"/>
              <w:rPr>
                <w:rFonts w:ascii="Calibri" w:hAnsi="Calibri" w:cs="Calibri"/>
                <w:color w:val="000000"/>
                <w:sz w:val="16"/>
                <w:szCs w:val="16"/>
              </w:rPr>
            </w:pPr>
            <w:r w:rsidRPr="00B13DBD">
              <w:rPr>
                <w:rFonts w:ascii="Calibri" w:hAnsi="Calibri" w:cs="Calibri"/>
                <w:color w:val="000000"/>
                <w:sz w:val="16"/>
                <w:szCs w:val="16"/>
              </w:rPr>
              <w:t>(</w:t>
            </w:r>
            <w:r w:rsidR="001F5F93">
              <w:rPr>
                <w:rFonts w:ascii="Calibri" w:hAnsi="Calibri" w:cs="Calibri"/>
                <w:color w:val="000000"/>
                <w:sz w:val="16"/>
                <w:szCs w:val="16"/>
              </w:rPr>
              <w:t>7.519.329</w:t>
            </w:r>
            <w:r w:rsidRPr="00B13DBD">
              <w:rPr>
                <w:rFonts w:ascii="Calibri" w:hAnsi="Calibri" w:cs="Calibri"/>
                <w:color w:val="000000"/>
                <w:sz w:val="16"/>
                <w:szCs w:val="16"/>
              </w:rPr>
              <w:t>)</w:t>
            </w:r>
          </w:p>
        </w:tc>
      </w:tr>
      <w:tr w:rsidR="0033029E" w14:paraId="38DFE193" w14:textId="77777777" w:rsidTr="0033029E">
        <w:trPr>
          <w:trHeight w:hRule="exact" w:val="227"/>
        </w:trPr>
        <w:tc>
          <w:tcPr>
            <w:tcW w:w="2883" w:type="pct"/>
            <w:tcBorders>
              <w:top w:val="nil"/>
              <w:left w:val="nil"/>
              <w:bottom w:val="single" w:sz="8" w:space="0" w:color="auto"/>
              <w:right w:val="nil"/>
            </w:tcBorders>
            <w:shd w:val="clear" w:color="auto" w:fill="auto"/>
            <w:noWrap/>
            <w:vAlign w:val="center"/>
            <w:hideMark/>
          </w:tcPr>
          <w:p w14:paraId="308490FB" w14:textId="77777777" w:rsidR="0033029E" w:rsidRDefault="0033029E">
            <w:pPr>
              <w:rPr>
                <w:rFonts w:ascii="Calibri" w:hAnsi="Calibri" w:cs="Calibri"/>
                <w:b/>
                <w:bCs/>
                <w:color w:val="000000"/>
                <w:sz w:val="16"/>
                <w:szCs w:val="16"/>
              </w:rPr>
            </w:pPr>
            <w:r>
              <w:rPr>
                <w:rFonts w:ascii="Calibri" w:hAnsi="Calibri" w:cs="Calibri"/>
                <w:b/>
                <w:bCs/>
                <w:color w:val="000000"/>
                <w:sz w:val="16"/>
                <w:szCs w:val="16"/>
              </w:rPr>
              <w:t>Total das Despesas com Pessoal</w:t>
            </w:r>
          </w:p>
        </w:tc>
        <w:tc>
          <w:tcPr>
            <w:tcW w:w="1058" w:type="pct"/>
            <w:tcBorders>
              <w:top w:val="nil"/>
              <w:left w:val="nil"/>
              <w:bottom w:val="single" w:sz="8" w:space="0" w:color="auto"/>
              <w:right w:val="nil"/>
            </w:tcBorders>
            <w:shd w:val="clear" w:color="auto" w:fill="auto"/>
            <w:vAlign w:val="center"/>
            <w:hideMark/>
          </w:tcPr>
          <w:p w14:paraId="68BAAF0B" w14:textId="3C503858" w:rsidR="0033029E" w:rsidRDefault="0033029E">
            <w:pPr>
              <w:jc w:val="right"/>
              <w:rPr>
                <w:rFonts w:ascii="Calibri" w:hAnsi="Calibri" w:cs="Calibri"/>
                <w:b/>
                <w:bCs/>
                <w:color w:val="000000"/>
                <w:sz w:val="16"/>
                <w:szCs w:val="16"/>
              </w:rPr>
            </w:pPr>
            <w:r>
              <w:rPr>
                <w:rFonts w:ascii="Calibri" w:hAnsi="Calibri" w:cs="Calibri"/>
                <w:b/>
                <w:bCs/>
                <w:color w:val="000000"/>
                <w:sz w:val="16"/>
                <w:szCs w:val="16"/>
              </w:rPr>
              <w:t>(</w:t>
            </w:r>
            <w:r w:rsidR="00890FF1">
              <w:rPr>
                <w:rFonts w:ascii="Calibri" w:hAnsi="Calibri" w:cs="Calibri"/>
                <w:b/>
                <w:bCs/>
                <w:color w:val="000000"/>
                <w:sz w:val="16"/>
                <w:szCs w:val="16"/>
              </w:rPr>
              <w:t>85.389.757</w:t>
            </w:r>
            <w:r>
              <w:rPr>
                <w:rFonts w:ascii="Calibri" w:hAnsi="Calibri" w:cs="Calibri"/>
                <w:b/>
                <w:bCs/>
                <w:color w:val="000000"/>
                <w:sz w:val="16"/>
                <w:szCs w:val="16"/>
              </w:rPr>
              <w:t>)</w:t>
            </w:r>
          </w:p>
        </w:tc>
        <w:tc>
          <w:tcPr>
            <w:tcW w:w="1058" w:type="pct"/>
            <w:tcBorders>
              <w:top w:val="nil"/>
              <w:left w:val="nil"/>
              <w:bottom w:val="single" w:sz="8" w:space="0" w:color="auto"/>
              <w:right w:val="nil"/>
            </w:tcBorders>
            <w:shd w:val="clear" w:color="auto" w:fill="auto"/>
            <w:vAlign w:val="center"/>
            <w:hideMark/>
          </w:tcPr>
          <w:p w14:paraId="5CDA2C3C" w14:textId="16D7AA40" w:rsidR="0033029E" w:rsidRPr="00B13DBD" w:rsidRDefault="0033029E">
            <w:pPr>
              <w:jc w:val="right"/>
              <w:rPr>
                <w:rFonts w:ascii="Calibri" w:hAnsi="Calibri" w:cs="Calibri"/>
                <w:b/>
                <w:bCs/>
                <w:color w:val="000000"/>
                <w:sz w:val="16"/>
                <w:szCs w:val="16"/>
              </w:rPr>
            </w:pPr>
            <w:r w:rsidRPr="00B13DBD">
              <w:rPr>
                <w:rFonts w:ascii="Calibri" w:hAnsi="Calibri" w:cs="Calibri"/>
                <w:b/>
                <w:bCs/>
                <w:color w:val="000000"/>
                <w:sz w:val="16"/>
                <w:szCs w:val="16"/>
              </w:rPr>
              <w:t>(</w:t>
            </w:r>
            <w:r w:rsidR="001F5F93">
              <w:rPr>
                <w:rFonts w:ascii="Calibri" w:hAnsi="Calibri" w:cs="Calibri"/>
                <w:b/>
                <w:bCs/>
                <w:color w:val="000000"/>
                <w:sz w:val="16"/>
                <w:szCs w:val="16"/>
              </w:rPr>
              <w:t>89.646.773</w:t>
            </w:r>
            <w:r w:rsidRPr="00B13DBD">
              <w:rPr>
                <w:rFonts w:ascii="Calibri" w:hAnsi="Calibri" w:cs="Calibri"/>
                <w:b/>
                <w:bCs/>
                <w:color w:val="000000"/>
                <w:sz w:val="16"/>
                <w:szCs w:val="16"/>
              </w:rPr>
              <w:t>)</w:t>
            </w:r>
          </w:p>
        </w:tc>
      </w:tr>
      <w:tr w:rsidR="0033029E" w14:paraId="7BF60659" w14:textId="77777777" w:rsidTr="0033029E">
        <w:trPr>
          <w:trHeight w:hRule="exact" w:val="227"/>
        </w:trPr>
        <w:tc>
          <w:tcPr>
            <w:tcW w:w="2883" w:type="pct"/>
            <w:tcBorders>
              <w:top w:val="nil"/>
              <w:left w:val="nil"/>
              <w:bottom w:val="single" w:sz="8" w:space="0" w:color="auto"/>
              <w:right w:val="nil"/>
            </w:tcBorders>
            <w:shd w:val="clear" w:color="auto" w:fill="auto"/>
            <w:noWrap/>
            <w:vAlign w:val="center"/>
            <w:hideMark/>
          </w:tcPr>
          <w:p w14:paraId="7FDD8DD4" w14:textId="77777777" w:rsidR="0033029E" w:rsidRDefault="0033029E">
            <w:pPr>
              <w:rPr>
                <w:rFonts w:ascii="Calibri" w:hAnsi="Calibri" w:cs="Calibri"/>
                <w:color w:val="000000"/>
                <w:sz w:val="16"/>
                <w:szCs w:val="16"/>
              </w:rPr>
            </w:pPr>
            <w:r>
              <w:rPr>
                <w:rFonts w:ascii="Calibri" w:hAnsi="Calibri" w:cs="Calibri"/>
                <w:color w:val="000000"/>
                <w:sz w:val="16"/>
                <w:szCs w:val="16"/>
              </w:rPr>
              <w:t xml:space="preserve">Quantidade de Funcionários </w:t>
            </w:r>
          </w:p>
        </w:tc>
        <w:tc>
          <w:tcPr>
            <w:tcW w:w="1058" w:type="pct"/>
            <w:tcBorders>
              <w:top w:val="nil"/>
              <w:left w:val="nil"/>
              <w:bottom w:val="single" w:sz="8" w:space="0" w:color="auto"/>
              <w:right w:val="nil"/>
            </w:tcBorders>
            <w:shd w:val="clear" w:color="auto" w:fill="auto"/>
            <w:vAlign w:val="center"/>
            <w:hideMark/>
          </w:tcPr>
          <w:p w14:paraId="7196FE84" w14:textId="77777777" w:rsidR="0033029E" w:rsidRDefault="0033029E">
            <w:pPr>
              <w:jc w:val="right"/>
              <w:rPr>
                <w:rFonts w:ascii="Calibri" w:hAnsi="Calibri" w:cs="Calibri"/>
                <w:color w:val="000000"/>
                <w:sz w:val="16"/>
                <w:szCs w:val="16"/>
              </w:rPr>
            </w:pPr>
            <w:r>
              <w:rPr>
                <w:rFonts w:ascii="Calibri" w:hAnsi="Calibri" w:cs="Calibri"/>
                <w:color w:val="000000"/>
                <w:sz w:val="16"/>
                <w:szCs w:val="16"/>
              </w:rPr>
              <w:t>664</w:t>
            </w:r>
          </w:p>
        </w:tc>
        <w:tc>
          <w:tcPr>
            <w:tcW w:w="1058" w:type="pct"/>
            <w:tcBorders>
              <w:top w:val="nil"/>
              <w:left w:val="nil"/>
              <w:bottom w:val="single" w:sz="8" w:space="0" w:color="auto"/>
              <w:right w:val="nil"/>
            </w:tcBorders>
            <w:shd w:val="clear" w:color="auto" w:fill="auto"/>
            <w:vAlign w:val="center"/>
            <w:hideMark/>
          </w:tcPr>
          <w:p w14:paraId="48AEFB93" w14:textId="77777777" w:rsidR="0033029E" w:rsidRPr="00B13DBD" w:rsidRDefault="0033029E">
            <w:pPr>
              <w:jc w:val="right"/>
              <w:rPr>
                <w:rFonts w:ascii="Calibri" w:hAnsi="Calibri" w:cs="Calibri"/>
                <w:color w:val="000000"/>
                <w:sz w:val="16"/>
                <w:szCs w:val="16"/>
              </w:rPr>
            </w:pPr>
            <w:r w:rsidRPr="00B13DBD">
              <w:rPr>
                <w:rFonts w:ascii="Calibri" w:hAnsi="Calibri" w:cs="Calibri"/>
                <w:color w:val="000000"/>
                <w:sz w:val="16"/>
                <w:szCs w:val="16"/>
              </w:rPr>
              <w:t>662</w:t>
            </w:r>
          </w:p>
        </w:tc>
      </w:tr>
    </w:tbl>
    <w:p w14:paraId="4827288E" w14:textId="77777777" w:rsidR="0033029E" w:rsidRPr="00216A83" w:rsidRDefault="0033029E" w:rsidP="00216A83">
      <w:pPr>
        <w:jc w:val="both"/>
        <w:rPr>
          <w:rFonts w:ascii="Calibri" w:hAnsi="Calibri" w:cs="Calibri"/>
          <w:color w:val="000000"/>
          <w:sz w:val="22"/>
          <w:szCs w:val="22"/>
        </w:rPr>
      </w:pPr>
    </w:p>
    <w:p w14:paraId="5533F6AC" w14:textId="110C8F9B" w:rsidR="00651F44" w:rsidRDefault="007F4918" w:rsidP="002E2B5B">
      <w:pPr>
        <w:numPr>
          <w:ilvl w:val="0"/>
          <w:numId w:val="1"/>
        </w:numPr>
        <w:ind w:left="284" w:right="-142" w:hanging="284"/>
        <w:rPr>
          <w:rFonts w:ascii="Calibri" w:hAnsi="Calibri" w:cs="Calibri"/>
          <w:b/>
          <w:color w:val="000000"/>
          <w:sz w:val="22"/>
          <w:szCs w:val="22"/>
        </w:rPr>
      </w:pPr>
      <w:r w:rsidRPr="002E2B5B">
        <w:rPr>
          <w:rFonts w:ascii="Calibri" w:hAnsi="Calibri" w:cs="Calibri"/>
          <w:b/>
          <w:color w:val="000000"/>
          <w:sz w:val="22"/>
          <w:szCs w:val="22"/>
        </w:rPr>
        <w:t>Gerais e</w:t>
      </w:r>
      <w:r w:rsidR="00C3606D" w:rsidRPr="002E2B5B">
        <w:rPr>
          <w:rFonts w:ascii="Calibri" w:hAnsi="Calibri" w:cs="Calibri"/>
          <w:b/>
          <w:color w:val="000000"/>
          <w:sz w:val="22"/>
          <w:szCs w:val="22"/>
        </w:rPr>
        <w:t xml:space="preserve"> Administrativas</w:t>
      </w:r>
    </w:p>
    <w:p w14:paraId="29EDD9AB" w14:textId="77777777" w:rsidR="00B92F90" w:rsidRPr="002E2B5B" w:rsidRDefault="00B92F90" w:rsidP="00B92F90">
      <w:pPr>
        <w:ind w:left="284" w:right="-142"/>
        <w:rPr>
          <w:rFonts w:ascii="Calibri" w:hAnsi="Calibri" w:cs="Calibri"/>
          <w:b/>
          <w:color w:val="000000"/>
          <w:sz w:val="22"/>
          <w:szCs w:val="22"/>
        </w:rPr>
      </w:pPr>
    </w:p>
    <w:p w14:paraId="458B11E1" w14:textId="3B90D7D2" w:rsidR="00651F44" w:rsidRDefault="000C106E" w:rsidP="002E2B5B">
      <w:pPr>
        <w:jc w:val="both"/>
        <w:rPr>
          <w:rFonts w:ascii="Calibri" w:hAnsi="Calibri" w:cs="Calibri"/>
          <w:color w:val="000000"/>
          <w:sz w:val="22"/>
          <w:szCs w:val="22"/>
        </w:rPr>
      </w:pPr>
      <w:r w:rsidRPr="002E2B5B">
        <w:rPr>
          <w:rFonts w:ascii="Calibri" w:hAnsi="Calibri" w:cs="Calibri"/>
          <w:color w:val="000000"/>
          <w:sz w:val="22"/>
          <w:szCs w:val="22"/>
        </w:rPr>
        <w:t>As Despesas G</w:t>
      </w:r>
      <w:r w:rsidR="00651F44" w:rsidRPr="002E2B5B">
        <w:rPr>
          <w:rFonts w:ascii="Calibri" w:hAnsi="Calibri" w:cs="Calibri"/>
          <w:color w:val="000000"/>
          <w:sz w:val="22"/>
          <w:szCs w:val="22"/>
        </w:rPr>
        <w:t>erais e Administrativas totalizaram</w:t>
      </w:r>
      <w:r w:rsidR="00C22DC1" w:rsidRPr="002E2B5B">
        <w:rPr>
          <w:rFonts w:ascii="Calibri" w:hAnsi="Calibri" w:cs="Calibri"/>
          <w:color w:val="000000"/>
          <w:sz w:val="22"/>
          <w:szCs w:val="22"/>
        </w:rPr>
        <w:t xml:space="preserve"> o valor de </w:t>
      </w:r>
      <w:r w:rsidR="00651F44" w:rsidRPr="002E2B5B">
        <w:rPr>
          <w:rFonts w:ascii="Calibri" w:hAnsi="Calibri" w:cs="Calibri"/>
          <w:color w:val="000000"/>
          <w:sz w:val="22"/>
          <w:szCs w:val="22"/>
        </w:rPr>
        <w:t>R$</w:t>
      </w:r>
      <w:r w:rsidR="00346FAD" w:rsidRPr="002E2B5B">
        <w:rPr>
          <w:rFonts w:ascii="Calibri" w:hAnsi="Calibri" w:cs="Calibri"/>
          <w:color w:val="000000"/>
          <w:sz w:val="22"/>
          <w:szCs w:val="22"/>
        </w:rPr>
        <w:t xml:space="preserve"> </w:t>
      </w:r>
      <w:r w:rsidR="007D16D0">
        <w:rPr>
          <w:rFonts w:ascii="Calibri" w:hAnsi="Calibri" w:cs="Calibri"/>
          <w:color w:val="000000"/>
          <w:sz w:val="22"/>
          <w:szCs w:val="22"/>
        </w:rPr>
        <w:t>21,8</w:t>
      </w:r>
      <w:r w:rsidR="008E63AE" w:rsidRPr="002E2B5B">
        <w:rPr>
          <w:rFonts w:ascii="Calibri" w:hAnsi="Calibri" w:cs="Calibri"/>
          <w:color w:val="000000"/>
          <w:sz w:val="22"/>
          <w:szCs w:val="22"/>
        </w:rPr>
        <w:t xml:space="preserve"> milhões</w:t>
      </w:r>
      <w:r w:rsidR="00216A83">
        <w:rPr>
          <w:rFonts w:ascii="Calibri" w:hAnsi="Calibri" w:cs="Calibri"/>
          <w:color w:val="000000"/>
          <w:sz w:val="22"/>
          <w:szCs w:val="22"/>
        </w:rPr>
        <w:t>:</w:t>
      </w:r>
    </w:p>
    <w:p w14:paraId="121B5476" w14:textId="77777777" w:rsidR="00A2342A" w:rsidRDefault="00A2342A" w:rsidP="002E2B5B">
      <w:pPr>
        <w:jc w:val="both"/>
        <w:rPr>
          <w:rFonts w:ascii="Calibri" w:hAnsi="Calibri" w:cs="Calibri"/>
          <w:color w:val="000000"/>
          <w:sz w:val="22"/>
          <w:szCs w:val="22"/>
        </w:rPr>
      </w:pPr>
    </w:p>
    <w:tbl>
      <w:tblPr>
        <w:tblW w:w="5000" w:type="pct"/>
        <w:tblCellMar>
          <w:left w:w="70" w:type="dxa"/>
          <w:right w:w="70" w:type="dxa"/>
        </w:tblCellMar>
        <w:tblLook w:val="04A0" w:firstRow="1" w:lastRow="0" w:firstColumn="1" w:lastColumn="0" w:noHBand="0" w:noVBand="1"/>
      </w:tblPr>
      <w:tblGrid>
        <w:gridCol w:w="5543"/>
        <w:gridCol w:w="804"/>
        <w:gridCol w:w="2060"/>
        <w:gridCol w:w="2060"/>
      </w:tblGrid>
      <w:tr w:rsidR="00A2342A" w14:paraId="250C1101" w14:textId="77777777" w:rsidTr="00A2342A">
        <w:trPr>
          <w:trHeight w:hRule="exact" w:val="227"/>
        </w:trPr>
        <w:tc>
          <w:tcPr>
            <w:tcW w:w="3031" w:type="pct"/>
            <w:gridSpan w:val="2"/>
            <w:tcBorders>
              <w:top w:val="single" w:sz="8" w:space="0" w:color="auto"/>
              <w:left w:val="nil"/>
              <w:bottom w:val="single" w:sz="8" w:space="0" w:color="auto"/>
              <w:right w:val="nil"/>
            </w:tcBorders>
            <w:shd w:val="clear" w:color="auto" w:fill="auto"/>
            <w:noWrap/>
            <w:vAlign w:val="center"/>
            <w:hideMark/>
          </w:tcPr>
          <w:p w14:paraId="401452DD" w14:textId="77777777" w:rsidR="00A2342A" w:rsidRDefault="00A2342A">
            <w:pPr>
              <w:rPr>
                <w:rFonts w:ascii="Calibri" w:hAnsi="Calibri" w:cs="Calibri"/>
                <w:b/>
                <w:bCs/>
                <w:color w:val="000000"/>
                <w:sz w:val="16"/>
                <w:szCs w:val="16"/>
              </w:rPr>
            </w:pPr>
            <w:r>
              <w:rPr>
                <w:rFonts w:ascii="Calibri" w:hAnsi="Calibri" w:cs="Calibri"/>
                <w:b/>
                <w:bCs/>
                <w:color w:val="000000"/>
                <w:sz w:val="16"/>
                <w:szCs w:val="16"/>
              </w:rPr>
              <w:t>DESPESAS GERAIS E ADMINISTRATIVAS</w:t>
            </w:r>
          </w:p>
        </w:tc>
        <w:tc>
          <w:tcPr>
            <w:tcW w:w="984" w:type="pct"/>
            <w:tcBorders>
              <w:top w:val="single" w:sz="8" w:space="0" w:color="auto"/>
              <w:left w:val="nil"/>
              <w:bottom w:val="single" w:sz="8" w:space="0" w:color="auto"/>
              <w:right w:val="nil"/>
            </w:tcBorders>
            <w:shd w:val="clear" w:color="auto" w:fill="auto"/>
            <w:vAlign w:val="center"/>
            <w:hideMark/>
          </w:tcPr>
          <w:p w14:paraId="66BBC6EB" w14:textId="4383D97D" w:rsidR="00A2342A" w:rsidRDefault="00A2342A">
            <w:pPr>
              <w:jc w:val="right"/>
              <w:rPr>
                <w:rFonts w:ascii="Calibri" w:hAnsi="Calibri" w:cs="Calibri"/>
                <w:b/>
                <w:bCs/>
                <w:color w:val="000000"/>
                <w:sz w:val="16"/>
                <w:szCs w:val="16"/>
              </w:rPr>
            </w:pPr>
            <w:r>
              <w:rPr>
                <w:rFonts w:ascii="Calibri" w:hAnsi="Calibri" w:cs="Calibri"/>
                <w:b/>
                <w:bCs/>
                <w:color w:val="000000"/>
                <w:sz w:val="16"/>
                <w:szCs w:val="16"/>
              </w:rPr>
              <w:t>30/0</w:t>
            </w:r>
            <w:r w:rsidR="007D16D0">
              <w:rPr>
                <w:rFonts w:ascii="Calibri" w:hAnsi="Calibri" w:cs="Calibri"/>
                <w:b/>
                <w:bCs/>
                <w:color w:val="000000"/>
                <w:sz w:val="16"/>
                <w:szCs w:val="16"/>
              </w:rPr>
              <w:t>9</w:t>
            </w:r>
            <w:r>
              <w:rPr>
                <w:rFonts w:ascii="Calibri" w:hAnsi="Calibri" w:cs="Calibri"/>
                <w:b/>
                <w:bCs/>
                <w:color w:val="000000"/>
                <w:sz w:val="16"/>
                <w:szCs w:val="16"/>
              </w:rPr>
              <w:t>/2021</w:t>
            </w:r>
          </w:p>
        </w:tc>
        <w:tc>
          <w:tcPr>
            <w:tcW w:w="984" w:type="pct"/>
            <w:tcBorders>
              <w:top w:val="single" w:sz="8" w:space="0" w:color="auto"/>
              <w:left w:val="nil"/>
              <w:bottom w:val="single" w:sz="8" w:space="0" w:color="auto"/>
              <w:right w:val="nil"/>
            </w:tcBorders>
            <w:shd w:val="clear" w:color="auto" w:fill="auto"/>
            <w:vAlign w:val="center"/>
            <w:hideMark/>
          </w:tcPr>
          <w:p w14:paraId="4CCB0F05" w14:textId="5FDF4F8F" w:rsidR="00A2342A" w:rsidRPr="00E92C8D" w:rsidRDefault="00A2342A">
            <w:pPr>
              <w:jc w:val="right"/>
              <w:rPr>
                <w:rFonts w:ascii="Calibri" w:hAnsi="Calibri" w:cs="Calibri"/>
                <w:b/>
                <w:bCs/>
                <w:color w:val="000000"/>
                <w:sz w:val="16"/>
                <w:szCs w:val="16"/>
              </w:rPr>
            </w:pPr>
            <w:r w:rsidRPr="00E92C8D">
              <w:rPr>
                <w:rFonts w:ascii="Calibri" w:hAnsi="Calibri" w:cs="Calibri"/>
                <w:b/>
                <w:bCs/>
                <w:color w:val="000000"/>
                <w:sz w:val="16"/>
                <w:szCs w:val="16"/>
              </w:rPr>
              <w:t>30/0</w:t>
            </w:r>
            <w:r w:rsidR="00750F82" w:rsidRPr="00E92C8D">
              <w:rPr>
                <w:rFonts w:ascii="Calibri" w:hAnsi="Calibri" w:cs="Calibri"/>
                <w:b/>
                <w:bCs/>
                <w:color w:val="000000"/>
                <w:sz w:val="16"/>
                <w:szCs w:val="16"/>
              </w:rPr>
              <w:t>9</w:t>
            </w:r>
            <w:r w:rsidRPr="00E92C8D">
              <w:rPr>
                <w:rFonts w:ascii="Calibri" w:hAnsi="Calibri" w:cs="Calibri"/>
                <w:b/>
                <w:bCs/>
                <w:color w:val="000000"/>
                <w:sz w:val="16"/>
                <w:szCs w:val="16"/>
              </w:rPr>
              <w:t>/2020</w:t>
            </w:r>
          </w:p>
        </w:tc>
      </w:tr>
      <w:tr w:rsidR="00A2342A" w14:paraId="61B30741" w14:textId="77777777" w:rsidTr="00A2342A">
        <w:trPr>
          <w:trHeight w:hRule="exact" w:val="227"/>
        </w:trPr>
        <w:tc>
          <w:tcPr>
            <w:tcW w:w="3031" w:type="pct"/>
            <w:gridSpan w:val="2"/>
            <w:tcBorders>
              <w:top w:val="nil"/>
              <w:left w:val="nil"/>
              <w:bottom w:val="nil"/>
              <w:right w:val="nil"/>
            </w:tcBorders>
            <w:shd w:val="clear" w:color="auto" w:fill="auto"/>
            <w:noWrap/>
            <w:vAlign w:val="center"/>
            <w:hideMark/>
          </w:tcPr>
          <w:p w14:paraId="5AF51333" w14:textId="77777777" w:rsidR="00A2342A" w:rsidRDefault="00A2342A">
            <w:pPr>
              <w:rPr>
                <w:rFonts w:ascii="Calibri" w:hAnsi="Calibri" w:cs="Calibri"/>
                <w:color w:val="000000"/>
                <w:sz w:val="16"/>
                <w:szCs w:val="16"/>
              </w:rPr>
            </w:pPr>
            <w:r>
              <w:rPr>
                <w:rFonts w:ascii="Calibri" w:hAnsi="Calibri" w:cs="Calibri"/>
                <w:color w:val="000000"/>
                <w:sz w:val="16"/>
                <w:szCs w:val="16"/>
              </w:rPr>
              <w:t>Sentenças e Depósitos judiciais</w:t>
            </w:r>
          </w:p>
        </w:tc>
        <w:tc>
          <w:tcPr>
            <w:tcW w:w="984" w:type="pct"/>
            <w:tcBorders>
              <w:top w:val="nil"/>
              <w:left w:val="nil"/>
              <w:bottom w:val="nil"/>
              <w:right w:val="nil"/>
            </w:tcBorders>
            <w:shd w:val="clear" w:color="auto" w:fill="auto"/>
            <w:vAlign w:val="center"/>
            <w:hideMark/>
          </w:tcPr>
          <w:p w14:paraId="06EE8271" w14:textId="5E9D67B0" w:rsidR="00A2342A" w:rsidRDefault="00A2342A">
            <w:pPr>
              <w:jc w:val="right"/>
              <w:rPr>
                <w:rFonts w:ascii="Calibri" w:hAnsi="Calibri" w:cs="Calibri"/>
                <w:color w:val="000000"/>
                <w:sz w:val="16"/>
                <w:szCs w:val="16"/>
              </w:rPr>
            </w:pPr>
            <w:r>
              <w:rPr>
                <w:rFonts w:ascii="Calibri" w:hAnsi="Calibri" w:cs="Calibri"/>
                <w:color w:val="000000"/>
                <w:sz w:val="16"/>
                <w:szCs w:val="16"/>
              </w:rPr>
              <w:t>(</w:t>
            </w:r>
            <w:r w:rsidR="007D16D0">
              <w:rPr>
                <w:rFonts w:ascii="Calibri" w:hAnsi="Calibri" w:cs="Calibri"/>
                <w:color w:val="000000"/>
                <w:sz w:val="16"/>
                <w:szCs w:val="16"/>
              </w:rPr>
              <w:t>5.115.298</w:t>
            </w:r>
            <w:r>
              <w:rPr>
                <w:rFonts w:ascii="Calibri" w:hAnsi="Calibri" w:cs="Calibri"/>
                <w:color w:val="000000"/>
                <w:sz w:val="16"/>
                <w:szCs w:val="16"/>
              </w:rPr>
              <w:t>)</w:t>
            </w:r>
          </w:p>
        </w:tc>
        <w:tc>
          <w:tcPr>
            <w:tcW w:w="984" w:type="pct"/>
            <w:tcBorders>
              <w:top w:val="nil"/>
              <w:left w:val="nil"/>
              <w:bottom w:val="nil"/>
              <w:right w:val="nil"/>
            </w:tcBorders>
            <w:shd w:val="clear" w:color="auto" w:fill="auto"/>
            <w:vAlign w:val="center"/>
            <w:hideMark/>
          </w:tcPr>
          <w:p w14:paraId="070EE6A5" w14:textId="6613F80D" w:rsidR="00A2342A" w:rsidRPr="00E92C8D" w:rsidRDefault="00A2342A">
            <w:pPr>
              <w:jc w:val="right"/>
              <w:rPr>
                <w:rFonts w:ascii="Calibri" w:hAnsi="Calibri" w:cs="Calibri"/>
                <w:color w:val="000000"/>
                <w:sz w:val="16"/>
                <w:szCs w:val="16"/>
              </w:rPr>
            </w:pPr>
            <w:r w:rsidRPr="00E92C8D">
              <w:rPr>
                <w:rFonts w:ascii="Calibri" w:hAnsi="Calibri" w:cs="Calibri"/>
                <w:color w:val="000000"/>
                <w:sz w:val="16"/>
                <w:szCs w:val="16"/>
              </w:rPr>
              <w:t>(2.</w:t>
            </w:r>
            <w:r w:rsidR="005D15C6" w:rsidRPr="00E92C8D">
              <w:rPr>
                <w:rFonts w:ascii="Calibri" w:hAnsi="Calibri" w:cs="Calibri"/>
                <w:color w:val="000000"/>
                <w:sz w:val="16"/>
                <w:szCs w:val="16"/>
              </w:rPr>
              <w:t>804.678</w:t>
            </w:r>
            <w:r w:rsidRPr="00E92C8D">
              <w:rPr>
                <w:rFonts w:ascii="Calibri" w:hAnsi="Calibri" w:cs="Calibri"/>
                <w:color w:val="000000"/>
                <w:sz w:val="16"/>
                <w:szCs w:val="16"/>
              </w:rPr>
              <w:t>)</w:t>
            </w:r>
          </w:p>
        </w:tc>
      </w:tr>
      <w:tr w:rsidR="00A2342A" w14:paraId="28C08A5B" w14:textId="77777777" w:rsidTr="00A2342A">
        <w:trPr>
          <w:trHeight w:hRule="exact" w:val="227"/>
        </w:trPr>
        <w:tc>
          <w:tcPr>
            <w:tcW w:w="3031" w:type="pct"/>
            <w:gridSpan w:val="2"/>
            <w:tcBorders>
              <w:top w:val="nil"/>
              <w:left w:val="nil"/>
              <w:bottom w:val="nil"/>
              <w:right w:val="nil"/>
            </w:tcBorders>
            <w:shd w:val="clear" w:color="auto" w:fill="auto"/>
            <w:noWrap/>
            <w:vAlign w:val="center"/>
            <w:hideMark/>
          </w:tcPr>
          <w:p w14:paraId="2C2A351C" w14:textId="77777777" w:rsidR="00A2342A" w:rsidRDefault="00A2342A">
            <w:pPr>
              <w:rPr>
                <w:rFonts w:ascii="Calibri" w:hAnsi="Calibri" w:cs="Calibri"/>
                <w:color w:val="000000"/>
                <w:sz w:val="16"/>
                <w:szCs w:val="16"/>
              </w:rPr>
            </w:pPr>
            <w:r>
              <w:rPr>
                <w:rFonts w:ascii="Calibri" w:hAnsi="Calibri" w:cs="Calibri"/>
                <w:color w:val="000000"/>
                <w:sz w:val="16"/>
                <w:szCs w:val="16"/>
              </w:rPr>
              <w:t>Material de Expediente e Combustíveis</w:t>
            </w:r>
          </w:p>
        </w:tc>
        <w:tc>
          <w:tcPr>
            <w:tcW w:w="984" w:type="pct"/>
            <w:tcBorders>
              <w:top w:val="nil"/>
              <w:left w:val="nil"/>
              <w:bottom w:val="nil"/>
              <w:right w:val="nil"/>
            </w:tcBorders>
            <w:shd w:val="clear" w:color="auto" w:fill="auto"/>
            <w:noWrap/>
            <w:vAlign w:val="center"/>
            <w:hideMark/>
          </w:tcPr>
          <w:p w14:paraId="6A444D9C" w14:textId="7A1784FF" w:rsidR="00A2342A" w:rsidRDefault="00A2342A">
            <w:pPr>
              <w:jc w:val="right"/>
              <w:rPr>
                <w:rFonts w:ascii="Calibri" w:hAnsi="Calibri" w:cs="Calibri"/>
                <w:color w:val="000000"/>
                <w:sz w:val="16"/>
                <w:szCs w:val="16"/>
              </w:rPr>
            </w:pPr>
            <w:r>
              <w:rPr>
                <w:rFonts w:ascii="Calibri" w:hAnsi="Calibri" w:cs="Calibri"/>
                <w:color w:val="000000"/>
                <w:sz w:val="16"/>
                <w:szCs w:val="16"/>
              </w:rPr>
              <w:t>(1</w:t>
            </w:r>
            <w:r w:rsidR="007D16D0">
              <w:rPr>
                <w:rFonts w:ascii="Calibri" w:hAnsi="Calibri" w:cs="Calibri"/>
                <w:color w:val="000000"/>
                <w:sz w:val="16"/>
                <w:szCs w:val="16"/>
              </w:rPr>
              <w:t>85.810</w:t>
            </w:r>
            <w:r>
              <w:rPr>
                <w:rFonts w:ascii="Calibri" w:hAnsi="Calibri" w:cs="Calibri"/>
                <w:color w:val="000000"/>
                <w:sz w:val="16"/>
                <w:szCs w:val="16"/>
              </w:rPr>
              <w:t>)</w:t>
            </w:r>
          </w:p>
        </w:tc>
        <w:tc>
          <w:tcPr>
            <w:tcW w:w="984" w:type="pct"/>
            <w:tcBorders>
              <w:top w:val="nil"/>
              <w:left w:val="nil"/>
              <w:bottom w:val="nil"/>
              <w:right w:val="nil"/>
            </w:tcBorders>
            <w:shd w:val="clear" w:color="auto" w:fill="auto"/>
            <w:vAlign w:val="center"/>
            <w:hideMark/>
          </w:tcPr>
          <w:p w14:paraId="59623CBA" w14:textId="3AD7D05B" w:rsidR="00A2342A" w:rsidRPr="00E92C8D" w:rsidRDefault="00A2342A">
            <w:pPr>
              <w:jc w:val="right"/>
              <w:rPr>
                <w:rFonts w:ascii="Calibri" w:hAnsi="Calibri" w:cs="Calibri"/>
                <w:color w:val="000000"/>
                <w:sz w:val="16"/>
                <w:szCs w:val="16"/>
              </w:rPr>
            </w:pPr>
            <w:r w:rsidRPr="00E92C8D">
              <w:rPr>
                <w:rFonts w:ascii="Calibri" w:hAnsi="Calibri" w:cs="Calibri"/>
                <w:color w:val="000000"/>
                <w:sz w:val="16"/>
                <w:szCs w:val="16"/>
              </w:rPr>
              <w:t>(</w:t>
            </w:r>
            <w:r w:rsidR="005D15C6" w:rsidRPr="00E92C8D">
              <w:rPr>
                <w:rFonts w:ascii="Calibri" w:hAnsi="Calibri" w:cs="Calibri"/>
                <w:color w:val="000000"/>
                <w:sz w:val="16"/>
                <w:szCs w:val="16"/>
              </w:rPr>
              <w:t>198.199</w:t>
            </w:r>
            <w:r w:rsidRPr="00E92C8D">
              <w:rPr>
                <w:rFonts w:ascii="Calibri" w:hAnsi="Calibri" w:cs="Calibri"/>
                <w:color w:val="000000"/>
                <w:sz w:val="16"/>
                <w:szCs w:val="16"/>
              </w:rPr>
              <w:t>)</w:t>
            </w:r>
          </w:p>
        </w:tc>
      </w:tr>
      <w:tr w:rsidR="00A2342A" w14:paraId="4A48DEB8" w14:textId="77777777" w:rsidTr="00A2342A">
        <w:trPr>
          <w:trHeight w:hRule="exact" w:val="227"/>
        </w:trPr>
        <w:tc>
          <w:tcPr>
            <w:tcW w:w="3031" w:type="pct"/>
            <w:gridSpan w:val="2"/>
            <w:tcBorders>
              <w:top w:val="nil"/>
              <w:left w:val="nil"/>
              <w:bottom w:val="nil"/>
              <w:right w:val="nil"/>
            </w:tcBorders>
            <w:shd w:val="clear" w:color="auto" w:fill="auto"/>
            <w:noWrap/>
            <w:vAlign w:val="center"/>
            <w:hideMark/>
          </w:tcPr>
          <w:p w14:paraId="7D889647" w14:textId="77777777" w:rsidR="00A2342A" w:rsidRDefault="00A2342A">
            <w:pPr>
              <w:rPr>
                <w:rFonts w:ascii="Calibri" w:hAnsi="Calibri" w:cs="Calibri"/>
                <w:color w:val="000000"/>
                <w:sz w:val="16"/>
                <w:szCs w:val="16"/>
              </w:rPr>
            </w:pPr>
            <w:r>
              <w:rPr>
                <w:rFonts w:ascii="Calibri" w:hAnsi="Calibri" w:cs="Calibri"/>
                <w:color w:val="000000"/>
                <w:sz w:val="16"/>
                <w:szCs w:val="16"/>
              </w:rPr>
              <w:t>Assessoria, Consultoria, Locação de mão-de-obra, limpeza e vigilância</w:t>
            </w:r>
          </w:p>
        </w:tc>
        <w:tc>
          <w:tcPr>
            <w:tcW w:w="984" w:type="pct"/>
            <w:tcBorders>
              <w:top w:val="nil"/>
              <w:left w:val="nil"/>
              <w:bottom w:val="nil"/>
              <w:right w:val="nil"/>
            </w:tcBorders>
            <w:shd w:val="clear" w:color="auto" w:fill="auto"/>
            <w:noWrap/>
            <w:vAlign w:val="center"/>
            <w:hideMark/>
          </w:tcPr>
          <w:p w14:paraId="7BFA1E18" w14:textId="3C94F4E6" w:rsidR="00A2342A" w:rsidRDefault="00A2342A">
            <w:pPr>
              <w:jc w:val="right"/>
              <w:rPr>
                <w:rFonts w:ascii="Calibri" w:hAnsi="Calibri" w:cs="Calibri"/>
                <w:color w:val="000000"/>
                <w:sz w:val="16"/>
                <w:szCs w:val="16"/>
              </w:rPr>
            </w:pPr>
            <w:r>
              <w:rPr>
                <w:rFonts w:ascii="Calibri" w:hAnsi="Calibri" w:cs="Calibri"/>
                <w:color w:val="000000"/>
                <w:sz w:val="16"/>
                <w:szCs w:val="16"/>
              </w:rPr>
              <w:t>(</w:t>
            </w:r>
            <w:r w:rsidR="007D16D0">
              <w:rPr>
                <w:rFonts w:ascii="Calibri" w:hAnsi="Calibri" w:cs="Calibri"/>
                <w:color w:val="000000"/>
                <w:sz w:val="16"/>
                <w:szCs w:val="16"/>
              </w:rPr>
              <w:t>15.808.089</w:t>
            </w:r>
            <w:r>
              <w:rPr>
                <w:rFonts w:ascii="Calibri" w:hAnsi="Calibri" w:cs="Calibri"/>
                <w:color w:val="000000"/>
                <w:sz w:val="16"/>
                <w:szCs w:val="16"/>
              </w:rPr>
              <w:t>)</w:t>
            </w:r>
          </w:p>
        </w:tc>
        <w:tc>
          <w:tcPr>
            <w:tcW w:w="984" w:type="pct"/>
            <w:tcBorders>
              <w:top w:val="nil"/>
              <w:left w:val="nil"/>
              <w:bottom w:val="nil"/>
              <w:right w:val="nil"/>
            </w:tcBorders>
            <w:shd w:val="clear" w:color="auto" w:fill="auto"/>
            <w:vAlign w:val="center"/>
            <w:hideMark/>
          </w:tcPr>
          <w:p w14:paraId="45618C1C" w14:textId="4E0F1D3E" w:rsidR="00A2342A" w:rsidRPr="00E92C8D" w:rsidRDefault="00A2342A">
            <w:pPr>
              <w:jc w:val="right"/>
              <w:rPr>
                <w:rFonts w:ascii="Calibri" w:hAnsi="Calibri" w:cs="Calibri"/>
                <w:color w:val="000000"/>
                <w:sz w:val="16"/>
                <w:szCs w:val="16"/>
              </w:rPr>
            </w:pPr>
            <w:r w:rsidRPr="00E92C8D">
              <w:rPr>
                <w:rFonts w:ascii="Calibri" w:hAnsi="Calibri" w:cs="Calibri"/>
                <w:color w:val="000000"/>
                <w:sz w:val="16"/>
                <w:szCs w:val="16"/>
              </w:rPr>
              <w:t>(</w:t>
            </w:r>
            <w:r w:rsidR="005D15C6" w:rsidRPr="00E92C8D">
              <w:rPr>
                <w:rFonts w:ascii="Calibri" w:hAnsi="Calibri" w:cs="Calibri"/>
                <w:color w:val="000000"/>
                <w:sz w:val="16"/>
                <w:szCs w:val="16"/>
              </w:rPr>
              <w:t>10.485.11</w:t>
            </w:r>
            <w:r w:rsidR="00E92C8D">
              <w:rPr>
                <w:rFonts w:ascii="Calibri" w:hAnsi="Calibri" w:cs="Calibri"/>
                <w:color w:val="000000"/>
                <w:sz w:val="16"/>
                <w:szCs w:val="16"/>
              </w:rPr>
              <w:t>4</w:t>
            </w:r>
            <w:r w:rsidRPr="00E92C8D">
              <w:rPr>
                <w:rFonts w:ascii="Calibri" w:hAnsi="Calibri" w:cs="Calibri"/>
                <w:color w:val="000000"/>
                <w:sz w:val="16"/>
                <w:szCs w:val="16"/>
              </w:rPr>
              <w:t>)</w:t>
            </w:r>
          </w:p>
        </w:tc>
      </w:tr>
      <w:tr w:rsidR="00A2342A" w14:paraId="2F2A9C65" w14:textId="77777777" w:rsidTr="00A2342A">
        <w:trPr>
          <w:trHeight w:hRule="exact" w:val="227"/>
        </w:trPr>
        <w:tc>
          <w:tcPr>
            <w:tcW w:w="3031" w:type="pct"/>
            <w:gridSpan w:val="2"/>
            <w:tcBorders>
              <w:top w:val="nil"/>
              <w:left w:val="nil"/>
              <w:bottom w:val="nil"/>
              <w:right w:val="nil"/>
            </w:tcBorders>
            <w:shd w:val="clear" w:color="auto" w:fill="auto"/>
            <w:noWrap/>
            <w:vAlign w:val="center"/>
            <w:hideMark/>
          </w:tcPr>
          <w:p w14:paraId="68951CCC" w14:textId="77777777" w:rsidR="00A2342A" w:rsidRDefault="00A2342A">
            <w:pPr>
              <w:rPr>
                <w:rFonts w:ascii="Calibri" w:hAnsi="Calibri" w:cs="Calibri"/>
                <w:color w:val="000000"/>
                <w:sz w:val="16"/>
                <w:szCs w:val="16"/>
              </w:rPr>
            </w:pPr>
            <w:r>
              <w:rPr>
                <w:rFonts w:ascii="Calibri" w:hAnsi="Calibri" w:cs="Calibri"/>
                <w:color w:val="000000"/>
                <w:sz w:val="16"/>
                <w:szCs w:val="16"/>
              </w:rPr>
              <w:t>Locação de Imóveis e Equipamentos</w:t>
            </w:r>
          </w:p>
        </w:tc>
        <w:tc>
          <w:tcPr>
            <w:tcW w:w="984" w:type="pct"/>
            <w:tcBorders>
              <w:top w:val="nil"/>
              <w:left w:val="nil"/>
              <w:bottom w:val="nil"/>
              <w:right w:val="nil"/>
            </w:tcBorders>
            <w:shd w:val="clear" w:color="auto" w:fill="auto"/>
            <w:noWrap/>
            <w:vAlign w:val="center"/>
            <w:hideMark/>
          </w:tcPr>
          <w:p w14:paraId="3B7EA3CA" w14:textId="2A586342" w:rsidR="00A2342A" w:rsidRDefault="00A2342A">
            <w:pPr>
              <w:jc w:val="right"/>
              <w:rPr>
                <w:rFonts w:ascii="Calibri" w:hAnsi="Calibri" w:cs="Calibri"/>
                <w:color w:val="000000"/>
                <w:sz w:val="16"/>
                <w:szCs w:val="16"/>
              </w:rPr>
            </w:pPr>
            <w:r>
              <w:rPr>
                <w:rFonts w:ascii="Calibri" w:hAnsi="Calibri" w:cs="Calibri"/>
                <w:color w:val="000000"/>
                <w:sz w:val="16"/>
                <w:szCs w:val="16"/>
              </w:rPr>
              <w:t>(</w:t>
            </w:r>
            <w:r w:rsidR="007D16D0">
              <w:rPr>
                <w:rFonts w:ascii="Calibri" w:hAnsi="Calibri" w:cs="Calibri"/>
                <w:color w:val="000000"/>
                <w:sz w:val="16"/>
                <w:szCs w:val="16"/>
              </w:rPr>
              <w:t>190.157</w:t>
            </w:r>
            <w:r>
              <w:rPr>
                <w:rFonts w:ascii="Calibri" w:hAnsi="Calibri" w:cs="Calibri"/>
                <w:color w:val="000000"/>
                <w:sz w:val="16"/>
                <w:szCs w:val="16"/>
              </w:rPr>
              <w:t>)</w:t>
            </w:r>
          </w:p>
        </w:tc>
        <w:tc>
          <w:tcPr>
            <w:tcW w:w="984" w:type="pct"/>
            <w:tcBorders>
              <w:top w:val="nil"/>
              <w:left w:val="nil"/>
              <w:bottom w:val="nil"/>
              <w:right w:val="nil"/>
            </w:tcBorders>
            <w:shd w:val="clear" w:color="auto" w:fill="auto"/>
            <w:vAlign w:val="center"/>
            <w:hideMark/>
          </w:tcPr>
          <w:p w14:paraId="32526B5E" w14:textId="0DE87910" w:rsidR="005D15C6" w:rsidRPr="00E92C8D" w:rsidRDefault="00A2342A">
            <w:pPr>
              <w:jc w:val="right"/>
              <w:rPr>
                <w:rFonts w:ascii="Calibri" w:hAnsi="Calibri" w:cs="Calibri"/>
                <w:color w:val="000000"/>
                <w:sz w:val="16"/>
                <w:szCs w:val="16"/>
              </w:rPr>
            </w:pPr>
            <w:r w:rsidRPr="00E92C8D">
              <w:rPr>
                <w:rFonts w:ascii="Calibri" w:hAnsi="Calibri" w:cs="Calibri"/>
                <w:color w:val="000000"/>
                <w:sz w:val="16"/>
                <w:szCs w:val="16"/>
              </w:rPr>
              <w:t>(</w:t>
            </w:r>
            <w:r w:rsidR="0036547A" w:rsidRPr="00E92C8D">
              <w:rPr>
                <w:rFonts w:ascii="Calibri" w:hAnsi="Calibri" w:cs="Calibri"/>
                <w:color w:val="000000"/>
                <w:sz w:val="16"/>
                <w:szCs w:val="16"/>
              </w:rPr>
              <w:t>593.477</w:t>
            </w:r>
            <w:r w:rsidR="005D15C6" w:rsidRPr="00E92C8D">
              <w:rPr>
                <w:rFonts w:ascii="Calibri" w:hAnsi="Calibri" w:cs="Calibri"/>
                <w:color w:val="000000"/>
                <w:sz w:val="16"/>
                <w:szCs w:val="16"/>
              </w:rPr>
              <w:t>)</w:t>
            </w:r>
          </w:p>
          <w:p w14:paraId="045E4285" w14:textId="4E266736" w:rsidR="00A2342A" w:rsidRPr="00E92C8D" w:rsidRDefault="00A2342A" w:rsidP="005D15C6">
            <w:pPr>
              <w:jc w:val="center"/>
              <w:rPr>
                <w:rFonts w:ascii="Calibri" w:hAnsi="Calibri" w:cs="Calibri"/>
                <w:color w:val="000000"/>
                <w:sz w:val="16"/>
                <w:szCs w:val="16"/>
              </w:rPr>
            </w:pPr>
            <w:r w:rsidRPr="00E92C8D">
              <w:rPr>
                <w:rFonts w:ascii="Calibri" w:hAnsi="Calibri" w:cs="Calibri"/>
                <w:color w:val="000000"/>
                <w:sz w:val="16"/>
                <w:szCs w:val="16"/>
              </w:rPr>
              <w:t>)</w:t>
            </w:r>
          </w:p>
        </w:tc>
      </w:tr>
      <w:tr w:rsidR="00A2342A" w14:paraId="62B2E761" w14:textId="77777777" w:rsidTr="00A2342A">
        <w:trPr>
          <w:trHeight w:hRule="exact" w:val="227"/>
        </w:trPr>
        <w:tc>
          <w:tcPr>
            <w:tcW w:w="3031" w:type="pct"/>
            <w:gridSpan w:val="2"/>
            <w:tcBorders>
              <w:top w:val="nil"/>
              <w:left w:val="nil"/>
              <w:bottom w:val="nil"/>
              <w:right w:val="nil"/>
            </w:tcBorders>
            <w:shd w:val="clear" w:color="auto" w:fill="auto"/>
            <w:noWrap/>
            <w:vAlign w:val="center"/>
            <w:hideMark/>
          </w:tcPr>
          <w:p w14:paraId="10BE8B63" w14:textId="77777777" w:rsidR="00A2342A" w:rsidRDefault="00A2342A">
            <w:pPr>
              <w:rPr>
                <w:rFonts w:ascii="Calibri" w:hAnsi="Calibri" w:cs="Calibri"/>
                <w:color w:val="000000"/>
                <w:sz w:val="16"/>
                <w:szCs w:val="16"/>
              </w:rPr>
            </w:pPr>
            <w:r>
              <w:rPr>
                <w:rFonts w:ascii="Calibri" w:hAnsi="Calibri" w:cs="Calibri"/>
                <w:color w:val="000000"/>
                <w:sz w:val="16"/>
                <w:szCs w:val="16"/>
              </w:rPr>
              <w:t>Energia, Água e Telecomunicações</w:t>
            </w:r>
          </w:p>
        </w:tc>
        <w:tc>
          <w:tcPr>
            <w:tcW w:w="984" w:type="pct"/>
            <w:tcBorders>
              <w:top w:val="nil"/>
              <w:left w:val="nil"/>
              <w:bottom w:val="nil"/>
              <w:right w:val="nil"/>
            </w:tcBorders>
            <w:shd w:val="clear" w:color="auto" w:fill="auto"/>
            <w:noWrap/>
            <w:vAlign w:val="center"/>
            <w:hideMark/>
          </w:tcPr>
          <w:p w14:paraId="78F60D62" w14:textId="62F18BCC" w:rsidR="00A2342A" w:rsidRDefault="00A2342A">
            <w:pPr>
              <w:jc w:val="right"/>
              <w:rPr>
                <w:rFonts w:ascii="Calibri" w:hAnsi="Calibri" w:cs="Calibri"/>
                <w:color w:val="000000"/>
                <w:sz w:val="16"/>
                <w:szCs w:val="16"/>
              </w:rPr>
            </w:pPr>
            <w:r>
              <w:rPr>
                <w:rFonts w:ascii="Calibri" w:hAnsi="Calibri" w:cs="Calibri"/>
                <w:color w:val="000000"/>
                <w:sz w:val="16"/>
                <w:szCs w:val="16"/>
              </w:rPr>
              <w:t>(</w:t>
            </w:r>
            <w:r w:rsidR="007D16D0">
              <w:rPr>
                <w:rFonts w:ascii="Calibri" w:hAnsi="Calibri" w:cs="Calibri"/>
                <w:color w:val="000000"/>
                <w:sz w:val="16"/>
                <w:szCs w:val="16"/>
              </w:rPr>
              <w:t>210.209</w:t>
            </w:r>
            <w:r>
              <w:rPr>
                <w:rFonts w:ascii="Calibri" w:hAnsi="Calibri" w:cs="Calibri"/>
                <w:color w:val="000000"/>
                <w:sz w:val="16"/>
                <w:szCs w:val="16"/>
              </w:rPr>
              <w:t>)</w:t>
            </w:r>
          </w:p>
        </w:tc>
        <w:tc>
          <w:tcPr>
            <w:tcW w:w="984" w:type="pct"/>
            <w:tcBorders>
              <w:top w:val="nil"/>
              <w:left w:val="nil"/>
              <w:bottom w:val="nil"/>
              <w:right w:val="nil"/>
            </w:tcBorders>
            <w:shd w:val="clear" w:color="auto" w:fill="auto"/>
            <w:vAlign w:val="center"/>
            <w:hideMark/>
          </w:tcPr>
          <w:p w14:paraId="126C6031" w14:textId="272F9240" w:rsidR="00A2342A" w:rsidRPr="00E92C8D" w:rsidRDefault="00A2342A">
            <w:pPr>
              <w:jc w:val="right"/>
              <w:rPr>
                <w:rFonts w:ascii="Calibri" w:hAnsi="Calibri" w:cs="Calibri"/>
                <w:color w:val="000000"/>
                <w:sz w:val="16"/>
                <w:szCs w:val="16"/>
              </w:rPr>
            </w:pPr>
            <w:r w:rsidRPr="00E92C8D">
              <w:rPr>
                <w:rFonts w:ascii="Calibri" w:hAnsi="Calibri" w:cs="Calibri"/>
                <w:color w:val="000000"/>
                <w:sz w:val="16"/>
                <w:szCs w:val="16"/>
              </w:rPr>
              <w:t>(</w:t>
            </w:r>
            <w:r w:rsidR="0036547A" w:rsidRPr="00E92C8D">
              <w:rPr>
                <w:rFonts w:ascii="Calibri" w:hAnsi="Calibri" w:cs="Calibri"/>
                <w:color w:val="000000"/>
                <w:sz w:val="16"/>
                <w:szCs w:val="16"/>
              </w:rPr>
              <w:t>119.234</w:t>
            </w:r>
            <w:r w:rsidRPr="00E92C8D">
              <w:rPr>
                <w:rFonts w:ascii="Calibri" w:hAnsi="Calibri" w:cs="Calibri"/>
                <w:color w:val="000000"/>
                <w:sz w:val="16"/>
                <w:szCs w:val="16"/>
              </w:rPr>
              <w:t>)</w:t>
            </w:r>
          </w:p>
        </w:tc>
      </w:tr>
      <w:tr w:rsidR="00A2342A" w14:paraId="0CC4357A" w14:textId="77777777" w:rsidTr="00A2342A">
        <w:trPr>
          <w:trHeight w:hRule="exact" w:val="227"/>
        </w:trPr>
        <w:tc>
          <w:tcPr>
            <w:tcW w:w="3031" w:type="pct"/>
            <w:gridSpan w:val="2"/>
            <w:tcBorders>
              <w:top w:val="nil"/>
              <w:left w:val="nil"/>
              <w:bottom w:val="nil"/>
              <w:right w:val="nil"/>
            </w:tcBorders>
            <w:shd w:val="clear" w:color="auto" w:fill="auto"/>
            <w:noWrap/>
            <w:vAlign w:val="center"/>
            <w:hideMark/>
          </w:tcPr>
          <w:p w14:paraId="04635B32" w14:textId="77777777" w:rsidR="00A2342A" w:rsidRDefault="00A2342A">
            <w:pPr>
              <w:rPr>
                <w:rFonts w:ascii="Calibri" w:hAnsi="Calibri" w:cs="Calibri"/>
                <w:color w:val="000000"/>
                <w:sz w:val="16"/>
                <w:szCs w:val="16"/>
              </w:rPr>
            </w:pPr>
            <w:r>
              <w:rPr>
                <w:rFonts w:ascii="Calibri" w:hAnsi="Calibri" w:cs="Calibri"/>
                <w:color w:val="000000"/>
                <w:sz w:val="16"/>
                <w:szCs w:val="16"/>
              </w:rPr>
              <w:t>Impostos e Taxas</w:t>
            </w:r>
          </w:p>
        </w:tc>
        <w:tc>
          <w:tcPr>
            <w:tcW w:w="984" w:type="pct"/>
            <w:tcBorders>
              <w:top w:val="nil"/>
              <w:left w:val="nil"/>
              <w:bottom w:val="nil"/>
              <w:right w:val="nil"/>
            </w:tcBorders>
            <w:shd w:val="clear" w:color="auto" w:fill="auto"/>
            <w:noWrap/>
            <w:vAlign w:val="center"/>
            <w:hideMark/>
          </w:tcPr>
          <w:p w14:paraId="72AE304D" w14:textId="70B70F8A" w:rsidR="00A2342A" w:rsidRDefault="00A2342A">
            <w:pPr>
              <w:jc w:val="right"/>
              <w:rPr>
                <w:rFonts w:ascii="Calibri" w:hAnsi="Calibri" w:cs="Calibri"/>
                <w:color w:val="000000"/>
                <w:sz w:val="16"/>
                <w:szCs w:val="16"/>
              </w:rPr>
            </w:pPr>
            <w:r>
              <w:rPr>
                <w:rFonts w:ascii="Calibri" w:hAnsi="Calibri" w:cs="Calibri"/>
                <w:color w:val="000000"/>
                <w:sz w:val="16"/>
                <w:szCs w:val="16"/>
              </w:rPr>
              <w:t>(30</w:t>
            </w:r>
            <w:r w:rsidR="007D16D0">
              <w:rPr>
                <w:rFonts w:ascii="Calibri" w:hAnsi="Calibri" w:cs="Calibri"/>
                <w:color w:val="000000"/>
                <w:sz w:val="16"/>
                <w:szCs w:val="16"/>
              </w:rPr>
              <w:t>9.861</w:t>
            </w:r>
            <w:r>
              <w:rPr>
                <w:rFonts w:ascii="Calibri" w:hAnsi="Calibri" w:cs="Calibri"/>
                <w:color w:val="000000"/>
                <w:sz w:val="16"/>
                <w:szCs w:val="16"/>
              </w:rPr>
              <w:t>)</w:t>
            </w:r>
          </w:p>
        </w:tc>
        <w:tc>
          <w:tcPr>
            <w:tcW w:w="984" w:type="pct"/>
            <w:tcBorders>
              <w:top w:val="nil"/>
              <w:left w:val="nil"/>
              <w:bottom w:val="nil"/>
              <w:right w:val="nil"/>
            </w:tcBorders>
            <w:shd w:val="clear" w:color="auto" w:fill="auto"/>
            <w:vAlign w:val="center"/>
            <w:hideMark/>
          </w:tcPr>
          <w:p w14:paraId="1F800172" w14:textId="213F7CD6" w:rsidR="00A2342A" w:rsidRPr="00E92C8D" w:rsidRDefault="00A2342A">
            <w:pPr>
              <w:jc w:val="right"/>
              <w:rPr>
                <w:rFonts w:ascii="Calibri" w:hAnsi="Calibri" w:cs="Calibri"/>
                <w:color w:val="000000"/>
                <w:sz w:val="16"/>
                <w:szCs w:val="16"/>
              </w:rPr>
            </w:pPr>
            <w:r w:rsidRPr="00E92C8D">
              <w:rPr>
                <w:rFonts w:ascii="Calibri" w:hAnsi="Calibri" w:cs="Calibri"/>
                <w:color w:val="000000"/>
                <w:sz w:val="16"/>
                <w:szCs w:val="16"/>
              </w:rPr>
              <w:t>(</w:t>
            </w:r>
            <w:r w:rsidR="005D15C6" w:rsidRPr="00E92C8D">
              <w:rPr>
                <w:rFonts w:ascii="Calibri" w:hAnsi="Calibri" w:cs="Calibri"/>
                <w:color w:val="000000"/>
                <w:sz w:val="16"/>
                <w:szCs w:val="16"/>
              </w:rPr>
              <w:t>91.344</w:t>
            </w:r>
            <w:r w:rsidRPr="00E92C8D">
              <w:rPr>
                <w:rFonts w:ascii="Calibri" w:hAnsi="Calibri" w:cs="Calibri"/>
                <w:color w:val="000000"/>
                <w:sz w:val="16"/>
                <w:szCs w:val="16"/>
              </w:rPr>
              <w:t>)</w:t>
            </w:r>
          </w:p>
        </w:tc>
      </w:tr>
      <w:tr w:rsidR="00A2342A" w14:paraId="32D4D5B3" w14:textId="77777777" w:rsidTr="00A2342A">
        <w:trPr>
          <w:trHeight w:hRule="exact" w:val="227"/>
        </w:trPr>
        <w:tc>
          <w:tcPr>
            <w:tcW w:w="2647" w:type="pct"/>
            <w:tcBorders>
              <w:top w:val="single" w:sz="8" w:space="0" w:color="auto"/>
              <w:left w:val="nil"/>
              <w:bottom w:val="single" w:sz="8" w:space="0" w:color="auto"/>
              <w:right w:val="nil"/>
            </w:tcBorders>
            <w:shd w:val="clear" w:color="auto" w:fill="auto"/>
            <w:noWrap/>
            <w:vAlign w:val="center"/>
            <w:hideMark/>
          </w:tcPr>
          <w:p w14:paraId="5E445299" w14:textId="77777777" w:rsidR="00A2342A" w:rsidRDefault="00A2342A">
            <w:pPr>
              <w:rPr>
                <w:rFonts w:ascii="Calibri" w:hAnsi="Calibri" w:cs="Calibri"/>
                <w:b/>
                <w:bCs/>
                <w:color w:val="000000"/>
                <w:sz w:val="16"/>
                <w:szCs w:val="16"/>
              </w:rPr>
            </w:pPr>
            <w:r>
              <w:rPr>
                <w:rFonts w:ascii="Calibri" w:hAnsi="Calibri" w:cs="Calibri"/>
                <w:b/>
                <w:bCs/>
                <w:color w:val="000000"/>
                <w:sz w:val="16"/>
                <w:szCs w:val="16"/>
              </w:rPr>
              <w:t xml:space="preserve">TOTAL </w:t>
            </w:r>
          </w:p>
        </w:tc>
        <w:tc>
          <w:tcPr>
            <w:tcW w:w="384" w:type="pct"/>
            <w:tcBorders>
              <w:top w:val="single" w:sz="8" w:space="0" w:color="auto"/>
              <w:left w:val="nil"/>
              <w:bottom w:val="single" w:sz="8" w:space="0" w:color="auto"/>
              <w:right w:val="nil"/>
            </w:tcBorders>
            <w:shd w:val="clear" w:color="auto" w:fill="auto"/>
            <w:noWrap/>
            <w:vAlign w:val="center"/>
            <w:hideMark/>
          </w:tcPr>
          <w:p w14:paraId="7E21AA25" w14:textId="77777777" w:rsidR="00A2342A" w:rsidRDefault="00A2342A">
            <w:pPr>
              <w:jc w:val="right"/>
              <w:rPr>
                <w:rFonts w:ascii="Calibri" w:hAnsi="Calibri" w:cs="Calibri"/>
                <w:b/>
                <w:bCs/>
                <w:color w:val="000000"/>
                <w:sz w:val="16"/>
                <w:szCs w:val="16"/>
              </w:rPr>
            </w:pPr>
            <w:r>
              <w:rPr>
                <w:rFonts w:ascii="Calibri" w:hAnsi="Calibri" w:cs="Calibri"/>
                <w:b/>
                <w:bCs/>
                <w:color w:val="000000"/>
                <w:sz w:val="16"/>
                <w:szCs w:val="16"/>
              </w:rPr>
              <w:t> </w:t>
            </w:r>
          </w:p>
        </w:tc>
        <w:tc>
          <w:tcPr>
            <w:tcW w:w="984" w:type="pct"/>
            <w:tcBorders>
              <w:top w:val="single" w:sz="8" w:space="0" w:color="auto"/>
              <w:left w:val="nil"/>
              <w:bottom w:val="single" w:sz="8" w:space="0" w:color="auto"/>
              <w:right w:val="nil"/>
            </w:tcBorders>
            <w:shd w:val="clear" w:color="auto" w:fill="auto"/>
            <w:noWrap/>
            <w:vAlign w:val="center"/>
            <w:hideMark/>
          </w:tcPr>
          <w:p w14:paraId="6C89433A" w14:textId="4820F3CC" w:rsidR="00A2342A" w:rsidRDefault="00A2342A">
            <w:pPr>
              <w:jc w:val="right"/>
              <w:rPr>
                <w:rFonts w:ascii="Calibri" w:hAnsi="Calibri" w:cs="Calibri"/>
                <w:b/>
                <w:bCs/>
                <w:color w:val="000000"/>
                <w:sz w:val="16"/>
                <w:szCs w:val="16"/>
              </w:rPr>
            </w:pPr>
            <w:r>
              <w:rPr>
                <w:rFonts w:ascii="Calibri" w:hAnsi="Calibri" w:cs="Calibri"/>
                <w:b/>
                <w:bCs/>
                <w:color w:val="000000"/>
                <w:sz w:val="16"/>
                <w:szCs w:val="16"/>
              </w:rPr>
              <w:t>(</w:t>
            </w:r>
            <w:r w:rsidR="007D16D0">
              <w:rPr>
                <w:rFonts w:ascii="Calibri" w:hAnsi="Calibri" w:cs="Calibri"/>
                <w:b/>
                <w:bCs/>
                <w:color w:val="000000"/>
                <w:sz w:val="16"/>
                <w:szCs w:val="16"/>
              </w:rPr>
              <w:t>21.819.424</w:t>
            </w:r>
            <w:r>
              <w:rPr>
                <w:rFonts w:ascii="Calibri" w:hAnsi="Calibri" w:cs="Calibri"/>
                <w:b/>
                <w:bCs/>
                <w:color w:val="000000"/>
                <w:sz w:val="16"/>
                <w:szCs w:val="16"/>
              </w:rPr>
              <w:t>)</w:t>
            </w:r>
          </w:p>
        </w:tc>
        <w:tc>
          <w:tcPr>
            <w:tcW w:w="984" w:type="pct"/>
            <w:tcBorders>
              <w:top w:val="single" w:sz="8" w:space="0" w:color="auto"/>
              <w:left w:val="nil"/>
              <w:bottom w:val="single" w:sz="8" w:space="0" w:color="auto"/>
              <w:right w:val="nil"/>
            </w:tcBorders>
            <w:shd w:val="clear" w:color="auto" w:fill="auto"/>
            <w:vAlign w:val="center"/>
            <w:hideMark/>
          </w:tcPr>
          <w:p w14:paraId="68E4F696" w14:textId="2821EAAD" w:rsidR="00A2342A" w:rsidRPr="00E92C8D" w:rsidRDefault="00A2342A">
            <w:pPr>
              <w:jc w:val="right"/>
              <w:rPr>
                <w:rFonts w:ascii="Calibri" w:hAnsi="Calibri" w:cs="Calibri"/>
                <w:b/>
                <w:bCs/>
                <w:color w:val="000000"/>
                <w:sz w:val="16"/>
                <w:szCs w:val="16"/>
              </w:rPr>
            </w:pPr>
            <w:r w:rsidRPr="00E92C8D">
              <w:rPr>
                <w:rFonts w:ascii="Calibri" w:hAnsi="Calibri" w:cs="Calibri"/>
                <w:b/>
                <w:bCs/>
                <w:color w:val="000000"/>
                <w:sz w:val="16"/>
                <w:szCs w:val="16"/>
              </w:rPr>
              <w:t>(</w:t>
            </w:r>
            <w:r w:rsidR="00E92C8D">
              <w:rPr>
                <w:rFonts w:ascii="Calibri" w:hAnsi="Calibri" w:cs="Calibri"/>
                <w:b/>
                <w:bCs/>
                <w:color w:val="000000"/>
                <w:sz w:val="16"/>
                <w:szCs w:val="16"/>
              </w:rPr>
              <w:t>14.292.046</w:t>
            </w:r>
            <w:r w:rsidRPr="00E92C8D">
              <w:rPr>
                <w:rFonts w:ascii="Calibri" w:hAnsi="Calibri" w:cs="Calibri"/>
                <w:b/>
                <w:bCs/>
                <w:color w:val="000000"/>
                <w:sz w:val="16"/>
                <w:szCs w:val="16"/>
              </w:rPr>
              <w:t>)</w:t>
            </w:r>
          </w:p>
        </w:tc>
      </w:tr>
    </w:tbl>
    <w:p w14:paraId="6BB2C473" w14:textId="77777777" w:rsidR="00B87A63" w:rsidRPr="002E2B5B" w:rsidRDefault="00B87A63" w:rsidP="002E2B5B">
      <w:pPr>
        <w:ind w:right="57"/>
        <w:jc w:val="both"/>
        <w:rPr>
          <w:rFonts w:ascii="Calibri" w:hAnsi="Calibri" w:cs="Calibri"/>
          <w:sz w:val="22"/>
          <w:szCs w:val="22"/>
        </w:rPr>
      </w:pPr>
    </w:p>
    <w:p w14:paraId="209A3CD2" w14:textId="5E4B7243" w:rsidR="007F4918" w:rsidRDefault="00980858" w:rsidP="002E2B5B">
      <w:pPr>
        <w:ind w:right="57"/>
        <w:jc w:val="both"/>
        <w:rPr>
          <w:rFonts w:ascii="Calibri" w:hAnsi="Calibri" w:cs="Calibri"/>
          <w:sz w:val="22"/>
          <w:szCs w:val="22"/>
        </w:rPr>
      </w:pPr>
      <w:r w:rsidRPr="002E2B5B">
        <w:rPr>
          <w:rFonts w:ascii="Calibri" w:hAnsi="Calibri" w:cs="Calibri"/>
          <w:sz w:val="22"/>
          <w:szCs w:val="22"/>
        </w:rPr>
        <w:t>A</w:t>
      </w:r>
      <w:r w:rsidR="002827B8" w:rsidRPr="002E2B5B">
        <w:rPr>
          <w:rFonts w:ascii="Calibri" w:hAnsi="Calibri" w:cs="Calibri"/>
          <w:sz w:val="22"/>
          <w:szCs w:val="22"/>
        </w:rPr>
        <w:t xml:space="preserve">s despesas de locação foram sensibilizadas pela adoção do CPC – 06 (R2), conforme Nota </w:t>
      </w:r>
      <w:r w:rsidRPr="002E2B5B">
        <w:rPr>
          <w:rFonts w:ascii="Calibri" w:hAnsi="Calibri" w:cs="Calibri"/>
          <w:sz w:val="22"/>
          <w:szCs w:val="22"/>
        </w:rPr>
        <w:t>1</w:t>
      </w:r>
      <w:r w:rsidR="00216A83">
        <w:rPr>
          <w:rFonts w:ascii="Calibri" w:hAnsi="Calibri" w:cs="Calibri"/>
          <w:sz w:val="22"/>
          <w:szCs w:val="22"/>
        </w:rPr>
        <w:t>3</w:t>
      </w:r>
      <w:r w:rsidRPr="002E2B5B">
        <w:rPr>
          <w:rFonts w:ascii="Calibri" w:hAnsi="Calibri" w:cs="Calibri"/>
          <w:sz w:val="22"/>
          <w:szCs w:val="22"/>
        </w:rPr>
        <w:t>.</w:t>
      </w:r>
    </w:p>
    <w:p w14:paraId="0F6B58BF" w14:textId="24385A26" w:rsidR="00C34E8D" w:rsidRDefault="00C34E8D" w:rsidP="002E2B5B">
      <w:pPr>
        <w:ind w:right="57"/>
        <w:jc w:val="both"/>
        <w:rPr>
          <w:rFonts w:ascii="Calibri" w:hAnsi="Calibri" w:cs="Calibri"/>
          <w:sz w:val="22"/>
          <w:szCs w:val="22"/>
        </w:rPr>
      </w:pPr>
    </w:p>
    <w:p w14:paraId="526351D3" w14:textId="74B802AA" w:rsidR="00BE6F7B" w:rsidRPr="002E2B5B" w:rsidRDefault="004E146F" w:rsidP="002E2B5B">
      <w:pPr>
        <w:jc w:val="both"/>
        <w:rPr>
          <w:rFonts w:ascii="Calibri" w:hAnsi="Calibri" w:cs="Calibri"/>
          <w:b/>
          <w:sz w:val="22"/>
          <w:szCs w:val="22"/>
        </w:rPr>
      </w:pPr>
      <w:r w:rsidRPr="00BC605C">
        <w:rPr>
          <w:rFonts w:ascii="Calibri" w:hAnsi="Calibri" w:cs="Calibri"/>
          <w:b/>
          <w:sz w:val="22"/>
          <w:szCs w:val="22"/>
        </w:rPr>
        <w:t>NO</w:t>
      </w:r>
      <w:r w:rsidR="00434FB3" w:rsidRPr="00BC605C">
        <w:rPr>
          <w:rFonts w:ascii="Calibri" w:hAnsi="Calibri" w:cs="Calibri"/>
          <w:b/>
          <w:sz w:val="22"/>
          <w:szCs w:val="22"/>
        </w:rPr>
        <w:t>TA 1</w:t>
      </w:r>
      <w:r w:rsidR="00216A83">
        <w:rPr>
          <w:rFonts w:ascii="Calibri" w:hAnsi="Calibri" w:cs="Calibri"/>
          <w:b/>
          <w:sz w:val="22"/>
          <w:szCs w:val="22"/>
        </w:rPr>
        <w:t>7</w:t>
      </w:r>
      <w:r w:rsidRPr="00BC605C">
        <w:rPr>
          <w:rFonts w:ascii="Calibri" w:hAnsi="Calibri" w:cs="Calibri"/>
          <w:b/>
          <w:sz w:val="22"/>
          <w:szCs w:val="22"/>
        </w:rPr>
        <w:t xml:space="preserve"> – OUTRAS RECEITAS</w:t>
      </w:r>
      <w:r w:rsidR="006C0B4D" w:rsidRPr="00BC605C">
        <w:rPr>
          <w:rFonts w:ascii="Calibri" w:hAnsi="Calibri" w:cs="Calibri"/>
          <w:b/>
          <w:sz w:val="22"/>
          <w:szCs w:val="22"/>
        </w:rPr>
        <w:t>/DESPESAS</w:t>
      </w:r>
      <w:r w:rsidRPr="00BC605C">
        <w:rPr>
          <w:rFonts w:ascii="Calibri" w:hAnsi="Calibri" w:cs="Calibri"/>
          <w:b/>
          <w:sz w:val="22"/>
          <w:szCs w:val="22"/>
        </w:rPr>
        <w:t xml:space="preserve"> OPERACIONAIS</w:t>
      </w:r>
    </w:p>
    <w:p w14:paraId="5A3B7D79" w14:textId="77777777" w:rsidR="000C065B" w:rsidRPr="002E2B5B" w:rsidRDefault="000C065B" w:rsidP="002E2B5B">
      <w:pPr>
        <w:jc w:val="both"/>
        <w:rPr>
          <w:rFonts w:ascii="Calibri" w:hAnsi="Calibri" w:cs="Calibri"/>
          <w:b/>
          <w:sz w:val="22"/>
          <w:szCs w:val="22"/>
        </w:rPr>
      </w:pPr>
    </w:p>
    <w:p w14:paraId="7934F07B" w14:textId="347F815E" w:rsidR="004E7131" w:rsidRDefault="004E146F" w:rsidP="009B3A36">
      <w:pPr>
        <w:ind w:right="57"/>
        <w:jc w:val="both"/>
        <w:rPr>
          <w:rFonts w:ascii="Calibri" w:hAnsi="Calibri" w:cs="Calibri"/>
          <w:sz w:val="22"/>
          <w:szCs w:val="22"/>
        </w:rPr>
      </w:pPr>
      <w:r w:rsidRPr="002E2B5B">
        <w:rPr>
          <w:rFonts w:ascii="Calibri" w:hAnsi="Calibri" w:cs="Calibri"/>
          <w:sz w:val="22"/>
          <w:szCs w:val="22"/>
        </w:rPr>
        <w:t>A rubrica “Outras Receitas</w:t>
      </w:r>
      <w:r w:rsidR="006C0B4D" w:rsidRPr="002E2B5B">
        <w:rPr>
          <w:rFonts w:ascii="Calibri" w:hAnsi="Calibri" w:cs="Calibri"/>
          <w:sz w:val="22"/>
          <w:szCs w:val="22"/>
        </w:rPr>
        <w:t xml:space="preserve">/Despesas </w:t>
      </w:r>
      <w:r w:rsidRPr="002E2B5B">
        <w:rPr>
          <w:rFonts w:ascii="Calibri" w:hAnsi="Calibri" w:cs="Calibri"/>
          <w:sz w:val="22"/>
          <w:szCs w:val="22"/>
        </w:rPr>
        <w:t xml:space="preserve">Operacionais” </w:t>
      </w:r>
      <w:r w:rsidR="002C7DBE" w:rsidRPr="002E2B5B">
        <w:rPr>
          <w:rFonts w:ascii="Calibri" w:hAnsi="Calibri" w:cs="Calibri"/>
          <w:sz w:val="22"/>
          <w:szCs w:val="22"/>
        </w:rPr>
        <w:t xml:space="preserve">apresentou </w:t>
      </w:r>
      <w:r w:rsidR="00B812FB" w:rsidRPr="002E2B5B">
        <w:rPr>
          <w:rFonts w:ascii="Calibri" w:hAnsi="Calibri" w:cs="Calibri"/>
          <w:sz w:val="22"/>
          <w:szCs w:val="22"/>
        </w:rPr>
        <w:t>o valor</w:t>
      </w:r>
      <w:r w:rsidR="00BC605C">
        <w:rPr>
          <w:rFonts w:ascii="Calibri" w:hAnsi="Calibri" w:cs="Calibri"/>
          <w:sz w:val="22"/>
          <w:szCs w:val="22"/>
        </w:rPr>
        <w:t xml:space="preserve"> negativo</w:t>
      </w:r>
      <w:r w:rsidR="00B812FB" w:rsidRPr="002E2B5B">
        <w:rPr>
          <w:rFonts w:ascii="Calibri" w:hAnsi="Calibri" w:cs="Calibri"/>
          <w:sz w:val="22"/>
          <w:szCs w:val="22"/>
        </w:rPr>
        <w:t xml:space="preserve"> de R$ </w:t>
      </w:r>
      <w:r w:rsidR="00D81A35">
        <w:rPr>
          <w:rFonts w:ascii="Calibri" w:hAnsi="Calibri" w:cs="Calibri"/>
          <w:sz w:val="22"/>
          <w:szCs w:val="22"/>
        </w:rPr>
        <w:t>91,5</w:t>
      </w:r>
      <w:r w:rsidR="007D16D0">
        <w:rPr>
          <w:rFonts w:ascii="Calibri" w:hAnsi="Calibri" w:cs="Calibri"/>
          <w:sz w:val="22"/>
          <w:szCs w:val="22"/>
        </w:rPr>
        <w:t xml:space="preserve"> </w:t>
      </w:r>
      <w:r w:rsidR="005B302C" w:rsidRPr="002E2B5B">
        <w:rPr>
          <w:rFonts w:ascii="Calibri" w:hAnsi="Calibri" w:cs="Calibri"/>
          <w:sz w:val="22"/>
          <w:szCs w:val="22"/>
        </w:rPr>
        <w:t>mil</w:t>
      </w:r>
      <w:r w:rsidR="006D1F53">
        <w:rPr>
          <w:rFonts w:ascii="Calibri" w:hAnsi="Calibri" w:cs="Calibri"/>
          <w:sz w:val="22"/>
          <w:szCs w:val="22"/>
        </w:rPr>
        <w:t>hões</w:t>
      </w:r>
      <w:r w:rsidR="005B302C" w:rsidRPr="002E2B5B">
        <w:rPr>
          <w:rFonts w:ascii="Calibri" w:hAnsi="Calibri" w:cs="Calibri"/>
          <w:sz w:val="22"/>
          <w:szCs w:val="22"/>
        </w:rPr>
        <w:t xml:space="preserve"> e</w:t>
      </w:r>
      <w:r w:rsidR="00B812FB" w:rsidRPr="002E2B5B">
        <w:rPr>
          <w:rFonts w:ascii="Calibri" w:hAnsi="Calibri" w:cs="Calibri"/>
          <w:sz w:val="22"/>
          <w:szCs w:val="22"/>
        </w:rPr>
        <w:t xml:space="preserve"> </w:t>
      </w:r>
      <w:r w:rsidRPr="002E2B5B">
        <w:rPr>
          <w:rFonts w:ascii="Calibri" w:hAnsi="Calibri" w:cs="Calibri"/>
          <w:sz w:val="22"/>
          <w:szCs w:val="22"/>
        </w:rPr>
        <w:t xml:space="preserve">compreende </w:t>
      </w:r>
      <w:r w:rsidR="005B302C" w:rsidRPr="002E2B5B">
        <w:rPr>
          <w:rFonts w:ascii="Calibri" w:hAnsi="Calibri" w:cs="Calibri"/>
          <w:sz w:val="22"/>
          <w:szCs w:val="22"/>
        </w:rPr>
        <w:t>as provisões para contingências e suas</w:t>
      </w:r>
      <w:r w:rsidR="00216A83">
        <w:rPr>
          <w:rFonts w:ascii="Calibri" w:hAnsi="Calibri" w:cs="Calibri"/>
          <w:sz w:val="22"/>
          <w:szCs w:val="22"/>
        </w:rPr>
        <w:t xml:space="preserve"> </w:t>
      </w:r>
      <w:r w:rsidRPr="002E2B5B">
        <w:rPr>
          <w:rFonts w:ascii="Calibri" w:hAnsi="Calibri" w:cs="Calibri"/>
          <w:sz w:val="22"/>
          <w:szCs w:val="22"/>
        </w:rPr>
        <w:t>revers</w:t>
      </w:r>
      <w:r w:rsidR="005B302C" w:rsidRPr="002E2B5B">
        <w:rPr>
          <w:rFonts w:ascii="Calibri" w:hAnsi="Calibri" w:cs="Calibri"/>
          <w:sz w:val="22"/>
          <w:szCs w:val="22"/>
        </w:rPr>
        <w:t>ões</w:t>
      </w:r>
      <w:r w:rsidR="009337AF" w:rsidRPr="002E2B5B">
        <w:rPr>
          <w:rFonts w:ascii="Calibri" w:hAnsi="Calibri" w:cs="Calibri"/>
          <w:sz w:val="22"/>
          <w:szCs w:val="22"/>
        </w:rPr>
        <w:t>,</w:t>
      </w:r>
      <w:r w:rsidR="008F0BEC" w:rsidRPr="002E2B5B">
        <w:rPr>
          <w:rFonts w:ascii="Calibri" w:hAnsi="Calibri" w:cs="Calibri"/>
          <w:sz w:val="22"/>
          <w:szCs w:val="22"/>
        </w:rPr>
        <w:t xml:space="preserve"> T</w:t>
      </w:r>
      <w:r w:rsidR="00B812FB" w:rsidRPr="002E2B5B">
        <w:rPr>
          <w:rFonts w:ascii="Calibri" w:hAnsi="Calibri" w:cs="Calibri"/>
          <w:sz w:val="22"/>
          <w:szCs w:val="22"/>
        </w:rPr>
        <w:t>ermo</w:t>
      </w:r>
      <w:r w:rsidR="008F0BEC" w:rsidRPr="002E2B5B">
        <w:rPr>
          <w:rFonts w:ascii="Calibri" w:hAnsi="Calibri" w:cs="Calibri"/>
          <w:sz w:val="22"/>
          <w:szCs w:val="22"/>
        </w:rPr>
        <w:t xml:space="preserve"> de Execução Descentralizada</w:t>
      </w:r>
      <w:r w:rsidR="00D518C0" w:rsidRPr="002E2B5B">
        <w:rPr>
          <w:rFonts w:ascii="Calibri" w:hAnsi="Calibri" w:cs="Calibri"/>
          <w:sz w:val="22"/>
          <w:szCs w:val="22"/>
        </w:rPr>
        <w:t xml:space="preserve"> (</w:t>
      </w:r>
      <w:r w:rsidR="008F0BEC" w:rsidRPr="002E2B5B">
        <w:rPr>
          <w:rFonts w:ascii="Calibri" w:hAnsi="Calibri" w:cs="Calibri"/>
          <w:sz w:val="22"/>
          <w:szCs w:val="22"/>
        </w:rPr>
        <w:t>TED</w:t>
      </w:r>
      <w:r w:rsidR="00D518C0" w:rsidRPr="002E2B5B">
        <w:rPr>
          <w:rFonts w:ascii="Calibri" w:hAnsi="Calibri" w:cs="Calibri"/>
          <w:sz w:val="22"/>
          <w:szCs w:val="22"/>
        </w:rPr>
        <w:t>)</w:t>
      </w:r>
      <w:r w:rsidR="004E38F5" w:rsidRPr="002E2B5B">
        <w:rPr>
          <w:rFonts w:ascii="Calibri" w:hAnsi="Calibri" w:cs="Calibri"/>
          <w:sz w:val="22"/>
          <w:szCs w:val="22"/>
        </w:rPr>
        <w:t xml:space="preserve">, </w:t>
      </w:r>
      <w:r w:rsidR="00B812FB" w:rsidRPr="002E2B5B">
        <w:rPr>
          <w:rFonts w:ascii="Calibri" w:hAnsi="Calibri" w:cs="Calibri"/>
          <w:sz w:val="22"/>
          <w:szCs w:val="22"/>
        </w:rPr>
        <w:t>baixa de de</w:t>
      </w:r>
      <w:r w:rsidR="004E38F5" w:rsidRPr="002E2B5B">
        <w:rPr>
          <w:rFonts w:ascii="Calibri" w:hAnsi="Calibri" w:cs="Calibri"/>
          <w:sz w:val="22"/>
          <w:szCs w:val="22"/>
        </w:rPr>
        <w:t>pósitos retidos de fornecedores</w:t>
      </w:r>
      <w:r w:rsidR="00AB2F4A" w:rsidRPr="002E2B5B">
        <w:rPr>
          <w:rFonts w:ascii="Calibri" w:hAnsi="Calibri" w:cs="Calibri"/>
          <w:sz w:val="22"/>
          <w:szCs w:val="22"/>
        </w:rPr>
        <w:t>,</w:t>
      </w:r>
      <w:r w:rsidR="004E38F5" w:rsidRPr="002E2B5B">
        <w:rPr>
          <w:rFonts w:ascii="Calibri" w:hAnsi="Calibri" w:cs="Calibri"/>
          <w:sz w:val="22"/>
          <w:szCs w:val="22"/>
        </w:rPr>
        <w:t xml:space="preserve"> </w:t>
      </w:r>
      <w:r w:rsidR="00AB2F4A" w:rsidRPr="002E2B5B">
        <w:rPr>
          <w:rFonts w:ascii="Calibri" w:hAnsi="Calibri" w:cs="Calibri"/>
          <w:sz w:val="22"/>
          <w:szCs w:val="22"/>
        </w:rPr>
        <w:t>doações/transferências recebidas</w:t>
      </w:r>
      <w:r w:rsidR="00D518C0" w:rsidRPr="002E2B5B">
        <w:rPr>
          <w:rFonts w:ascii="Calibri" w:hAnsi="Calibri" w:cs="Calibri"/>
          <w:sz w:val="22"/>
          <w:szCs w:val="22"/>
        </w:rPr>
        <w:t xml:space="preserve">, </w:t>
      </w:r>
      <w:r w:rsidR="00D92B38" w:rsidRPr="002E2B5B">
        <w:rPr>
          <w:rFonts w:ascii="Calibri" w:hAnsi="Calibri" w:cs="Calibri"/>
          <w:sz w:val="22"/>
          <w:szCs w:val="22"/>
        </w:rPr>
        <w:t>multas administrativas</w:t>
      </w:r>
      <w:r w:rsidR="005B302C" w:rsidRPr="002E2B5B">
        <w:rPr>
          <w:rFonts w:ascii="Calibri" w:hAnsi="Calibri" w:cs="Calibri"/>
          <w:sz w:val="22"/>
          <w:szCs w:val="22"/>
        </w:rPr>
        <w:t>, baixa de ativos imobilizados e intangíveis e resultado da equivalência patrimonial sobre o investimento da VALEC em outra companhia.</w:t>
      </w:r>
    </w:p>
    <w:p w14:paraId="1A92C25A" w14:textId="77777777" w:rsidR="002C7B71" w:rsidRDefault="002C7B71" w:rsidP="009B3A36">
      <w:pPr>
        <w:ind w:right="57"/>
        <w:jc w:val="both"/>
        <w:rPr>
          <w:rFonts w:ascii="Calibri" w:hAnsi="Calibri" w:cs="Calibri"/>
          <w:sz w:val="22"/>
          <w:szCs w:val="22"/>
        </w:rPr>
      </w:pPr>
    </w:p>
    <w:p w14:paraId="061A63C0" w14:textId="77777777" w:rsidR="00750F82" w:rsidRDefault="00750F82" w:rsidP="009B3A36">
      <w:pPr>
        <w:ind w:right="57"/>
        <w:jc w:val="both"/>
        <w:rPr>
          <w:rFonts w:ascii="Calibri" w:hAnsi="Calibri" w:cs="Calibri"/>
          <w:sz w:val="22"/>
          <w:szCs w:val="22"/>
        </w:rPr>
      </w:pPr>
    </w:p>
    <w:tbl>
      <w:tblPr>
        <w:tblW w:w="5000" w:type="pct"/>
        <w:tblCellMar>
          <w:left w:w="70" w:type="dxa"/>
          <w:right w:w="70" w:type="dxa"/>
        </w:tblCellMar>
        <w:tblLook w:val="04A0" w:firstRow="1" w:lastRow="0" w:firstColumn="1" w:lastColumn="0" w:noHBand="0" w:noVBand="1"/>
      </w:tblPr>
      <w:tblGrid>
        <w:gridCol w:w="7230"/>
        <w:gridCol w:w="220"/>
        <w:gridCol w:w="1436"/>
        <w:gridCol w:w="1581"/>
      </w:tblGrid>
      <w:tr w:rsidR="00AD39BE" w14:paraId="7A63DCAF" w14:textId="77777777" w:rsidTr="00B92F90">
        <w:trPr>
          <w:trHeight w:hRule="exact" w:val="227"/>
        </w:trPr>
        <w:tc>
          <w:tcPr>
            <w:tcW w:w="3559" w:type="pct"/>
            <w:gridSpan w:val="2"/>
            <w:tcBorders>
              <w:top w:val="nil"/>
              <w:left w:val="nil"/>
              <w:bottom w:val="single" w:sz="8" w:space="0" w:color="auto"/>
              <w:right w:val="nil"/>
            </w:tcBorders>
            <w:shd w:val="clear" w:color="auto" w:fill="auto"/>
            <w:noWrap/>
            <w:vAlign w:val="center"/>
            <w:hideMark/>
          </w:tcPr>
          <w:p w14:paraId="0C4F0D20" w14:textId="77777777" w:rsidR="00AD39BE" w:rsidRDefault="00AD39BE">
            <w:pPr>
              <w:rPr>
                <w:rFonts w:ascii="Calibri" w:hAnsi="Calibri" w:cs="Calibri"/>
                <w:b/>
                <w:bCs/>
                <w:color w:val="000000"/>
                <w:sz w:val="16"/>
                <w:szCs w:val="16"/>
              </w:rPr>
            </w:pPr>
            <w:r>
              <w:rPr>
                <w:rFonts w:ascii="Calibri" w:hAnsi="Calibri" w:cs="Calibri"/>
                <w:b/>
                <w:bCs/>
                <w:color w:val="000000"/>
                <w:sz w:val="16"/>
                <w:szCs w:val="16"/>
              </w:rPr>
              <w:t>OUTRAS RECEITAS/ DESPESAS OPERACIONAIS</w:t>
            </w:r>
          </w:p>
        </w:tc>
        <w:tc>
          <w:tcPr>
            <w:tcW w:w="686" w:type="pct"/>
            <w:tcBorders>
              <w:top w:val="nil"/>
              <w:left w:val="nil"/>
              <w:bottom w:val="single" w:sz="8" w:space="0" w:color="auto"/>
              <w:right w:val="nil"/>
            </w:tcBorders>
            <w:shd w:val="clear" w:color="auto" w:fill="auto"/>
            <w:noWrap/>
            <w:vAlign w:val="center"/>
            <w:hideMark/>
          </w:tcPr>
          <w:p w14:paraId="4FB748F5" w14:textId="4AA4ACAF" w:rsidR="00AD39BE" w:rsidRDefault="00AD39BE">
            <w:pPr>
              <w:jc w:val="right"/>
              <w:rPr>
                <w:rFonts w:ascii="Calibri" w:hAnsi="Calibri" w:cs="Calibri"/>
                <w:b/>
                <w:bCs/>
                <w:color w:val="000000"/>
                <w:sz w:val="16"/>
                <w:szCs w:val="16"/>
              </w:rPr>
            </w:pPr>
            <w:r>
              <w:rPr>
                <w:rFonts w:ascii="Calibri" w:hAnsi="Calibri" w:cs="Calibri"/>
                <w:b/>
                <w:bCs/>
                <w:color w:val="000000"/>
                <w:sz w:val="16"/>
                <w:szCs w:val="16"/>
              </w:rPr>
              <w:t>30/0</w:t>
            </w:r>
            <w:r w:rsidR="007D16D0">
              <w:rPr>
                <w:rFonts w:ascii="Calibri" w:hAnsi="Calibri" w:cs="Calibri"/>
                <w:b/>
                <w:bCs/>
                <w:color w:val="000000"/>
                <w:sz w:val="16"/>
                <w:szCs w:val="16"/>
              </w:rPr>
              <w:t>9</w:t>
            </w:r>
            <w:r>
              <w:rPr>
                <w:rFonts w:ascii="Calibri" w:hAnsi="Calibri" w:cs="Calibri"/>
                <w:b/>
                <w:bCs/>
                <w:color w:val="000000"/>
                <w:sz w:val="16"/>
                <w:szCs w:val="16"/>
              </w:rPr>
              <w:t>/2021</w:t>
            </w:r>
          </w:p>
        </w:tc>
        <w:tc>
          <w:tcPr>
            <w:tcW w:w="755" w:type="pct"/>
            <w:tcBorders>
              <w:top w:val="nil"/>
              <w:left w:val="nil"/>
              <w:bottom w:val="single" w:sz="8" w:space="0" w:color="auto"/>
              <w:right w:val="nil"/>
            </w:tcBorders>
            <w:shd w:val="clear" w:color="auto" w:fill="auto"/>
            <w:vAlign w:val="center"/>
            <w:hideMark/>
          </w:tcPr>
          <w:p w14:paraId="4576D205" w14:textId="2359FF64" w:rsidR="00AD39BE" w:rsidRPr="00E92C8D" w:rsidRDefault="00AD39BE">
            <w:pPr>
              <w:jc w:val="right"/>
              <w:rPr>
                <w:rFonts w:ascii="Calibri" w:hAnsi="Calibri" w:cs="Calibri"/>
                <w:b/>
                <w:bCs/>
                <w:color w:val="000000"/>
                <w:sz w:val="16"/>
                <w:szCs w:val="16"/>
              </w:rPr>
            </w:pPr>
            <w:r w:rsidRPr="00E92C8D">
              <w:rPr>
                <w:rFonts w:ascii="Calibri" w:hAnsi="Calibri" w:cs="Calibri"/>
                <w:b/>
                <w:bCs/>
                <w:color w:val="000000"/>
                <w:sz w:val="16"/>
                <w:szCs w:val="16"/>
              </w:rPr>
              <w:t>30/0</w:t>
            </w:r>
            <w:r w:rsidR="00750F82" w:rsidRPr="00E92C8D">
              <w:rPr>
                <w:rFonts w:ascii="Calibri" w:hAnsi="Calibri" w:cs="Calibri"/>
                <w:b/>
                <w:bCs/>
                <w:color w:val="000000"/>
                <w:sz w:val="16"/>
                <w:szCs w:val="16"/>
              </w:rPr>
              <w:t>9</w:t>
            </w:r>
            <w:r w:rsidRPr="00E92C8D">
              <w:rPr>
                <w:rFonts w:ascii="Calibri" w:hAnsi="Calibri" w:cs="Calibri"/>
                <w:b/>
                <w:bCs/>
                <w:color w:val="000000"/>
                <w:sz w:val="16"/>
                <w:szCs w:val="16"/>
              </w:rPr>
              <w:t>/2020</w:t>
            </w:r>
          </w:p>
        </w:tc>
      </w:tr>
      <w:tr w:rsidR="00AD39BE" w14:paraId="4B51EF6E" w14:textId="77777777" w:rsidTr="00B92F90">
        <w:trPr>
          <w:trHeight w:hRule="exact" w:val="227"/>
        </w:trPr>
        <w:tc>
          <w:tcPr>
            <w:tcW w:w="3559" w:type="pct"/>
            <w:gridSpan w:val="2"/>
            <w:tcBorders>
              <w:top w:val="nil"/>
              <w:left w:val="nil"/>
              <w:bottom w:val="nil"/>
              <w:right w:val="nil"/>
            </w:tcBorders>
            <w:shd w:val="clear" w:color="auto" w:fill="auto"/>
            <w:noWrap/>
            <w:vAlign w:val="center"/>
            <w:hideMark/>
          </w:tcPr>
          <w:p w14:paraId="641621BB" w14:textId="77777777" w:rsidR="00AD39BE" w:rsidRDefault="00AD39BE">
            <w:pPr>
              <w:rPr>
                <w:rFonts w:ascii="Calibri" w:hAnsi="Calibri" w:cs="Calibri"/>
                <w:color w:val="000000"/>
                <w:sz w:val="16"/>
                <w:szCs w:val="16"/>
              </w:rPr>
            </w:pPr>
            <w:r>
              <w:rPr>
                <w:rFonts w:ascii="Calibri" w:hAnsi="Calibri" w:cs="Calibri"/>
                <w:color w:val="000000"/>
                <w:sz w:val="16"/>
                <w:szCs w:val="16"/>
              </w:rPr>
              <w:t>Provisão para Contingências (Nota 11b)</w:t>
            </w:r>
          </w:p>
        </w:tc>
        <w:tc>
          <w:tcPr>
            <w:tcW w:w="686" w:type="pct"/>
            <w:tcBorders>
              <w:top w:val="nil"/>
              <w:left w:val="nil"/>
              <w:bottom w:val="nil"/>
              <w:right w:val="nil"/>
            </w:tcBorders>
            <w:shd w:val="clear" w:color="auto" w:fill="auto"/>
            <w:noWrap/>
            <w:vAlign w:val="center"/>
            <w:hideMark/>
          </w:tcPr>
          <w:p w14:paraId="4018DC06" w14:textId="051DD2BF" w:rsidR="00AD39BE" w:rsidRDefault="00AD39BE">
            <w:pPr>
              <w:jc w:val="right"/>
              <w:rPr>
                <w:rFonts w:ascii="Calibri" w:hAnsi="Calibri" w:cs="Calibri"/>
                <w:color w:val="000000"/>
                <w:sz w:val="16"/>
                <w:szCs w:val="16"/>
              </w:rPr>
            </w:pPr>
            <w:r>
              <w:rPr>
                <w:rFonts w:ascii="Calibri" w:hAnsi="Calibri" w:cs="Calibri"/>
                <w:color w:val="000000"/>
                <w:sz w:val="16"/>
                <w:szCs w:val="16"/>
              </w:rPr>
              <w:t>(</w:t>
            </w:r>
            <w:r w:rsidR="007D16D0">
              <w:rPr>
                <w:rFonts w:ascii="Calibri" w:hAnsi="Calibri" w:cs="Calibri"/>
                <w:color w:val="000000"/>
                <w:sz w:val="16"/>
                <w:szCs w:val="16"/>
              </w:rPr>
              <w:t>70.667.674</w:t>
            </w:r>
            <w:r>
              <w:rPr>
                <w:rFonts w:ascii="Calibri" w:hAnsi="Calibri" w:cs="Calibri"/>
                <w:color w:val="000000"/>
                <w:sz w:val="16"/>
                <w:szCs w:val="16"/>
              </w:rPr>
              <w:t>)</w:t>
            </w:r>
          </w:p>
        </w:tc>
        <w:tc>
          <w:tcPr>
            <w:tcW w:w="755" w:type="pct"/>
            <w:tcBorders>
              <w:top w:val="nil"/>
              <w:left w:val="nil"/>
              <w:bottom w:val="nil"/>
              <w:right w:val="nil"/>
            </w:tcBorders>
            <w:shd w:val="clear" w:color="auto" w:fill="auto"/>
            <w:vAlign w:val="center"/>
            <w:hideMark/>
          </w:tcPr>
          <w:p w14:paraId="14BDAAE6" w14:textId="30CB74BC" w:rsidR="00AD39BE" w:rsidRPr="00E92C8D" w:rsidRDefault="00AD39BE">
            <w:pPr>
              <w:jc w:val="right"/>
              <w:rPr>
                <w:rFonts w:ascii="Calibri" w:hAnsi="Calibri" w:cs="Calibri"/>
                <w:color w:val="000000"/>
                <w:sz w:val="16"/>
                <w:szCs w:val="16"/>
              </w:rPr>
            </w:pPr>
            <w:r w:rsidRPr="00E92C8D">
              <w:rPr>
                <w:rFonts w:ascii="Calibri" w:hAnsi="Calibri" w:cs="Calibri"/>
                <w:color w:val="000000"/>
                <w:sz w:val="16"/>
                <w:szCs w:val="16"/>
              </w:rPr>
              <w:t>(</w:t>
            </w:r>
            <w:r w:rsidR="00E92C8D">
              <w:rPr>
                <w:rFonts w:ascii="Calibri" w:hAnsi="Calibri" w:cs="Calibri"/>
                <w:color w:val="000000"/>
                <w:sz w:val="16"/>
                <w:szCs w:val="16"/>
              </w:rPr>
              <w:t>2.009.860.008</w:t>
            </w:r>
            <w:r w:rsidRPr="00E92C8D">
              <w:rPr>
                <w:rFonts w:ascii="Calibri" w:hAnsi="Calibri" w:cs="Calibri"/>
                <w:color w:val="000000"/>
                <w:sz w:val="16"/>
                <w:szCs w:val="16"/>
              </w:rPr>
              <w:t>)</w:t>
            </w:r>
          </w:p>
        </w:tc>
      </w:tr>
      <w:tr w:rsidR="00AD39BE" w14:paraId="4DAFF609" w14:textId="77777777" w:rsidTr="00B92F90">
        <w:trPr>
          <w:trHeight w:hRule="exact" w:val="227"/>
        </w:trPr>
        <w:tc>
          <w:tcPr>
            <w:tcW w:w="3559" w:type="pct"/>
            <w:gridSpan w:val="2"/>
            <w:tcBorders>
              <w:top w:val="nil"/>
              <w:left w:val="nil"/>
              <w:bottom w:val="nil"/>
              <w:right w:val="nil"/>
            </w:tcBorders>
            <w:shd w:val="clear" w:color="auto" w:fill="auto"/>
            <w:noWrap/>
            <w:vAlign w:val="center"/>
            <w:hideMark/>
          </w:tcPr>
          <w:p w14:paraId="215B1971" w14:textId="77777777" w:rsidR="00AD39BE" w:rsidRDefault="00AD39BE">
            <w:pPr>
              <w:rPr>
                <w:rFonts w:ascii="Calibri" w:hAnsi="Calibri" w:cs="Calibri"/>
                <w:color w:val="000000"/>
                <w:sz w:val="16"/>
                <w:szCs w:val="16"/>
              </w:rPr>
            </w:pPr>
            <w:r>
              <w:rPr>
                <w:rFonts w:ascii="Calibri" w:hAnsi="Calibri" w:cs="Calibri"/>
                <w:color w:val="000000"/>
                <w:sz w:val="16"/>
                <w:szCs w:val="16"/>
              </w:rPr>
              <w:t>Reversão de provisões para contingências (Nota 11b)</w:t>
            </w:r>
          </w:p>
        </w:tc>
        <w:tc>
          <w:tcPr>
            <w:tcW w:w="686" w:type="pct"/>
            <w:tcBorders>
              <w:top w:val="nil"/>
              <w:left w:val="nil"/>
              <w:bottom w:val="nil"/>
              <w:right w:val="nil"/>
            </w:tcBorders>
            <w:shd w:val="clear" w:color="auto" w:fill="auto"/>
            <w:noWrap/>
            <w:vAlign w:val="center"/>
            <w:hideMark/>
          </w:tcPr>
          <w:p w14:paraId="3EEBCCA8" w14:textId="77777777" w:rsidR="00AD39BE" w:rsidRDefault="00AD39BE">
            <w:pPr>
              <w:jc w:val="right"/>
              <w:rPr>
                <w:rFonts w:ascii="Calibri" w:hAnsi="Calibri" w:cs="Calibri"/>
                <w:color w:val="000000"/>
                <w:sz w:val="16"/>
                <w:szCs w:val="16"/>
              </w:rPr>
            </w:pPr>
            <w:r>
              <w:rPr>
                <w:rFonts w:ascii="Calibri" w:hAnsi="Calibri" w:cs="Calibri"/>
                <w:color w:val="000000"/>
                <w:sz w:val="16"/>
                <w:szCs w:val="16"/>
              </w:rPr>
              <w:t>0</w:t>
            </w:r>
          </w:p>
        </w:tc>
        <w:tc>
          <w:tcPr>
            <w:tcW w:w="755" w:type="pct"/>
            <w:tcBorders>
              <w:top w:val="nil"/>
              <w:left w:val="nil"/>
              <w:bottom w:val="nil"/>
              <w:right w:val="nil"/>
            </w:tcBorders>
            <w:shd w:val="clear" w:color="auto" w:fill="auto"/>
            <w:vAlign w:val="center"/>
            <w:hideMark/>
          </w:tcPr>
          <w:p w14:paraId="7717233E" w14:textId="15623EB5" w:rsidR="00AD39BE" w:rsidRPr="00E92C8D" w:rsidRDefault="00E92C8D">
            <w:pPr>
              <w:jc w:val="right"/>
              <w:rPr>
                <w:rFonts w:ascii="Calibri" w:hAnsi="Calibri" w:cs="Calibri"/>
                <w:color w:val="000000"/>
                <w:sz w:val="16"/>
                <w:szCs w:val="16"/>
              </w:rPr>
            </w:pPr>
            <w:r>
              <w:rPr>
                <w:rFonts w:ascii="Calibri" w:hAnsi="Calibri" w:cs="Calibri"/>
                <w:color w:val="000000"/>
                <w:sz w:val="16"/>
                <w:szCs w:val="16"/>
              </w:rPr>
              <w:t>1.545.082.006</w:t>
            </w:r>
          </w:p>
        </w:tc>
      </w:tr>
      <w:tr w:rsidR="00AD39BE" w14:paraId="5B466001" w14:textId="77777777" w:rsidTr="00B92F90">
        <w:trPr>
          <w:trHeight w:hRule="exact" w:val="227"/>
        </w:trPr>
        <w:tc>
          <w:tcPr>
            <w:tcW w:w="3559" w:type="pct"/>
            <w:gridSpan w:val="2"/>
            <w:tcBorders>
              <w:top w:val="nil"/>
              <w:left w:val="nil"/>
              <w:bottom w:val="nil"/>
              <w:right w:val="nil"/>
            </w:tcBorders>
            <w:shd w:val="clear" w:color="auto" w:fill="auto"/>
            <w:noWrap/>
            <w:vAlign w:val="center"/>
            <w:hideMark/>
          </w:tcPr>
          <w:p w14:paraId="727EA27D" w14:textId="77777777" w:rsidR="00AD39BE" w:rsidRDefault="00AD39BE">
            <w:pPr>
              <w:rPr>
                <w:rFonts w:ascii="Calibri" w:hAnsi="Calibri" w:cs="Calibri"/>
                <w:color w:val="000000"/>
                <w:sz w:val="16"/>
                <w:szCs w:val="16"/>
              </w:rPr>
            </w:pPr>
            <w:r>
              <w:rPr>
                <w:rFonts w:ascii="Calibri" w:hAnsi="Calibri" w:cs="Calibri"/>
                <w:color w:val="000000"/>
                <w:sz w:val="16"/>
                <w:szCs w:val="16"/>
              </w:rPr>
              <w:lastRenderedPageBreak/>
              <w:t>Termo de Execução Descentralizada (TED) (Nota 4c1)</w:t>
            </w:r>
          </w:p>
        </w:tc>
        <w:tc>
          <w:tcPr>
            <w:tcW w:w="686" w:type="pct"/>
            <w:tcBorders>
              <w:top w:val="nil"/>
              <w:left w:val="nil"/>
              <w:bottom w:val="nil"/>
              <w:right w:val="nil"/>
            </w:tcBorders>
            <w:shd w:val="clear" w:color="auto" w:fill="auto"/>
            <w:noWrap/>
            <w:vAlign w:val="center"/>
            <w:hideMark/>
          </w:tcPr>
          <w:p w14:paraId="7F2C92D6" w14:textId="59D2F455" w:rsidR="00AD39BE" w:rsidRDefault="00750F82">
            <w:pPr>
              <w:jc w:val="right"/>
              <w:rPr>
                <w:rFonts w:ascii="Calibri" w:hAnsi="Calibri" w:cs="Calibri"/>
                <w:color w:val="000000"/>
                <w:sz w:val="16"/>
                <w:szCs w:val="16"/>
              </w:rPr>
            </w:pPr>
            <w:r>
              <w:rPr>
                <w:rFonts w:ascii="Calibri" w:hAnsi="Calibri" w:cs="Calibri"/>
                <w:color w:val="000000"/>
                <w:sz w:val="16"/>
                <w:szCs w:val="16"/>
              </w:rPr>
              <w:t>9.281.181</w:t>
            </w:r>
          </w:p>
        </w:tc>
        <w:tc>
          <w:tcPr>
            <w:tcW w:w="755" w:type="pct"/>
            <w:tcBorders>
              <w:top w:val="nil"/>
              <w:left w:val="nil"/>
              <w:bottom w:val="nil"/>
              <w:right w:val="nil"/>
            </w:tcBorders>
            <w:shd w:val="clear" w:color="auto" w:fill="auto"/>
            <w:vAlign w:val="center"/>
            <w:hideMark/>
          </w:tcPr>
          <w:p w14:paraId="6C0A1EA4" w14:textId="347FC634" w:rsidR="00AD39BE" w:rsidRPr="00E92C8D" w:rsidRDefault="00232FB4">
            <w:pPr>
              <w:jc w:val="right"/>
              <w:rPr>
                <w:rFonts w:ascii="Calibri" w:hAnsi="Calibri" w:cs="Calibri"/>
                <w:color w:val="000000"/>
                <w:sz w:val="16"/>
                <w:szCs w:val="16"/>
              </w:rPr>
            </w:pPr>
            <w:r>
              <w:rPr>
                <w:rFonts w:ascii="Calibri" w:hAnsi="Calibri" w:cs="Calibri"/>
                <w:color w:val="000000"/>
                <w:sz w:val="16"/>
                <w:szCs w:val="16"/>
              </w:rPr>
              <w:t>15.214</w:t>
            </w:r>
          </w:p>
        </w:tc>
      </w:tr>
      <w:tr w:rsidR="00AD39BE" w14:paraId="78081C3F" w14:textId="77777777" w:rsidTr="00B92F90">
        <w:trPr>
          <w:trHeight w:hRule="exact" w:val="227"/>
        </w:trPr>
        <w:tc>
          <w:tcPr>
            <w:tcW w:w="3559" w:type="pct"/>
            <w:gridSpan w:val="2"/>
            <w:tcBorders>
              <w:top w:val="nil"/>
              <w:left w:val="nil"/>
              <w:bottom w:val="nil"/>
              <w:right w:val="nil"/>
            </w:tcBorders>
            <w:shd w:val="clear" w:color="auto" w:fill="auto"/>
            <w:noWrap/>
            <w:vAlign w:val="center"/>
            <w:hideMark/>
          </w:tcPr>
          <w:p w14:paraId="35DDEBE4" w14:textId="77777777" w:rsidR="00AD39BE" w:rsidRDefault="00AD39BE">
            <w:pPr>
              <w:rPr>
                <w:rFonts w:ascii="Calibri" w:hAnsi="Calibri" w:cs="Calibri"/>
                <w:color w:val="000000"/>
                <w:sz w:val="16"/>
                <w:szCs w:val="16"/>
              </w:rPr>
            </w:pPr>
            <w:r>
              <w:rPr>
                <w:rFonts w:ascii="Calibri" w:hAnsi="Calibri" w:cs="Calibri"/>
                <w:color w:val="000000"/>
                <w:sz w:val="16"/>
                <w:szCs w:val="16"/>
              </w:rPr>
              <w:t>Baixa de passivos (desapropriação, fornecedores e depósitos retidos de fornecedores)</w:t>
            </w:r>
          </w:p>
        </w:tc>
        <w:tc>
          <w:tcPr>
            <w:tcW w:w="686" w:type="pct"/>
            <w:tcBorders>
              <w:top w:val="nil"/>
              <w:left w:val="nil"/>
              <w:bottom w:val="nil"/>
              <w:right w:val="nil"/>
            </w:tcBorders>
            <w:shd w:val="clear" w:color="auto" w:fill="auto"/>
            <w:noWrap/>
            <w:vAlign w:val="center"/>
            <w:hideMark/>
          </w:tcPr>
          <w:p w14:paraId="1DAF6864" w14:textId="77777777" w:rsidR="00AD39BE" w:rsidRDefault="00AD39BE">
            <w:pPr>
              <w:jc w:val="right"/>
              <w:rPr>
                <w:rFonts w:ascii="Calibri" w:hAnsi="Calibri" w:cs="Calibri"/>
                <w:color w:val="000000"/>
                <w:sz w:val="16"/>
                <w:szCs w:val="16"/>
              </w:rPr>
            </w:pPr>
            <w:r>
              <w:rPr>
                <w:rFonts w:ascii="Calibri" w:hAnsi="Calibri" w:cs="Calibri"/>
                <w:color w:val="000000"/>
                <w:sz w:val="16"/>
                <w:szCs w:val="16"/>
              </w:rPr>
              <w:t>2.314</w:t>
            </w:r>
          </w:p>
        </w:tc>
        <w:tc>
          <w:tcPr>
            <w:tcW w:w="755" w:type="pct"/>
            <w:tcBorders>
              <w:top w:val="nil"/>
              <w:left w:val="nil"/>
              <w:bottom w:val="nil"/>
              <w:right w:val="nil"/>
            </w:tcBorders>
            <w:shd w:val="clear" w:color="auto" w:fill="auto"/>
            <w:vAlign w:val="center"/>
            <w:hideMark/>
          </w:tcPr>
          <w:p w14:paraId="6D4480A5" w14:textId="77777777" w:rsidR="00AD39BE" w:rsidRPr="00E92C8D" w:rsidRDefault="00AD39BE">
            <w:pPr>
              <w:jc w:val="right"/>
              <w:rPr>
                <w:rFonts w:ascii="Calibri" w:hAnsi="Calibri" w:cs="Calibri"/>
                <w:color w:val="000000"/>
                <w:sz w:val="16"/>
                <w:szCs w:val="16"/>
              </w:rPr>
            </w:pPr>
            <w:r w:rsidRPr="00E92C8D">
              <w:rPr>
                <w:rFonts w:ascii="Calibri" w:hAnsi="Calibri" w:cs="Calibri"/>
                <w:color w:val="000000"/>
                <w:sz w:val="16"/>
                <w:szCs w:val="16"/>
              </w:rPr>
              <w:t>0</w:t>
            </w:r>
          </w:p>
        </w:tc>
      </w:tr>
      <w:tr w:rsidR="00AD39BE" w14:paraId="57276791" w14:textId="77777777" w:rsidTr="00B92F90">
        <w:trPr>
          <w:trHeight w:hRule="exact" w:val="227"/>
        </w:trPr>
        <w:tc>
          <w:tcPr>
            <w:tcW w:w="3559" w:type="pct"/>
            <w:gridSpan w:val="2"/>
            <w:tcBorders>
              <w:top w:val="nil"/>
              <w:left w:val="nil"/>
              <w:bottom w:val="nil"/>
              <w:right w:val="nil"/>
            </w:tcBorders>
            <w:shd w:val="clear" w:color="auto" w:fill="auto"/>
            <w:noWrap/>
            <w:vAlign w:val="center"/>
            <w:hideMark/>
          </w:tcPr>
          <w:p w14:paraId="6A3082B6" w14:textId="77777777" w:rsidR="00AD39BE" w:rsidRDefault="00AD39BE">
            <w:pPr>
              <w:rPr>
                <w:rFonts w:ascii="Calibri" w:hAnsi="Calibri" w:cs="Calibri"/>
                <w:color w:val="000000"/>
                <w:sz w:val="16"/>
                <w:szCs w:val="16"/>
              </w:rPr>
            </w:pPr>
            <w:r>
              <w:rPr>
                <w:rFonts w:ascii="Calibri" w:hAnsi="Calibri" w:cs="Calibri"/>
                <w:color w:val="000000"/>
                <w:sz w:val="16"/>
                <w:szCs w:val="16"/>
              </w:rPr>
              <w:t>Doações/Transferências</w:t>
            </w:r>
          </w:p>
        </w:tc>
        <w:tc>
          <w:tcPr>
            <w:tcW w:w="686" w:type="pct"/>
            <w:tcBorders>
              <w:top w:val="nil"/>
              <w:left w:val="nil"/>
              <w:bottom w:val="nil"/>
              <w:right w:val="nil"/>
            </w:tcBorders>
            <w:shd w:val="clear" w:color="auto" w:fill="auto"/>
            <w:noWrap/>
            <w:vAlign w:val="center"/>
            <w:hideMark/>
          </w:tcPr>
          <w:p w14:paraId="62137AA0" w14:textId="77777777" w:rsidR="00AD39BE" w:rsidRDefault="00AD39BE">
            <w:pPr>
              <w:jc w:val="right"/>
              <w:rPr>
                <w:rFonts w:ascii="Calibri" w:hAnsi="Calibri" w:cs="Calibri"/>
                <w:color w:val="000000"/>
                <w:sz w:val="16"/>
                <w:szCs w:val="16"/>
              </w:rPr>
            </w:pPr>
            <w:r>
              <w:rPr>
                <w:rFonts w:ascii="Calibri" w:hAnsi="Calibri" w:cs="Calibri"/>
                <w:color w:val="000000"/>
                <w:sz w:val="16"/>
                <w:szCs w:val="16"/>
              </w:rPr>
              <w:t>0</w:t>
            </w:r>
          </w:p>
        </w:tc>
        <w:tc>
          <w:tcPr>
            <w:tcW w:w="755" w:type="pct"/>
            <w:tcBorders>
              <w:top w:val="nil"/>
              <w:left w:val="nil"/>
              <w:bottom w:val="nil"/>
              <w:right w:val="nil"/>
            </w:tcBorders>
            <w:shd w:val="clear" w:color="auto" w:fill="auto"/>
            <w:vAlign w:val="center"/>
            <w:hideMark/>
          </w:tcPr>
          <w:p w14:paraId="2054254B" w14:textId="77777777" w:rsidR="00AD39BE" w:rsidRPr="00E92C8D" w:rsidRDefault="00AD39BE">
            <w:pPr>
              <w:jc w:val="right"/>
              <w:rPr>
                <w:rFonts w:ascii="Calibri" w:hAnsi="Calibri" w:cs="Calibri"/>
                <w:color w:val="000000"/>
                <w:sz w:val="16"/>
                <w:szCs w:val="16"/>
              </w:rPr>
            </w:pPr>
            <w:r w:rsidRPr="00E92C8D">
              <w:rPr>
                <w:rFonts w:ascii="Calibri" w:hAnsi="Calibri" w:cs="Calibri"/>
                <w:color w:val="000000"/>
                <w:sz w:val="16"/>
                <w:szCs w:val="16"/>
              </w:rPr>
              <w:t>18.551.962</w:t>
            </w:r>
          </w:p>
        </w:tc>
      </w:tr>
      <w:tr w:rsidR="00AD39BE" w14:paraId="106E24AB" w14:textId="77777777" w:rsidTr="00B92F90">
        <w:trPr>
          <w:trHeight w:hRule="exact" w:val="227"/>
        </w:trPr>
        <w:tc>
          <w:tcPr>
            <w:tcW w:w="3559" w:type="pct"/>
            <w:gridSpan w:val="2"/>
            <w:tcBorders>
              <w:top w:val="nil"/>
              <w:left w:val="nil"/>
              <w:bottom w:val="nil"/>
              <w:right w:val="nil"/>
            </w:tcBorders>
            <w:shd w:val="clear" w:color="auto" w:fill="auto"/>
            <w:noWrap/>
            <w:vAlign w:val="center"/>
            <w:hideMark/>
          </w:tcPr>
          <w:p w14:paraId="1DBCFDCB" w14:textId="77777777" w:rsidR="00AD39BE" w:rsidRDefault="00AD39BE">
            <w:pPr>
              <w:rPr>
                <w:rFonts w:ascii="Calibri" w:hAnsi="Calibri" w:cs="Calibri"/>
                <w:color w:val="000000"/>
                <w:sz w:val="16"/>
                <w:szCs w:val="16"/>
              </w:rPr>
            </w:pPr>
            <w:r>
              <w:rPr>
                <w:rFonts w:ascii="Calibri" w:hAnsi="Calibri" w:cs="Calibri"/>
                <w:color w:val="000000"/>
                <w:sz w:val="16"/>
                <w:szCs w:val="16"/>
              </w:rPr>
              <w:t>Multas administrativas (Nota 4c2)</w:t>
            </w:r>
          </w:p>
        </w:tc>
        <w:tc>
          <w:tcPr>
            <w:tcW w:w="686" w:type="pct"/>
            <w:tcBorders>
              <w:top w:val="nil"/>
              <w:left w:val="nil"/>
              <w:bottom w:val="nil"/>
              <w:right w:val="nil"/>
            </w:tcBorders>
            <w:shd w:val="clear" w:color="auto" w:fill="auto"/>
            <w:noWrap/>
            <w:vAlign w:val="center"/>
            <w:hideMark/>
          </w:tcPr>
          <w:p w14:paraId="76611F99" w14:textId="77777777" w:rsidR="00AD39BE" w:rsidRDefault="00AD39BE">
            <w:pPr>
              <w:jc w:val="right"/>
              <w:rPr>
                <w:rFonts w:ascii="Calibri" w:hAnsi="Calibri" w:cs="Calibri"/>
                <w:color w:val="000000"/>
                <w:sz w:val="16"/>
                <w:szCs w:val="16"/>
              </w:rPr>
            </w:pPr>
            <w:r>
              <w:rPr>
                <w:rFonts w:ascii="Calibri" w:hAnsi="Calibri" w:cs="Calibri"/>
                <w:color w:val="000000"/>
                <w:sz w:val="16"/>
                <w:szCs w:val="16"/>
              </w:rPr>
              <w:t>0</w:t>
            </w:r>
          </w:p>
        </w:tc>
        <w:tc>
          <w:tcPr>
            <w:tcW w:w="755" w:type="pct"/>
            <w:tcBorders>
              <w:top w:val="nil"/>
              <w:left w:val="nil"/>
              <w:bottom w:val="nil"/>
              <w:right w:val="nil"/>
            </w:tcBorders>
            <w:shd w:val="clear" w:color="auto" w:fill="auto"/>
            <w:vAlign w:val="center"/>
            <w:hideMark/>
          </w:tcPr>
          <w:p w14:paraId="07061C08" w14:textId="46536634" w:rsidR="00AD39BE" w:rsidRPr="00E92C8D" w:rsidRDefault="00AD39BE">
            <w:pPr>
              <w:jc w:val="right"/>
              <w:rPr>
                <w:rFonts w:ascii="Calibri" w:hAnsi="Calibri" w:cs="Calibri"/>
                <w:color w:val="000000"/>
                <w:sz w:val="16"/>
                <w:szCs w:val="16"/>
              </w:rPr>
            </w:pPr>
            <w:r w:rsidRPr="00E92C8D">
              <w:rPr>
                <w:rFonts w:ascii="Calibri" w:hAnsi="Calibri" w:cs="Calibri"/>
                <w:color w:val="000000"/>
                <w:sz w:val="16"/>
                <w:szCs w:val="16"/>
              </w:rPr>
              <w:t>5.900.20</w:t>
            </w:r>
            <w:r w:rsidR="00232FB4">
              <w:rPr>
                <w:rFonts w:ascii="Calibri" w:hAnsi="Calibri" w:cs="Calibri"/>
                <w:color w:val="000000"/>
                <w:sz w:val="16"/>
                <w:szCs w:val="16"/>
              </w:rPr>
              <w:t>9</w:t>
            </w:r>
          </w:p>
        </w:tc>
      </w:tr>
      <w:tr w:rsidR="00AD39BE" w14:paraId="5226E49C" w14:textId="77777777" w:rsidTr="00B92F90">
        <w:trPr>
          <w:trHeight w:hRule="exact" w:val="227"/>
        </w:trPr>
        <w:tc>
          <w:tcPr>
            <w:tcW w:w="3559" w:type="pct"/>
            <w:gridSpan w:val="2"/>
            <w:tcBorders>
              <w:top w:val="nil"/>
              <w:left w:val="nil"/>
              <w:bottom w:val="nil"/>
              <w:right w:val="nil"/>
            </w:tcBorders>
            <w:shd w:val="clear" w:color="auto" w:fill="auto"/>
            <w:noWrap/>
            <w:vAlign w:val="center"/>
            <w:hideMark/>
          </w:tcPr>
          <w:p w14:paraId="6C816BB7" w14:textId="77777777" w:rsidR="00AD39BE" w:rsidRDefault="00AD39BE">
            <w:pPr>
              <w:rPr>
                <w:rFonts w:ascii="Calibri" w:hAnsi="Calibri" w:cs="Calibri"/>
                <w:color w:val="000000"/>
                <w:sz w:val="16"/>
                <w:szCs w:val="16"/>
              </w:rPr>
            </w:pPr>
            <w:r>
              <w:rPr>
                <w:rFonts w:ascii="Calibri" w:hAnsi="Calibri" w:cs="Calibri"/>
                <w:color w:val="000000"/>
                <w:sz w:val="16"/>
                <w:szCs w:val="16"/>
              </w:rPr>
              <w:t>Restituições</w:t>
            </w:r>
          </w:p>
        </w:tc>
        <w:tc>
          <w:tcPr>
            <w:tcW w:w="686" w:type="pct"/>
            <w:tcBorders>
              <w:top w:val="nil"/>
              <w:left w:val="nil"/>
              <w:bottom w:val="nil"/>
              <w:right w:val="nil"/>
            </w:tcBorders>
            <w:shd w:val="clear" w:color="auto" w:fill="auto"/>
            <w:noWrap/>
            <w:vAlign w:val="center"/>
            <w:hideMark/>
          </w:tcPr>
          <w:p w14:paraId="3C0E4324" w14:textId="77777777" w:rsidR="00AD39BE" w:rsidRDefault="00AD39BE">
            <w:pPr>
              <w:jc w:val="right"/>
              <w:rPr>
                <w:rFonts w:ascii="Calibri" w:hAnsi="Calibri" w:cs="Calibri"/>
                <w:color w:val="000000"/>
                <w:sz w:val="16"/>
                <w:szCs w:val="16"/>
              </w:rPr>
            </w:pPr>
            <w:r>
              <w:rPr>
                <w:rFonts w:ascii="Calibri" w:hAnsi="Calibri" w:cs="Calibri"/>
                <w:color w:val="000000"/>
                <w:sz w:val="16"/>
                <w:szCs w:val="16"/>
              </w:rPr>
              <w:t>1.844.165</w:t>
            </w:r>
          </w:p>
        </w:tc>
        <w:tc>
          <w:tcPr>
            <w:tcW w:w="755" w:type="pct"/>
            <w:tcBorders>
              <w:top w:val="nil"/>
              <w:left w:val="nil"/>
              <w:bottom w:val="nil"/>
              <w:right w:val="nil"/>
            </w:tcBorders>
            <w:shd w:val="clear" w:color="auto" w:fill="auto"/>
            <w:vAlign w:val="center"/>
            <w:hideMark/>
          </w:tcPr>
          <w:p w14:paraId="0A329911" w14:textId="77777777" w:rsidR="00AD39BE" w:rsidRPr="00E92C8D" w:rsidRDefault="00AD39BE">
            <w:pPr>
              <w:jc w:val="right"/>
              <w:rPr>
                <w:rFonts w:ascii="Calibri" w:hAnsi="Calibri" w:cs="Calibri"/>
                <w:color w:val="000000"/>
                <w:sz w:val="16"/>
                <w:szCs w:val="16"/>
              </w:rPr>
            </w:pPr>
            <w:r w:rsidRPr="00E92C8D">
              <w:rPr>
                <w:rFonts w:ascii="Calibri" w:hAnsi="Calibri" w:cs="Calibri"/>
                <w:color w:val="000000"/>
                <w:sz w:val="16"/>
                <w:szCs w:val="16"/>
              </w:rPr>
              <w:t>0</w:t>
            </w:r>
          </w:p>
        </w:tc>
      </w:tr>
      <w:tr w:rsidR="00AD39BE" w14:paraId="65CA4DA2" w14:textId="77777777" w:rsidTr="00B92F90">
        <w:trPr>
          <w:trHeight w:hRule="exact" w:val="227"/>
        </w:trPr>
        <w:tc>
          <w:tcPr>
            <w:tcW w:w="3559" w:type="pct"/>
            <w:gridSpan w:val="2"/>
            <w:tcBorders>
              <w:top w:val="nil"/>
              <w:left w:val="nil"/>
              <w:bottom w:val="nil"/>
              <w:right w:val="nil"/>
            </w:tcBorders>
            <w:shd w:val="clear" w:color="auto" w:fill="auto"/>
            <w:noWrap/>
            <w:vAlign w:val="center"/>
            <w:hideMark/>
          </w:tcPr>
          <w:p w14:paraId="391D20CB" w14:textId="06E565D3" w:rsidR="00AD39BE" w:rsidRDefault="00AD39BE">
            <w:pPr>
              <w:rPr>
                <w:rFonts w:ascii="Calibri" w:hAnsi="Calibri" w:cs="Calibri"/>
                <w:color w:val="000000"/>
                <w:sz w:val="16"/>
                <w:szCs w:val="16"/>
              </w:rPr>
            </w:pPr>
            <w:r>
              <w:rPr>
                <w:rFonts w:ascii="Calibri" w:hAnsi="Calibri" w:cs="Calibri"/>
                <w:color w:val="000000"/>
                <w:sz w:val="16"/>
                <w:szCs w:val="16"/>
              </w:rPr>
              <w:t>Imposto a Recuperar</w:t>
            </w:r>
            <w:r w:rsidR="00750F82">
              <w:rPr>
                <w:rFonts w:ascii="Calibri" w:hAnsi="Calibri" w:cs="Calibri"/>
                <w:color w:val="000000"/>
                <w:sz w:val="16"/>
                <w:szCs w:val="16"/>
              </w:rPr>
              <w:t xml:space="preserve"> (PIS e COFINS)</w:t>
            </w:r>
          </w:p>
        </w:tc>
        <w:tc>
          <w:tcPr>
            <w:tcW w:w="686" w:type="pct"/>
            <w:tcBorders>
              <w:top w:val="nil"/>
              <w:left w:val="nil"/>
              <w:bottom w:val="nil"/>
              <w:right w:val="nil"/>
            </w:tcBorders>
            <w:shd w:val="clear" w:color="auto" w:fill="auto"/>
            <w:noWrap/>
            <w:vAlign w:val="center"/>
            <w:hideMark/>
          </w:tcPr>
          <w:p w14:paraId="2D7FE9B5" w14:textId="207CD35F" w:rsidR="00AD39BE" w:rsidRDefault="00750F82">
            <w:pPr>
              <w:jc w:val="right"/>
              <w:rPr>
                <w:rFonts w:ascii="Calibri" w:hAnsi="Calibri" w:cs="Calibri"/>
                <w:color w:val="000000"/>
                <w:sz w:val="16"/>
                <w:szCs w:val="16"/>
              </w:rPr>
            </w:pPr>
            <w:r>
              <w:rPr>
                <w:rFonts w:ascii="Calibri" w:hAnsi="Calibri" w:cs="Calibri"/>
                <w:color w:val="000000"/>
                <w:sz w:val="16"/>
                <w:szCs w:val="16"/>
              </w:rPr>
              <w:t>578.776</w:t>
            </w:r>
          </w:p>
        </w:tc>
        <w:tc>
          <w:tcPr>
            <w:tcW w:w="755" w:type="pct"/>
            <w:tcBorders>
              <w:top w:val="nil"/>
              <w:left w:val="nil"/>
              <w:bottom w:val="nil"/>
              <w:right w:val="nil"/>
            </w:tcBorders>
            <w:shd w:val="clear" w:color="auto" w:fill="auto"/>
            <w:vAlign w:val="center"/>
            <w:hideMark/>
          </w:tcPr>
          <w:p w14:paraId="1F35960E" w14:textId="0DC645D1" w:rsidR="00AD39BE" w:rsidRPr="00E92C8D" w:rsidRDefault="00AD39BE">
            <w:pPr>
              <w:jc w:val="right"/>
              <w:rPr>
                <w:rFonts w:ascii="Calibri" w:hAnsi="Calibri" w:cs="Calibri"/>
                <w:color w:val="000000"/>
                <w:sz w:val="16"/>
                <w:szCs w:val="16"/>
              </w:rPr>
            </w:pPr>
            <w:r w:rsidRPr="00E92C8D">
              <w:rPr>
                <w:rFonts w:ascii="Calibri" w:hAnsi="Calibri" w:cs="Calibri"/>
                <w:color w:val="000000"/>
                <w:sz w:val="16"/>
                <w:szCs w:val="16"/>
              </w:rPr>
              <w:t>0</w:t>
            </w:r>
          </w:p>
        </w:tc>
      </w:tr>
      <w:tr w:rsidR="00750F82" w14:paraId="51D4B125" w14:textId="77777777" w:rsidTr="00B92F90">
        <w:trPr>
          <w:trHeight w:hRule="exact" w:val="227"/>
        </w:trPr>
        <w:tc>
          <w:tcPr>
            <w:tcW w:w="3559" w:type="pct"/>
            <w:gridSpan w:val="2"/>
            <w:tcBorders>
              <w:top w:val="nil"/>
              <w:left w:val="nil"/>
              <w:bottom w:val="nil"/>
              <w:right w:val="nil"/>
            </w:tcBorders>
            <w:shd w:val="clear" w:color="auto" w:fill="auto"/>
            <w:noWrap/>
            <w:vAlign w:val="center"/>
          </w:tcPr>
          <w:p w14:paraId="7F8EA125" w14:textId="368F0A73" w:rsidR="00750F82" w:rsidRDefault="00750F82">
            <w:pPr>
              <w:rPr>
                <w:rFonts w:ascii="Calibri" w:hAnsi="Calibri" w:cs="Calibri"/>
                <w:color w:val="000000"/>
                <w:sz w:val="16"/>
                <w:szCs w:val="16"/>
              </w:rPr>
            </w:pPr>
            <w:r>
              <w:rPr>
                <w:rFonts w:ascii="Calibri" w:hAnsi="Calibri" w:cs="Calibri"/>
                <w:color w:val="000000"/>
                <w:sz w:val="16"/>
                <w:szCs w:val="16"/>
              </w:rPr>
              <w:t>Baixa de Tributos a recuperar/compensar</w:t>
            </w:r>
          </w:p>
        </w:tc>
        <w:tc>
          <w:tcPr>
            <w:tcW w:w="686" w:type="pct"/>
            <w:tcBorders>
              <w:top w:val="nil"/>
              <w:left w:val="nil"/>
              <w:bottom w:val="nil"/>
              <w:right w:val="nil"/>
            </w:tcBorders>
            <w:shd w:val="clear" w:color="auto" w:fill="auto"/>
            <w:noWrap/>
            <w:vAlign w:val="center"/>
          </w:tcPr>
          <w:p w14:paraId="1DC91516" w14:textId="78BEC24F" w:rsidR="00750F82" w:rsidRDefault="00750F82">
            <w:pPr>
              <w:jc w:val="right"/>
              <w:rPr>
                <w:rFonts w:ascii="Calibri" w:hAnsi="Calibri" w:cs="Calibri"/>
                <w:color w:val="000000"/>
                <w:sz w:val="16"/>
                <w:szCs w:val="16"/>
              </w:rPr>
            </w:pPr>
            <w:r>
              <w:rPr>
                <w:rFonts w:ascii="Calibri" w:hAnsi="Calibri" w:cs="Calibri"/>
                <w:color w:val="000000"/>
                <w:sz w:val="16"/>
                <w:szCs w:val="16"/>
              </w:rPr>
              <w:t>(197.036)</w:t>
            </w:r>
          </w:p>
        </w:tc>
        <w:tc>
          <w:tcPr>
            <w:tcW w:w="755" w:type="pct"/>
            <w:tcBorders>
              <w:top w:val="nil"/>
              <w:left w:val="nil"/>
              <w:bottom w:val="nil"/>
              <w:right w:val="nil"/>
            </w:tcBorders>
            <w:shd w:val="clear" w:color="auto" w:fill="auto"/>
            <w:vAlign w:val="center"/>
          </w:tcPr>
          <w:p w14:paraId="463A9E38" w14:textId="750C58ED" w:rsidR="00750F82" w:rsidRPr="00E92C8D" w:rsidRDefault="00E92C8D">
            <w:pPr>
              <w:jc w:val="right"/>
              <w:rPr>
                <w:rFonts w:ascii="Calibri" w:hAnsi="Calibri" w:cs="Calibri"/>
                <w:color w:val="000000"/>
                <w:sz w:val="16"/>
                <w:szCs w:val="16"/>
              </w:rPr>
            </w:pPr>
            <w:r>
              <w:rPr>
                <w:rFonts w:ascii="Calibri" w:hAnsi="Calibri" w:cs="Calibri"/>
                <w:color w:val="000000"/>
                <w:sz w:val="16"/>
                <w:szCs w:val="16"/>
              </w:rPr>
              <w:t>0</w:t>
            </w:r>
          </w:p>
        </w:tc>
      </w:tr>
      <w:tr w:rsidR="00AD39BE" w14:paraId="483D9C64" w14:textId="77777777" w:rsidTr="00B92F90">
        <w:trPr>
          <w:trHeight w:hRule="exact" w:val="227"/>
        </w:trPr>
        <w:tc>
          <w:tcPr>
            <w:tcW w:w="3559" w:type="pct"/>
            <w:gridSpan w:val="2"/>
            <w:tcBorders>
              <w:top w:val="nil"/>
              <w:left w:val="nil"/>
              <w:bottom w:val="nil"/>
              <w:right w:val="nil"/>
            </w:tcBorders>
            <w:shd w:val="clear" w:color="auto" w:fill="auto"/>
            <w:noWrap/>
            <w:vAlign w:val="center"/>
            <w:hideMark/>
          </w:tcPr>
          <w:p w14:paraId="1D1122AF" w14:textId="77777777" w:rsidR="00AD39BE" w:rsidRDefault="00AD39BE">
            <w:pPr>
              <w:rPr>
                <w:rFonts w:ascii="Calibri" w:hAnsi="Calibri" w:cs="Calibri"/>
                <w:color w:val="000000"/>
                <w:sz w:val="16"/>
                <w:szCs w:val="16"/>
              </w:rPr>
            </w:pPr>
            <w:r>
              <w:rPr>
                <w:rFonts w:ascii="Calibri" w:hAnsi="Calibri" w:cs="Calibri"/>
                <w:color w:val="000000"/>
                <w:sz w:val="16"/>
                <w:szCs w:val="16"/>
              </w:rPr>
              <w:t>Baixa de Ativos – Imobilizado e Intangível (Nota 8)</w:t>
            </w:r>
          </w:p>
        </w:tc>
        <w:tc>
          <w:tcPr>
            <w:tcW w:w="686" w:type="pct"/>
            <w:tcBorders>
              <w:top w:val="nil"/>
              <w:left w:val="nil"/>
              <w:bottom w:val="nil"/>
              <w:right w:val="nil"/>
            </w:tcBorders>
            <w:shd w:val="clear" w:color="auto" w:fill="auto"/>
            <w:noWrap/>
            <w:vAlign w:val="center"/>
            <w:hideMark/>
          </w:tcPr>
          <w:p w14:paraId="356C5D74" w14:textId="5AE4D328" w:rsidR="00AD39BE" w:rsidRDefault="00AD39BE">
            <w:pPr>
              <w:jc w:val="right"/>
              <w:rPr>
                <w:rFonts w:ascii="Calibri" w:hAnsi="Calibri" w:cs="Calibri"/>
                <w:color w:val="000000"/>
                <w:sz w:val="16"/>
                <w:szCs w:val="16"/>
              </w:rPr>
            </w:pPr>
            <w:r>
              <w:rPr>
                <w:rFonts w:ascii="Calibri" w:hAnsi="Calibri" w:cs="Calibri"/>
                <w:color w:val="000000"/>
                <w:sz w:val="16"/>
                <w:szCs w:val="16"/>
              </w:rPr>
              <w:t>(</w:t>
            </w:r>
            <w:r w:rsidR="00750F82">
              <w:rPr>
                <w:rFonts w:ascii="Calibri" w:hAnsi="Calibri" w:cs="Calibri"/>
                <w:color w:val="000000"/>
                <w:sz w:val="16"/>
                <w:szCs w:val="16"/>
              </w:rPr>
              <w:t>167.491</w:t>
            </w:r>
            <w:r>
              <w:rPr>
                <w:rFonts w:ascii="Calibri" w:hAnsi="Calibri" w:cs="Calibri"/>
                <w:color w:val="000000"/>
                <w:sz w:val="16"/>
                <w:szCs w:val="16"/>
              </w:rPr>
              <w:t>)</w:t>
            </w:r>
          </w:p>
        </w:tc>
        <w:tc>
          <w:tcPr>
            <w:tcW w:w="755" w:type="pct"/>
            <w:tcBorders>
              <w:top w:val="nil"/>
              <w:left w:val="nil"/>
              <w:bottom w:val="nil"/>
              <w:right w:val="nil"/>
            </w:tcBorders>
            <w:shd w:val="clear" w:color="auto" w:fill="auto"/>
            <w:vAlign w:val="center"/>
            <w:hideMark/>
          </w:tcPr>
          <w:p w14:paraId="194A08BB" w14:textId="7DB7D68D" w:rsidR="00AD39BE" w:rsidRPr="00E92C8D" w:rsidRDefault="00AD39BE">
            <w:pPr>
              <w:jc w:val="right"/>
              <w:rPr>
                <w:rFonts w:ascii="Calibri" w:hAnsi="Calibri" w:cs="Calibri"/>
                <w:color w:val="000000"/>
                <w:sz w:val="16"/>
                <w:szCs w:val="16"/>
              </w:rPr>
            </w:pPr>
            <w:r w:rsidRPr="00E92C8D">
              <w:rPr>
                <w:rFonts w:ascii="Calibri" w:hAnsi="Calibri" w:cs="Calibri"/>
                <w:color w:val="000000"/>
                <w:sz w:val="16"/>
                <w:szCs w:val="16"/>
              </w:rPr>
              <w:t>(</w:t>
            </w:r>
            <w:r w:rsidR="00E92C8D">
              <w:rPr>
                <w:rFonts w:ascii="Calibri" w:hAnsi="Calibri" w:cs="Calibri"/>
                <w:color w:val="000000"/>
                <w:sz w:val="16"/>
                <w:szCs w:val="16"/>
              </w:rPr>
              <w:t>348.901</w:t>
            </w:r>
            <w:r w:rsidRPr="00E92C8D">
              <w:rPr>
                <w:rFonts w:ascii="Calibri" w:hAnsi="Calibri" w:cs="Calibri"/>
                <w:color w:val="000000"/>
                <w:sz w:val="16"/>
                <w:szCs w:val="16"/>
              </w:rPr>
              <w:t>)</w:t>
            </w:r>
          </w:p>
        </w:tc>
      </w:tr>
      <w:tr w:rsidR="00AD39BE" w14:paraId="491AD069" w14:textId="77777777" w:rsidTr="00B92F90">
        <w:trPr>
          <w:trHeight w:hRule="exact" w:val="227"/>
        </w:trPr>
        <w:tc>
          <w:tcPr>
            <w:tcW w:w="3454" w:type="pct"/>
            <w:tcBorders>
              <w:top w:val="nil"/>
              <w:left w:val="nil"/>
              <w:bottom w:val="single" w:sz="8" w:space="0" w:color="auto"/>
              <w:right w:val="nil"/>
            </w:tcBorders>
            <w:shd w:val="clear" w:color="auto" w:fill="auto"/>
            <w:noWrap/>
            <w:vAlign w:val="center"/>
            <w:hideMark/>
          </w:tcPr>
          <w:p w14:paraId="7EA5737A" w14:textId="77777777" w:rsidR="00AD39BE" w:rsidRDefault="00AD39BE">
            <w:pPr>
              <w:rPr>
                <w:rFonts w:ascii="Calibri" w:hAnsi="Calibri" w:cs="Calibri"/>
                <w:color w:val="000000"/>
                <w:sz w:val="16"/>
                <w:szCs w:val="16"/>
              </w:rPr>
            </w:pPr>
            <w:r>
              <w:rPr>
                <w:rFonts w:ascii="Calibri" w:hAnsi="Calibri" w:cs="Calibri"/>
                <w:color w:val="000000"/>
                <w:sz w:val="16"/>
                <w:szCs w:val="16"/>
              </w:rPr>
              <w:t>Resultado da Equivalência Patrimonial</w:t>
            </w:r>
          </w:p>
        </w:tc>
        <w:tc>
          <w:tcPr>
            <w:tcW w:w="105" w:type="pct"/>
            <w:tcBorders>
              <w:top w:val="nil"/>
              <w:left w:val="nil"/>
              <w:bottom w:val="nil"/>
              <w:right w:val="nil"/>
            </w:tcBorders>
            <w:shd w:val="clear" w:color="auto" w:fill="auto"/>
            <w:noWrap/>
            <w:vAlign w:val="center"/>
            <w:hideMark/>
          </w:tcPr>
          <w:p w14:paraId="2C4C16A4" w14:textId="77777777" w:rsidR="00AD39BE" w:rsidRDefault="00AD39BE">
            <w:pPr>
              <w:rPr>
                <w:rFonts w:ascii="Calibri" w:hAnsi="Calibri" w:cs="Calibri"/>
                <w:color w:val="000000"/>
                <w:sz w:val="16"/>
                <w:szCs w:val="16"/>
              </w:rPr>
            </w:pPr>
          </w:p>
        </w:tc>
        <w:tc>
          <w:tcPr>
            <w:tcW w:w="686" w:type="pct"/>
            <w:tcBorders>
              <w:top w:val="nil"/>
              <w:left w:val="nil"/>
              <w:bottom w:val="nil"/>
              <w:right w:val="nil"/>
            </w:tcBorders>
            <w:shd w:val="clear" w:color="auto" w:fill="auto"/>
            <w:noWrap/>
            <w:vAlign w:val="center"/>
            <w:hideMark/>
          </w:tcPr>
          <w:p w14:paraId="7E0D6D36" w14:textId="53CCAA93" w:rsidR="00AD39BE" w:rsidRDefault="00AD39BE">
            <w:pPr>
              <w:jc w:val="right"/>
              <w:rPr>
                <w:rFonts w:ascii="Calibri" w:hAnsi="Calibri" w:cs="Calibri"/>
                <w:color w:val="000000"/>
                <w:sz w:val="16"/>
                <w:szCs w:val="16"/>
              </w:rPr>
            </w:pPr>
            <w:r>
              <w:rPr>
                <w:rFonts w:ascii="Calibri" w:hAnsi="Calibri" w:cs="Calibri"/>
                <w:color w:val="000000"/>
                <w:sz w:val="16"/>
                <w:szCs w:val="16"/>
              </w:rPr>
              <w:t>(</w:t>
            </w:r>
            <w:r w:rsidR="007D16D0">
              <w:rPr>
                <w:rFonts w:ascii="Calibri" w:hAnsi="Calibri" w:cs="Calibri"/>
                <w:color w:val="000000"/>
                <w:sz w:val="16"/>
                <w:szCs w:val="16"/>
              </w:rPr>
              <w:t>32.248.507</w:t>
            </w:r>
            <w:r>
              <w:rPr>
                <w:rFonts w:ascii="Calibri" w:hAnsi="Calibri" w:cs="Calibri"/>
                <w:color w:val="000000"/>
                <w:sz w:val="16"/>
                <w:szCs w:val="16"/>
              </w:rPr>
              <w:t>)</w:t>
            </w:r>
          </w:p>
        </w:tc>
        <w:tc>
          <w:tcPr>
            <w:tcW w:w="755" w:type="pct"/>
            <w:tcBorders>
              <w:top w:val="nil"/>
              <w:left w:val="nil"/>
              <w:bottom w:val="nil"/>
              <w:right w:val="nil"/>
            </w:tcBorders>
            <w:shd w:val="clear" w:color="auto" w:fill="auto"/>
            <w:vAlign w:val="center"/>
            <w:hideMark/>
          </w:tcPr>
          <w:p w14:paraId="6423B670" w14:textId="7313D8AD" w:rsidR="00AD39BE" w:rsidRPr="00E92C8D" w:rsidRDefault="00AD39BE">
            <w:pPr>
              <w:jc w:val="right"/>
              <w:rPr>
                <w:rFonts w:ascii="Calibri" w:hAnsi="Calibri" w:cs="Calibri"/>
                <w:color w:val="000000"/>
                <w:sz w:val="16"/>
                <w:szCs w:val="16"/>
              </w:rPr>
            </w:pPr>
            <w:r w:rsidRPr="00E92C8D">
              <w:rPr>
                <w:rFonts w:ascii="Calibri" w:hAnsi="Calibri" w:cs="Calibri"/>
                <w:color w:val="000000"/>
                <w:sz w:val="16"/>
                <w:szCs w:val="16"/>
              </w:rPr>
              <w:t>(</w:t>
            </w:r>
            <w:r w:rsidR="00E92C8D">
              <w:rPr>
                <w:rFonts w:ascii="Calibri" w:hAnsi="Calibri" w:cs="Calibri"/>
                <w:color w:val="000000"/>
                <w:sz w:val="16"/>
                <w:szCs w:val="16"/>
              </w:rPr>
              <w:t>20.073.940</w:t>
            </w:r>
            <w:r w:rsidRPr="00E92C8D">
              <w:rPr>
                <w:rFonts w:ascii="Calibri" w:hAnsi="Calibri" w:cs="Calibri"/>
                <w:color w:val="000000"/>
                <w:sz w:val="16"/>
                <w:szCs w:val="16"/>
              </w:rPr>
              <w:t>)</w:t>
            </w:r>
          </w:p>
        </w:tc>
      </w:tr>
      <w:tr w:rsidR="00AD39BE" w14:paraId="47F4BE26" w14:textId="77777777" w:rsidTr="00B92F90">
        <w:trPr>
          <w:trHeight w:hRule="exact" w:val="227"/>
        </w:trPr>
        <w:tc>
          <w:tcPr>
            <w:tcW w:w="3454" w:type="pct"/>
            <w:tcBorders>
              <w:top w:val="nil"/>
              <w:left w:val="nil"/>
              <w:bottom w:val="single" w:sz="8" w:space="0" w:color="auto"/>
              <w:right w:val="nil"/>
            </w:tcBorders>
            <w:shd w:val="clear" w:color="auto" w:fill="auto"/>
            <w:noWrap/>
            <w:vAlign w:val="center"/>
            <w:hideMark/>
          </w:tcPr>
          <w:p w14:paraId="24BA314D" w14:textId="77777777" w:rsidR="00AD39BE" w:rsidRDefault="00AD39BE">
            <w:pPr>
              <w:rPr>
                <w:rFonts w:ascii="Calibri" w:hAnsi="Calibri" w:cs="Calibri"/>
                <w:b/>
                <w:bCs/>
                <w:color w:val="000000"/>
                <w:sz w:val="16"/>
                <w:szCs w:val="16"/>
              </w:rPr>
            </w:pPr>
            <w:r>
              <w:rPr>
                <w:rFonts w:ascii="Calibri" w:hAnsi="Calibri" w:cs="Calibri"/>
                <w:b/>
                <w:bCs/>
                <w:color w:val="000000"/>
                <w:sz w:val="16"/>
                <w:szCs w:val="16"/>
              </w:rPr>
              <w:t xml:space="preserve"> TOTAL </w:t>
            </w:r>
          </w:p>
        </w:tc>
        <w:tc>
          <w:tcPr>
            <w:tcW w:w="105" w:type="pct"/>
            <w:tcBorders>
              <w:top w:val="single" w:sz="8" w:space="0" w:color="auto"/>
              <w:left w:val="nil"/>
              <w:bottom w:val="single" w:sz="8" w:space="0" w:color="auto"/>
              <w:right w:val="nil"/>
            </w:tcBorders>
            <w:shd w:val="clear" w:color="auto" w:fill="auto"/>
            <w:noWrap/>
            <w:vAlign w:val="center"/>
            <w:hideMark/>
          </w:tcPr>
          <w:p w14:paraId="160212B2" w14:textId="77777777" w:rsidR="00AD39BE" w:rsidRDefault="00AD39BE">
            <w:pPr>
              <w:jc w:val="right"/>
              <w:rPr>
                <w:rFonts w:ascii="Calibri" w:hAnsi="Calibri" w:cs="Calibri"/>
                <w:b/>
                <w:bCs/>
                <w:color w:val="000000"/>
                <w:sz w:val="16"/>
                <w:szCs w:val="16"/>
              </w:rPr>
            </w:pPr>
            <w:r>
              <w:rPr>
                <w:rFonts w:ascii="Calibri" w:hAnsi="Calibri" w:cs="Calibri"/>
                <w:b/>
                <w:bCs/>
                <w:color w:val="000000"/>
                <w:sz w:val="16"/>
                <w:szCs w:val="16"/>
              </w:rPr>
              <w:t> </w:t>
            </w:r>
          </w:p>
        </w:tc>
        <w:tc>
          <w:tcPr>
            <w:tcW w:w="686" w:type="pct"/>
            <w:tcBorders>
              <w:top w:val="single" w:sz="8" w:space="0" w:color="auto"/>
              <w:left w:val="nil"/>
              <w:bottom w:val="single" w:sz="8" w:space="0" w:color="auto"/>
              <w:right w:val="nil"/>
            </w:tcBorders>
            <w:shd w:val="clear" w:color="auto" w:fill="auto"/>
            <w:noWrap/>
            <w:vAlign w:val="center"/>
            <w:hideMark/>
          </w:tcPr>
          <w:p w14:paraId="6893E139" w14:textId="11E19B06" w:rsidR="00AD39BE" w:rsidRDefault="00AD39BE">
            <w:pPr>
              <w:jc w:val="right"/>
              <w:rPr>
                <w:rFonts w:ascii="Calibri" w:hAnsi="Calibri" w:cs="Calibri"/>
                <w:b/>
                <w:bCs/>
                <w:color w:val="000000"/>
                <w:sz w:val="16"/>
                <w:szCs w:val="16"/>
              </w:rPr>
            </w:pPr>
            <w:r>
              <w:rPr>
                <w:rFonts w:ascii="Calibri" w:hAnsi="Calibri" w:cs="Calibri"/>
                <w:b/>
                <w:bCs/>
                <w:color w:val="000000"/>
                <w:sz w:val="16"/>
                <w:szCs w:val="16"/>
              </w:rPr>
              <w:t>(</w:t>
            </w:r>
            <w:r w:rsidR="000A524B">
              <w:rPr>
                <w:rFonts w:ascii="Calibri" w:hAnsi="Calibri" w:cs="Calibri"/>
                <w:b/>
                <w:bCs/>
                <w:color w:val="000000"/>
                <w:sz w:val="16"/>
                <w:szCs w:val="16"/>
              </w:rPr>
              <w:t>91.574.272</w:t>
            </w:r>
            <w:r>
              <w:rPr>
                <w:rFonts w:ascii="Calibri" w:hAnsi="Calibri" w:cs="Calibri"/>
                <w:b/>
                <w:bCs/>
                <w:color w:val="000000"/>
                <w:sz w:val="16"/>
                <w:szCs w:val="16"/>
              </w:rPr>
              <w:t>)</w:t>
            </w:r>
          </w:p>
        </w:tc>
        <w:tc>
          <w:tcPr>
            <w:tcW w:w="755" w:type="pct"/>
            <w:tcBorders>
              <w:top w:val="single" w:sz="8" w:space="0" w:color="auto"/>
              <w:left w:val="nil"/>
              <w:bottom w:val="single" w:sz="8" w:space="0" w:color="auto"/>
              <w:right w:val="nil"/>
            </w:tcBorders>
            <w:shd w:val="clear" w:color="auto" w:fill="auto"/>
            <w:vAlign w:val="center"/>
            <w:hideMark/>
          </w:tcPr>
          <w:p w14:paraId="0C342825" w14:textId="36741DD4" w:rsidR="00AD39BE" w:rsidRPr="00E92C8D" w:rsidRDefault="00E92C8D">
            <w:pPr>
              <w:jc w:val="right"/>
              <w:rPr>
                <w:rFonts w:ascii="Calibri" w:hAnsi="Calibri" w:cs="Calibri"/>
                <w:b/>
                <w:bCs/>
                <w:color w:val="000000"/>
                <w:sz w:val="16"/>
                <w:szCs w:val="16"/>
              </w:rPr>
            </w:pPr>
            <w:r>
              <w:rPr>
                <w:rFonts w:ascii="Calibri" w:hAnsi="Calibri" w:cs="Calibri"/>
                <w:b/>
                <w:bCs/>
                <w:color w:val="000000"/>
                <w:sz w:val="16"/>
                <w:szCs w:val="16"/>
              </w:rPr>
              <w:t>(460.733.460)</w:t>
            </w:r>
          </w:p>
        </w:tc>
      </w:tr>
    </w:tbl>
    <w:p w14:paraId="10625DBA" w14:textId="0F3921BD" w:rsidR="000C065B" w:rsidRPr="002E2B5B" w:rsidRDefault="005B302C" w:rsidP="002E2B5B">
      <w:pPr>
        <w:spacing w:before="120" w:after="120"/>
        <w:ind w:right="57"/>
        <w:jc w:val="both"/>
        <w:rPr>
          <w:rFonts w:ascii="Calibri" w:hAnsi="Calibri" w:cs="Calibri"/>
          <w:sz w:val="22"/>
          <w:szCs w:val="22"/>
        </w:rPr>
      </w:pPr>
      <w:r w:rsidRPr="002E2B5B">
        <w:rPr>
          <w:rFonts w:ascii="Calibri" w:hAnsi="Calibri" w:cs="Calibri"/>
          <w:sz w:val="22"/>
          <w:szCs w:val="22"/>
        </w:rPr>
        <w:t xml:space="preserve">Conforme Nota </w:t>
      </w:r>
      <w:r w:rsidR="00216A83">
        <w:rPr>
          <w:rFonts w:ascii="Calibri" w:hAnsi="Calibri" w:cs="Calibri"/>
          <w:sz w:val="22"/>
          <w:szCs w:val="22"/>
        </w:rPr>
        <w:t>7</w:t>
      </w:r>
      <w:r w:rsidRPr="002E2B5B">
        <w:rPr>
          <w:rFonts w:ascii="Calibri" w:hAnsi="Calibri" w:cs="Calibri"/>
          <w:sz w:val="22"/>
          <w:szCs w:val="22"/>
        </w:rPr>
        <w:t xml:space="preserve">b, o resultado com equivalência patrimonial negativo refere-se à participação acionária significativa na companhia Transnordestina Logística S/A, o qual totalizou R$ </w:t>
      </w:r>
      <w:r w:rsidR="000A524B">
        <w:rPr>
          <w:rFonts w:ascii="Calibri" w:hAnsi="Calibri" w:cs="Calibri"/>
          <w:sz w:val="22"/>
          <w:szCs w:val="22"/>
        </w:rPr>
        <w:t>32,2</w:t>
      </w:r>
      <w:r w:rsidR="00216A83">
        <w:rPr>
          <w:rFonts w:ascii="Calibri" w:hAnsi="Calibri" w:cs="Calibri"/>
          <w:sz w:val="22"/>
          <w:szCs w:val="22"/>
        </w:rPr>
        <w:t xml:space="preserve"> milhões</w:t>
      </w:r>
      <w:r w:rsidRPr="002E2B5B">
        <w:rPr>
          <w:rFonts w:ascii="Calibri" w:hAnsi="Calibri" w:cs="Calibri"/>
          <w:sz w:val="22"/>
          <w:szCs w:val="22"/>
        </w:rPr>
        <w:t>,</w:t>
      </w:r>
      <w:r w:rsidR="000A524B">
        <w:rPr>
          <w:rFonts w:ascii="Calibri" w:hAnsi="Calibri" w:cs="Calibri"/>
          <w:sz w:val="22"/>
          <w:szCs w:val="22"/>
        </w:rPr>
        <w:t xml:space="preserve"> até </w:t>
      </w:r>
      <w:r w:rsidRPr="002E2B5B">
        <w:rPr>
          <w:rFonts w:ascii="Calibri" w:hAnsi="Calibri" w:cs="Calibri"/>
          <w:sz w:val="22"/>
          <w:szCs w:val="22"/>
        </w:rPr>
        <w:t>o</w:t>
      </w:r>
      <w:r w:rsidR="006B6CF3">
        <w:rPr>
          <w:rFonts w:ascii="Calibri" w:hAnsi="Calibri" w:cs="Calibri"/>
          <w:sz w:val="22"/>
          <w:szCs w:val="22"/>
        </w:rPr>
        <w:t xml:space="preserve"> </w:t>
      </w:r>
      <w:r w:rsidR="000A524B">
        <w:rPr>
          <w:rFonts w:ascii="Calibri" w:hAnsi="Calibri" w:cs="Calibri"/>
          <w:sz w:val="22"/>
          <w:szCs w:val="22"/>
        </w:rPr>
        <w:t>3</w:t>
      </w:r>
      <w:r w:rsidR="006B6CF3">
        <w:rPr>
          <w:rFonts w:ascii="Calibri" w:hAnsi="Calibri" w:cs="Calibri"/>
          <w:sz w:val="22"/>
          <w:szCs w:val="22"/>
        </w:rPr>
        <w:t>º trimestre de 2021</w:t>
      </w:r>
      <w:r w:rsidRPr="002E2B5B">
        <w:rPr>
          <w:rFonts w:ascii="Calibri" w:hAnsi="Calibri" w:cs="Calibri"/>
          <w:sz w:val="22"/>
          <w:szCs w:val="22"/>
        </w:rPr>
        <w:t>.</w:t>
      </w:r>
    </w:p>
    <w:tbl>
      <w:tblPr>
        <w:tblW w:w="5000" w:type="pct"/>
        <w:tblCellMar>
          <w:left w:w="70" w:type="dxa"/>
          <w:right w:w="70" w:type="dxa"/>
        </w:tblCellMar>
        <w:tblLook w:val="04A0" w:firstRow="1" w:lastRow="0" w:firstColumn="1" w:lastColumn="0" w:noHBand="0" w:noVBand="1"/>
      </w:tblPr>
      <w:tblGrid>
        <w:gridCol w:w="7760"/>
        <w:gridCol w:w="2707"/>
      </w:tblGrid>
      <w:tr w:rsidR="005B302C" w:rsidRPr="002E2B5B" w14:paraId="76F5DB11" w14:textId="77777777" w:rsidTr="002C1F78">
        <w:trPr>
          <w:trHeight w:val="111"/>
        </w:trPr>
        <w:tc>
          <w:tcPr>
            <w:tcW w:w="3707" w:type="pct"/>
            <w:tcBorders>
              <w:bottom w:val="single" w:sz="4" w:space="0" w:color="auto"/>
            </w:tcBorders>
            <w:shd w:val="clear" w:color="auto" w:fill="auto"/>
            <w:noWrap/>
            <w:vAlign w:val="center"/>
            <w:hideMark/>
          </w:tcPr>
          <w:p w14:paraId="6FDABF23" w14:textId="77777777" w:rsidR="005B302C" w:rsidRPr="002E2B5B" w:rsidRDefault="005B302C" w:rsidP="002E2B5B">
            <w:pPr>
              <w:rPr>
                <w:rFonts w:ascii="Calibri" w:hAnsi="Calibri" w:cs="Calibri"/>
                <w:b/>
                <w:bCs/>
                <w:sz w:val="16"/>
                <w:szCs w:val="16"/>
              </w:rPr>
            </w:pPr>
            <w:r w:rsidRPr="002E2B5B">
              <w:rPr>
                <w:rFonts w:ascii="Calibri" w:hAnsi="Calibri" w:cs="Calibri"/>
                <w:b/>
                <w:bCs/>
                <w:sz w:val="16"/>
                <w:szCs w:val="16"/>
              </w:rPr>
              <w:t>RESULTADO DA EQUIVALÊNCIA PATRIMONIAL</w:t>
            </w:r>
          </w:p>
        </w:tc>
        <w:tc>
          <w:tcPr>
            <w:tcW w:w="1293" w:type="pct"/>
            <w:tcBorders>
              <w:bottom w:val="single" w:sz="4" w:space="0" w:color="auto"/>
            </w:tcBorders>
            <w:shd w:val="clear" w:color="auto" w:fill="auto"/>
            <w:noWrap/>
            <w:vAlign w:val="center"/>
            <w:hideMark/>
          </w:tcPr>
          <w:p w14:paraId="35E395C8" w14:textId="520950E2" w:rsidR="005B302C" w:rsidRPr="002E2B5B" w:rsidRDefault="005B302C" w:rsidP="002E2B5B">
            <w:pPr>
              <w:jc w:val="right"/>
              <w:rPr>
                <w:rFonts w:ascii="Calibri" w:hAnsi="Calibri" w:cs="Calibri"/>
                <w:b/>
                <w:bCs/>
                <w:sz w:val="16"/>
                <w:szCs w:val="16"/>
              </w:rPr>
            </w:pPr>
            <w:r w:rsidRPr="002E2B5B">
              <w:rPr>
                <w:rFonts w:ascii="Calibri" w:hAnsi="Calibri" w:cs="Calibri"/>
                <w:b/>
                <w:bCs/>
                <w:sz w:val="16"/>
                <w:szCs w:val="16"/>
              </w:rPr>
              <w:t> </w:t>
            </w:r>
            <w:r w:rsidR="00AF6801">
              <w:rPr>
                <w:rFonts w:ascii="Calibri" w:hAnsi="Calibri" w:cs="Calibri"/>
                <w:b/>
                <w:bCs/>
                <w:sz w:val="16"/>
                <w:szCs w:val="16"/>
              </w:rPr>
              <w:t>30/0</w:t>
            </w:r>
            <w:r w:rsidR="000A524B">
              <w:rPr>
                <w:rFonts w:ascii="Calibri" w:hAnsi="Calibri" w:cs="Calibri"/>
                <w:b/>
                <w:bCs/>
                <w:sz w:val="16"/>
                <w:szCs w:val="16"/>
              </w:rPr>
              <w:t>9</w:t>
            </w:r>
            <w:r w:rsidR="00AF6801">
              <w:rPr>
                <w:rFonts w:ascii="Calibri" w:hAnsi="Calibri" w:cs="Calibri"/>
                <w:b/>
                <w:bCs/>
                <w:sz w:val="16"/>
                <w:szCs w:val="16"/>
              </w:rPr>
              <w:t>/2021</w:t>
            </w:r>
          </w:p>
        </w:tc>
      </w:tr>
      <w:tr w:rsidR="005B302C" w:rsidRPr="002E2B5B" w14:paraId="41B512FB" w14:textId="77777777" w:rsidTr="00067272">
        <w:trPr>
          <w:trHeight w:val="227"/>
        </w:trPr>
        <w:tc>
          <w:tcPr>
            <w:tcW w:w="3707" w:type="pct"/>
            <w:tcBorders>
              <w:top w:val="single" w:sz="4" w:space="0" w:color="auto"/>
            </w:tcBorders>
            <w:shd w:val="clear" w:color="auto" w:fill="auto"/>
            <w:noWrap/>
            <w:vAlign w:val="center"/>
            <w:hideMark/>
          </w:tcPr>
          <w:p w14:paraId="50E20AF8" w14:textId="7DAA53C0" w:rsidR="005B302C" w:rsidRPr="002E2B5B" w:rsidRDefault="005B302C" w:rsidP="002E2B5B">
            <w:pPr>
              <w:rPr>
                <w:rFonts w:ascii="Calibri" w:hAnsi="Calibri" w:cs="Calibri"/>
                <w:sz w:val="16"/>
                <w:szCs w:val="16"/>
              </w:rPr>
            </w:pPr>
            <w:r w:rsidRPr="002E2B5B">
              <w:rPr>
                <w:rFonts w:ascii="Calibri" w:hAnsi="Calibri" w:cs="Calibri"/>
                <w:sz w:val="16"/>
                <w:szCs w:val="16"/>
              </w:rPr>
              <w:t>Resultado de Equivalência Patrimonial Negativo – 1º tri/202</w:t>
            </w:r>
            <w:r w:rsidR="00216A83">
              <w:rPr>
                <w:rFonts w:ascii="Calibri" w:hAnsi="Calibri" w:cs="Calibri"/>
                <w:sz w:val="16"/>
                <w:szCs w:val="16"/>
              </w:rPr>
              <w:t>1</w:t>
            </w:r>
          </w:p>
        </w:tc>
        <w:tc>
          <w:tcPr>
            <w:tcW w:w="1293" w:type="pct"/>
            <w:tcBorders>
              <w:top w:val="single" w:sz="4" w:space="0" w:color="auto"/>
            </w:tcBorders>
            <w:shd w:val="clear" w:color="auto" w:fill="auto"/>
            <w:noWrap/>
            <w:vAlign w:val="center"/>
            <w:hideMark/>
          </w:tcPr>
          <w:p w14:paraId="0ACBA63C" w14:textId="441AF114" w:rsidR="005B302C" w:rsidRPr="002E2B5B" w:rsidRDefault="005B302C" w:rsidP="002E2B5B">
            <w:pPr>
              <w:jc w:val="right"/>
              <w:rPr>
                <w:rFonts w:ascii="Calibri" w:hAnsi="Calibri" w:cs="Calibri"/>
                <w:sz w:val="16"/>
                <w:szCs w:val="16"/>
              </w:rPr>
            </w:pPr>
            <w:r w:rsidRPr="002E2B5B">
              <w:rPr>
                <w:rFonts w:ascii="Calibri" w:hAnsi="Calibri" w:cs="Calibri"/>
                <w:sz w:val="16"/>
                <w:szCs w:val="16"/>
              </w:rPr>
              <w:t>(</w:t>
            </w:r>
            <w:r w:rsidR="003E2089">
              <w:rPr>
                <w:rFonts w:ascii="Calibri" w:hAnsi="Calibri" w:cs="Calibri"/>
                <w:sz w:val="16"/>
                <w:szCs w:val="16"/>
              </w:rPr>
              <w:t>3.773.932</w:t>
            </w:r>
            <w:r w:rsidRPr="002E2B5B">
              <w:rPr>
                <w:rFonts w:ascii="Calibri" w:hAnsi="Calibri" w:cs="Calibri"/>
                <w:sz w:val="16"/>
                <w:szCs w:val="16"/>
              </w:rPr>
              <w:t>)</w:t>
            </w:r>
          </w:p>
        </w:tc>
      </w:tr>
      <w:tr w:rsidR="00AD39BE" w:rsidRPr="002E2B5B" w14:paraId="35962DB1" w14:textId="77777777" w:rsidTr="00067272">
        <w:trPr>
          <w:trHeight w:val="227"/>
        </w:trPr>
        <w:tc>
          <w:tcPr>
            <w:tcW w:w="3707" w:type="pct"/>
            <w:tcBorders>
              <w:top w:val="single" w:sz="4" w:space="0" w:color="auto"/>
            </w:tcBorders>
            <w:shd w:val="clear" w:color="auto" w:fill="auto"/>
            <w:noWrap/>
            <w:vAlign w:val="center"/>
          </w:tcPr>
          <w:p w14:paraId="222A050E" w14:textId="49523062" w:rsidR="00AD39BE" w:rsidRPr="002E2B5B" w:rsidRDefault="00AD39BE" w:rsidP="002E2B5B">
            <w:pPr>
              <w:rPr>
                <w:rFonts w:ascii="Calibri" w:hAnsi="Calibri" w:cs="Calibri"/>
                <w:sz w:val="16"/>
                <w:szCs w:val="16"/>
              </w:rPr>
            </w:pPr>
            <w:r w:rsidRPr="002E2B5B">
              <w:rPr>
                <w:rFonts w:ascii="Calibri" w:hAnsi="Calibri" w:cs="Calibri"/>
                <w:sz w:val="16"/>
                <w:szCs w:val="16"/>
              </w:rPr>
              <w:t xml:space="preserve">Resultado de Equivalência Patrimonial Negativo – </w:t>
            </w:r>
            <w:r>
              <w:rPr>
                <w:rFonts w:ascii="Calibri" w:hAnsi="Calibri" w:cs="Calibri"/>
                <w:sz w:val="16"/>
                <w:szCs w:val="16"/>
              </w:rPr>
              <w:t>2</w:t>
            </w:r>
            <w:r w:rsidRPr="002E2B5B">
              <w:rPr>
                <w:rFonts w:ascii="Calibri" w:hAnsi="Calibri" w:cs="Calibri"/>
                <w:sz w:val="16"/>
                <w:szCs w:val="16"/>
              </w:rPr>
              <w:t>º tri/202</w:t>
            </w:r>
            <w:r>
              <w:rPr>
                <w:rFonts w:ascii="Calibri" w:hAnsi="Calibri" w:cs="Calibri"/>
                <w:sz w:val="16"/>
                <w:szCs w:val="16"/>
              </w:rPr>
              <w:t>1</w:t>
            </w:r>
          </w:p>
        </w:tc>
        <w:tc>
          <w:tcPr>
            <w:tcW w:w="1293" w:type="pct"/>
            <w:tcBorders>
              <w:top w:val="single" w:sz="4" w:space="0" w:color="auto"/>
            </w:tcBorders>
            <w:shd w:val="clear" w:color="auto" w:fill="auto"/>
            <w:noWrap/>
            <w:vAlign w:val="center"/>
          </w:tcPr>
          <w:p w14:paraId="41109E50" w14:textId="3189B07F" w:rsidR="00AD39BE" w:rsidRPr="002E2B5B" w:rsidRDefault="00AD39BE" w:rsidP="002E2B5B">
            <w:pPr>
              <w:jc w:val="right"/>
              <w:rPr>
                <w:rFonts w:ascii="Calibri" w:hAnsi="Calibri" w:cs="Calibri"/>
                <w:sz w:val="16"/>
                <w:szCs w:val="16"/>
              </w:rPr>
            </w:pPr>
            <w:r>
              <w:rPr>
                <w:rFonts w:ascii="Calibri" w:hAnsi="Calibri" w:cs="Calibri"/>
                <w:sz w:val="16"/>
                <w:szCs w:val="16"/>
              </w:rPr>
              <w:t>(12.</w:t>
            </w:r>
            <w:r w:rsidR="00AF6801">
              <w:rPr>
                <w:rFonts w:ascii="Calibri" w:hAnsi="Calibri" w:cs="Calibri"/>
                <w:sz w:val="16"/>
                <w:szCs w:val="16"/>
              </w:rPr>
              <w:t>5</w:t>
            </w:r>
            <w:r>
              <w:rPr>
                <w:rFonts w:ascii="Calibri" w:hAnsi="Calibri" w:cs="Calibri"/>
                <w:sz w:val="16"/>
                <w:szCs w:val="16"/>
              </w:rPr>
              <w:t>03.</w:t>
            </w:r>
            <w:r w:rsidR="00AF6801">
              <w:rPr>
                <w:rFonts w:ascii="Calibri" w:hAnsi="Calibri" w:cs="Calibri"/>
                <w:sz w:val="16"/>
                <w:szCs w:val="16"/>
              </w:rPr>
              <w:t>3</w:t>
            </w:r>
            <w:r>
              <w:rPr>
                <w:rFonts w:ascii="Calibri" w:hAnsi="Calibri" w:cs="Calibri"/>
                <w:sz w:val="16"/>
                <w:szCs w:val="16"/>
              </w:rPr>
              <w:t>98)</w:t>
            </w:r>
          </w:p>
        </w:tc>
      </w:tr>
      <w:tr w:rsidR="000A524B" w:rsidRPr="002E2B5B" w14:paraId="44F9618A" w14:textId="77777777" w:rsidTr="00067272">
        <w:trPr>
          <w:trHeight w:val="227"/>
        </w:trPr>
        <w:tc>
          <w:tcPr>
            <w:tcW w:w="3707" w:type="pct"/>
            <w:tcBorders>
              <w:top w:val="single" w:sz="4" w:space="0" w:color="auto"/>
            </w:tcBorders>
            <w:shd w:val="clear" w:color="auto" w:fill="auto"/>
            <w:noWrap/>
            <w:vAlign w:val="center"/>
          </w:tcPr>
          <w:p w14:paraId="679C557A" w14:textId="13E99C77" w:rsidR="000A524B" w:rsidRPr="002E2B5B" w:rsidRDefault="000A524B" w:rsidP="002E2B5B">
            <w:pPr>
              <w:rPr>
                <w:rFonts w:ascii="Calibri" w:hAnsi="Calibri" w:cs="Calibri"/>
                <w:sz w:val="16"/>
                <w:szCs w:val="16"/>
              </w:rPr>
            </w:pPr>
            <w:r w:rsidRPr="002E2B5B">
              <w:rPr>
                <w:rFonts w:ascii="Calibri" w:hAnsi="Calibri" w:cs="Calibri"/>
                <w:sz w:val="16"/>
                <w:szCs w:val="16"/>
              </w:rPr>
              <w:t xml:space="preserve">Resultado de Equivalência Patrimonial Negativo – </w:t>
            </w:r>
            <w:r>
              <w:rPr>
                <w:rFonts w:ascii="Calibri" w:hAnsi="Calibri" w:cs="Calibri"/>
                <w:sz w:val="16"/>
                <w:szCs w:val="16"/>
              </w:rPr>
              <w:t>3</w:t>
            </w:r>
            <w:r w:rsidRPr="002E2B5B">
              <w:rPr>
                <w:rFonts w:ascii="Calibri" w:hAnsi="Calibri" w:cs="Calibri"/>
                <w:sz w:val="16"/>
                <w:szCs w:val="16"/>
              </w:rPr>
              <w:t>º tri/202</w:t>
            </w:r>
            <w:r>
              <w:rPr>
                <w:rFonts w:ascii="Calibri" w:hAnsi="Calibri" w:cs="Calibri"/>
                <w:sz w:val="16"/>
                <w:szCs w:val="16"/>
              </w:rPr>
              <w:t>1</w:t>
            </w:r>
          </w:p>
        </w:tc>
        <w:tc>
          <w:tcPr>
            <w:tcW w:w="1293" w:type="pct"/>
            <w:tcBorders>
              <w:top w:val="single" w:sz="4" w:space="0" w:color="auto"/>
            </w:tcBorders>
            <w:shd w:val="clear" w:color="auto" w:fill="auto"/>
            <w:noWrap/>
            <w:vAlign w:val="center"/>
          </w:tcPr>
          <w:p w14:paraId="73880A20" w14:textId="69FA40F9" w:rsidR="000A524B" w:rsidRDefault="000A524B" w:rsidP="002E2B5B">
            <w:pPr>
              <w:jc w:val="right"/>
              <w:rPr>
                <w:rFonts w:ascii="Calibri" w:hAnsi="Calibri" w:cs="Calibri"/>
                <w:sz w:val="16"/>
                <w:szCs w:val="16"/>
              </w:rPr>
            </w:pPr>
            <w:r>
              <w:rPr>
                <w:rFonts w:ascii="Calibri" w:hAnsi="Calibri" w:cs="Calibri"/>
                <w:sz w:val="16"/>
                <w:szCs w:val="16"/>
              </w:rPr>
              <w:t>(15.971.177)</w:t>
            </w:r>
          </w:p>
        </w:tc>
      </w:tr>
      <w:tr w:rsidR="005B302C" w:rsidRPr="002E2B5B" w14:paraId="09F1AC89" w14:textId="77777777" w:rsidTr="00067272">
        <w:trPr>
          <w:trHeight w:val="227"/>
        </w:trPr>
        <w:tc>
          <w:tcPr>
            <w:tcW w:w="3707" w:type="pct"/>
            <w:tcBorders>
              <w:top w:val="single" w:sz="4" w:space="0" w:color="auto"/>
              <w:bottom w:val="single" w:sz="4" w:space="0" w:color="auto"/>
            </w:tcBorders>
            <w:shd w:val="clear" w:color="auto" w:fill="auto"/>
            <w:noWrap/>
            <w:vAlign w:val="center"/>
            <w:hideMark/>
          </w:tcPr>
          <w:p w14:paraId="5090E331" w14:textId="77777777" w:rsidR="005B302C" w:rsidRPr="002E2B5B" w:rsidRDefault="005B302C" w:rsidP="002E2B5B">
            <w:pPr>
              <w:rPr>
                <w:rFonts w:ascii="Calibri" w:hAnsi="Calibri" w:cs="Calibri"/>
                <w:b/>
                <w:bCs/>
                <w:sz w:val="16"/>
                <w:szCs w:val="16"/>
              </w:rPr>
            </w:pPr>
            <w:r w:rsidRPr="002E2B5B">
              <w:rPr>
                <w:rFonts w:ascii="Calibri" w:hAnsi="Calibri" w:cs="Calibri"/>
                <w:b/>
                <w:bCs/>
                <w:sz w:val="16"/>
                <w:szCs w:val="16"/>
              </w:rPr>
              <w:t xml:space="preserve">TOTAL </w:t>
            </w:r>
          </w:p>
        </w:tc>
        <w:tc>
          <w:tcPr>
            <w:tcW w:w="1293" w:type="pct"/>
            <w:tcBorders>
              <w:top w:val="single" w:sz="4" w:space="0" w:color="auto"/>
              <w:bottom w:val="single" w:sz="4" w:space="0" w:color="auto"/>
            </w:tcBorders>
            <w:shd w:val="clear" w:color="auto" w:fill="auto"/>
            <w:noWrap/>
            <w:vAlign w:val="center"/>
            <w:hideMark/>
          </w:tcPr>
          <w:p w14:paraId="6168BB98" w14:textId="5814174A" w:rsidR="005B302C" w:rsidRPr="002E2B5B" w:rsidRDefault="005B302C" w:rsidP="002E2B5B">
            <w:pPr>
              <w:jc w:val="right"/>
              <w:rPr>
                <w:rFonts w:ascii="Calibri" w:hAnsi="Calibri" w:cs="Calibri"/>
                <w:b/>
                <w:bCs/>
                <w:sz w:val="16"/>
                <w:szCs w:val="16"/>
              </w:rPr>
            </w:pPr>
            <w:r w:rsidRPr="002E2B5B">
              <w:rPr>
                <w:rFonts w:ascii="Calibri" w:hAnsi="Calibri" w:cs="Calibri"/>
                <w:b/>
                <w:bCs/>
                <w:sz w:val="16"/>
                <w:szCs w:val="16"/>
              </w:rPr>
              <w:t>(</w:t>
            </w:r>
            <w:r w:rsidR="000A524B">
              <w:rPr>
                <w:rFonts w:ascii="Calibri" w:hAnsi="Calibri" w:cs="Calibri"/>
                <w:b/>
                <w:bCs/>
                <w:sz w:val="16"/>
                <w:szCs w:val="16"/>
              </w:rPr>
              <w:t>32.248.507</w:t>
            </w:r>
            <w:r w:rsidRPr="002E2B5B">
              <w:rPr>
                <w:rFonts w:ascii="Calibri" w:hAnsi="Calibri" w:cs="Calibri"/>
                <w:b/>
                <w:bCs/>
                <w:sz w:val="16"/>
                <w:szCs w:val="16"/>
              </w:rPr>
              <w:t>)</w:t>
            </w:r>
          </w:p>
        </w:tc>
      </w:tr>
    </w:tbl>
    <w:p w14:paraId="530030BB" w14:textId="77777777" w:rsidR="00564DCF" w:rsidRPr="002E2B5B" w:rsidRDefault="00564DCF" w:rsidP="002E2B5B">
      <w:pPr>
        <w:ind w:right="57"/>
        <w:jc w:val="both"/>
        <w:rPr>
          <w:rFonts w:ascii="Calibri" w:hAnsi="Calibri" w:cs="Calibri"/>
          <w:sz w:val="22"/>
          <w:szCs w:val="22"/>
        </w:rPr>
      </w:pPr>
    </w:p>
    <w:tbl>
      <w:tblPr>
        <w:tblW w:w="5000" w:type="pct"/>
        <w:tblCellMar>
          <w:left w:w="70" w:type="dxa"/>
          <w:right w:w="70" w:type="dxa"/>
        </w:tblCellMar>
        <w:tblLook w:val="04A0" w:firstRow="1" w:lastRow="0" w:firstColumn="1" w:lastColumn="0" w:noHBand="0" w:noVBand="1"/>
      </w:tblPr>
      <w:tblGrid>
        <w:gridCol w:w="6414"/>
        <w:gridCol w:w="1059"/>
        <w:gridCol w:w="1497"/>
        <w:gridCol w:w="1497"/>
      </w:tblGrid>
      <w:tr w:rsidR="00AE735D" w:rsidRPr="002E2B5B" w14:paraId="109F2109" w14:textId="77777777" w:rsidTr="00AE735D">
        <w:trPr>
          <w:trHeight w:val="300"/>
        </w:trPr>
        <w:tc>
          <w:tcPr>
            <w:tcW w:w="3064" w:type="pct"/>
            <w:vMerge w:val="restart"/>
            <w:tcBorders>
              <w:top w:val="nil"/>
              <w:left w:val="nil"/>
              <w:bottom w:val="single" w:sz="8" w:space="0" w:color="000000"/>
              <w:right w:val="nil"/>
            </w:tcBorders>
            <w:shd w:val="clear" w:color="auto" w:fill="auto"/>
            <w:noWrap/>
            <w:vAlign w:val="bottom"/>
            <w:hideMark/>
          </w:tcPr>
          <w:p w14:paraId="728FEA1A" w14:textId="037AEE44" w:rsidR="00AE735D" w:rsidRPr="002E2B5B" w:rsidRDefault="00D22F5E" w:rsidP="002E2B5B">
            <w:pPr>
              <w:rPr>
                <w:rFonts w:ascii="Calibri" w:hAnsi="Calibri" w:cs="Calibri"/>
                <w:b/>
                <w:sz w:val="22"/>
                <w:szCs w:val="22"/>
              </w:rPr>
            </w:pPr>
            <w:r w:rsidRPr="002E2B5B">
              <w:rPr>
                <w:rFonts w:ascii="Calibri" w:hAnsi="Calibri" w:cs="Calibri"/>
                <w:b/>
                <w:sz w:val="22"/>
                <w:szCs w:val="22"/>
              </w:rPr>
              <w:t>NOTA 1</w:t>
            </w:r>
            <w:r w:rsidR="002535EA">
              <w:rPr>
                <w:rFonts w:ascii="Calibri" w:hAnsi="Calibri" w:cs="Calibri"/>
                <w:b/>
                <w:sz w:val="22"/>
                <w:szCs w:val="22"/>
              </w:rPr>
              <w:t>8</w:t>
            </w:r>
            <w:r w:rsidR="001E6E1B" w:rsidRPr="002E2B5B">
              <w:rPr>
                <w:rFonts w:ascii="Calibri" w:hAnsi="Calibri" w:cs="Calibri"/>
                <w:b/>
                <w:sz w:val="22"/>
                <w:szCs w:val="22"/>
              </w:rPr>
              <w:t xml:space="preserve"> – RECEITAS FINANCEIRAS </w:t>
            </w:r>
          </w:p>
          <w:p w14:paraId="1614D0F2" w14:textId="77777777" w:rsidR="00AE735D" w:rsidRPr="002E2B5B" w:rsidRDefault="00AE735D" w:rsidP="002E2B5B">
            <w:pPr>
              <w:rPr>
                <w:rFonts w:ascii="Calibri" w:hAnsi="Calibri" w:cs="Calibri"/>
                <w:b/>
                <w:sz w:val="16"/>
                <w:szCs w:val="16"/>
              </w:rPr>
            </w:pPr>
          </w:p>
          <w:p w14:paraId="37A0A42A" w14:textId="77777777" w:rsidR="00AE735D" w:rsidRPr="002E2B5B" w:rsidRDefault="00AE735D" w:rsidP="002E2B5B">
            <w:pPr>
              <w:rPr>
                <w:rFonts w:ascii="Calibri" w:hAnsi="Calibri" w:cs="Calibri"/>
                <w:b/>
                <w:bCs/>
                <w:color w:val="000000"/>
                <w:sz w:val="16"/>
                <w:szCs w:val="16"/>
              </w:rPr>
            </w:pPr>
            <w:r w:rsidRPr="002E2B5B">
              <w:rPr>
                <w:rFonts w:ascii="Calibri" w:hAnsi="Calibri" w:cs="Calibri"/>
                <w:b/>
                <w:bCs/>
                <w:color w:val="000000"/>
                <w:sz w:val="16"/>
                <w:szCs w:val="16"/>
              </w:rPr>
              <w:t>RECEITAS FINANCEIRAS</w:t>
            </w:r>
          </w:p>
        </w:tc>
        <w:tc>
          <w:tcPr>
            <w:tcW w:w="506" w:type="pct"/>
            <w:vMerge w:val="restart"/>
            <w:tcBorders>
              <w:top w:val="nil"/>
              <w:left w:val="nil"/>
              <w:bottom w:val="single" w:sz="8" w:space="0" w:color="000000"/>
              <w:right w:val="nil"/>
            </w:tcBorders>
            <w:shd w:val="clear" w:color="auto" w:fill="auto"/>
            <w:vAlign w:val="bottom"/>
          </w:tcPr>
          <w:p w14:paraId="28C6A757" w14:textId="77777777" w:rsidR="00AE735D" w:rsidRPr="002E2B5B" w:rsidRDefault="00AE735D" w:rsidP="002E2B5B">
            <w:pPr>
              <w:jc w:val="right"/>
              <w:rPr>
                <w:rFonts w:ascii="Calibri" w:hAnsi="Calibri" w:cs="Calibri"/>
                <w:b/>
                <w:bCs/>
                <w:color w:val="000000"/>
                <w:sz w:val="16"/>
                <w:szCs w:val="16"/>
              </w:rPr>
            </w:pPr>
          </w:p>
        </w:tc>
        <w:tc>
          <w:tcPr>
            <w:tcW w:w="715" w:type="pct"/>
            <w:vMerge w:val="restart"/>
            <w:tcBorders>
              <w:top w:val="nil"/>
              <w:left w:val="nil"/>
              <w:bottom w:val="single" w:sz="8" w:space="0" w:color="000000"/>
              <w:right w:val="nil"/>
            </w:tcBorders>
            <w:shd w:val="clear" w:color="auto" w:fill="auto"/>
            <w:vAlign w:val="bottom"/>
          </w:tcPr>
          <w:p w14:paraId="680E8467" w14:textId="269AA59D" w:rsidR="00AE735D" w:rsidRPr="002E2B5B" w:rsidRDefault="00C24B9C" w:rsidP="002E2B5B">
            <w:pPr>
              <w:jc w:val="right"/>
              <w:rPr>
                <w:rFonts w:ascii="Calibri" w:hAnsi="Calibri" w:cs="Calibri"/>
                <w:b/>
                <w:bCs/>
                <w:color w:val="000000"/>
                <w:sz w:val="16"/>
                <w:szCs w:val="16"/>
              </w:rPr>
            </w:pPr>
            <w:r>
              <w:rPr>
                <w:rFonts w:ascii="Calibri" w:hAnsi="Calibri" w:cs="Calibri"/>
                <w:b/>
                <w:bCs/>
                <w:color w:val="000000"/>
                <w:sz w:val="16"/>
                <w:szCs w:val="16"/>
              </w:rPr>
              <w:t>30/0</w:t>
            </w:r>
            <w:r w:rsidR="000A524B">
              <w:rPr>
                <w:rFonts w:ascii="Calibri" w:hAnsi="Calibri" w:cs="Calibri"/>
                <w:b/>
                <w:bCs/>
                <w:color w:val="000000"/>
                <w:sz w:val="16"/>
                <w:szCs w:val="16"/>
              </w:rPr>
              <w:t>9</w:t>
            </w:r>
            <w:r>
              <w:rPr>
                <w:rFonts w:ascii="Calibri" w:hAnsi="Calibri" w:cs="Calibri"/>
                <w:b/>
                <w:bCs/>
                <w:color w:val="000000"/>
                <w:sz w:val="16"/>
                <w:szCs w:val="16"/>
              </w:rPr>
              <w:t>/2021</w:t>
            </w:r>
          </w:p>
        </w:tc>
        <w:tc>
          <w:tcPr>
            <w:tcW w:w="715" w:type="pct"/>
            <w:tcBorders>
              <w:top w:val="nil"/>
              <w:left w:val="nil"/>
              <w:right w:val="nil"/>
            </w:tcBorders>
            <w:vAlign w:val="bottom"/>
          </w:tcPr>
          <w:p w14:paraId="0FFA4E6B" w14:textId="77777777" w:rsidR="00AE735D" w:rsidRPr="002E2B5B" w:rsidRDefault="00AE735D" w:rsidP="002E2B5B">
            <w:pPr>
              <w:jc w:val="right"/>
              <w:rPr>
                <w:rFonts w:ascii="Calibri" w:hAnsi="Calibri" w:cs="Calibri"/>
                <w:b/>
                <w:bCs/>
                <w:color w:val="000000"/>
                <w:sz w:val="16"/>
                <w:szCs w:val="16"/>
              </w:rPr>
            </w:pPr>
          </w:p>
        </w:tc>
      </w:tr>
      <w:tr w:rsidR="00AE735D" w:rsidRPr="00765BE0" w14:paraId="11E28711" w14:textId="77777777" w:rsidTr="00AE735D">
        <w:trPr>
          <w:trHeight w:val="315"/>
        </w:trPr>
        <w:tc>
          <w:tcPr>
            <w:tcW w:w="3064" w:type="pct"/>
            <w:vMerge/>
            <w:tcBorders>
              <w:top w:val="nil"/>
              <w:left w:val="nil"/>
              <w:bottom w:val="single" w:sz="8" w:space="0" w:color="000000"/>
              <w:right w:val="nil"/>
            </w:tcBorders>
            <w:vAlign w:val="bottom"/>
            <w:hideMark/>
          </w:tcPr>
          <w:p w14:paraId="43C318A8" w14:textId="77777777" w:rsidR="00AE735D" w:rsidRPr="002E2B5B" w:rsidRDefault="00AE735D" w:rsidP="002E2B5B">
            <w:pPr>
              <w:rPr>
                <w:rFonts w:ascii="Calibri" w:hAnsi="Calibri" w:cs="Calibri"/>
                <w:b/>
                <w:bCs/>
                <w:color w:val="000000"/>
                <w:sz w:val="16"/>
                <w:szCs w:val="16"/>
              </w:rPr>
            </w:pPr>
          </w:p>
        </w:tc>
        <w:tc>
          <w:tcPr>
            <w:tcW w:w="506" w:type="pct"/>
            <w:vMerge/>
            <w:tcBorders>
              <w:top w:val="nil"/>
              <w:left w:val="nil"/>
              <w:bottom w:val="single" w:sz="8" w:space="0" w:color="000000"/>
              <w:right w:val="nil"/>
            </w:tcBorders>
            <w:vAlign w:val="bottom"/>
          </w:tcPr>
          <w:p w14:paraId="2E95BC53" w14:textId="77777777" w:rsidR="00AE735D" w:rsidRPr="002E2B5B" w:rsidRDefault="00AE735D" w:rsidP="002E2B5B">
            <w:pPr>
              <w:rPr>
                <w:rFonts w:ascii="Calibri" w:hAnsi="Calibri" w:cs="Calibri"/>
                <w:b/>
                <w:bCs/>
                <w:color w:val="000000"/>
                <w:sz w:val="16"/>
                <w:szCs w:val="16"/>
              </w:rPr>
            </w:pPr>
          </w:p>
        </w:tc>
        <w:tc>
          <w:tcPr>
            <w:tcW w:w="715" w:type="pct"/>
            <w:vMerge/>
            <w:tcBorders>
              <w:top w:val="nil"/>
              <w:left w:val="nil"/>
              <w:bottom w:val="single" w:sz="8" w:space="0" w:color="000000"/>
              <w:right w:val="nil"/>
            </w:tcBorders>
            <w:shd w:val="clear" w:color="auto" w:fill="auto"/>
            <w:vAlign w:val="bottom"/>
            <w:hideMark/>
          </w:tcPr>
          <w:p w14:paraId="41668715" w14:textId="77777777" w:rsidR="00AE735D" w:rsidRPr="002E2B5B" w:rsidRDefault="00AE735D" w:rsidP="002E2B5B">
            <w:pPr>
              <w:rPr>
                <w:rFonts w:ascii="Calibri" w:hAnsi="Calibri" w:cs="Calibri"/>
                <w:b/>
                <w:bCs/>
                <w:color w:val="000000"/>
                <w:sz w:val="16"/>
                <w:szCs w:val="16"/>
              </w:rPr>
            </w:pPr>
          </w:p>
        </w:tc>
        <w:tc>
          <w:tcPr>
            <w:tcW w:w="715" w:type="pct"/>
            <w:tcBorders>
              <w:left w:val="nil"/>
              <w:bottom w:val="single" w:sz="4" w:space="0" w:color="auto"/>
              <w:right w:val="nil"/>
            </w:tcBorders>
            <w:vAlign w:val="bottom"/>
          </w:tcPr>
          <w:p w14:paraId="1558FCAF" w14:textId="70AE94E7" w:rsidR="00AE735D" w:rsidRPr="00765BE0" w:rsidRDefault="00C24B9C" w:rsidP="002E2B5B">
            <w:pPr>
              <w:jc w:val="right"/>
              <w:rPr>
                <w:rFonts w:ascii="Calibri" w:hAnsi="Calibri" w:cs="Calibri"/>
                <w:b/>
                <w:bCs/>
                <w:color w:val="000000"/>
                <w:sz w:val="16"/>
                <w:szCs w:val="16"/>
              </w:rPr>
            </w:pPr>
            <w:r w:rsidRPr="00765BE0">
              <w:rPr>
                <w:rFonts w:ascii="Calibri" w:hAnsi="Calibri" w:cs="Calibri"/>
                <w:b/>
                <w:bCs/>
                <w:color w:val="000000"/>
                <w:sz w:val="16"/>
                <w:szCs w:val="16"/>
              </w:rPr>
              <w:t>30/0</w:t>
            </w:r>
            <w:r w:rsidR="000A524B" w:rsidRPr="00765BE0">
              <w:rPr>
                <w:rFonts w:ascii="Calibri" w:hAnsi="Calibri" w:cs="Calibri"/>
                <w:b/>
                <w:bCs/>
                <w:color w:val="000000"/>
                <w:sz w:val="16"/>
                <w:szCs w:val="16"/>
              </w:rPr>
              <w:t>9</w:t>
            </w:r>
            <w:r w:rsidRPr="00765BE0">
              <w:rPr>
                <w:rFonts w:ascii="Calibri" w:hAnsi="Calibri" w:cs="Calibri"/>
                <w:b/>
                <w:bCs/>
                <w:color w:val="000000"/>
                <w:sz w:val="16"/>
                <w:szCs w:val="16"/>
              </w:rPr>
              <w:t>/2020</w:t>
            </w:r>
          </w:p>
        </w:tc>
      </w:tr>
      <w:tr w:rsidR="003950D9" w:rsidRPr="00765BE0" w14:paraId="122632EC" w14:textId="77777777" w:rsidTr="007E4677">
        <w:trPr>
          <w:trHeight w:val="315"/>
        </w:trPr>
        <w:tc>
          <w:tcPr>
            <w:tcW w:w="3064" w:type="pct"/>
            <w:tcBorders>
              <w:top w:val="nil"/>
              <w:left w:val="nil"/>
              <w:bottom w:val="nil"/>
              <w:right w:val="nil"/>
            </w:tcBorders>
            <w:shd w:val="clear" w:color="auto" w:fill="auto"/>
            <w:noWrap/>
            <w:vAlign w:val="bottom"/>
          </w:tcPr>
          <w:p w14:paraId="788695CB" w14:textId="572328A9" w:rsidR="003950D9" w:rsidRPr="002E2B5B" w:rsidRDefault="003950D9" w:rsidP="003950D9">
            <w:pPr>
              <w:jc w:val="both"/>
              <w:rPr>
                <w:rFonts w:ascii="Calibri" w:hAnsi="Calibri" w:cs="Calibri"/>
                <w:color w:val="000000"/>
                <w:sz w:val="16"/>
                <w:szCs w:val="16"/>
              </w:rPr>
            </w:pPr>
            <w:r>
              <w:rPr>
                <w:rFonts w:ascii="Calibri" w:hAnsi="Calibri" w:cs="Calibri"/>
                <w:color w:val="000000"/>
                <w:sz w:val="16"/>
                <w:szCs w:val="16"/>
              </w:rPr>
              <w:t>Juros e Encargos de Mora sobre Receitas</w:t>
            </w:r>
          </w:p>
        </w:tc>
        <w:tc>
          <w:tcPr>
            <w:tcW w:w="506" w:type="pct"/>
            <w:tcBorders>
              <w:top w:val="nil"/>
              <w:left w:val="nil"/>
              <w:bottom w:val="nil"/>
              <w:right w:val="nil"/>
            </w:tcBorders>
            <w:shd w:val="clear" w:color="auto" w:fill="auto"/>
            <w:noWrap/>
            <w:vAlign w:val="bottom"/>
          </w:tcPr>
          <w:p w14:paraId="5E2D9497" w14:textId="77777777" w:rsidR="003950D9" w:rsidRPr="002E2B5B" w:rsidRDefault="003950D9" w:rsidP="002E2B5B">
            <w:pPr>
              <w:jc w:val="right"/>
              <w:rPr>
                <w:rFonts w:ascii="Calibri" w:hAnsi="Calibri" w:cs="Calibri"/>
                <w:color w:val="000000"/>
                <w:sz w:val="16"/>
                <w:szCs w:val="16"/>
              </w:rPr>
            </w:pPr>
          </w:p>
        </w:tc>
        <w:tc>
          <w:tcPr>
            <w:tcW w:w="715" w:type="pct"/>
            <w:tcBorders>
              <w:top w:val="nil"/>
              <w:left w:val="nil"/>
              <w:bottom w:val="nil"/>
              <w:right w:val="nil"/>
            </w:tcBorders>
            <w:shd w:val="clear" w:color="auto" w:fill="auto"/>
            <w:noWrap/>
            <w:vAlign w:val="center"/>
          </w:tcPr>
          <w:p w14:paraId="15AA4AD6" w14:textId="772E57D1" w:rsidR="003950D9" w:rsidRDefault="00765BE0" w:rsidP="002E2B5B">
            <w:pPr>
              <w:jc w:val="right"/>
              <w:rPr>
                <w:rFonts w:ascii="Calibri" w:hAnsi="Calibri" w:cs="Calibri"/>
                <w:color w:val="000000"/>
                <w:sz w:val="16"/>
                <w:szCs w:val="16"/>
              </w:rPr>
            </w:pPr>
            <w:r>
              <w:rPr>
                <w:rFonts w:ascii="Calibri" w:hAnsi="Calibri" w:cs="Calibri"/>
                <w:color w:val="000000"/>
                <w:sz w:val="16"/>
                <w:szCs w:val="16"/>
              </w:rPr>
              <w:t>27.412</w:t>
            </w:r>
          </w:p>
        </w:tc>
        <w:tc>
          <w:tcPr>
            <w:tcW w:w="715" w:type="pct"/>
            <w:tcBorders>
              <w:top w:val="nil"/>
              <w:left w:val="nil"/>
              <w:bottom w:val="nil"/>
              <w:right w:val="nil"/>
            </w:tcBorders>
            <w:vAlign w:val="bottom"/>
          </w:tcPr>
          <w:p w14:paraId="4105AF63" w14:textId="4F0A5491" w:rsidR="003950D9" w:rsidRPr="00765BE0" w:rsidRDefault="003950D9" w:rsidP="002E2B5B">
            <w:pPr>
              <w:jc w:val="right"/>
              <w:rPr>
                <w:rFonts w:ascii="Calibri" w:hAnsi="Calibri" w:cs="Calibri"/>
                <w:color w:val="000000"/>
                <w:sz w:val="16"/>
                <w:szCs w:val="16"/>
              </w:rPr>
            </w:pPr>
            <w:r w:rsidRPr="00765BE0">
              <w:rPr>
                <w:rFonts w:ascii="Calibri" w:hAnsi="Calibri" w:cs="Calibri"/>
                <w:color w:val="000000"/>
                <w:sz w:val="16"/>
                <w:szCs w:val="16"/>
              </w:rPr>
              <w:t>40.080</w:t>
            </w:r>
          </w:p>
        </w:tc>
      </w:tr>
      <w:tr w:rsidR="00AE735D" w:rsidRPr="00765BE0" w14:paraId="303A5BB0" w14:textId="77777777" w:rsidTr="007E4677">
        <w:trPr>
          <w:trHeight w:val="315"/>
        </w:trPr>
        <w:tc>
          <w:tcPr>
            <w:tcW w:w="3064" w:type="pct"/>
            <w:tcBorders>
              <w:top w:val="nil"/>
              <w:left w:val="nil"/>
              <w:bottom w:val="nil"/>
              <w:right w:val="nil"/>
            </w:tcBorders>
            <w:shd w:val="clear" w:color="auto" w:fill="auto"/>
            <w:noWrap/>
            <w:vAlign w:val="bottom"/>
            <w:hideMark/>
          </w:tcPr>
          <w:p w14:paraId="035EFBAD" w14:textId="560FF726" w:rsidR="00AE735D" w:rsidRPr="002E2B5B" w:rsidRDefault="00AE735D" w:rsidP="002E2B5B">
            <w:pPr>
              <w:rPr>
                <w:rFonts w:ascii="Calibri" w:hAnsi="Calibri" w:cs="Calibri"/>
                <w:color w:val="000000"/>
                <w:sz w:val="16"/>
                <w:szCs w:val="16"/>
              </w:rPr>
            </w:pPr>
            <w:r w:rsidRPr="002E2B5B">
              <w:rPr>
                <w:rFonts w:ascii="Calibri" w:hAnsi="Calibri" w:cs="Calibri"/>
                <w:color w:val="000000"/>
                <w:sz w:val="16"/>
                <w:szCs w:val="16"/>
              </w:rPr>
              <w:t xml:space="preserve">Atualização Monetária dos Contratos de Permissão de Uso de Pátios (Nota </w:t>
            </w:r>
            <w:r w:rsidR="003C3F27">
              <w:rPr>
                <w:rFonts w:ascii="Calibri" w:hAnsi="Calibri" w:cs="Calibri"/>
                <w:color w:val="000000"/>
                <w:sz w:val="16"/>
                <w:szCs w:val="16"/>
              </w:rPr>
              <w:t>6</w:t>
            </w:r>
            <w:r w:rsidRPr="002E2B5B">
              <w:rPr>
                <w:rFonts w:ascii="Calibri" w:hAnsi="Calibri" w:cs="Calibri"/>
                <w:color w:val="000000"/>
                <w:sz w:val="16"/>
                <w:szCs w:val="16"/>
              </w:rPr>
              <w:t>)</w:t>
            </w:r>
          </w:p>
        </w:tc>
        <w:tc>
          <w:tcPr>
            <w:tcW w:w="506" w:type="pct"/>
            <w:tcBorders>
              <w:top w:val="nil"/>
              <w:left w:val="nil"/>
              <w:bottom w:val="nil"/>
              <w:right w:val="nil"/>
            </w:tcBorders>
            <w:shd w:val="clear" w:color="auto" w:fill="auto"/>
            <w:noWrap/>
            <w:vAlign w:val="bottom"/>
          </w:tcPr>
          <w:p w14:paraId="6DE9DF6E" w14:textId="77777777" w:rsidR="00AE735D" w:rsidRPr="002E2B5B" w:rsidRDefault="00AE735D" w:rsidP="002E2B5B">
            <w:pPr>
              <w:jc w:val="right"/>
              <w:rPr>
                <w:rFonts w:ascii="Calibri" w:hAnsi="Calibri" w:cs="Calibri"/>
                <w:color w:val="000000"/>
                <w:sz w:val="16"/>
                <w:szCs w:val="16"/>
              </w:rPr>
            </w:pPr>
          </w:p>
        </w:tc>
        <w:tc>
          <w:tcPr>
            <w:tcW w:w="715" w:type="pct"/>
            <w:tcBorders>
              <w:top w:val="nil"/>
              <w:left w:val="nil"/>
              <w:bottom w:val="nil"/>
              <w:right w:val="nil"/>
            </w:tcBorders>
            <w:shd w:val="clear" w:color="auto" w:fill="auto"/>
            <w:noWrap/>
            <w:vAlign w:val="center"/>
            <w:hideMark/>
          </w:tcPr>
          <w:p w14:paraId="413118CF" w14:textId="77777777" w:rsidR="00C24B9C" w:rsidRDefault="00C24B9C" w:rsidP="002E2B5B">
            <w:pPr>
              <w:jc w:val="right"/>
              <w:rPr>
                <w:rFonts w:ascii="Calibri" w:hAnsi="Calibri" w:cs="Calibri"/>
                <w:color w:val="000000"/>
                <w:sz w:val="16"/>
                <w:szCs w:val="16"/>
              </w:rPr>
            </w:pPr>
          </w:p>
          <w:p w14:paraId="402D7905" w14:textId="017D9EF5" w:rsidR="00AE735D" w:rsidRPr="002E2B5B" w:rsidRDefault="00765BE0" w:rsidP="002E2B5B">
            <w:pPr>
              <w:jc w:val="right"/>
              <w:rPr>
                <w:rFonts w:ascii="Calibri" w:hAnsi="Calibri" w:cs="Calibri"/>
                <w:color w:val="000000"/>
                <w:sz w:val="16"/>
                <w:szCs w:val="16"/>
              </w:rPr>
            </w:pPr>
            <w:r>
              <w:rPr>
                <w:rFonts w:ascii="Calibri" w:hAnsi="Calibri" w:cs="Calibri"/>
                <w:color w:val="000000"/>
                <w:sz w:val="16"/>
                <w:szCs w:val="16"/>
              </w:rPr>
              <w:t>4.268.186</w:t>
            </w:r>
          </w:p>
        </w:tc>
        <w:tc>
          <w:tcPr>
            <w:tcW w:w="715" w:type="pct"/>
            <w:tcBorders>
              <w:top w:val="nil"/>
              <w:left w:val="nil"/>
              <w:bottom w:val="nil"/>
              <w:right w:val="nil"/>
            </w:tcBorders>
            <w:vAlign w:val="bottom"/>
          </w:tcPr>
          <w:p w14:paraId="2B888A9C" w14:textId="5B5AE367" w:rsidR="00AE735D" w:rsidRPr="00765BE0" w:rsidRDefault="00765BE0" w:rsidP="002E2B5B">
            <w:pPr>
              <w:jc w:val="right"/>
              <w:rPr>
                <w:rFonts w:ascii="Calibri" w:hAnsi="Calibri" w:cs="Calibri"/>
                <w:color w:val="000000"/>
                <w:sz w:val="16"/>
                <w:szCs w:val="16"/>
              </w:rPr>
            </w:pPr>
            <w:r>
              <w:rPr>
                <w:rFonts w:ascii="Calibri" w:hAnsi="Calibri" w:cs="Calibri"/>
                <w:color w:val="000000"/>
                <w:sz w:val="16"/>
                <w:szCs w:val="16"/>
              </w:rPr>
              <w:t>3.088.337</w:t>
            </w:r>
          </w:p>
        </w:tc>
      </w:tr>
      <w:tr w:rsidR="00AE735D" w:rsidRPr="00765BE0" w14:paraId="66F8EE4F" w14:textId="77777777" w:rsidTr="009301E4">
        <w:trPr>
          <w:trHeight w:val="315"/>
        </w:trPr>
        <w:tc>
          <w:tcPr>
            <w:tcW w:w="3064" w:type="pct"/>
            <w:tcBorders>
              <w:top w:val="single" w:sz="8" w:space="0" w:color="auto"/>
              <w:left w:val="nil"/>
              <w:bottom w:val="single" w:sz="8" w:space="0" w:color="auto"/>
              <w:right w:val="nil"/>
            </w:tcBorders>
            <w:shd w:val="clear" w:color="auto" w:fill="auto"/>
            <w:noWrap/>
            <w:vAlign w:val="bottom"/>
            <w:hideMark/>
          </w:tcPr>
          <w:p w14:paraId="49DC40AF" w14:textId="77777777" w:rsidR="00AE735D" w:rsidRPr="002E2B5B" w:rsidRDefault="00AE735D" w:rsidP="002E2B5B">
            <w:pPr>
              <w:rPr>
                <w:rFonts w:ascii="Calibri" w:hAnsi="Calibri" w:cs="Calibri"/>
                <w:b/>
                <w:bCs/>
                <w:color w:val="000000"/>
                <w:sz w:val="16"/>
                <w:szCs w:val="16"/>
              </w:rPr>
            </w:pPr>
            <w:r w:rsidRPr="002E2B5B">
              <w:rPr>
                <w:rFonts w:ascii="Calibri" w:hAnsi="Calibri" w:cs="Calibri"/>
                <w:b/>
                <w:bCs/>
                <w:color w:val="000000"/>
                <w:sz w:val="16"/>
                <w:szCs w:val="16"/>
              </w:rPr>
              <w:t>TOTAL</w:t>
            </w:r>
          </w:p>
        </w:tc>
        <w:tc>
          <w:tcPr>
            <w:tcW w:w="506" w:type="pct"/>
            <w:tcBorders>
              <w:top w:val="single" w:sz="8" w:space="0" w:color="auto"/>
              <w:left w:val="nil"/>
              <w:bottom w:val="single" w:sz="8" w:space="0" w:color="auto"/>
              <w:right w:val="nil"/>
            </w:tcBorders>
            <w:shd w:val="clear" w:color="auto" w:fill="auto"/>
            <w:noWrap/>
            <w:vAlign w:val="bottom"/>
          </w:tcPr>
          <w:p w14:paraId="21AA59EF" w14:textId="77777777" w:rsidR="00AE735D" w:rsidRPr="002E2B5B" w:rsidRDefault="00AE735D" w:rsidP="002E2B5B">
            <w:pPr>
              <w:jc w:val="right"/>
              <w:rPr>
                <w:rFonts w:ascii="Calibri" w:hAnsi="Calibri" w:cs="Calibri"/>
                <w:b/>
                <w:bCs/>
                <w:color w:val="000000"/>
                <w:sz w:val="16"/>
                <w:szCs w:val="16"/>
              </w:rPr>
            </w:pPr>
          </w:p>
        </w:tc>
        <w:tc>
          <w:tcPr>
            <w:tcW w:w="715" w:type="pct"/>
            <w:tcBorders>
              <w:top w:val="single" w:sz="8" w:space="0" w:color="auto"/>
              <w:left w:val="nil"/>
              <w:bottom w:val="single" w:sz="8" w:space="0" w:color="auto"/>
              <w:right w:val="nil"/>
            </w:tcBorders>
            <w:shd w:val="clear" w:color="auto" w:fill="auto"/>
            <w:noWrap/>
            <w:vAlign w:val="center"/>
            <w:hideMark/>
          </w:tcPr>
          <w:p w14:paraId="1F48EFEE" w14:textId="6FF1EACA" w:rsidR="00AE735D" w:rsidRPr="002E2B5B" w:rsidRDefault="000A524B" w:rsidP="002E2B5B">
            <w:pPr>
              <w:jc w:val="right"/>
              <w:rPr>
                <w:rFonts w:ascii="Calibri" w:hAnsi="Calibri" w:cs="Calibri"/>
                <w:b/>
                <w:bCs/>
                <w:color w:val="000000"/>
                <w:sz w:val="16"/>
                <w:szCs w:val="16"/>
              </w:rPr>
            </w:pPr>
            <w:r>
              <w:rPr>
                <w:rFonts w:ascii="Calibri" w:hAnsi="Calibri" w:cs="Calibri"/>
                <w:b/>
                <w:bCs/>
                <w:color w:val="000000"/>
                <w:sz w:val="16"/>
                <w:szCs w:val="16"/>
              </w:rPr>
              <w:t>4.295.598</w:t>
            </w:r>
          </w:p>
        </w:tc>
        <w:tc>
          <w:tcPr>
            <w:tcW w:w="715" w:type="pct"/>
            <w:tcBorders>
              <w:top w:val="single" w:sz="8" w:space="0" w:color="auto"/>
              <w:left w:val="nil"/>
              <w:bottom w:val="single" w:sz="8" w:space="0" w:color="auto"/>
              <w:right w:val="nil"/>
            </w:tcBorders>
            <w:vAlign w:val="center"/>
          </w:tcPr>
          <w:p w14:paraId="4C294996" w14:textId="0A4187C3" w:rsidR="00AE735D" w:rsidRPr="00765BE0" w:rsidRDefault="00765BE0" w:rsidP="002E2B5B">
            <w:pPr>
              <w:jc w:val="right"/>
              <w:rPr>
                <w:rFonts w:ascii="Calibri" w:hAnsi="Calibri" w:cs="Calibri"/>
                <w:b/>
                <w:bCs/>
                <w:color w:val="000000"/>
                <w:sz w:val="16"/>
                <w:szCs w:val="16"/>
              </w:rPr>
            </w:pPr>
            <w:r>
              <w:rPr>
                <w:rFonts w:ascii="Calibri" w:hAnsi="Calibri" w:cs="Calibri"/>
                <w:b/>
                <w:bCs/>
                <w:color w:val="000000"/>
                <w:sz w:val="16"/>
                <w:szCs w:val="16"/>
              </w:rPr>
              <w:t>3.128.417</w:t>
            </w:r>
          </w:p>
        </w:tc>
      </w:tr>
    </w:tbl>
    <w:p w14:paraId="76DB3F56" w14:textId="6E2ACCFC" w:rsidR="00D974C8" w:rsidRPr="002E2B5B" w:rsidRDefault="001E6E1B" w:rsidP="002E2B5B">
      <w:pPr>
        <w:ind w:right="57"/>
        <w:jc w:val="both"/>
        <w:rPr>
          <w:rFonts w:ascii="Calibri" w:hAnsi="Calibri" w:cs="Calibri"/>
          <w:sz w:val="22"/>
          <w:szCs w:val="22"/>
        </w:rPr>
      </w:pPr>
      <w:r w:rsidRPr="002E2B5B">
        <w:rPr>
          <w:rFonts w:ascii="Calibri" w:hAnsi="Calibri" w:cs="Calibri"/>
          <w:sz w:val="22"/>
          <w:szCs w:val="22"/>
        </w:rPr>
        <w:t xml:space="preserve">As receitas financeiras da VALEC </w:t>
      </w:r>
      <w:r w:rsidR="003C3F27">
        <w:rPr>
          <w:rFonts w:ascii="Calibri" w:hAnsi="Calibri" w:cs="Calibri"/>
          <w:sz w:val="22"/>
          <w:szCs w:val="22"/>
        </w:rPr>
        <w:t xml:space="preserve">reconhecidas </w:t>
      </w:r>
      <w:r w:rsidRPr="002E2B5B">
        <w:rPr>
          <w:rFonts w:ascii="Calibri" w:hAnsi="Calibri" w:cs="Calibri"/>
          <w:sz w:val="22"/>
          <w:szCs w:val="22"/>
        </w:rPr>
        <w:t>são provindas das atualizações monetárias</w:t>
      </w:r>
      <w:r w:rsidR="00454BA0" w:rsidRPr="002E2B5B">
        <w:rPr>
          <w:rFonts w:ascii="Calibri" w:hAnsi="Calibri" w:cs="Calibri"/>
          <w:sz w:val="22"/>
          <w:szCs w:val="22"/>
        </w:rPr>
        <w:t xml:space="preserve"> </w:t>
      </w:r>
      <w:r w:rsidR="00E470A7" w:rsidRPr="002E2B5B">
        <w:rPr>
          <w:rFonts w:ascii="Calibri" w:hAnsi="Calibri" w:cs="Calibri"/>
          <w:sz w:val="22"/>
          <w:szCs w:val="22"/>
        </w:rPr>
        <w:t xml:space="preserve">sobre </w:t>
      </w:r>
      <w:r w:rsidRPr="002E2B5B">
        <w:rPr>
          <w:rFonts w:ascii="Calibri" w:hAnsi="Calibri" w:cs="Calibri"/>
          <w:sz w:val="22"/>
          <w:szCs w:val="22"/>
        </w:rPr>
        <w:t xml:space="preserve">os direitos a receber </w:t>
      </w:r>
      <w:r w:rsidR="003C3F27">
        <w:rPr>
          <w:rFonts w:ascii="Calibri" w:hAnsi="Calibri" w:cs="Calibri"/>
          <w:sz w:val="22"/>
          <w:szCs w:val="22"/>
        </w:rPr>
        <w:t>do</w:t>
      </w:r>
      <w:r w:rsidRPr="002E2B5B">
        <w:rPr>
          <w:rFonts w:ascii="Calibri" w:hAnsi="Calibri" w:cs="Calibri"/>
          <w:sz w:val="22"/>
          <w:szCs w:val="22"/>
        </w:rPr>
        <w:t xml:space="preserve">s Contratos </w:t>
      </w:r>
      <w:r w:rsidR="005A5C49" w:rsidRPr="002E2B5B">
        <w:rPr>
          <w:rFonts w:ascii="Calibri" w:hAnsi="Calibri" w:cs="Calibri"/>
          <w:sz w:val="22"/>
          <w:szCs w:val="22"/>
        </w:rPr>
        <w:t>de Permissões de Uso de Pátios</w:t>
      </w:r>
      <w:r w:rsidR="002B3435">
        <w:rPr>
          <w:rFonts w:ascii="Calibri" w:hAnsi="Calibri" w:cs="Calibri"/>
          <w:sz w:val="22"/>
          <w:szCs w:val="22"/>
        </w:rPr>
        <w:t>, bem como juros de mora por recebimento de receitas em atraso.</w:t>
      </w:r>
    </w:p>
    <w:p w14:paraId="32244842" w14:textId="77777777" w:rsidR="00A916D5" w:rsidRPr="002E2B5B" w:rsidRDefault="00A916D5" w:rsidP="002E2B5B">
      <w:pPr>
        <w:ind w:right="57"/>
        <w:jc w:val="both"/>
        <w:rPr>
          <w:rFonts w:ascii="Calibri" w:hAnsi="Calibri" w:cs="Calibri"/>
          <w:sz w:val="22"/>
          <w:szCs w:val="22"/>
        </w:rPr>
      </w:pPr>
    </w:p>
    <w:p w14:paraId="018D786B" w14:textId="524C2111" w:rsidR="000C106E" w:rsidRPr="002E2B5B" w:rsidRDefault="00366626" w:rsidP="002E2B5B">
      <w:pPr>
        <w:ind w:right="-142"/>
        <w:jc w:val="both"/>
        <w:rPr>
          <w:rFonts w:ascii="Calibri" w:hAnsi="Calibri" w:cs="Calibri"/>
          <w:b/>
          <w:sz w:val="22"/>
          <w:szCs w:val="22"/>
        </w:rPr>
      </w:pPr>
      <w:r w:rsidRPr="002E2B5B">
        <w:rPr>
          <w:rFonts w:ascii="Calibri" w:hAnsi="Calibri" w:cs="Calibri"/>
          <w:b/>
          <w:sz w:val="22"/>
          <w:szCs w:val="22"/>
        </w:rPr>
        <w:t xml:space="preserve">NOTA </w:t>
      </w:r>
      <w:r w:rsidR="003C3F27">
        <w:rPr>
          <w:rFonts w:ascii="Calibri" w:hAnsi="Calibri" w:cs="Calibri"/>
          <w:b/>
          <w:sz w:val="22"/>
          <w:szCs w:val="22"/>
        </w:rPr>
        <w:t>19</w:t>
      </w:r>
      <w:r w:rsidR="000C106E" w:rsidRPr="002E2B5B">
        <w:rPr>
          <w:rFonts w:ascii="Calibri" w:hAnsi="Calibri" w:cs="Calibri"/>
          <w:b/>
          <w:sz w:val="22"/>
          <w:szCs w:val="22"/>
        </w:rPr>
        <w:t xml:space="preserve"> – SUBVENÇÃO DO TESOURO NACIONAL – REPASSE PARA CUSTEIO E PESSOAL</w:t>
      </w:r>
    </w:p>
    <w:p w14:paraId="7635CD42" w14:textId="77777777" w:rsidR="000C065B" w:rsidRPr="002E2B5B" w:rsidRDefault="000C065B" w:rsidP="002E2B5B">
      <w:pPr>
        <w:ind w:right="-142"/>
        <w:jc w:val="both"/>
        <w:rPr>
          <w:rFonts w:ascii="Calibri" w:hAnsi="Calibri" w:cs="Calibri"/>
          <w:b/>
          <w:sz w:val="22"/>
          <w:szCs w:val="22"/>
        </w:rPr>
      </w:pPr>
    </w:p>
    <w:p w14:paraId="2B51424A" w14:textId="33E6E3E3" w:rsidR="000C106E" w:rsidRDefault="005711AA" w:rsidP="002E2B5B">
      <w:pPr>
        <w:ind w:right="57"/>
        <w:jc w:val="both"/>
        <w:rPr>
          <w:rFonts w:ascii="Calibri" w:hAnsi="Calibri" w:cs="Calibri"/>
          <w:sz w:val="22"/>
          <w:szCs w:val="22"/>
        </w:rPr>
      </w:pPr>
      <w:r w:rsidRPr="002E2B5B">
        <w:rPr>
          <w:rFonts w:ascii="Calibri" w:hAnsi="Calibri" w:cs="Calibri"/>
          <w:sz w:val="22"/>
          <w:szCs w:val="22"/>
        </w:rPr>
        <w:t>A</w:t>
      </w:r>
      <w:r w:rsidR="000C106E" w:rsidRPr="002E2B5B">
        <w:rPr>
          <w:rFonts w:ascii="Calibri" w:hAnsi="Calibri" w:cs="Calibri"/>
          <w:sz w:val="22"/>
          <w:szCs w:val="22"/>
        </w:rPr>
        <w:t xml:space="preserve"> subvenção para custeio e pessoal repassada à VALEC pela Secretaria do Tesouro Nacional totalizou</w:t>
      </w:r>
      <w:r w:rsidR="006F322E">
        <w:rPr>
          <w:rFonts w:ascii="Calibri" w:hAnsi="Calibri" w:cs="Calibri"/>
          <w:sz w:val="22"/>
          <w:szCs w:val="22"/>
        </w:rPr>
        <w:t xml:space="preserve"> em 2021, até o </w:t>
      </w:r>
      <w:r w:rsidR="000A524B">
        <w:rPr>
          <w:rFonts w:ascii="Calibri" w:hAnsi="Calibri" w:cs="Calibri"/>
          <w:sz w:val="22"/>
          <w:szCs w:val="22"/>
        </w:rPr>
        <w:t>terceiro</w:t>
      </w:r>
      <w:r w:rsidR="006F322E">
        <w:rPr>
          <w:rFonts w:ascii="Calibri" w:hAnsi="Calibri" w:cs="Calibri"/>
          <w:sz w:val="22"/>
          <w:szCs w:val="22"/>
        </w:rPr>
        <w:t xml:space="preserve"> trimestre,</w:t>
      </w:r>
      <w:r w:rsidR="000C106E" w:rsidRPr="002E2B5B">
        <w:rPr>
          <w:rFonts w:ascii="Calibri" w:hAnsi="Calibri" w:cs="Calibri"/>
          <w:sz w:val="22"/>
          <w:szCs w:val="22"/>
        </w:rPr>
        <w:t xml:space="preserve"> R$</w:t>
      </w:r>
      <w:r w:rsidR="00A67FC1" w:rsidRPr="002E2B5B">
        <w:rPr>
          <w:rFonts w:ascii="Calibri" w:hAnsi="Calibri" w:cs="Calibri"/>
          <w:sz w:val="22"/>
          <w:szCs w:val="22"/>
        </w:rPr>
        <w:t xml:space="preserve"> </w:t>
      </w:r>
      <w:r w:rsidR="000A524B">
        <w:rPr>
          <w:rFonts w:ascii="Calibri" w:hAnsi="Calibri" w:cs="Calibri"/>
          <w:sz w:val="22"/>
          <w:szCs w:val="22"/>
        </w:rPr>
        <w:t>102,4</w:t>
      </w:r>
      <w:r w:rsidR="003C3F27">
        <w:rPr>
          <w:rFonts w:ascii="Calibri" w:hAnsi="Calibri" w:cs="Calibri"/>
          <w:sz w:val="22"/>
          <w:szCs w:val="22"/>
        </w:rPr>
        <w:t xml:space="preserve"> milhões</w:t>
      </w:r>
      <w:r w:rsidR="00751553" w:rsidRPr="002E2B5B">
        <w:rPr>
          <w:rFonts w:ascii="Calibri" w:hAnsi="Calibri" w:cs="Calibri"/>
          <w:sz w:val="22"/>
          <w:szCs w:val="22"/>
        </w:rPr>
        <w:t>.</w:t>
      </w:r>
    </w:p>
    <w:p w14:paraId="05DBAA72" w14:textId="24D1B162" w:rsidR="001159E0" w:rsidRDefault="001159E0" w:rsidP="002E2B5B">
      <w:pPr>
        <w:ind w:right="-142"/>
        <w:jc w:val="both"/>
        <w:rPr>
          <w:rFonts w:ascii="Calibri" w:hAnsi="Calibri" w:cs="Calibri"/>
          <w:sz w:val="22"/>
          <w:szCs w:val="22"/>
        </w:rPr>
      </w:pPr>
    </w:p>
    <w:tbl>
      <w:tblPr>
        <w:tblW w:w="5000" w:type="pct"/>
        <w:tblCellMar>
          <w:left w:w="70" w:type="dxa"/>
          <w:right w:w="70" w:type="dxa"/>
        </w:tblCellMar>
        <w:tblLook w:val="04A0" w:firstRow="1" w:lastRow="0" w:firstColumn="1" w:lastColumn="0" w:noHBand="0" w:noVBand="1"/>
      </w:tblPr>
      <w:tblGrid>
        <w:gridCol w:w="1605"/>
        <w:gridCol w:w="1605"/>
        <w:gridCol w:w="1606"/>
        <w:gridCol w:w="1606"/>
        <w:gridCol w:w="2058"/>
        <w:gridCol w:w="1987"/>
      </w:tblGrid>
      <w:tr w:rsidR="006F322E" w14:paraId="3B54AE08" w14:textId="77777777" w:rsidTr="006F322E">
        <w:trPr>
          <w:trHeight w:hRule="exact" w:val="227"/>
        </w:trPr>
        <w:tc>
          <w:tcPr>
            <w:tcW w:w="767" w:type="pct"/>
            <w:tcBorders>
              <w:top w:val="nil"/>
              <w:left w:val="nil"/>
              <w:bottom w:val="single" w:sz="8" w:space="0" w:color="auto"/>
              <w:right w:val="nil"/>
            </w:tcBorders>
            <w:shd w:val="clear" w:color="auto" w:fill="auto"/>
            <w:vAlign w:val="center"/>
            <w:hideMark/>
          </w:tcPr>
          <w:p w14:paraId="0CCBACAB" w14:textId="77777777" w:rsidR="006F322E" w:rsidRDefault="006F322E">
            <w:pPr>
              <w:jc w:val="both"/>
              <w:rPr>
                <w:rFonts w:ascii="Calibri" w:hAnsi="Calibri" w:cs="Calibri"/>
                <w:b/>
                <w:bCs/>
                <w:color w:val="000000"/>
                <w:sz w:val="16"/>
                <w:szCs w:val="16"/>
              </w:rPr>
            </w:pPr>
            <w:r>
              <w:rPr>
                <w:rFonts w:ascii="Calibri" w:hAnsi="Calibri" w:cs="Calibri"/>
                <w:b/>
                <w:bCs/>
                <w:color w:val="000000"/>
                <w:sz w:val="16"/>
                <w:szCs w:val="16"/>
              </w:rPr>
              <w:t>EMPRESA</w:t>
            </w:r>
          </w:p>
        </w:tc>
        <w:tc>
          <w:tcPr>
            <w:tcW w:w="767" w:type="pct"/>
            <w:tcBorders>
              <w:top w:val="nil"/>
              <w:left w:val="nil"/>
              <w:bottom w:val="single" w:sz="8" w:space="0" w:color="auto"/>
              <w:right w:val="nil"/>
            </w:tcBorders>
            <w:shd w:val="clear" w:color="auto" w:fill="auto"/>
            <w:vAlign w:val="center"/>
            <w:hideMark/>
          </w:tcPr>
          <w:p w14:paraId="7CABC601" w14:textId="77777777" w:rsidR="006F322E" w:rsidRDefault="006F322E">
            <w:pPr>
              <w:jc w:val="right"/>
              <w:rPr>
                <w:rFonts w:ascii="Calibri" w:hAnsi="Calibri" w:cs="Calibri"/>
                <w:b/>
                <w:bCs/>
                <w:color w:val="000000"/>
                <w:sz w:val="16"/>
                <w:szCs w:val="16"/>
              </w:rPr>
            </w:pPr>
            <w:r>
              <w:rPr>
                <w:rFonts w:ascii="Calibri" w:hAnsi="Calibri" w:cs="Calibri"/>
                <w:b/>
                <w:bCs/>
                <w:color w:val="000000"/>
                <w:sz w:val="16"/>
                <w:szCs w:val="16"/>
              </w:rPr>
              <w:t> </w:t>
            </w:r>
          </w:p>
        </w:tc>
        <w:tc>
          <w:tcPr>
            <w:tcW w:w="767" w:type="pct"/>
            <w:tcBorders>
              <w:top w:val="nil"/>
              <w:left w:val="nil"/>
              <w:bottom w:val="single" w:sz="8" w:space="0" w:color="auto"/>
              <w:right w:val="nil"/>
            </w:tcBorders>
            <w:shd w:val="clear" w:color="auto" w:fill="auto"/>
            <w:vAlign w:val="center"/>
            <w:hideMark/>
          </w:tcPr>
          <w:p w14:paraId="64D802CE" w14:textId="77777777" w:rsidR="006F322E" w:rsidRDefault="006F322E">
            <w:pPr>
              <w:jc w:val="right"/>
              <w:rPr>
                <w:rFonts w:ascii="Calibri" w:hAnsi="Calibri" w:cs="Calibri"/>
                <w:b/>
                <w:bCs/>
                <w:color w:val="000000"/>
                <w:sz w:val="16"/>
                <w:szCs w:val="16"/>
              </w:rPr>
            </w:pPr>
            <w:r>
              <w:rPr>
                <w:rFonts w:ascii="Calibri" w:hAnsi="Calibri" w:cs="Calibri"/>
                <w:b/>
                <w:bCs/>
                <w:color w:val="000000"/>
                <w:sz w:val="16"/>
                <w:szCs w:val="16"/>
              </w:rPr>
              <w:t>PESSOAL</w:t>
            </w:r>
          </w:p>
        </w:tc>
        <w:tc>
          <w:tcPr>
            <w:tcW w:w="767" w:type="pct"/>
            <w:tcBorders>
              <w:top w:val="nil"/>
              <w:left w:val="nil"/>
              <w:bottom w:val="single" w:sz="8" w:space="0" w:color="auto"/>
              <w:right w:val="nil"/>
            </w:tcBorders>
            <w:shd w:val="clear" w:color="auto" w:fill="auto"/>
            <w:vAlign w:val="center"/>
            <w:hideMark/>
          </w:tcPr>
          <w:p w14:paraId="4DF08F26" w14:textId="77777777" w:rsidR="006F322E" w:rsidRDefault="006F322E">
            <w:pPr>
              <w:jc w:val="right"/>
              <w:rPr>
                <w:rFonts w:ascii="Calibri" w:hAnsi="Calibri" w:cs="Calibri"/>
                <w:b/>
                <w:bCs/>
                <w:color w:val="000000"/>
                <w:sz w:val="16"/>
                <w:szCs w:val="16"/>
              </w:rPr>
            </w:pPr>
            <w:r>
              <w:rPr>
                <w:rFonts w:ascii="Calibri" w:hAnsi="Calibri" w:cs="Calibri"/>
                <w:b/>
                <w:bCs/>
                <w:color w:val="000000"/>
                <w:sz w:val="16"/>
                <w:szCs w:val="16"/>
              </w:rPr>
              <w:t>CUSTEIO</w:t>
            </w:r>
          </w:p>
        </w:tc>
        <w:tc>
          <w:tcPr>
            <w:tcW w:w="983" w:type="pct"/>
            <w:tcBorders>
              <w:top w:val="nil"/>
              <w:left w:val="nil"/>
              <w:bottom w:val="single" w:sz="8" w:space="0" w:color="auto"/>
              <w:right w:val="nil"/>
            </w:tcBorders>
            <w:shd w:val="clear" w:color="auto" w:fill="auto"/>
            <w:vAlign w:val="center"/>
            <w:hideMark/>
          </w:tcPr>
          <w:p w14:paraId="20B07761" w14:textId="7F660BDF" w:rsidR="006F322E" w:rsidRDefault="006F322E">
            <w:pPr>
              <w:jc w:val="right"/>
              <w:rPr>
                <w:rFonts w:ascii="Calibri" w:hAnsi="Calibri" w:cs="Calibri"/>
                <w:b/>
                <w:bCs/>
                <w:color w:val="000000"/>
                <w:sz w:val="16"/>
                <w:szCs w:val="16"/>
              </w:rPr>
            </w:pPr>
            <w:r>
              <w:rPr>
                <w:rFonts w:ascii="Calibri" w:hAnsi="Calibri" w:cs="Calibri"/>
                <w:b/>
                <w:bCs/>
                <w:color w:val="000000"/>
                <w:sz w:val="16"/>
                <w:szCs w:val="16"/>
              </w:rPr>
              <w:t>30/0</w:t>
            </w:r>
            <w:r w:rsidR="000A524B">
              <w:rPr>
                <w:rFonts w:ascii="Calibri" w:hAnsi="Calibri" w:cs="Calibri"/>
                <w:b/>
                <w:bCs/>
                <w:color w:val="000000"/>
                <w:sz w:val="16"/>
                <w:szCs w:val="16"/>
              </w:rPr>
              <w:t>9</w:t>
            </w:r>
            <w:r>
              <w:rPr>
                <w:rFonts w:ascii="Calibri" w:hAnsi="Calibri" w:cs="Calibri"/>
                <w:b/>
                <w:bCs/>
                <w:color w:val="000000"/>
                <w:sz w:val="16"/>
                <w:szCs w:val="16"/>
              </w:rPr>
              <w:t>/2021</w:t>
            </w:r>
          </w:p>
        </w:tc>
        <w:tc>
          <w:tcPr>
            <w:tcW w:w="950" w:type="pct"/>
            <w:tcBorders>
              <w:top w:val="nil"/>
              <w:left w:val="nil"/>
              <w:bottom w:val="single" w:sz="8" w:space="0" w:color="auto"/>
              <w:right w:val="nil"/>
            </w:tcBorders>
            <w:shd w:val="clear" w:color="auto" w:fill="auto"/>
            <w:vAlign w:val="center"/>
            <w:hideMark/>
          </w:tcPr>
          <w:p w14:paraId="2CE07E29" w14:textId="030D09AD" w:rsidR="006F322E" w:rsidRPr="001A43E3" w:rsidRDefault="006F322E">
            <w:pPr>
              <w:jc w:val="right"/>
              <w:rPr>
                <w:rFonts w:ascii="Calibri" w:hAnsi="Calibri" w:cs="Calibri"/>
                <w:b/>
                <w:bCs/>
                <w:color w:val="000000"/>
                <w:sz w:val="16"/>
                <w:szCs w:val="16"/>
              </w:rPr>
            </w:pPr>
            <w:r w:rsidRPr="001A43E3">
              <w:rPr>
                <w:rFonts w:ascii="Calibri" w:hAnsi="Calibri" w:cs="Calibri"/>
                <w:b/>
                <w:bCs/>
                <w:color w:val="000000"/>
                <w:sz w:val="16"/>
                <w:szCs w:val="16"/>
              </w:rPr>
              <w:t>30/0</w:t>
            </w:r>
            <w:r w:rsidR="000A524B" w:rsidRPr="001A43E3">
              <w:rPr>
                <w:rFonts w:ascii="Calibri" w:hAnsi="Calibri" w:cs="Calibri"/>
                <w:b/>
                <w:bCs/>
                <w:color w:val="000000"/>
                <w:sz w:val="16"/>
                <w:szCs w:val="16"/>
              </w:rPr>
              <w:t>9/</w:t>
            </w:r>
            <w:r w:rsidRPr="001A43E3">
              <w:rPr>
                <w:rFonts w:ascii="Calibri" w:hAnsi="Calibri" w:cs="Calibri"/>
                <w:b/>
                <w:bCs/>
                <w:color w:val="000000"/>
                <w:sz w:val="16"/>
                <w:szCs w:val="16"/>
              </w:rPr>
              <w:t>2020</w:t>
            </w:r>
          </w:p>
        </w:tc>
      </w:tr>
      <w:tr w:rsidR="006F322E" w14:paraId="0658F956" w14:textId="77777777" w:rsidTr="006F322E">
        <w:trPr>
          <w:trHeight w:hRule="exact" w:val="227"/>
        </w:trPr>
        <w:tc>
          <w:tcPr>
            <w:tcW w:w="767" w:type="pct"/>
            <w:tcBorders>
              <w:top w:val="nil"/>
              <w:left w:val="nil"/>
              <w:bottom w:val="nil"/>
              <w:right w:val="nil"/>
            </w:tcBorders>
            <w:shd w:val="clear" w:color="auto" w:fill="auto"/>
            <w:vAlign w:val="center"/>
            <w:hideMark/>
          </w:tcPr>
          <w:p w14:paraId="3AA53928" w14:textId="77777777" w:rsidR="006F322E" w:rsidRDefault="006F322E">
            <w:pPr>
              <w:jc w:val="both"/>
              <w:rPr>
                <w:rFonts w:ascii="Calibri" w:hAnsi="Calibri" w:cs="Calibri"/>
                <w:color w:val="000000"/>
                <w:sz w:val="16"/>
                <w:szCs w:val="16"/>
              </w:rPr>
            </w:pPr>
            <w:r>
              <w:rPr>
                <w:rFonts w:ascii="Calibri" w:hAnsi="Calibri" w:cs="Calibri"/>
                <w:color w:val="000000"/>
                <w:sz w:val="16"/>
                <w:szCs w:val="16"/>
              </w:rPr>
              <w:t>VALEC</w:t>
            </w:r>
          </w:p>
        </w:tc>
        <w:tc>
          <w:tcPr>
            <w:tcW w:w="767" w:type="pct"/>
            <w:tcBorders>
              <w:top w:val="nil"/>
              <w:left w:val="nil"/>
              <w:bottom w:val="nil"/>
              <w:right w:val="nil"/>
            </w:tcBorders>
            <w:shd w:val="clear" w:color="auto" w:fill="auto"/>
            <w:vAlign w:val="center"/>
            <w:hideMark/>
          </w:tcPr>
          <w:p w14:paraId="6F8E7B9C" w14:textId="77777777" w:rsidR="006F322E" w:rsidRDefault="006F322E">
            <w:pPr>
              <w:jc w:val="both"/>
              <w:rPr>
                <w:rFonts w:ascii="Calibri" w:hAnsi="Calibri" w:cs="Calibri"/>
                <w:color w:val="000000"/>
                <w:sz w:val="16"/>
                <w:szCs w:val="16"/>
              </w:rPr>
            </w:pPr>
          </w:p>
        </w:tc>
        <w:tc>
          <w:tcPr>
            <w:tcW w:w="767" w:type="pct"/>
            <w:tcBorders>
              <w:top w:val="nil"/>
              <w:left w:val="nil"/>
              <w:bottom w:val="nil"/>
              <w:right w:val="nil"/>
            </w:tcBorders>
            <w:shd w:val="clear" w:color="auto" w:fill="auto"/>
            <w:vAlign w:val="center"/>
            <w:hideMark/>
          </w:tcPr>
          <w:p w14:paraId="482905D5" w14:textId="317F4FDB" w:rsidR="006F322E" w:rsidRDefault="00642845">
            <w:pPr>
              <w:jc w:val="right"/>
              <w:rPr>
                <w:rFonts w:ascii="Calibri" w:hAnsi="Calibri" w:cs="Calibri"/>
                <w:color w:val="000000"/>
                <w:sz w:val="16"/>
                <w:szCs w:val="16"/>
              </w:rPr>
            </w:pPr>
            <w:r>
              <w:rPr>
                <w:rFonts w:ascii="Calibri" w:hAnsi="Calibri" w:cs="Calibri"/>
                <w:color w:val="000000"/>
                <w:sz w:val="16"/>
                <w:szCs w:val="16"/>
              </w:rPr>
              <w:t>62.684.103</w:t>
            </w:r>
          </w:p>
        </w:tc>
        <w:tc>
          <w:tcPr>
            <w:tcW w:w="767" w:type="pct"/>
            <w:tcBorders>
              <w:top w:val="nil"/>
              <w:left w:val="nil"/>
              <w:bottom w:val="nil"/>
              <w:right w:val="nil"/>
            </w:tcBorders>
            <w:shd w:val="clear" w:color="auto" w:fill="auto"/>
            <w:vAlign w:val="center"/>
            <w:hideMark/>
          </w:tcPr>
          <w:p w14:paraId="68D1A773" w14:textId="797C38D7" w:rsidR="006F322E" w:rsidRDefault="00642845">
            <w:pPr>
              <w:jc w:val="right"/>
              <w:rPr>
                <w:rFonts w:ascii="Calibri" w:hAnsi="Calibri" w:cs="Calibri"/>
                <w:color w:val="000000"/>
                <w:sz w:val="16"/>
                <w:szCs w:val="16"/>
              </w:rPr>
            </w:pPr>
            <w:r>
              <w:rPr>
                <w:rFonts w:ascii="Calibri" w:hAnsi="Calibri" w:cs="Calibri"/>
                <w:color w:val="000000"/>
                <w:sz w:val="16"/>
                <w:szCs w:val="16"/>
              </w:rPr>
              <w:t>17.844.777</w:t>
            </w:r>
          </w:p>
        </w:tc>
        <w:tc>
          <w:tcPr>
            <w:tcW w:w="983" w:type="pct"/>
            <w:tcBorders>
              <w:top w:val="nil"/>
              <w:left w:val="nil"/>
              <w:bottom w:val="nil"/>
              <w:right w:val="nil"/>
            </w:tcBorders>
            <w:shd w:val="clear" w:color="auto" w:fill="auto"/>
            <w:vAlign w:val="center"/>
            <w:hideMark/>
          </w:tcPr>
          <w:p w14:paraId="4E11D645" w14:textId="5C6A4E44" w:rsidR="006F322E" w:rsidRDefault="00B92F90">
            <w:pPr>
              <w:jc w:val="right"/>
              <w:rPr>
                <w:rFonts w:ascii="Calibri" w:hAnsi="Calibri" w:cs="Calibri"/>
                <w:color w:val="000000"/>
                <w:sz w:val="16"/>
                <w:szCs w:val="16"/>
              </w:rPr>
            </w:pPr>
            <w:r>
              <w:rPr>
                <w:rFonts w:ascii="Calibri" w:hAnsi="Calibri" w:cs="Calibri"/>
                <w:color w:val="000000"/>
                <w:sz w:val="16"/>
                <w:szCs w:val="16"/>
              </w:rPr>
              <w:t>80.528.880</w:t>
            </w:r>
          </w:p>
        </w:tc>
        <w:tc>
          <w:tcPr>
            <w:tcW w:w="950" w:type="pct"/>
            <w:tcBorders>
              <w:top w:val="nil"/>
              <w:left w:val="nil"/>
              <w:bottom w:val="nil"/>
              <w:right w:val="nil"/>
            </w:tcBorders>
            <w:shd w:val="clear" w:color="auto" w:fill="auto"/>
            <w:vAlign w:val="center"/>
            <w:hideMark/>
          </w:tcPr>
          <w:p w14:paraId="1D55F9B3" w14:textId="7A0F1BD3" w:rsidR="006F322E" w:rsidRPr="001A43E3" w:rsidRDefault="00227325">
            <w:pPr>
              <w:jc w:val="right"/>
              <w:rPr>
                <w:rFonts w:ascii="Calibri" w:hAnsi="Calibri" w:cs="Calibri"/>
                <w:color w:val="000000"/>
                <w:sz w:val="16"/>
                <w:szCs w:val="16"/>
              </w:rPr>
            </w:pPr>
            <w:r>
              <w:rPr>
                <w:rFonts w:ascii="Calibri" w:hAnsi="Calibri" w:cs="Calibri"/>
                <w:color w:val="000000"/>
                <w:sz w:val="16"/>
                <w:szCs w:val="16"/>
              </w:rPr>
              <w:t>77.771.756</w:t>
            </w:r>
          </w:p>
        </w:tc>
      </w:tr>
      <w:tr w:rsidR="006F322E" w14:paraId="1A1FDB00" w14:textId="77777777" w:rsidTr="006F322E">
        <w:trPr>
          <w:trHeight w:hRule="exact" w:val="227"/>
        </w:trPr>
        <w:tc>
          <w:tcPr>
            <w:tcW w:w="767" w:type="pct"/>
            <w:tcBorders>
              <w:top w:val="nil"/>
              <w:left w:val="nil"/>
              <w:bottom w:val="nil"/>
              <w:right w:val="nil"/>
            </w:tcBorders>
            <w:shd w:val="clear" w:color="auto" w:fill="auto"/>
            <w:vAlign w:val="center"/>
            <w:hideMark/>
          </w:tcPr>
          <w:p w14:paraId="1E61F94A" w14:textId="77777777" w:rsidR="006F322E" w:rsidRDefault="006F322E">
            <w:pPr>
              <w:jc w:val="both"/>
              <w:rPr>
                <w:rFonts w:ascii="Calibri" w:hAnsi="Calibri" w:cs="Calibri"/>
                <w:color w:val="000000"/>
                <w:sz w:val="16"/>
                <w:szCs w:val="16"/>
              </w:rPr>
            </w:pPr>
            <w:r>
              <w:rPr>
                <w:rFonts w:ascii="Calibri" w:hAnsi="Calibri" w:cs="Calibri"/>
                <w:color w:val="000000"/>
                <w:sz w:val="16"/>
                <w:szCs w:val="16"/>
              </w:rPr>
              <w:t>Extinta RFFSA</w:t>
            </w:r>
          </w:p>
        </w:tc>
        <w:tc>
          <w:tcPr>
            <w:tcW w:w="767" w:type="pct"/>
            <w:tcBorders>
              <w:top w:val="nil"/>
              <w:left w:val="nil"/>
              <w:bottom w:val="nil"/>
              <w:right w:val="nil"/>
            </w:tcBorders>
            <w:shd w:val="clear" w:color="auto" w:fill="auto"/>
            <w:vAlign w:val="center"/>
            <w:hideMark/>
          </w:tcPr>
          <w:p w14:paraId="2FA54355" w14:textId="77777777" w:rsidR="006F322E" w:rsidRDefault="006F322E">
            <w:pPr>
              <w:jc w:val="both"/>
              <w:rPr>
                <w:rFonts w:ascii="Calibri" w:hAnsi="Calibri" w:cs="Calibri"/>
                <w:color w:val="000000"/>
                <w:sz w:val="16"/>
                <w:szCs w:val="16"/>
              </w:rPr>
            </w:pPr>
          </w:p>
        </w:tc>
        <w:tc>
          <w:tcPr>
            <w:tcW w:w="767" w:type="pct"/>
            <w:tcBorders>
              <w:top w:val="nil"/>
              <w:left w:val="nil"/>
              <w:bottom w:val="nil"/>
              <w:right w:val="nil"/>
            </w:tcBorders>
            <w:shd w:val="clear" w:color="auto" w:fill="auto"/>
            <w:vAlign w:val="center"/>
            <w:hideMark/>
          </w:tcPr>
          <w:p w14:paraId="7214D73D" w14:textId="47F1B69D" w:rsidR="006F322E" w:rsidRDefault="006F322E">
            <w:pPr>
              <w:jc w:val="right"/>
              <w:rPr>
                <w:rFonts w:ascii="Calibri" w:hAnsi="Calibri" w:cs="Calibri"/>
                <w:color w:val="000000"/>
                <w:sz w:val="16"/>
                <w:szCs w:val="16"/>
              </w:rPr>
            </w:pPr>
            <w:r>
              <w:rPr>
                <w:rFonts w:ascii="Calibri" w:hAnsi="Calibri" w:cs="Calibri"/>
                <w:color w:val="000000"/>
                <w:sz w:val="16"/>
                <w:szCs w:val="16"/>
              </w:rPr>
              <w:t>1</w:t>
            </w:r>
            <w:r w:rsidR="00642845">
              <w:rPr>
                <w:rFonts w:ascii="Calibri" w:hAnsi="Calibri" w:cs="Calibri"/>
                <w:color w:val="000000"/>
                <w:sz w:val="16"/>
                <w:szCs w:val="16"/>
              </w:rPr>
              <w:t>6.547.478</w:t>
            </w:r>
          </w:p>
        </w:tc>
        <w:tc>
          <w:tcPr>
            <w:tcW w:w="767" w:type="pct"/>
            <w:tcBorders>
              <w:top w:val="nil"/>
              <w:left w:val="nil"/>
              <w:bottom w:val="nil"/>
              <w:right w:val="nil"/>
            </w:tcBorders>
            <w:shd w:val="clear" w:color="auto" w:fill="auto"/>
            <w:vAlign w:val="center"/>
            <w:hideMark/>
          </w:tcPr>
          <w:p w14:paraId="24922451" w14:textId="720D9C60" w:rsidR="006F322E" w:rsidRDefault="00B92F90">
            <w:pPr>
              <w:jc w:val="right"/>
              <w:rPr>
                <w:rFonts w:ascii="Calibri" w:hAnsi="Calibri" w:cs="Calibri"/>
                <w:color w:val="000000"/>
                <w:sz w:val="16"/>
                <w:szCs w:val="16"/>
              </w:rPr>
            </w:pPr>
            <w:r>
              <w:rPr>
                <w:rFonts w:ascii="Calibri" w:hAnsi="Calibri" w:cs="Calibri"/>
                <w:color w:val="000000"/>
                <w:sz w:val="16"/>
                <w:szCs w:val="16"/>
              </w:rPr>
              <w:t>1.302.365</w:t>
            </w:r>
          </w:p>
        </w:tc>
        <w:tc>
          <w:tcPr>
            <w:tcW w:w="983" w:type="pct"/>
            <w:tcBorders>
              <w:top w:val="nil"/>
              <w:left w:val="nil"/>
              <w:bottom w:val="nil"/>
              <w:right w:val="nil"/>
            </w:tcBorders>
            <w:shd w:val="clear" w:color="auto" w:fill="auto"/>
            <w:vAlign w:val="center"/>
            <w:hideMark/>
          </w:tcPr>
          <w:p w14:paraId="1587F34C" w14:textId="1FC7A637" w:rsidR="006F322E" w:rsidRDefault="00B92F90">
            <w:pPr>
              <w:jc w:val="right"/>
              <w:rPr>
                <w:rFonts w:ascii="Calibri" w:hAnsi="Calibri" w:cs="Calibri"/>
                <w:color w:val="000000"/>
                <w:sz w:val="16"/>
                <w:szCs w:val="16"/>
              </w:rPr>
            </w:pPr>
            <w:r>
              <w:rPr>
                <w:rFonts w:ascii="Calibri" w:hAnsi="Calibri" w:cs="Calibri"/>
                <w:color w:val="000000"/>
                <w:sz w:val="16"/>
                <w:szCs w:val="16"/>
              </w:rPr>
              <w:t>17.849.843</w:t>
            </w:r>
          </w:p>
        </w:tc>
        <w:tc>
          <w:tcPr>
            <w:tcW w:w="950" w:type="pct"/>
            <w:tcBorders>
              <w:top w:val="nil"/>
              <w:left w:val="nil"/>
              <w:bottom w:val="nil"/>
              <w:right w:val="nil"/>
            </w:tcBorders>
            <w:shd w:val="clear" w:color="auto" w:fill="auto"/>
            <w:vAlign w:val="center"/>
            <w:hideMark/>
          </w:tcPr>
          <w:p w14:paraId="1B8D631C" w14:textId="4EFF03D9" w:rsidR="006F322E" w:rsidRPr="001A43E3" w:rsidRDefault="00227325">
            <w:pPr>
              <w:jc w:val="right"/>
              <w:rPr>
                <w:rFonts w:ascii="Calibri" w:hAnsi="Calibri" w:cs="Calibri"/>
                <w:color w:val="000000"/>
                <w:sz w:val="16"/>
                <w:szCs w:val="16"/>
              </w:rPr>
            </w:pPr>
            <w:r>
              <w:rPr>
                <w:rFonts w:ascii="Calibri" w:hAnsi="Calibri" w:cs="Calibri"/>
                <w:color w:val="000000"/>
                <w:sz w:val="16"/>
                <w:szCs w:val="16"/>
              </w:rPr>
              <w:t>17.465.919</w:t>
            </w:r>
          </w:p>
        </w:tc>
      </w:tr>
      <w:tr w:rsidR="006F322E" w14:paraId="494BA4B7" w14:textId="77777777" w:rsidTr="006F322E">
        <w:trPr>
          <w:trHeight w:hRule="exact" w:val="227"/>
        </w:trPr>
        <w:tc>
          <w:tcPr>
            <w:tcW w:w="767" w:type="pct"/>
            <w:tcBorders>
              <w:top w:val="nil"/>
              <w:left w:val="nil"/>
              <w:bottom w:val="single" w:sz="8" w:space="0" w:color="auto"/>
              <w:right w:val="nil"/>
            </w:tcBorders>
            <w:shd w:val="clear" w:color="auto" w:fill="auto"/>
            <w:vAlign w:val="center"/>
            <w:hideMark/>
          </w:tcPr>
          <w:p w14:paraId="532160D2" w14:textId="77777777" w:rsidR="006F322E" w:rsidRDefault="006F322E">
            <w:pPr>
              <w:jc w:val="both"/>
              <w:rPr>
                <w:rFonts w:ascii="Calibri" w:hAnsi="Calibri" w:cs="Calibri"/>
                <w:color w:val="000000"/>
                <w:sz w:val="16"/>
                <w:szCs w:val="16"/>
              </w:rPr>
            </w:pPr>
            <w:r>
              <w:rPr>
                <w:rFonts w:ascii="Calibri" w:hAnsi="Calibri" w:cs="Calibri"/>
                <w:color w:val="000000"/>
                <w:sz w:val="16"/>
                <w:szCs w:val="16"/>
              </w:rPr>
              <w:t>Extinto GEIPOT</w:t>
            </w:r>
          </w:p>
        </w:tc>
        <w:tc>
          <w:tcPr>
            <w:tcW w:w="767" w:type="pct"/>
            <w:tcBorders>
              <w:top w:val="nil"/>
              <w:left w:val="nil"/>
              <w:bottom w:val="single" w:sz="8" w:space="0" w:color="auto"/>
              <w:right w:val="nil"/>
            </w:tcBorders>
            <w:shd w:val="clear" w:color="auto" w:fill="auto"/>
            <w:vAlign w:val="center"/>
            <w:hideMark/>
          </w:tcPr>
          <w:p w14:paraId="428C3F9E" w14:textId="77777777" w:rsidR="006F322E" w:rsidRDefault="006F322E">
            <w:pPr>
              <w:jc w:val="right"/>
              <w:rPr>
                <w:rFonts w:ascii="Calibri" w:hAnsi="Calibri" w:cs="Calibri"/>
                <w:color w:val="000000"/>
                <w:sz w:val="16"/>
                <w:szCs w:val="16"/>
              </w:rPr>
            </w:pPr>
            <w:r>
              <w:rPr>
                <w:rFonts w:ascii="Calibri" w:hAnsi="Calibri" w:cs="Calibri"/>
                <w:color w:val="000000"/>
                <w:sz w:val="16"/>
                <w:szCs w:val="16"/>
              </w:rPr>
              <w:t> </w:t>
            </w:r>
          </w:p>
        </w:tc>
        <w:tc>
          <w:tcPr>
            <w:tcW w:w="767" w:type="pct"/>
            <w:tcBorders>
              <w:top w:val="nil"/>
              <w:left w:val="nil"/>
              <w:bottom w:val="single" w:sz="8" w:space="0" w:color="auto"/>
              <w:right w:val="nil"/>
            </w:tcBorders>
            <w:shd w:val="clear" w:color="auto" w:fill="auto"/>
            <w:vAlign w:val="center"/>
            <w:hideMark/>
          </w:tcPr>
          <w:p w14:paraId="19715662" w14:textId="4F167EFF" w:rsidR="006F322E" w:rsidRDefault="00642845">
            <w:pPr>
              <w:jc w:val="right"/>
              <w:rPr>
                <w:rFonts w:ascii="Calibri" w:hAnsi="Calibri" w:cs="Calibri"/>
                <w:color w:val="000000"/>
                <w:sz w:val="16"/>
                <w:szCs w:val="16"/>
              </w:rPr>
            </w:pPr>
            <w:r>
              <w:rPr>
                <w:rFonts w:ascii="Calibri" w:hAnsi="Calibri" w:cs="Calibri"/>
                <w:color w:val="000000"/>
                <w:sz w:val="16"/>
                <w:szCs w:val="16"/>
              </w:rPr>
              <w:t>3.721.195</w:t>
            </w:r>
          </w:p>
        </w:tc>
        <w:tc>
          <w:tcPr>
            <w:tcW w:w="767" w:type="pct"/>
            <w:tcBorders>
              <w:top w:val="nil"/>
              <w:left w:val="nil"/>
              <w:bottom w:val="single" w:sz="8" w:space="0" w:color="auto"/>
              <w:right w:val="nil"/>
            </w:tcBorders>
            <w:shd w:val="clear" w:color="auto" w:fill="auto"/>
            <w:vAlign w:val="center"/>
            <w:hideMark/>
          </w:tcPr>
          <w:p w14:paraId="2C0BBA1B" w14:textId="0B75700E" w:rsidR="006F322E" w:rsidRDefault="00B92F90">
            <w:pPr>
              <w:jc w:val="right"/>
              <w:rPr>
                <w:rFonts w:ascii="Calibri" w:hAnsi="Calibri" w:cs="Calibri"/>
                <w:color w:val="000000"/>
                <w:sz w:val="16"/>
                <w:szCs w:val="16"/>
              </w:rPr>
            </w:pPr>
            <w:r>
              <w:rPr>
                <w:rFonts w:ascii="Calibri" w:hAnsi="Calibri" w:cs="Calibri"/>
                <w:color w:val="000000"/>
                <w:sz w:val="16"/>
                <w:szCs w:val="16"/>
              </w:rPr>
              <w:t>301.235</w:t>
            </w:r>
          </w:p>
        </w:tc>
        <w:tc>
          <w:tcPr>
            <w:tcW w:w="983" w:type="pct"/>
            <w:tcBorders>
              <w:top w:val="nil"/>
              <w:left w:val="nil"/>
              <w:bottom w:val="single" w:sz="8" w:space="0" w:color="auto"/>
              <w:right w:val="nil"/>
            </w:tcBorders>
            <w:shd w:val="clear" w:color="auto" w:fill="auto"/>
            <w:vAlign w:val="center"/>
            <w:hideMark/>
          </w:tcPr>
          <w:p w14:paraId="58EF62BE" w14:textId="0FB7E16C" w:rsidR="006F322E" w:rsidRDefault="00B92F90">
            <w:pPr>
              <w:jc w:val="right"/>
              <w:rPr>
                <w:rFonts w:ascii="Calibri" w:hAnsi="Calibri" w:cs="Calibri"/>
                <w:color w:val="000000"/>
                <w:sz w:val="16"/>
                <w:szCs w:val="16"/>
              </w:rPr>
            </w:pPr>
            <w:r>
              <w:rPr>
                <w:rFonts w:ascii="Calibri" w:hAnsi="Calibri" w:cs="Calibri"/>
                <w:color w:val="000000"/>
                <w:sz w:val="16"/>
                <w:szCs w:val="16"/>
              </w:rPr>
              <w:t>4.022.430</w:t>
            </w:r>
          </w:p>
        </w:tc>
        <w:tc>
          <w:tcPr>
            <w:tcW w:w="950" w:type="pct"/>
            <w:tcBorders>
              <w:top w:val="nil"/>
              <w:left w:val="nil"/>
              <w:bottom w:val="single" w:sz="8" w:space="0" w:color="auto"/>
              <w:right w:val="nil"/>
            </w:tcBorders>
            <w:shd w:val="clear" w:color="auto" w:fill="auto"/>
            <w:vAlign w:val="center"/>
            <w:hideMark/>
          </w:tcPr>
          <w:p w14:paraId="72ABF10E" w14:textId="75C85595" w:rsidR="006F322E" w:rsidRPr="001A43E3" w:rsidRDefault="00227325">
            <w:pPr>
              <w:jc w:val="right"/>
              <w:rPr>
                <w:rFonts w:ascii="Calibri" w:hAnsi="Calibri" w:cs="Calibri"/>
                <w:color w:val="000000"/>
                <w:sz w:val="16"/>
                <w:szCs w:val="16"/>
              </w:rPr>
            </w:pPr>
            <w:r>
              <w:rPr>
                <w:rFonts w:ascii="Calibri" w:hAnsi="Calibri" w:cs="Calibri"/>
                <w:color w:val="000000"/>
                <w:sz w:val="16"/>
                <w:szCs w:val="16"/>
              </w:rPr>
              <w:t>4.414.928</w:t>
            </w:r>
          </w:p>
        </w:tc>
      </w:tr>
      <w:tr w:rsidR="006F322E" w14:paraId="6C247AEB" w14:textId="77777777" w:rsidTr="006F322E">
        <w:trPr>
          <w:trHeight w:hRule="exact" w:val="227"/>
        </w:trPr>
        <w:tc>
          <w:tcPr>
            <w:tcW w:w="767" w:type="pct"/>
            <w:tcBorders>
              <w:top w:val="nil"/>
              <w:left w:val="nil"/>
              <w:bottom w:val="single" w:sz="8" w:space="0" w:color="auto"/>
              <w:right w:val="nil"/>
            </w:tcBorders>
            <w:shd w:val="clear" w:color="auto" w:fill="auto"/>
            <w:vAlign w:val="center"/>
            <w:hideMark/>
          </w:tcPr>
          <w:p w14:paraId="75FAD96B" w14:textId="77777777" w:rsidR="006F322E" w:rsidRDefault="006F322E">
            <w:pPr>
              <w:jc w:val="both"/>
              <w:rPr>
                <w:rFonts w:ascii="Calibri" w:hAnsi="Calibri" w:cs="Calibri"/>
                <w:b/>
                <w:bCs/>
                <w:color w:val="000000"/>
                <w:sz w:val="16"/>
                <w:szCs w:val="16"/>
              </w:rPr>
            </w:pPr>
            <w:r>
              <w:rPr>
                <w:rFonts w:ascii="Calibri" w:hAnsi="Calibri" w:cs="Calibri"/>
                <w:b/>
                <w:bCs/>
                <w:color w:val="000000"/>
                <w:sz w:val="16"/>
                <w:szCs w:val="16"/>
              </w:rPr>
              <w:t>Total Geral</w:t>
            </w:r>
          </w:p>
        </w:tc>
        <w:tc>
          <w:tcPr>
            <w:tcW w:w="767" w:type="pct"/>
            <w:tcBorders>
              <w:top w:val="nil"/>
              <w:left w:val="nil"/>
              <w:bottom w:val="single" w:sz="8" w:space="0" w:color="auto"/>
              <w:right w:val="nil"/>
            </w:tcBorders>
            <w:shd w:val="clear" w:color="auto" w:fill="auto"/>
            <w:vAlign w:val="center"/>
            <w:hideMark/>
          </w:tcPr>
          <w:p w14:paraId="3373CF04" w14:textId="77777777" w:rsidR="006F322E" w:rsidRDefault="006F322E">
            <w:pPr>
              <w:jc w:val="right"/>
              <w:rPr>
                <w:rFonts w:ascii="Calibri" w:hAnsi="Calibri" w:cs="Calibri"/>
                <w:b/>
                <w:bCs/>
                <w:color w:val="000000"/>
                <w:sz w:val="16"/>
                <w:szCs w:val="16"/>
              </w:rPr>
            </w:pPr>
            <w:r>
              <w:rPr>
                <w:rFonts w:ascii="Calibri" w:hAnsi="Calibri" w:cs="Calibri"/>
                <w:b/>
                <w:bCs/>
                <w:color w:val="000000"/>
                <w:sz w:val="16"/>
                <w:szCs w:val="16"/>
              </w:rPr>
              <w:t> </w:t>
            </w:r>
          </w:p>
        </w:tc>
        <w:tc>
          <w:tcPr>
            <w:tcW w:w="767" w:type="pct"/>
            <w:tcBorders>
              <w:top w:val="nil"/>
              <w:left w:val="nil"/>
              <w:bottom w:val="single" w:sz="8" w:space="0" w:color="auto"/>
              <w:right w:val="nil"/>
            </w:tcBorders>
            <w:shd w:val="clear" w:color="auto" w:fill="auto"/>
            <w:vAlign w:val="center"/>
            <w:hideMark/>
          </w:tcPr>
          <w:p w14:paraId="7CD98AB7" w14:textId="73C3E97B" w:rsidR="006F322E" w:rsidRDefault="00642845">
            <w:pPr>
              <w:jc w:val="right"/>
              <w:rPr>
                <w:rFonts w:ascii="Calibri" w:hAnsi="Calibri" w:cs="Calibri"/>
                <w:b/>
                <w:bCs/>
                <w:color w:val="000000"/>
                <w:sz w:val="16"/>
                <w:szCs w:val="16"/>
              </w:rPr>
            </w:pPr>
            <w:r>
              <w:rPr>
                <w:rFonts w:ascii="Calibri" w:hAnsi="Calibri" w:cs="Calibri"/>
                <w:b/>
                <w:bCs/>
                <w:color w:val="000000"/>
                <w:sz w:val="16"/>
                <w:szCs w:val="16"/>
              </w:rPr>
              <w:t>82.952.776</w:t>
            </w:r>
          </w:p>
        </w:tc>
        <w:tc>
          <w:tcPr>
            <w:tcW w:w="767" w:type="pct"/>
            <w:tcBorders>
              <w:top w:val="nil"/>
              <w:left w:val="nil"/>
              <w:bottom w:val="single" w:sz="8" w:space="0" w:color="auto"/>
              <w:right w:val="nil"/>
            </w:tcBorders>
            <w:shd w:val="clear" w:color="auto" w:fill="auto"/>
            <w:vAlign w:val="center"/>
            <w:hideMark/>
          </w:tcPr>
          <w:p w14:paraId="40AB8C83" w14:textId="14B2830F" w:rsidR="006F322E" w:rsidRDefault="00B92F90">
            <w:pPr>
              <w:jc w:val="right"/>
              <w:rPr>
                <w:rFonts w:ascii="Calibri" w:hAnsi="Calibri" w:cs="Calibri"/>
                <w:b/>
                <w:bCs/>
                <w:color w:val="000000"/>
                <w:sz w:val="16"/>
                <w:szCs w:val="16"/>
              </w:rPr>
            </w:pPr>
            <w:r>
              <w:rPr>
                <w:rFonts w:ascii="Calibri" w:hAnsi="Calibri" w:cs="Calibri"/>
                <w:b/>
                <w:bCs/>
                <w:color w:val="000000"/>
                <w:sz w:val="16"/>
                <w:szCs w:val="16"/>
              </w:rPr>
              <w:t>19.448.377</w:t>
            </w:r>
          </w:p>
        </w:tc>
        <w:tc>
          <w:tcPr>
            <w:tcW w:w="983" w:type="pct"/>
            <w:tcBorders>
              <w:top w:val="nil"/>
              <w:left w:val="nil"/>
              <w:bottom w:val="single" w:sz="8" w:space="0" w:color="auto"/>
              <w:right w:val="nil"/>
            </w:tcBorders>
            <w:shd w:val="clear" w:color="auto" w:fill="auto"/>
            <w:vAlign w:val="center"/>
            <w:hideMark/>
          </w:tcPr>
          <w:p w14:paraId="103A4526" w14:textId="48A3D188" w:rsidR="006F322E" w:rsidRDefault="00B92F90">
            <w:pPr>
              <w:jc w:val="right"/>
              <w:rPr>
                <w:rFonts w:ascii="Calibri" w:hAnsi="Calibri" w:cs="Calibri"/>
                <w:b/>
                <w:bCs/>
                <w:color w:val="000000"/>
                <w:sz w:val="16"/>
                <w:szCs w:val="16"/>
              </w:rPr>
            </w:pPr>
            <w:r>
              <w:rPr>
                <w:rFonts w:ascii="Calibri" w:hAnsi="Calibri" w:cs="Calibri"/>
                <w:b/>
                <w:bCs/>
                <w:color w:val="000000"/>
                <w:sz w:val="16"/>
                <w:szCs w:val="16"/>
              </w:rPr>
              <w:t>102.401.153</w:t>
            </w:r>
          </w:p>
        </w:tc>
        <w:tc>
          <w:tcPr>
            <w:tcW w:w="950" w:type="pct"/>
            <w:tcBorders>
              <w:top w:val="nil"/>
              <w:left w:val="nil"/>
              <w:bottom w:val="single" w:sz="8" w:space="0" w:color="auto"/>
              <w:right w:val="nil"/>
            </w:tcBorders>
            <w:shd w:val="clear" w:color="auto" w:fill="auto"/>
            <w:vAlign w:val="center"/>
            <w:hideMark/>
          </w:tcPr>
          <w:p w14:paraId="267B8831" w14:textId="1F3443E1" w:rsidR="006F322E" w:rsidRPr="001A43E3" w:rsidRDefault="001A43E3">
            <w:pPr>
              <w:jc w:val="right"/>
              <w:rPr>
                <w:rFonts w:ascii="Calibri" w:hAnsi="Calibri" w:cs="Calibri"/>
                <w:b/>
                <w:bCs/>
                <w:color w:val="000000"/>
                <w:sz w:val="16"/>
                <w:szCs w:val="16"/>
              </w:rPr>
            </w:pPr>
            <w:r>
              <w:rPr>
                <w:rFonts w:ascii="Calibri" w:hAnsi="Calibri" w:cs="Calibri"/>
                <w:b/>
                <w:bCs/>
                <w:color w:val="000000"/>
                <w:sz w:val="16"/>
                <w:szCs w:val="16"/>
              </w:rPr>
              <w:t>99.652.603</w:t>
            </w:r>
          </w:p>
        </w:tc>
      </w:tr>
    </w:tbl>
    <w:p w14:paraId="028FBECA" w14:textId="77777777" w:rsidR="006F322E" w:rsidRPr="002E2B5B" w:rsidRDefault="006F322E" w:rsidP="002E2B5B">
      <w:pPr>
        <w:ind w:right="-142"/>
        <w:jc w:val="both"/>
        <w:rPr>
          <w:rFonts w:ascii="Calibri" w:hAnsi="Calibri" w:cs="Calibri"/>
          <w:sz w:val="22"/>
          <w:szCs w:val="22"/>
        </w:rPr>
      </w:pPr>
    </w:p>
    <w:p w14:paraId="17B6BF7D" w14:textId="6CAAE58F" w:rsidR="0006483C" w:rsidRPr="002E2B5B" w:rsidRDefault="0006483C" w:rsidP="002E2B5B">
      <w:pPr>
        <w:ind w:right="-142"/>
        <w:jc w:val="both"/>
        <w:rPr>
          <w:rFonts w:ascii="Calibri" w:hAnsi="Calibri" w:cs="Calibri"/>
          <w:b/>
          <w:sz w:val="22"/>
          <w:szCs w:val="22"/>
        </w:rPr>
      </w:pPr>
      <w:r w:rsidRPr="002E2B5B">
        <w:rPr>
          <w:rFonts w:ascii="Calibri" w:hAnsi="Calibri" w:cs="Calibri"/>
          <w:b/>
          <w:sz w:val="22"/>
          <w:szCs w:val="22"/>
        </w:rPr>
        <w:t>NOTA 2</w:t>
      </w:r>
      <w:r w:rsidR="003C3F27">
        <w:rPr>
          <w:rFonts w:ascii="Calibri" w:hAnsi="Calibri" w:cs="Calibri"/>
          <w:b/>
          <w:sz w:val="22"/>
          <w:szCs w:val="22"/>
        </w:rPr>
        <w:t>0</w:t>
      </w:r>
      <w:r w:rsidRPr="002E2B5B">
        <w:rPr>
          <w:rFonts w:ascii="Calibri" w:hAnsi="Calibri" w:cs="Calibri"/>
          <w:b/>
          <w:sz w:val="22"/>
          <w:szCs w:val="22"/>
        </w:rPr>
        <w:t xml:space="preserve"> – RESULTADO DO EXERCÍCIO</w:t>
      </w:r>
    </w:p>
    <w:p w14:paraId="118B09E7" w14:textId="77777777" w:rsidR="000C065B" w:rsidRPr="002E2B5B" w:rsidRDefault="000C065B" w:rsidP="002E2B5B">
      <w:pPr>
        <w:ind w:right="-142"/>
        <w:jc w:val="both"/>
        <w:rPr>
          <w:rFonts w:ascii="Calibri" w:hAnsi="Calibri" w:cs="Calibri"/>
          <w:b/>
          <w:sz w:val="22"/>
          <w:szCs w:val="22"/>
        </w:rPr>
      </w:pPr>
    </w:p>
    <w:p w14:paraId="58DCD422" w14:textId="007EF99F" w:rsidR="006F2822" w:rsidRDefault="000C05F8" w:rsidP="002E2B5B">
      <w:pPr>
        <w:ind w:right="-142"/>
        <w:jc w:val="both"/>
        <w:rPr>
          <w:rFonts w:ascii="Calibri" w:hAnsi="Calibri" w:cs="Calibri"/>
          <w:bCs/>
          <w:sz w:val="22"/>
          <w:szCs w:val="22"/>
        </w:rPr>
      </w:pPr>
      <w:r w:rsidRPr="003C3F27">
        <w:rPr>
          <w:rFonts w:ascii="Calibri" w:hAnsi="Calibri" w:cs="Calibri"/>
          <w:bCs/>
          <w:sz w:val="22"/>
          <w:szCs w:val="22"/>
        </w:rPr>
        <w:t xml:space="preserve">No </w:t>
      </w:r>
      <w:r w:rsidR="00B915D2">
        <w:rPr>
          <w:rFonts w:ascii="Calibri" w:hAnsi="Calibri" w:cs="Calibri"/>
          <w:bCs/>
          <w:sz w:val="22"/>
          <w:szCs w:val="22"/>
        </w:rPr>
        <w:t>ano</w:t>
      </w:r>
      <w:r w:rsidR="00F63ADB" w:rsidRPr="003C3F27">
        <w:rPr>
          <w:rFonts w:ascii="Calibri" w:hAnsi="Calibri" w:cs="Calibri"/>
          <w:bCs/>
          <w:sz w:val="22"/>
          <w:szCs w:val="22"/>
        </w:rPr>
        <w:t xml:space="preserve"> de 2021</w:t>
      </w:r>
      <w:r w:rsidRPr="003C3F27">
        <w:rPr>
          <w:rFonts w:ascii="Calibri" w:hAnsi="Calibri" w:cs="Calibri"/>
          <w:bCs/>
          <w:sz w:val="22"/>
          <w:szCs w:val="22"/>
        </w:rPr>
        <w:t xml:space="preserve">, </w:t>
      </w:r>
      <w:r w:rsidR="00B915D2">
        <w:rPr>
          <w:rFonts w:ascii="Calibri" w:hAnsi="Calibri" w:cs="Calibri"/>
          <w:bCs/>
          <w:sz w:val="22"/>
          <w:szCs w:val="22"/>
        </w:rPr>
        <w:t xml:space="preserve">até o </w:t>
      </w:r>
      <w:r w:rsidR="000A524B">
        <w:rPr>
          <w:rFonts w:ascii="Calibri" w:hAnsi="Calibri" w:cs="Calibri"/>
          <w:bCs/>
          <w:sz w:val="22"/>
          <w:szCs w:val="22"/>
        </w:rPr>
        <w:t>terceir</w:t>
      </w:r>
      <w:r w:rsidR="00B915D2">
        <w:rPr>
          <w:rFonts w:ascii="Calibri" w:hAnsi="Calibri" w:cs="Calibri"/>
          <w:bCs/>
          <w:sz w:val="22"/>
          <w:szCs w:val="22"/>
        </w:rPr>
        <w:t xml:space="preserve">o trimestre, </w:t>
      </w:r>
      <w:r w:rsidRPr="003C3F27">
        <w:rPr>
          <w:rFonts w:ascii="Calibri" w:hAnsi="Calibri" w:cs="Calibri"/>
          <w:bCs/>
          <w:sz w:val="22"/>
          <w:szCs w:val="22"/>
        </w:rPr>
        <w:t xml:space="preserve">a VALEC apresentou um resultado </w:t>
      </w:r>
      <w:r w:rsidR="00432864" w:rsidRPr="003C3F27">
        <w:rPr>
          <w:rFonts w:ascii="Calibri" w:hAnsi="Calibri" w:cs="Calibri"/>
          <w:bCs/>
          <w:sz w:val="22"/>
          <w:szCs w:val="22"/>
        </w:rPr>
        <w:t>negat</w:t>
      </w:r>
      <w:r w:rsidR="00E62ECD" w:rsidRPr="003C3F27">
        <w:rPr>
          <w:rFonts w:ascii="Calibri" w:hAnsi="Calibri" w:cs="Calibri"/>
          <w:bCs/>
          <w:sz w:val="22"/>
          <w:szCs w:val="22"/>
        </w:rPr>
        <w:t xml:space="preserve">ivo de </w:t>
      </w:r>
      <w:r w:rsidR="00B92F90">
        <w:rPr>
          <w:rFonts w:ascii="Calibri" w:hAnsi="Calibri" w:cs="Calibri"/>
          <w:bCs/>
          <w:sz w:val="22"/>
          <w:szCs w:val="22"/>
        </w:rPr>
        <w:t>101</w:t>
      </w:r>
      <w:r w:rsidR="00891D85">
        <w:rPr>
          <w:rFonts w:ascii="Calibri" w:hAnsi="Calibri" w:cs="Calibri"/>
          <w:bCs/>
          <w:sz w:val="22"/>
          <w:szCs w:val="22"/>
        </w:rPr>
        <w:t>,9</w:t>
      </w:r>
      <w:r w:rsidR="00E62ECD" w:rsidRPr="003C3F27">
        <w:rPr>
          <w:rFonts w:ascii="Calibri" w:hAnsi="Calibri" w:cs="Calibri"/>
          <w:bCs/>
          <w:sz w:val="22"/>
          <w:szCs w:val="22"/>
        </w:rPr>
        <w:t xml:space="preserve"> milhões</w:t>
      </w:r>
      <w:r w:rsidR="006F2822" w:rsidRPr="003C3F27">
        <w:rPr>
          <w:rFonts w:ascii="Calibri" w:hAnsi="Calibri" w:cs="Calibri"/>
          <w:bCs/>
          <w:sz w:val="22"/>
          <w:szCs w:val="22"/>
        </w:rPr>
        <w:t xml:space="preserve">, influenciado principalmente </w:t>
      </w:r>
      <w:r w:rsidR="00E62ECD" w:rsidRPr="003C3F27">
        <w:rPr>
          <w:rFonts w:ascii="Calibri" w:hAnsi="Calibri" w:cs="Calibri"/>
          <w:bCs/>
          <w:sz w:val="22"/>
          <w:szCs w:val="22"/>
        </w:rPr>
        <w:t>pela</w:t>
      </w:r>
      <w:r w:rsidR="00432864" w:rsidRPr="003C3F27">
        <w:rPr>
          <w:rFonts w:ascii="Calibri" w:hAnsi="Calibri" w:cs="Calibri"/>
          <w:bCs/>
          <w:sz w:val="22"/>
          <w:szCs w:val="22"/>
        </w:rPr>
        <w:t xml:space="preserve"> atualização monetária das </w:t>
      </w:r>
      <w:r w:rsidR="00E62ECD" w:rsidRPr="003C3F27">
        <w:rPr>
          <w:rFonts w:ascii="Calibri" w:hAnsi="Calibri" w:cs="Calibri"/>
          <w:bCs/>
          <w:sz w:val="22"/>
          <w:szCs w:val="22"/>
        </w:rPr>
        <w:t>provisões para contingências judiciais</w:t>
      </w:r>
      <w:r w:rsidR="00432864" w:rsidRPr="003C3F27">
        <w:rPr>
          <w:rFonts w:ascii="Calibri" w:hAnsi="Calibri" w:cs="Calibri"/>
          <w:bCs/>
          <w:sz w:val="22"/>
          <w:szCs w:val="22"/>
        </w:rPr>
        <w:t xml:space="preserve"> e pelo</w:t>
      </w:r>
      <w:r w:rsidR="00346FAD" w:rsidRPr="003C3F27">
        <w:rPr>
          <w:rFonts w:ascii="Calibri" w:hAnsi="Calibri" w:cs="Calibri"/>
          <w:bCs/>
          <w:sz w:val="22"/>
          <w:szCs w:val="22"/>
        </w:rPr>
        <w:t xml:space="preserve"> resultado negativo de equivalência patrimonial.</w:t>
      </w:r>
      <w:r w:rsidR="00346FAD" w:rsidRPr="002E2B5B">
        <w:rPr>
          <w:rFonts w:ascii="Calibri" w:hAnsi="Calibri" w:cs="Calibri"/>
          <w:bCs/>
          <w:sz w:val="22"/>
          <w:szCs w:val="22"/>
        </w:rPr>
        <w:t xml:space="preserve"> </w:t>
      </w:r>
      <w:r w:rsidRPr="002E2B5B">
        <w:rPr>
          <w:rFonts w:ascii="Calibri" w:hAnsi="Calibri" w:cs="Calibri"/>
          <w:bCs/>
          <w:sz w:val="22"/>
          <w:szCs w:val="22"/>
        </w:rPr>
        <w:t xml:space="preserve"> </w:t>
      </w:r>
    </w:p>
    <w:p w14:paraId="55A650EC" w14:textId="687B500A" w:rsidR="00C34E8D" w:rsidRDefault="00C34E8D" w:rsidP="002E2B5B">
      <w:pPr>
        <w:ind w:right="-142"/>
        <w:jc w:val="both"/>
        <w:rPr>
          <w:rFonts w:ascii="Calibri" w:hAnsi="Calibri" w:cs="Calibri"/>
          <w:bCs/>
          <w:sz w:val="22"/>
          <w:szCs w:val="22"/>
        </w:rPr>
      </w:pPr>
    </w:p>
    <w:p w14:paraId="2AC2FF42" w14:textId="6A7AF4AC" w:rsidR="00826D29" w:rsidRPr="002E2B5B" w:rsidRDefault="00434FB3" w:rsidP="002E2B5B">
      <w:pPr>
        <w:ind w:right="-142"/>
        <w:jc w:val="both"/>
        <w:rPr>
          <w:rFonts w:ascii="Calibri" w:hAnsi="Calibri" w:cs="Calibri"/>
          <w:b/>
          <w:sz w:val="22"/>
          <w:szCs w:val="22"/>
        </w:rPr>
      </w:pPr>
      <w:r w:rsidRPr="002E2B5B">
        <w:rPr>
          <w:rFonts w:ascii="Calibri" w:hAnsi="Calibri" w:cs="Calibri"/>
          <w:b/>
          <w:sz w:val="22"/>
          <w:szCs w:val="22"/>
        </w:rPr>
        <w:t>NOTA 2</w:t>
      </w:r>
      <w:r w:rsidR="003C3F27">
        <w:rPr>
          <w:rFonts w:ascii="Calibri" w:hAnsi="Calibri" w:cs="Calibri"/>
          <w:b/>
          <w:sz w:val="22"/>
          <w:szCs w:val="22"/>
        </w:rPr>
        <w:t>1</w:t>
      </w:r>
      <w:r w:rsidR="004E146F" w:rsidRPr="002E2B5B">
        <w:rPr>
          <w:rFonts w:ascii="Calibri" w:hAnsi="Calibri" w:cs="Calibri"/>
          <w:b/>
          <w:sz w:val="22"/>
          <w:szCs w:val="22"/>
        </w:rPr>
        <w:t xml:space="preserve"> – DEMONSTRAÇÃO DO VALOR ADICIONADO – DVA</w:t>
      </w:r>
    </w:p>
    <w:p w14:paraId="6F42E978" w14:textId="77777777" w:rsidR="000C065B" w:rsidRPr="002E2B5B" w:rsidRDefault="000C065B" w:rsidP="002E2B5B">
      <w:pPr>
        <w:ind w:right="-142"/>
        <w:jc w:val="both"/>
        <w:rPr>
          <w:rFonts w:ascii="Calibri" w:hAnsi="Calibri" w:cs="Calibri"/>
          <w:b/>
          <w:sz w:val="22"/>
          <w:szCs w:val="22"/>
        </w:rPr>
      </w:pPr>
    </w:p>
    <w:p w14:paraId="15C757D4" w14:textId="27ED7519" w:rsidR="004A7431" w:rsidRPr="002E2B5B" w:rsidRDefault="004E146F" w:rsidP="002E2B5B">
      <w:pPr>
        <w:ind w:right="57"/>
        <w:jc w:val="both"/>
        <w:rPr>
          <w:rFonts w:ascii="Calibri" w:hAnsi="Calibri" w:cs="Calibri"/>
          <w:sz w:val="22"/>
          <w:szCs w:val="22"/>
        </w:rPr>
      </w:pPr>
      <w:r w:rsidRPr="002E2B5B">
        <w:rPr>
          <w:rFonts w:ascii="Calibri" w:hAnsi="Calibri" w:cs="Calibri"/>
          <w:sz w:val="22"/>
          <w:szCs w:val="22"/>
        </w:rPr>
        <w:t xml:space="preserve">A Demonstração do Valor Adicionado - DVA que tem por finalidade evidenciar a riqueza criada pela companhia e sua distribuição durante determinado período é apresentada pela VALEC Engenharia, Construções e Ferrovias S/A, conforme requerido pela legislação societária brasileira, como parte de suas demonstrações financeiras. A DVA foi preparada com base em informações obtidas dos registros contábeis que servem de base de preparação das demonstrações contábeis e seguindo as disposições contidas no NBC TG 09 – Demonstração do Valor Adicionado. A DVA, em sua primeira parte, apresenta os insumos recebidos de terceiros (aquisições de materiais, energia elétrica, </w:t>
      </w:r>
      <w:r w:rsidRPr="002E2B5B">
        <w:rPr>
          <w:rFonts w:ascii="Calibri" w:hAnsi="Calibri" w:cs="Calibri"/>
          <w:sz w:val="22"/>
          <w:szCs w:val="22"/>
        </w:rPr>
        <w:lastRenderedPageBreak/>
        <w:t>serviços de terceiros e outros); a depreciação e a amortização; e o valor adicionado recebido em transferência (receitas de aluguéis, receitas financeiras e subvenções governamentais para custeio). A segunda parte da</w:t>
      </w:r>
      <w:r w:rsidR="00D66EC5" w:rsidRPr="002E2B5B">
        <w:rPr>
          <w:rFonts w:ascii="Calibri" w:hAnsi="Calibri" w:cs="Calibri"/>
          <w:sz w:val="22"/>
          <w:szCs w:val="22"/>
        </w:rPr>
        <w:t xml:space="preserve"> </w:t>
      </w:r>
      <w:r w:rsidRPr="002E2B5B">
        <w:rPr>
          <w:rFonts w:ascii="Calibri" w:hAnsi="Calibri" w:cs="Calibri"/>
          <w:sz w:val="22"/>
          <w:szCs w:val="22"/>
        </w:rPr>
        <w:t>DVA apresenta a distribuição da riqueza entre pessoal, despesas financeiras, impostos, taxas e contribuições, remuneração de capitais de terceiros e remuneração de capitais próprios.</w:t>
      </w:r>
      <w:r w:rsidR="00F95362" w:rsidRPr="002E2B5B">
        <w:rPr>
          <w:rFonts w:ascii="Calibri" w:hAnsi="Calibri" w:cs="Calibri"/>
          <w:sz w:val="22"/>
          <w:szCs w:val="22"/>
        </w:rPr>
        <w:t xml:space="preserve"> </w:t>
      </w:r>
    </w:p>
    <w:p w14:paraId="70E9C5BD" w14:textId="77777777" w:rsidR="00B92F90" w:rsidRPr="002E2B5B" w:rsidRDefault="00B92F90" w:rsidP="002E2B5B">
      <w:pPr>
        <w:ind w:right="57"/>
        <w:jc w:val="both"/>
        <w:rPr>
          <w:rFonts w:ascii="Calibri" w:hAnsi="Calibri" w:cs="Calibri"/>
          <w:sz w:val="22"/>
          <w:szCs w:val="22"/>
        </w:rPr>
      </w:pPr>
    </w:p>
    <w:p w14:paraId="41C73B18" w14:textId="241B4CF6" w:rsidR="005B70D8" w:rsidRPr="002E2B5B" w:rsidRDefault="00434FB3" w:rsidP="002E2B5B">
      <w:pPr>
        <w:ind w:right="-142"/>
        <w:rPr>
          <w:rFonts w:ascii="Calibri" w:hAnsi="Calibri" w:cs="Calibri"/>
          <w:b/>
          <w:sz w:val="22"/>
          <w:szCs w:val="22"/>
        </w:rPr>
      </w:pPr>
      <w:r w:rsidRPr="002E2B5B">
        <w:rPr>
          <w:rFonts w:ascii="Calibri" w:hAnsi="Calibri" w:cs="Calibri"/>
          <w:b/>
          <w:sz w:val="22"/>
          <w:szCs w:val="22"/>
        </w:rPr>
        <w:t>NOTA 2</w:t>
      </w:r>
      <w:r w:rsidR="003C3F27">
        <w:rPr>
          <w:rFonts w:ascii="Calibri" w:hAnsi="Calibri" w:cs="Calibri"/>
          <w:b/>
          <w:sz w:val="22"/>
          <w:szCs w:val="22"/>
        </w:rPr>
        <w:t>2</w:t>
      </w:r>
      <w:r w:rsidR="004E146F" w:rsidRPr="002E2B5B">
        <w:rPr>
          <w:rFonts w:ascii="Calibri" w:hAnsi="Calibri" w:cs="Calibri"/>
          <w:b/>
          <w:sz w:val="22"/>
          <w:szCs w:val="22"/>
        </w:rPr>
        <w:t xml:space="preserve"> – INFORMAÇÕES COMPLEMENTARES ÀS DEMONSTRAÇÕES CONTÁBEIS </w:t>
      </w:r>
    </w:p>
    <w:p w14:paraId="34A8363F" w14:textId="77777777" w:rsidR="00B92F90" w:rsidRDefault="00B92F90" w:rsidP="002E2B5B">
      <w:pPr>
        <w:ind w:right="57"/>
        <w:jc w:val="both"/>
        <w:rPr>
          <w:rFonts w:ascii="Calibri" w:hAnsi="Calibri" w:cs="Calibri"/>
          <w:sz w:val="22"/>
          <w:szCs w:val="22"/>
        </w:rPr>
      </w:pPr>
    </w:p>
    <w:p w14:paraId="1332CF5A" w14:textId="2EB0187D" w:rsidR="00332A42" w:rsidRPr="002E2B5B" w:rsidRDefault="004E146F" w:rsidP="002E2B5B">
      <w:pPr>
        <w:ind w:right="57"/>
        <w:jc w:val="both"/>
        <w:rPr>
          <w:rFonts w:ascii="Calibri" w:hAnsi="Calibri" w:cs="Calibri"/>
          <w:sz w:val="22"/>
          <w:szCs w:val="22"/>
        </w:rPr>
      </w:pPr>
      <w:r w:rsidRPr="002E2B5B">
        <w:rPr>
          <w:rFonts w:ascii="Calibri" w:hAnsi="Calibri" w:cs="Calibri"/>
          <w:sz w:val="22"/>
          <w:szCs w:val="22"/>
        </w:rPr>
        <w:t>As informações complementares são informações que não são apresentadas nas demonstrações contábeis, mas que são consideradas relevantes para divulgação.</w:t>
      </w:r>
    </w:p>
    <w:p w14:paraId="1F497C0D" w14:textId="77777777" w:rsidR="009203C8" w:rsidRPr="002E2B5B" w:rsidRDefault="009203C8" w:rsidP="002E2B5B">
      <w:pPr>
        <w:ind w:right="57"/>
        <w:jc w:val="both"/>
        <w:rPr>
          <w:rFonts w:ascii="Calibri" w:hAnsi="Calibri" w:cs="Calibri"/>
          <w:sz w:val="22"/>
          <w:szCs w:val="22"/>
        </w:rPr>
      </w:pPr>
    </w:p>
    <w:p w14:paraId="6128B5B8" w14:textId="0B9DCE1C" w:rsidR="00CF6A42" w:rsidRPr="002E2B5B" w:rsidRDefault="00117714" w:rsidP="002E2B5B">
      <w:pPr>
        <w:ind w:right="-142"/>
        <w:rPr>
          <w:rFonts w:ascii="Calibri" w:hAnsi="Calibri" w:cs="Calibri"/>
          <w:b/>
          <w:sz w:val="22"/>
          <w:szCs w:val="22"/>
        </w:rPr>
      </w:pPr>
      <w:r w:rsidRPr="002E2B5B">
        <w:rPr>
          <w:rFonts w:ascii="Calibri" w:hAnsi="Calibri" w:cs="Calibri"/>
          <w:b/>
          <w:sz w:val="22"/>
          <w:szCs w:val="22"/>
        </w:rPr>
        <w:t xml:space="preserve">I - </w:t>
      </w:r>
      <w:r w:rsidR="00CF6A42" w:rsidRPr="002E2B5B">
        <w:rPr>
          <w:rFonts w:ascii="Calibri" w:hAnsi="Calibri" w:cs="Calibri"/>
          <w:b/>
          <w:sz w:val="22"/>
          <w:szCs w:val="22"/>
        </w:rPr>
        <w:t>Transações com partes relacionadas</w:t>
      </w:r>
    </w:p>
    <w:p w14:paraId="3FF8C730" w14:textId="77777777" w:rsidR="00693972" w:rsidRPr="002E2B5B" w:rsidRDefault="00693972" w:rsidP="002E2B5B">
      <w:pPr>
        <w:ind w:right="-142"/>
        <w:rPr>
          <w:rFonts w:ascii="Calibri" w:hAnsi="Calibri" w:cs="Calibri"/>
          <w:b/>
          <w:sz w:val="22"/>
          <w:szCs w:val="22"/>
        </w:rPr>
      </w:pPr>
    </w:p>
    <w:p w14:paraId="71D03A1E" w14:textId="77777777" w:rsidR="004E146F" w:rsidRPr="002E2B5B" w:rsidRDefault="00117714" w:rsidP="002E2B5B">
      <w:pPr>
        <w:ind w:right="-142"/>
        <w:rPr>
          <w:rFonts w:ascii="Calibri" w:hAnsi="Calibri" w:cs="Calibri"/>
          <w:b/>
          <w:sz w:val="22"/>
          <w:szCs w:val="22"/>
        </w:rPr>
      </w:pPr>
      <w:r w:rsidRPr="002E2B5B">
        <w:rPr>
          <w:rFonts w:ascii="Calibri" w:hAnsi="Calibri" w:cs="Calibri"/>
          <w:b/>
          <w:sz w:val="22"/>
          <w:szCs w:val="22"/>
        </w:rPr>
        <w:t xml:space="preserve">a) </w:t>
      </w:r>
      <w:r w:rsidR="001D6DEE" w:rsidRPr="002E2B5B">
        <w:rPr>
          <w:rFonts w:ascii="Calibri" w:hAnsi="Calibri" w:cs="Calibri"/>
          <w:b/>
          <w:sz w:val="22"/>
          <w:szCs w:val="22"/>
        </w:rPr>
        <w:t>Remuneração de Diretores, Empregados e Comissionados</w:t>
      </w:r>
    </w:p>
    <w:p w14:paraId="5C528EC7" w14:textId="0C2D896D" w:rsidR="004E146F" w:rsidRPr="002E2B5B" w:rsidRDefault="004A67ED" w:rsidP="002E2B5B">
      <w:pPr>
        <w:ind w:right="-142"/>
        <w:jc w:val="both"/>
        <w:rPr>
          <w:rFonts w:ascii="Calibri" w:hAnsi="Calibri" w:cs="Calibri"/>
          <w:sz w:val="22"/>
          <w:szCs w:val="22"/>
        </w:rPr>
      </w:pPr>
      <w:r w:rsidRPr="002E2B5B">
        <w:rPr>
          <w:rFonts w:ascii="Calibri" w:hAnsi="Calibri" w:cs="Calibri"/>
          <w:sz w:val="22"/>
          <w:szCs w:val="22"/>
        </w:rPr>
        <w:t xml:space="preserve">As remunerações </w:t>
      </w:r>
      <w:r w:rsidR="007F4918" w:rsidRPr="002E2B5B">
        <w:rPr>
          <w:rFonts w:ascii="Calibri" w:hAnsi="Calibri" w:cs="Calibri"/>
          <w:sz w:val="22"/>
          <w:szCs w:val="22"/>
        </w:rPr>
        <w:t xml:space="preserve">médias </w:t>
      </w:r>
      <w:r w:rsidRPr="002E2B5B">
        <w:rPr>
          <w:rFonts w:ascii="Calibri" w:hAnsi="Calibri" w:cs="Calibri"/>
          <w:sz w:val="22"/>
          <w:szCs w:val="22"/>
        </w:rPr>
        <w:t>pagas aos d</w:t>
      </w:r>
      <w:r w:rsidR="004E146F" w:rsidRPr="002E2B5B">
        <w:rPr>
          <w:rFonts w:ascii="Calibri" w:hAnsi="Calibri" w:cs="Calibri"/>
          <w:sz w:val="22"/>
          <w:szCs w:val="22"/>
        </w:rPr>
        <w:t>iretores,</w:t>
      </w:r>
      <w:r w:rsidRPr="002E2B5B">
        <w:rPr>
          <w:rFonts w:ascii="Calibri" w:hAnsi="Calibri" w:cs="Calibri"/>
          <w:sz w:val="22"/>
          <w:szCs w:val="22"/>
        </w:rPr>
        <w:t xml:space="preserve"> aos empregados e aos comissionados</w:t>
      </w:r>
      <w:r w:rsidR="007F4918" w:rsidRPr="002E2B5B">
        <w:rPr>
          <w:rFonts w:ascii="Calibri" w:hAnsi="Calibri" w:cs="Calibri"/>
          <w:sz w:val="22"/>
          <w:szCs w:val="22"/>
        </w:rPr>
        <w:t>,</w:t>
      </w:r>
      <w:r w:rsidR="004E146F" w:rsidRPr="002E2B5B">
        <w:rPr>
          <w:rFonts w:ascii="Calibri" w:hAnsi="Calibri" w:cs="Calibri"/>
          <w:sz w:val="22"/>
          <w:szCs w:val="22"/>
        </w:rPr>
        <w:t xml:space="preserve"> </w:t>
      </w:r>
      <w:r w:rsidR="001D6DEE" w:rsidRPr="002E2B5B">
        <w:rPr>
          <w:rFonts w:ascii="Calibri" w:hAnsi="Calibri" w:cs="Calibri"/>
          <w:sz w:val="22"/>
          <w:szCs w:val="22"/>
        </w:rPr>
        <w:t xml:space="preserve">em </w:t>
      </w:r>
      <w:r w:rsidR="00B92F90">
        <w:rPr>
          <w:rFonts w:ascii="Calibri" w:hAnsi="Calibri" w:cs="Calibri"/>
          <w:sz w:val="22"/>
          <w:szCs w:val="22"/>
        </w:rPr>
        <w:t>setembr</w:t>
      </w:r>
      <w:r w:rsidR="00DE66B0">
        <w:rPr>
          <w:rFonts w:ascii="Calibri" w:hAnsi="Calibri" w:cs="Calibri"/>
          <w:sz w:val="22"/>
          <w:szCs w:val="22"/>
        </w:rPr>
        <w:t>o</w:t>
      </w:r>
      <w:r w:rsidR="00C16F07" w:rsidRPr="002E2B5B">
        <w:rPr>
          <w:rFonts w:ascii="Calibri" w:hAnsi="Calibri" w:cs="Calibri"/>
          <w:sz w:val="22"/>
          <w:szCs w:val="22"/>
        </w:rPr>
        <w:t xml:space="preserve"> </w:t>
      </w:r>
      <w:r w:rsidR="001D6DEE" w:rsidRPr="002E2B5B">
        <w:rPr>
          <w:rFonts w:ascii="Calibri" w:hAnsi="Calibri" w:cs="Calibri"/>
          <w:sz w:val="22"/>
          <w:szCs w:val="22"/>
        </w:rPr>
        <w:t>de</w:t>
      </w:r>
      <w:r w:rsidR="00C16F07" w:rsidRPr="002E2B5B">
        <w:rPr>
          <w:rFonts w:ascii="Calibri" w:hAnsi="Calibri" w:cs="Calibri"/>
          <w:sz w:val="22"/>
          <w:szCs w:val="22"/>
        </w:rPr>
        <w:t xml:space="preserve"> 20</w:t>
      </w:r>
      <w:r w:rsidR="00F8592A" w:rsidRPr="002E2B5B">
        <w:rPr>
          <w:rFonts w:ascii="Calibri" w:hAnsi="Calibri" w:cs="Calibri"/>
          <w:sz w:val="22"/>
          <w:szCs w:val="22"/>
        </w:rPr>
        <w:t>2</w:t>
      </w:r>
      <w:r w:rsidR="00432864">
        <w:rPr>
          <w:rFonts w:ascii="Calibri" w:hAnsi="Calibri" w:cs="Calibri"/>
          <w:sz w:val="22"/>
          <w:szCs w:val="22"/>
        </w:rPr>
        <w:t>1</w:t>
      </w:r>
      <w:r w:rsidR="004E146F" w:rsidRPr="002E2B5B">
        <w:rPr>
          <w:rFonts w:ascii="Calibri" w:hAnsi="Calibri" w:cs="Calibri"/>
          <w:sz w:val="22"/>
          <w:szCs w:val="22"/>
        </w:rPr>
        <w:t>, foram de:</w:t>
      </w:r>
    </w:p>
    <w:p w14:paraId="663C4820" w14:textId="77777777" w:rsidR="007E0744" w:rsidRPr="002E2B5B" w:rsidRDefault="007E0744" w:rsidP="002E2B5B">
      <w:pPr>
        <w:ind w:right="-142"/>
        <w:jc w:val="both"/>
        <w:rPr>
          <w:rFonts w:ascii="Calibri" w:hAnsi="Calibri" w:cs="Calibri"/>
          <w:sz w:val="22"/>
          <w:szCs w:val="22"/>
        </w:rPr>
      </w:pPr>
    </w:p>
    <w:tbl>
      <w:tblPr>
        <w:tblW w:w="5000" w:type="pct"/>
        <w:tblCellMar>
          <w:left w:w="70" w:type="dxa"/>
          <w:right w:w="70" w:type="dxa"/>
        </w:tblCellMar>
        <w:tblLook w:val="04A0" w:firstRow="1" w:lastRow="0" w:firstColumn="1" w:lastColumn="0" w:noHBand="0" w:noVBand="1"/>
      </w:tblPr>
      <w:tblGrid>
        <w:gridCol w:w="4798"/>
        <w:gridCol w:w="1972"/>
        <w:gridCol w:w="2156"/>
        <w:gridCol w:w="1541"/>
      </w:tblGrid>
      <w:tr w:rsidR="00AA3934" w:rsidRPr="002E2B5B" w14:paraId="78C70EFE" w14:textId="77777777" w:rsidTr="00AA3934">
        <w:trPr>
          <w:trHeight w:val="227"/>
        </w:trPr>
        <w:tc>
          <w:tcPr>
            <w:tcW w:w="2292" w:type="pct"/>
            <w:tcBorders>
              <w:bottom w:val="single" w:sz="4" w:space="0" w:color="auto"/>
            </w:tcBorders>
            <w:shd w:val="clear" w:color="auto" w:fill="auto"/>
            <w:noWrap/>
            <w:vAlign w:val="bottom"/>
            <w:hideMark/>
          </w:tcPr>
          <w:p w14:paraId="31A7D9AE" w14:textId="77777777" w:rsidR="00AA3934" w:rsidRPr="002E2B5B" w:rsidRDefault="00AA3934" w:rsidP="002E2B5B">
            <w:pPr>
              <w:rPr>
                <w:rFonts w:ascii="Calibri" w:hAnsi="Calibri" w:cs="Calibri"/>
                <w:b/>
                <w:sz w:val="16"/>
                <w:szCs w:val="16"/>
              </w:rPr>
            </w:pPr>
            <w:r w:rsidRPr="002E2B5B">
              <w:rPr>
                <w:rFonts w:ascii="Calibri" w:hAnsi="Calibri" w:cs="Calibri"/>
                <w:b/>
                <w:sz w:val="16"/>
                <w:szCs w:val="16"/>
              </w:rPr>
              <w:t>REMUNERAÇÃO</w:t>
            </w:r>
          </w:p>
        </w:tc>
        <w:tc>
          <w:tcPr>
            <w:tcW w:w="942" w:type="pct"/>
            <w:tcBorders>
              <w:bottom w:val="single" w:sz="4" w:space="0" w:color="auto"/>
            </w:tcBorders>
            <w:shd w:val="clear" w:color="auto" w:fill="auto"/>
            <w:noWrap/>
            <w:vAlign w:val="bottom"/>
            <w:hideMark/>
          </w:tcPr>
          <w:p w14:paraId="0F56AAD3" w14:textId="77777777" w:rsidR="00AA3934" w:rsidRPr="002E2B5B" w:rsidRDefault="00AA3934" w:rsidP="002E2B5B">
            <w:pPr>
              <w:jc w:val="right"/>
              <w:rPr>
                <w:rFonts w:ascii="Calibri" w:hAnsi="Calibri" w:cs="Calibri"/>
                <w:b/>
                <w:sz w:val="16"/>
                <w:szCs w:val="16"/>
              </w:rPr>
            </w:pPr>
            <w:r w:rsidRPr="002E2B5B">
              <w:rPr>
                <w:rFonts w:ascii="Calibri" w:hAnsi="Calibri" w:cs="Calibri"/>
                <w:b/>
                <w:sz w:val="16"/>
                <w:szCs w:val="16"/>
              </w:rPr>
              <w:t>MAIOR</w:t>
            </w:r>
          </w:p>
        </w:tc>
        <w:tc>
          <w:tcPr>
            <w:tcW w:w="1030" w:type="pct"/>
            <w:tcBorders>
              <w:bottom w:val="single" w:sz="4" w:space="0" w:color="auto"/>
            </w:tcBorders>
            <w:shd w:val="clear" w:color="auto" w:fill="auto"/>
            <w:noWrap/>
            <w:vAlign w:val="bottom"/>
            <w:hideMark/>
          </w:tcPr>
          <w:p w14:paraId="0AE4267D" w14:textId="77777777" w:rsidR="00AA3934" w:rsidRPr="002E2B5B" w:rsidRDefault="00AA3934" w:rsidP="002E2B5B">
            <w:pPr>
              <w:jc w:val="right"/>
              <w:rPr>
                <w:rFonts w:ascii="Calibri" w:hAnsi="Calibri" w:cs="Calibri"/>
                <w:b/>
                <w:sz w:val="16"/>
                <w:szCs w:val="16"/>
              </w:rPr>
            </w:pPr>
            <w:r w:rsidRPr="002E2B5B">
              <w:rPr>
                <w:rFonts w:ascii="Calibri" w:hAnsi="Calibri" w:cs="Calibri"/>
                <w:b/>
                <w:sz w:val="16"/>
                <w:szCs w:val="16"/>
              </w:rPr>
              <w:t>MENOR</w:t>
            </w:r>
          </w:p>
        </w:tc>
        <w:tc>
          <w:tcPr>
            <w:tcW w:w="736" w:type="pct"/>
            <w:tcBorders>
              <w:bottom w:val="single" w:sz="4" w:space="0" w:color="auto"/>
            </w:tcBorders>
            <w:shd w:val="clear" w:color="auto" w:fill="auto"/>
            <w:noWrap/>
            <w:vAlign w:val="bottom"/>
            <w:hideMark/>
          </w:tcPr>
          <w:p w14:paraId="6DA547F9" w14:textId="77777777" w:rsidR="00AA3934" w:rsidRPr="002E2B5B" w:rsidRDefault="00AA3934" w:rsidP="002E2B5B">
            <w:pPr>
              <w:jc w:val="right"/>
              <w:rPr>
                <w:rFonts w:ascii="Calibri" w:hAnsi="Calibri" w:cs="Calibri"/>
                <w:b/>
                <w:sz w:val="16"/>
                <w:szCs w:val="16"/>
              </w:rPr>
            </w:pPr>
            <w:r w:rsidRPr="002E2B5B">
              <w:rPr>
                <w:rFonts w:ascii="Calibri" w:hAnsi="Calibri" w:cs="Calibri"/>
                <w:b/>
                <w:sz w:val="16"/>
                <w:szCs w:val="16"/>
              </w:rPr>
              <w:t>MÉDIA</w:t>
            </w:r>
          </w:p>
        </w:tc>
      </w:tr>
      <w:tr w:rsidR="00AA3934" w:rsidRPr="002E2B5B" w14:paraId="60EA8036" w14:textId="77777777" w:rsidTr="00AA3934">
        <w:trPr>
          <w:trHeight w:val="227"/>
        </w:trPr>
        <w:tc>
          <w:tcPr>
            <w:tcW w:w="2292" w:type="pct"/>
            <w:tcBorders>
              <w:top w:val="single" w:sz="4" w:space="0" w:color="auto"/>
            </w:tcBorders>
            <w:shd w:val="clear" w:color="auto" w:fill="auto"/>
            <w:noWrap/>
            <w:vAlign w:val="bottom"/>
            <w:hideMark/>
          </w:tcPr>
          <w:p w14:paraId="07972A13" w14:textId="77777777" w:rsidR="00AA3934" w:rsidRPr="002E2B5B" w:rsidRDefault="00AA3934" w:rsidP="002E2B5B">
            <w:pPr>
              <w:rPr>
                <w:rFonts w:ascii="Calibri" w:hAnsi="Calibri" w:cs="Calibri"/>
                <w:sz w:val="16"/>
                <w:szCs w:val="16"/>
              </w:rPr>
            </w:pPr>
            <w:r w:rsidRPr="002E2B5B">
              <w:rPr>
                <w:rFonts w:ascii="Calibri" w:hAnsi="Calibri" w:cs="Calibri"/>
                <w:sz w:val="16"/>
                <w:szCs w:val="16"/>
              </w:rPr>
              <w:t xml:space="preserve"> Diretores</w:t>
            </w:r>
          </w:p>
        </w:tc>
        <w:tc>
          <w:tcPr>
            <w:tcW w:w="942" w:type="pct"/>
            <w:tcBorders>
              <w:top w:val="single" w:sz="4" w:space="0" w:color="auto"/>
            </w:tcBorders>
            <w:shd w:val="clear" w:color="auto" w:fill="auto"/>
            <w:noWrap/>
            <w:vAlign w:val="bottom"/>
          </w:tcPr>
          <w:p w14:paraId="4D35E1DC" w14:textId="77777777" w:rsidR="00AA3934" w:rsidRPr="002E2B5B" w:rsidRDefault="00AA3934" w:rsidP="002E2B5B">
            <w:pPr>
              <w:jc w:val="right"/>
              <w:rPr>
                <w:rFonts w:ascii="Calibri" w:hAnsi="Calibri" w:cs="Calibri"/>
                <w:sz w:val="16"/>
                <w:szCs w:val="16"/>
              </w:rPr>
            </w:pPr>
            <w:r w:rsidRPr="002E2B5B">
              <w:rPr>
                <w:rFonts w:ascii="Calibri" w:hAnsi="Calibri" w:cs="Calibri"/>
                <w:sz w:val="16"/>
                <w:szCs w:val="16"/>
              </w:rPr>
              <w:t>2</w:t>
            </w:r>
            <w:r w:rsidR="00F8592A" w:rsidRPr="002E2B5B">
              <w:rPr>
                <w:rFonts w:ascii="Calibri" w:hAnsi="Calibri" w:cs="Calibri"/>
                <w:sz w:val="16"/>
                <w:szCs w:val="16"/>
              </w:rPr>
              <w:t>6.243</w:t>
            </w:r>
          </w:p>
        </w:tc>
        <w:tc>
          <w:tcPr>
            <w:tcW w:w="1030" w:type="pct"/>
            <w:tcBorders>
              <w:top w:val="single" w:sz="4" w:space="0" w:color="auto"/>
            </w:tcBorders>
            <w:shd w:val="clear" w:color="auto" w:fill="auto"/>
            <w:noWrap/>
            <w:vAlign w:val="bottom"/>
          </w:tcPr>
          <w:p w14:paraId="27268F4A" w14:textId="5997F752" w:rsidR="00AA3934" w:rsidRPr="002E2B5B" w:rsidRDefault="00F8592A" w:rsidP="002E2B5B">
            <w:pPr>
              <w:jc w:val="right"/>
              <w:rPr>
                <w:rFonts w:ascii="Calibri" w:hAnsi="Calibri" w:cs="Calibri"/>
                <w:sz w:val="16"/>
                <w:szCs w:val="16"/>
              </w:rPr>
            </w:pPr>
            <w:r w:rsidRPr="002E2B5B">
              <w:rPr>
                <w:rFonts w:ascii="Calibri" w:hAnsi="Calibri" w:cs="Calibri"/>
                <w:sz w:val="16"/>
                <w:szCs w:val="16"/>
              </w:rPr>
              <w:t>2</w:t>
            </w:r>
            <w:r w:rsidR="00B92F90">
              <w:rPr>
                <w:rFonts w:ascii="Calibri" w:hAnsi="Calibri" w:cs="Calibri"/>
                <w:sz w:val="16"/>
                <w:szCs w:val="16"/>
              </w:rPr>
              <w:t>4.275</w:t>
            </w:r>
          </w:p>
        </w:tc>
        <w:tc>
          <w:tcPr>
            <w:tcW w:w="736" w:type="pct"/>
            <w:tcBorders>
              <w:top w:val="single" w:sz="4" w:space="0" w:color="auto"/>
            </w:tcBorders>
            <w:shd w:val="clear" w:color="auto" w:fill="auto"/>
            <w:noWrap/>
            <w:vAlign w:val="bottom"/>
          </w:tcPr>
          <w:p w14:paraId="0D53BF9C" w14:textId="2BE1E67B" w:rsidR="00AA3934" w:rsidRPr="002E2B5B" w:rsidRDefault="00F8592A" w:rsidP="002E2B5B">
            <w:pPr>
              <w:jc w:val="right"/>
              <w:rPr>
                <w:rFonts w:ascii="Calibri" w:hAnsi="Calibri" w:cs="Calibri"/>
                <w:sz w:val="16"/>
                <w:szCs w:val="16"/>
              </w:rPr>
            </w:pPr>
            <w:r w:rsidRPr="002E2B5B">
              <w:rPr>
                <w:rFonts w:ascii="Calibri" w:hAnsi="Calibri" w:cs="Calibri"/>
                <w:sz w:val="16"/>
                <w:szCs w:val="16"/>
              </w:rPr>
              <w:t>2</w:t>
            </w:r>
            <w:r w:rsidR="00B92F90">
              <w:rPr>
                <w:rFonts w:ascii="Calibri" w:hAnsi="Calibri" w:cs="Calibri"/>
                <w:sz w:val="16"/>
                <w:szCs w:val="16"/>
              </w:rPr>
              <w:t>5</w:t>
            </w:r>
            <w:r w:rsidRPr="002E2B5B">
              <w:rPr>
                <w:rFonts w:ascii="Calibri" w:hAnsi="Calibri" w:cs="Calibri"/>
                <w:sz w:val="16"/>
                <w:szCs w:val="16"/>
              </w:rPr>
              <w:t>.</w:t>
            </w:r>
            <w:r w:rsidR="00B92F90">
              <w:rPr>
                <w:rFonts w:ascii="Calibri" w:hAnsi="Calibri" w:cs="Calibri"/>
                <w:sz w:val="16"/>
                <w:szCs w:val="16"/>
              </w:rPr>
              <w:t>634</w:t>
            </w:r>
          </w:p>
        </w:tc>
      </w:tr>
      <w:tr w:rsidR="00AA3934" w:rsidRPr="002E2B5B" w14:paraId="2015CADE" w14:textId="77777777" w:rsidTr="00AA3934">
        <w:trPr>
          <w:trHeight w:val="227"/>
        </w:trPr>
        <w:tc>
          <w:tcPr>
            <w:tcW w:w="2292" w:type="pct"/>
            <w:shd w:val="clear" w:color="auto" w:fill="auto"/>
            <w:noWrap/>
            <w:vAlign w:val="bottom"/>
            <w:hideMark/>
          </w:tcPr>
          <w:p w14:paraId="1F458ED5" w14:textId="77777777" w:rsidR="00AA3934" w:rsidRPr="002E2B5B" w:rsidRDefault="00AA3934" w:rsidP="002E2B5B">
            <w:pPr>
              <w:rPr>
                <w:rFonts w:ascii="Calibri" w:hAnsi="Calibri" w:cs="Calibri"/>
                <w:sz w:val="16"/>
                <w:szCs w:val="16"/>
              </w:rPr>
            </w:pPr>
            <w:r w:rsidRPr="002E2B5B">
              <w:rPr>
                <w:rFonts w:ascii="Calibri" w:hAnsi="Calibri" w:cs="Calibri"/>
                <w:sz w:val="16"/>
                <w:szCs w:val="16"/>
              </w:rPr>
              <w:t xml:space="preserve"> Empregados</w:t>
            </w:r>
          </w:p>
        </w:tc>
        <w:tc>
          <w:tcPr>
            <w:tcW w:w="942" w:type="pct"/>
            <w:shd w:val="clear" w:color="auto" w:fill="auto"/>
            <w:noWrap/>
            <w:vAlign w:val="bottom"/>
          </w:tcPr>
          <w:p w14:paraId="4A85347B" w14:textId="77777777" w:rsidR="00AA3934" w:rsidRPr="002E2B5B" w:rsidRDefault="00E0238D" w:rsidP="002E2B5B">
            <w:pPr>
              <w:jc w:val="right"/>
              <w:rPr>
                <w:rFonts w:ascii="Calibri" w:hAnsi="Calibri" w:cs="Calibri"/>
                <w:sz w:val="16"/>
                <w:szCs w:val="16"/>
              </w:rPr>
            </w:pPr>
            <w:r w:rsidRPr="002E2B5B">
              <w:rPr>
                <w:rFonts w:ascii="Calibri" w:hAnsi="Calibri" w:cs="Calibri"/>
                <w:sz w:val="16"/>
                <w:szCs w:val="16"/>
              </w:rPr>
              <w:t>26.037</w:t>
            </w:r>
          </w:p>
        </w:tc>
        <w:tc>
          <w:tcPr>
            <w:tcW w:w="1030" w:type="pct"/>
            <w:shd w:val="clear" w:color="auto" w:fill="auto"/>
            <w:noWrap/>
            <w:vAlign w:val="bottom"/>
          </w:tcPr>
          <w:p w14:paraId="733B27E0" w14:textId="77777777" w:rsidR="00AA3934" w:rsidRPr="002E2B5B" w:rsidRDefault="00E0238D" w:rsidP="002E2B5B">
            <w:pPr>
              <w:jc w:val="right"/>
              <w:rPr>
                <w:rFonts w:ascii="Calibri" w:hAnsi="Calibri" w:cs="Calibri"/>
                <w:sz w:val="16"/>
                <w:szCs w:val="16"/>
              </w:rPr>
            </w:pPr>
            <w:r w:rsidRPr="002E2B5B">
              <w:rPr>
                <w:rFonts w:ascii="Calibri" w:hAnsi="Calibri" w:cs="Calibri"/>
                <w:sz w:val="16"/>
                <w:szCs w:val="16"/>
              </w:rPr>
              <w:t>3.054</w:t>
            </w:r>
          </w:p>
        </w:tc>
        <w:tc>
          <w:tcPr>
            <w:tcW w:w="736" w:type="pct"/>
            <w:shd w:val="clear" w:color="auto" w:fill="auto"/>
            <w:noWrap/>
            <w:vAlign w:val="bottom"/>
          </w:tcPr>
          <w:p w14:paraId="3F75AA5F" w14:textId="102F6941" w:rsidR="00AA3934" w:rsidRPr="002E2B5B" w:rsidRDefault="00F8592A" w:rsidP="002E2B5B">
            <w:pPr>
              <w:jc w:val="right"/>
              <w:rPr>
                <w:rFonts w:ascii="Calibri" w:hAnsi="Calibri" w:cs="Calibri"/>
                <w:sz w:val="16"/>
                <w:szCs w:val="16"/>
              </w:rPr>
            </w:pPr>
            <w:r w:rsidRPr="002E2B5B">
              <w:rPr>
                <w:rFonts w:ascii="Calibri" w:hAnsi="Calibri" w:cs="Calibri"/>
                <w:sz w:val="16"/>
                <w:szCs w:val="16"/>
              </w:rPr>
              <w:t>9.</w:t>
            </w:r>
            <w:r w:rsidR="00B92F90">
              <w:rPr>
                <w:rFonts w:ascii="Calibri" w:hAnsi="Calibri" w:cs="Calibri"/>
                <w:sz w:val="16"/>
                <w:szCs w:val="16"/>
              </w:rPr>
              <w:t>533</w:t>
            </w:r>
          </w:p>
        </w:tc>
      </w:tr>
      <w:tr w:rsidR="00AA3934" w:rsidRPr="002E2B5B" w14:paraId="0A02B70F" w14:textId="77777777" w:rsidTr="00AA3934">
        <w:trPr>
          <w:trHeight w:val="227"/>
        </w:trPr>
        <w:tc>
          <w:tcPr>
            <w:tcW w:w="2292" w:type="pct"/>
            <w:shd w:val="clear" w:color="auto" w:fill="auto"/>
            <w:noWrap/>
            <w:vAlign w:val="bottom"/>
            <w:hideMark/>
          </w:tcPr>
          <w:p w14:paraId="7F145DA4" w14:textId="77777777" w:rsidR="00AA3934" w:rsidRPr="002E2B5B" w:rsidRDefault="00AA3934" w:rsidP="002E2B5B">
            <w:pPr>
              <w:rPr>
                <w:rFonts w:ascii="Calibri" w:hAnsi="Calibri" w:cs="Calibri"/>
                <w:sz w:val="16"/>
                <w:szCs w:val="16"/>
              </w:rPr>
            </w:pPr>
            <w:r w:rsidRPr="002E2B5B">
              <w:rPr>
                <w:rFonts w:ascii="Calibri" w:hAnsi="Calibri" w:cs="Calibri"/>
                <w:sz w:val="16"/>
                <w:szCs w:val="16"/>
              </w:rPr>
              <w:t xml:space="preserve"> Comissionados</w:t>
            </w:r>
          </w:p>
        </w:tc>
        <w:tc>
          <w:tcPr>
            <w:tcW w:w="942" w:type="pct"/>
            <w:shd w:val="clear" w:color="auto" w:fill="auto"/>
            <w:noWrap/>
            <w:vAlign w:val="bottom"/>
          </w:tcPr>
          <w:p w14:paraId="4B596938" w14:textId="77777777" w:rsidR="00AA3934" w:rsidRPr="002E2B5B" w:rsidRDefault="00E0238D" w:rsidP="002E2B5B">
            <w:pPr>
              <w:jc w:val="right"/>
              <w:rPr>
                <w:rFonts w:ascii="Calibri" w:hAnsi="Calibri" w:cs="Calibri"/>
                <w:sz w:val="16"/>
                <w:szCs w:val="16"/>
              </w:rPr>
            </w:pPr>
            <w:r w:rsidRPr="002E2B5B">
              <w:rPr>
                <w:rFonts w:ascii="Calibri" w:hAnsi="Calibri" w:cs="Calibri"/>
                <w:sz w:val="16"/>
                <w:szCs w:val="16"/>
              </w:rPr>
              <w:t>23.450</w:t>
            </w:r>
          </w:p>
        </w:tc>
        <w:tc>
          <w:tcPr>
            <w:tcW w:w="1030" w:type="pct"/>
            <w:shd w:val="clear" w:color="auto" w:fill="auto"/>
            <w:noWrap/>
            <w:vAlign w:val="bottom"/>
          </w:tcPr>
          <w:p w14:paraId="402660EF" w14:textId="77777777" w:rsidR="00AA3934" w:rsidRPr="002E2B5B" w:rsidRDefault="00E0238D" w:rsidP="002E2B5B">
            <w:pPr>
              <w:jc w:val="right"/>
              <w:rPr>
                <w:rFonts w:ascii="Calibri" w:hAnsi="Calibri" w:cs="Calibri"/>
                <w:sz w:val="16"/>
                <w:szCs w:val="16"/>
              </w:rPr>
            </w:pPr>
            <w:r w:rsidRPr="002E2B5B">
              <w:rPr>
                <w:rFonts w:ascii="Calibri" w:hAnsi="Calibri" w:cs="Calibri"/>
                <w:sz w:val="16"/>
                <w:szCs w:val="16"/>
              </w:rPr>
              <w:t>4.324</w:t>
            </w:r>
          </w:p>
        </w:tc>
        <w:tc>
          <w:tcPr>
            <w:tcW w:w="736" w:type="pct"/>
            <w:shd w:val="clear" w:color="auto" w:fill="auto"/>
            <w:noWrap/>
            <w:vAlign w:val="bottom"/>
          </w:tcPr>
          <w:p w14:paraId="1B6197A1" w14:textId="64B2089C" w:rsidR="00AA3934" w:rsidRPr="002E2B5B" w:rsidRDefault="00F8592A" w:rsidP="002E2B5B">
            <w:pPr>
              <w:jc w:val="right"/>
              <w:rPr>
                <w:rFonts w:ascii="Calibri" w:hAnsi="Calibri" w:cs="Calibri"/>
                <w:sz w:val="16"/>
                <w:szCs w:val="16"/>
              </w:rPr>
            </w:pPr>
            <w:r w:rsidRPr="002E2B5B">
              <w:rPr>
                <w:rFonts w:ascii="Calibri" w:hAnsi="Calibri" w:cs="Calibri"/>
                <w:sz w:val="16"/>
                <w:szCs w:val="16"/>
              </w:rPr>
              <w:t>1</w:t>
            </w:r>
            <w:r w:rsidR="00432864">
              <w:rPr>
                <w:rFonts w:ascii="Calibri" w:hAnsi="Calibri" w:cs="Calibri"/>
                <w:sz w:val="16"/>
                <w:szCs w:val="16"/>
              </w:rPr>
              <w:t>4</w:t>
            </w:r>
            <w:r w:rsidRPr="002E2B5B">
              <w:rPr>
                <w:rFonts w:ascii="Calibri" w:hAnsi="Calibri" w:cs="Calibri"/>
                <w:sz w:val="16"/>
                <w:szCs w:val="16"/>
              </w:rPr>
              <w:t>.</w:t>
            </w:r>
            <w:r w:rsidR="00DE66B0">
              <w:rPr>
                <w:rFonts w:ascii="Calibri" w:hAnsi="Calibri" w:cs="Calibri"/>
                <w:sz w:val="16"/>
                <w:szCs w:val="16"/>
              </w:rPr>
              <w:t>0</w:t>
            </w:r>
            <w:r w:rsidR="00B92F90">
              <w:rPr>
                <w:rFonts w:ascii="Calibri" w:hAnsi="Calibri" w:cs="Calibri"/>
                <w:sz w:val="16"/>
                <w:szCs w:val="16"/>
              </w:rPr>
              <w:t>02</w:t>
            </w:r>
          </w:p>
        </w:tc>
      </w:tr>
    </w:tbl>
    <w:p w14:paraId="25357D70" w14:textId="77777777" w:rsidR="00136BED" w:rsidRPr="002E2B5B" w:rsidRDefault="00136BED" w:rsidP="002E2B5B">
      <w:pPr>
        <w:ind w:right="-142"/>
        <w:rPr>
          <w:rFonts w:ascii="Calibri" w:hAnsi="Calibri" w:cs="Calibri"/>
          <w:b/>
          <w:sz w:val="22"/>
          <w:szCs w:val="22"/>
        </w:rPr>
      </w:pPr>
    </w:p>
    <w:p w14:paraId="1019F401" w14:textId="4D2F7A8B" w:rsidR="006A24D4" w:rsidRPr="002E2B5B" w:rsidRDefault="006A24D4" w:rsidP="002E2B5B">
      <w:pPr>
        <w:ind w:right="57"/>
        <w:jc w:val="both"/>
        <w:rPr>
          <w:rFonts w:ascii="Calibri" w:hAnsi="Calibri" w:cs="Calibri"/>
          <w:sz w:val="22"/>
          <w:szCs w:val="22"/>
        </w:rPr>
      </w:pPr>
      <w:r w:rsidRPr="002E2B5B">
        <w:rPr>
          <w:rFonts w:ascii="Calibri" w:hAnsi="Calibri" w:cs="Calibri"/>
          <w:sz w:val="22"/>
          <w:szCs w:val="22"/>
        </w:rPr>
        <w:t>O total da remuneração dos administradores na Demonstração do Resultado do Exercício</w:t>
      </w:r>
      <w:r w:rsidR="004019E4" w:rsidRPr="002E2B5B">
        <w:rPr>
          <w:rFonts w:ascii="Calibri" w:hAnsi="Calibri" w:cs="Calibri"/>
          <w:sz w:val="22"/>
          <w:szCs w:val="22"/>
        </w:rPr>
        <w:t xml:space="preserve">, no valor de R$ </w:t>
      </w:r>
      <w:r w:rsidR="00B92F90">
        <w:rPr>
          <w:rFonts w:ascii="Calibri" w:hAnsi="Calibri" w:cs="Calibri"/>
          <w:sz w:val="22"/>
          <w:szCs w:val="22"/>
        </w:rPr>
        <w:t>1,17</w:t>
      </w:r>
      <w:r w:rsidR="004019E4" w:rsidRPr="002E2B5B">
        <w:rPr>
          <w:rFonts w:ascii="Calibri" w:hAnsi="Calibri" w:cs="Calibri"/>
          <w:sz w:val="22"/>
          <w:szCs w:val="22"/>
        </w:rPr>
        <w:t xml:space="preserve"> mil</w:t>
      </w:r>
      <w:r w:rsidR="00B92F90">
        <w:rPr>
          <w:rFonts w:ascii="Calibri" w:hAnsi="Calibri" w:cs="Calibri"/>
          <w:sz w:val="22"/>
          <w:szCs w:val="22"/>
        </w:rPr>
        <w:t>hões</w:t>
      </w:r>
      <w:r w:rsidR="004019E4" w:rsidRPr="002E2B5B">
        <w:rPr>
          <w:rFonts w:ascii="Calibri" w:hAnsi="Calibri" w:cs="Calibri"/>
          <w:sz w:val="22"/>
          <w:szCs w:val="22"/>
        </w:rPr>
        <w:t>,</w:t>
      </w:r>
      <w:r w:rsidRPr="002E2B5B">
        <w:rPr>
          <w:rFonts w:ascii="Calibri" w:hAnsi="Calibri" w:cs="Calibri"/>
          <w:sz w:val="22"/>
          <w:szCs w:val="22"/>
        </w:rPr>
        <w:t xml:space="preserve"> contempla a remuneração paga aos diretores e conselheiros. </w:t>
      </w:r>
    </w:p>
    <w:p w14:paraId="30E00AAD" w14:textId="77777777" w:rsidR="009C2095" w:rsidRPr="002E2B5B" w:rsidRDefault="009C2095" w:rsidP="002E2B5B">
      <w:pPr>
        <w:ind w:right="57"/>
        <w:jc w:val="both"/>
        <w:rPr>
          <w:rFonts w:ascii="Calibri" w:hAnsi="Calibri" w:cs="Calibri"/>
          <w:sz w:val="22"/>
          <w:szCs w:val="22"/>
        </w:rPr>
      </w:pPr>
    </w:p>
    <w:p w14:paraId="2F256334" w14:textId="77777777" w:rsidR="004E146F" w:rsidRPr="002E2B5B" w:rsidRDefault="00117714" w:rsidP="002E2B5B">
      <w:pPr>
        <w:ind w:right="-142"/>
        <w:rPr>
          <w:rFonts w:ascii="Calibri" w:hAnsi="Calibri" w:cs="Calibri"/>
          <w:b/>
          <w:sz w:val="22"/>
          <w:szCs w:val="22"/>
        </w:rPr>
      </w:pPr>
      <w:r w:rsidRPr="002E2B5B">
        <w:rPr>
          <w:rFonts w:ascii="Calibri" w:hAnsi="Calibri" w:cs="Calibri"/>
          <w:b/>
          <w:sz w:val="22"/>
          <w:szCs w:val="22"/>
        </w:rPr>
        <w:t xml:space="preserve">b) </w:t>
      </w:r>
      <w:r w:rsidR="00561E8E" w:rsidRPr="002E2B5B">
        <w:rPr>
          <w:rFonts w:ascii="Calibri" w:hAnsi="Calibri" w:cs="Calibri"/>
          <w:b/>
          <w:sz w:val="22"/>
          <w:szCs w:val="22"/>
        </w:rPr>
        <w:t>Recursos Recebidos para Pagamento de Investimento, Pessoal e Custeio</w:t>
      </w:r>
      <w:r w:rsidR="00954343" w:rsidRPr="002E2B5B">
        <w:rPr>
          <w:rFonts w:ascii="Calibri" w:hAnsi="Calibri" w:cs="Calibri"/>
          <w:b/>
          <w:sz w:val="22"/>
          <w:szCs w:val="22"/>
        </w:rPr>
        <w:t xml:space="preserve"> </w:t>
      </w:r>
    </w:p>
    <w:p w14:paraId="7B52DF0B" w14:textId="725E90C5" w:rsidR="006C2FC4" w:rsidRDefault="004E146F" w:rsidP="002E2B5B">
      <w:pPr>
        <w:spacing w:after="120"/>
        <w:ind w:right="57"/>
        <w:jc w:val="both"/>
        <w:rPr>
          <w:rFonts w:ascii="Calibri" w:hAnsi="Calibri" w:cs="Calibri"/>
          <w:sz w:val="22"/>
          <w:szCs w:val="22"/>
        </w:rPr>
      </w:pPr>
      <w:r w:rsidRPr="002E2B5B">
        <w:rPr>
          <w:rFonts w:ascii="Calibri" w:hAnsi="Calibri" w:cs="Calibri"/>
          <w:sz w:val="22"/>
          <w:szCs w:val="22"/>
        </w:rPr>
        <w:t xml:space="preserve">Os recursos recebidos da União (Cotas Financeiras Recebidas e Cotas Financeiras de Restos a Pagar Recebidas), </w:t>
      </w:r>
      <w:r w:rsidR="00432864">
        <w:rPr>
          <w:rFonts w:ascii="Calibri" w:hAnsi="Calibri" w:cs="Calibri"/>
          <w:sz w:val="22"/>
          <w:szCs w:val="22"/>
        </w:rPr>
        <w:t>no</w:t>
      </w:r>
      <w:r w:rsidR="00DE4DFB">
        <w:rPr>
          <w:rFonts w:ascii="Calibri" w:hAnsi="Calibri" w:cs="Calibri"/>
          <w:sz w:val="22"/>
          <w:szCs w:val="22"/>
        </w:rPr>
        <w:t xml:space="preserve"> ano de 2021, até o </w:t>
      </w:r>
      <w:r w:rsidR="00286BB6">
        <w:rPr>
          <w:rFonts w:ascii="Calibri" w:hAnsi="Calibri" w:cs="Calibri"/>
          <w:sz w:val="22"/>
          <w:szCs w:val="22"/>
        </w:rPr>
        <w:t>terceir</w:t>
      </w:r>
      <w:r w:rsidR="00DE4DFB">
        <w:rPr>
          <w:rFonts w:ascii="Calibri" w:hAnsi="Calibri" w:cs="Calibri"/>
          <w:sz w:val="22"/>
          <w:szCs w:val="22"/>
        </w:rPr>
        <w:t>o trimestre</w:t>
      </w:r>
      <w:r w:rsidR="00CA0F41" w:rsidRPr="002E2B5B">
        <w:rPr>
          <w:rFonts w:ascii="Calibri" w:hAnsi="Calibri" w:cs="Calibri"/>
          <w:sz w:val="22"/>
          <w:szCs w:val="22"/>
        </w:rPr>
        <w:t>,</w:t>
      </w:r>
      <w:r w:rsidRPr="002E2B5B">
        <w:rPr>
          <w:rFonts w:ascii="Calibri" w:hAnsi="Calibri" w:cs="Calibri"/>
          <w:sz w:val="22"/>
          <w:szCs w:val="22"/>
        </w:rPr>
        <w:t xml:space="preserve"> para pagamentos de investimentos, despesas com pessoal e custeio estão descritos abaixo:</w:t>
      </w:r>
    </w:p>
    <w:tbl>
      <w:tblPr>
        <w:tblW w:w="5000" w:type="pct"/>
        <w:tblCellMar>
          <w:left w:w="70" w:type="dxa"/>
          <w:right w:w="70" w:type="dxa"/>
        </w:tblCellMar>
        <w:tblLook w:val="04A0" w:firstRow="1" w:lastRow="0" w:firstColumn="1" w:lastColumn="0" w:noHBand="0" w:noVBand="1"/>
      </w:tblPr>
      <w:tblGrid>
        <w:gridCol w:w="6726"/>
        <w:gridCol w:w="469"/>
        <w:gridCol w:w="1608"/>
        <w:gridCol w:w="1664"/>
      </w:tblGrid>
      <w:tr w:rsidR="00DE4DFB" w14:paraId="18F6889A" w14:textId="77777777" w:rsidTr="00DE4DFB">
        <w:trPr>
          <w:trHeight w:hRule="exact" w:val="227"/>
        </w:trPr>
        <w:tc>
          <w:tcPr>
            <w:tcW w:w="3437" w:type="pct"/>
            <w:gridSpan w:val="2"/>
            <w:tcBorders>
              <w:top w:val="nil"/>
              <w:left w:val="nil"/>
              <w:bottom w:val="single" w:sz="8" w:space="0" w:color="auto"/>
              <w:right w:val="nil"/>
            </w:tcBorders>
            <w:shd w:val="clear" w:color="auto" w:fill="auto"/>
            <w:noWrap/>
            <w:vAlign w:val="center"/>
            <w:hideMark/>
          </w:tcPr>
          <w:p w14:paraId="0DE28258" w14:textId="77777777" w:rsidR="00DE4DFB" w:rsidRDefault="00DE4DFB">
            <w:pPr>
              <w:rPr>
                <w:rFonts w:ascii="Calibri" w:hAnsi="Calibri" w:cs="Calibri"/>
                <w:b/>
                <w:bCs/>
                <w:color w:val="000000"/>
                <w:sz w:val="16"/>
                <w:szCs w:val="16"/>
              </w:rPr>
            </w:pPr>
            <w:r>
              <w:rPr>
                <w:rFonts w:ascii="Calibri" w:hAnsi="Calibri" w:cs="Calibri"/>
                <w:b/>
                <w:bCs/>
                <w:color w:val="000000"/>
                <w:sz w:val="16"/>
                <w:szCs w:val="16"/>
              </w:rPr>
              <w:t xml:space="preserve">Recursos recebidos para pagamento de investimento, pessoal e custeio </w:t>
            </w:r>
          </w:p>
        </w:tc>
        <w:tc>
          <w:tcPr>
            <w:tcW w:w="768" w:type="pct"/>
            <w:tcBorders>
              <w:top w:val="nil"/>
              <w:left w:val="nil"/>
              <w:bottom w:val="single" w:sz="8" w:space="0" w:color="auto"/>
              <w:right w:val="nil"/>
            </w:tcBorders>
            <w:shd w:val="clear" w:color="auto" w:fill="auto"/>
            <w:noWrap/>
            <w:vAlign w:val="center"/>
            <w:hideMark/>
          </w:tcPr>
          <w:p w14:paraId="45AF1880" w14:textId="55EF780E" w:rsidR="00DE4DFB" w:rsidRDefault="00DE4DFB">
            <w:pPr>
              <w:jc w:val="right"/>
              <w:rPr>
                <w:rFonts w:ascii="Calibri" w:hAnsi="Calibri" w:cs="Calibri"/>
                <w:b/>
                <w:bCs/>
                <w:color w:val="000000"/>
                <w:sz w:val="16"/>
                <w:szCs w:val="16"/>
              </w:rPr>
            </w:pPr>
            <w:r>
              <w:rPr>
                <w:rFonts w:ascii="Calibri" w:hAnsi="Calibri" w:cs="Calibri"/>
                <w:b/>
                <w:bCs/>
                <w:color w:val="000000"/>
                <w:sz w:val="16"/>
                <w:szCs w:val="16"/>
              </w:rPr>
              <w:t>30/0</w:t>
            </w:r>
            <w:r w:rsidR="00286BB6">
              <w:rPr>
                <w:rFonts w:ascii="Calibri" w:hAnsi="Calibri" w:cs="Calibri"/>
                <w:b/>
                <w:bCs/>
                <w:color w:val="000000"/>
                <w:sz w:val="16"/>
                <w:szCs w:val="16"/>
              </w:rPr>
              <w:t>9</w:t>
            </w:r>
            <w:r>
              <w:rPr>
                <w:rFonts w:ascii="Calibri" w:hAnsi="Calibri" w:cs="Calibri"/>
                <w:b/>
                <w:bCs/>
                <w:color w:val="000000"/>
                <w:sz w:val="16"/>
                <w:szCs w:val="16"/>
              </w:rPr>
              <w:t>/2021</w:t>
            </w:r>
          </w:p>
        </w:tc>
        <w:tc>
          <w:tcPr>
            <w:tcW w:w="795" w:type="pct"/>
            <w:tcBorders>
              <w:top w:val="nil"/>
              <w:left w:val="nil"/>
              <w:bottom w:val="single" w:sz="8" w:space="0" w:color="auto"/>
              <w:right w:val="nil"/>
            </w:tcBorders>
            <w:shd w:val="clear" w:color="auto" w:fill="auto"/>
            <w:vAlign w:val="center"/>
            <w:hideMark/>
          </w:tcPr>
          <w:p w14:paraId="694BB89F" w14:textId="73E55ABE" w:rsidR="00DE4DFB" w:rsidRPr="00D05194" w:rsidRDefault="00DE4DFB">
            <w:pPr>
              <w:jc w:val="right"/>
              <w:rPr>
                <w:rFonts w:ascii="Calibri" w:hAnsi="Calibri" w:cs="Calibri"/>
                <w:b/>
                <w:bCs/>
                <w:color w:val="000000"/>
                <w:sz w:val="16"/>
                <w:szCs w:val="16"/>
              </w:rPr>
            </w:pPr>
            <w:r w:rsidRPr="00D05194">
              <w:rPr>
                <w:rFonts w:ascii="Calibri" w:hAnsi="Calibri" w:cs="Calibri"/>
                <w:b/>
                <w:bCs/>
                <w:color w:val="000000"/>
                <w:sz w:val="16"/>
                <w:szCs w:val="16"/>
              </w:rPr>
              <w:t>30/0</w:t>
            </w:r>
            <w:r w:rsidR="00286BB6" w:rsidRPr="00D05194">
              <w:rPr>
                <w:rFonts w:ascii="Calibri" w:hAnsi="Calibri" w:cs="Calibri"/>
                <w:b/>
                <w:bCs/>
                <w:color w:val="000000"/>
                <w:sz w:val="16"/>
                <w:szCs w:val="16"/>
              </w:rPr>
              <w:t>9</w:t>
            </w:r>
            <w:r w:rsidRPr="00D05194">
              <w:rPr>
                <w:rFonts w:ascii="Calibri" w:hAnsi="Calibri" w:cs="Calibri"/>
                <w:b/>
                <w:bCs/>
                <w:color w:val="000000"/>
                <w:sz w:val="16"/>
                <w:szCs w:val="16"/>
              </w:rPr>
              <w:t>/2020</w:t>
            </w:r>
          </w:p>
        </w:tc>
      </w:tr>
      <w:tr w:rsidR="00DE4DFB" w14:paraId="3C5930D5" w14:textId="77777777" w:rsidTr="00DE4DFB">
        <w:trPr>
          <w:trHeight w:hRule="exact" w:val="227"/>
        </w:trPr>
        <w:tc>
          <w:tcPr>
            <w:tcW w:w="3213" w:type="pct"/>
            <w:tcBorders>
              <w:top w:val="nil"/>
              <w:left w:val="nil"/>
              <w:bottom w:val="nil"/>
              <w:right w:val="nil"/>
            </w:tcBorders>
            <w:shd w:val="clear" w:color="auto" w:fill="auto"/>
            <w:noWrap/>
            <w:vAlign w:val="center"/>
            <w:hideMark/>
          </w:tcPr>
          <w:p w14:paraId="44E33172" w14:textId="77777777" w:rsidR="00DE4DFB" w:rsidRDefault="00DE4DFB">
            <w:pPr>
              <w:rPr>
                <w:rFonts w:ascii="Calibri" w:hAnsi="Calibri" w:cs="Calibri"/>
                <w:color w:val="000000"/>
                <w:sz w:val="16"/>
                <w:szCs w:val="16"/>
              </w:rPr>
            </w:pPr>
            <w:r>
              <w:rPr>
                <w:rFonts w:ascii="Calibri" w:hAnsi="Calibri" w:cs="Calibri"/>
                <w:color w:val="000000"/>
                <w:sz w:val="16"/>
                <w:szCs w:val="16"/>
              </w:rPr>
              <w:t>Custeio</w:t>
            </w:r>
          </w:p>
        </w:tc>
        <w:tc>
          <w:tcPr>
            <w:tcW w:w="224" w:type="pct"/>
            <w:tcBorders>
              <w:top w:val="nil"/>
              <w:left w:val="nil"/>
              <w:bottom w:val="nil"/>
              <w:right w:val="nil"/>
            </w:tcBorders>
            <w:shd w:val="clear" w:color="auto" w:fill="auto"/>
            <w:noWrap/>
            <w:vAlign w:val="center"/>
            <w:hideMark/>
          </w:tcPr>
          <w:p w14:paraId="5AECB06A" w14:textId="77777777" w:rsidR="00DE4DFB" w:rsidRDefault="00DE4DFB">
            <w:pPr>
              <w:rPr>
                <w:rFonts w:ascii="Calibri" w:hAnsi="Calibri" w:cs="Calibri"/>
                <w:color w:val="000000"/>
                <w:sz w:val="16"/>
                <w:szCs w:val="16"/>
              </w:rPr>
            </w:pPr>
          </w:p>
        </w:tc>
        <w:tc>
          <w:tcPr>
            <w:tcW w:w="768" w:type="pct"/>
            <w:tcBorders>
              <w:top w:val="nil"/>
              <w:left w:val="nil"/>
              <w:bottom w:val="nil"/>
              <w:right w:val="nil"/>
            </w:tcBorders>
            <w:shd w:val="clear" w:color="auto" w:fill="auto"/>
            <w:vAlign w:val="center"/>
            <w:hideMark/>
          </w:tcPr>
          <w:p w14:paraId="4538AFB8" w14:textId="7D62C2C1" w:rsidR="00DE4DFB" w:rsidRDefault="00286BB6">
            <w:pPr>
              <w:jc w:val="right"/>
              <w:rPr>
                <w:rFonts w:ascii="Calibri" w:hAnsi="Calibri" w:cs="Calibri"/>
                <w:color w:val="000000"/>
                <w:sz w:val="16"/>
                <w:szCs w:val="16"/>
              </w:rPr>
            </w:pPr>
            <w:r>
              <w:rPr>
                <w:rFonts w:ascii="Calibri" w:hAnsi="Calibri" w:cs="Calibri"/>
                <w:color w:val="000000"/>
                <w:sz w:val="16"/>
                <w:szCs w:val="16"/>
              </w:rPr>
              <w:t>19.448.377</w:t>
            </w:r>
          </w:p>
        </w:tc>
        <w:tc>
          <w:tcPr>
            <w:tcW w:w="795" w:type="pct"/>
            <w:tcBorders>
              <w:top w:val="nil"/>
              <w:left w:val="nil"/>
              <w:bottom w:val="nil"/>
              <w:right w:val="nil"/>
            </w:tcBorders>
            <w:shd w:val="clear" w:color="auto" w:fill="auto"/>
            <w:vAlign w:val="center"/>
            <w:hideMark/>
          </w:tcPr>
          <w:p w14:paraId="2AB9FE30" w14:textId="04BB70F1" w:rsidR="00DE4DFB" w:rsidRPr="00D05194" w:rsidRDefault="00D05194">
            <w:pPr>
              <w:jc w:val="right"/>
              <w:rPr>
                <w:rFonts w:ascii="Calibri" w:hAnsi="Calibri" w:cs="Calibri"/>
                <w:color w:val="000000"/>
                <w:sz w:val="16"/>
                <w:szCs w:val="16"/>
              </w:rPr>
            </w:pPr>
            <w:r>
              <w:rPr>
                <w:rFonts w:ascii="Calibri" w:hAnsi="Calibri" w:cs="Calibri"/>
                <w:color w:val="000000"/>
                <w:sz w:val="16"/>
                <w:szCs w:val="16"/>
              </w:rPr>
              <w:t>24.100.358</w:t>
            </w:r>
          </w:p>
        </w:tc>
      </w:tr>
      <w:tr w:rsidR="00DE4DFB" w14:paraId="24072D40" w14:textId="77777777" w:rsidTr="00DE4DFB">
        <w:trPr>
          <w:trHeight w:hRule="exact" w:val="227"/>
        </w:trPr>
        <w:tc>
          <w:tcPr>
            <w:tcW w:w="3213" w:type="pct"/>
            <w:tcBorders>
              <w:top w:val="nil"/>
              <w:left w:val="nil"/>
              <w:bottom w:val="nil"/>
              <w:right w:val="nil"/>
            </w:tcBorders>
            <w:shd w:val="clear" w:color="auto" w:fill="auto"/>
            <w:noWrap/>
            <w:vAlign w:val="center"/>
            <w:hideMark/>
          </w:tcPr>
          <w:p w14:paraId="44B33A77" w14:textId="77777777" w:rsidR="00DE4DFB" w:rsidRDefault="00DE4DFB">
            <w:pPr>
              <w:rPr>
                <w:rFonts w:ascii="Calibri" w:hAnsi="Calibri" w:cs="Calibri"/>
                <w:color w:val="000000"/>
                <w:sz w:val="16"/>
                <w:szCs w:val="16"/>
              </w:rPr>
            </w:pPr>
            <w:r>
              <w:rPr>
                <w:rFonts w:ascii="Calibri" w:hAnsi="Calibri" w:cs="Calibri"/>
                <w:color w:val="000000"/>
                <w:sz w:val="16"/>
                <w:szCs w:val="16"/>
              </w:rPr>
              <w:t>Pessoal</w:t>
            </w:r>
          </w:p>
        </w:tc>
        <w:tc>
          <w:tcPr>
            <w:tcW w:w="224" w:type="pct"/>
            <w:tcBorders>
              <w:top w:val="nil"/>
              <w:left w:val="nil"/>
              <w:bottom w:val="nil"/>
              <w:right w:val="nil"/>
            </w:tcBorders>
            <w:shd w:val="clear" w:color="auto" w:fill="auto"/>
            <w:noWrap/>
            <w:vAlign w:val="center"/>
            <w:hideMark/>
          </w:tcPr>
          <w:p w14:paraId="2AD6ADF7" w14:textId="77777777" w:rsidR="00DE4DFB" w:rsidRDefault="00DE4DFB">
            <w:pPr>
              <w:rPr>
                <w:rFonts w:ascii="Calibri" w:hAnsi="Calibri" w:cs="Calibri"/>
                <w:color w:val="000000"/>
                <w:sz w:val="16"/>
                <w:szCs w:val="16"/>
              </w:rPr>
            </w:pPr>
          </w:p>
        </w:tc>
        <w:tc>
          <w:tcPr>
            <w:tcW w:w="768" w:type="pct"/>
            <w:tcBorders>
              <w:top w:val="nil"/>
              <w:left w:val="nil"/>
              <w:bottom w:val="nil"/>
              <w:right w:val="nil"/>
            </w:tcBorders>
            <w:shd w:val="clear" w:color="auto" w:fill="auto"/>
            <w:vAlign w:val="center"/>
            <w:hideMark/>
          </w:tcPr>
          <w:p w14:paraId="08DCA231" w14:textId="4CB798A7" w:rsidR="00DE4DFB" w:rsidRDefault="00286BB6">
            <w:pPr>
              <w:jc w:val="right"/>
              <w:rPr>
                <w:rFonts w:ascii="Calibri" w:hAnsi="Calibri" w:cs="Calibri"/>
                <w:color w:val="000000"/>
                <w:sz w:val="16"/>
                <w:szCs w:val="16"/>
              </w:rPr>
            </w:pPr>
            <w:r>
              <w:rPr>
                <w:rFonts w:ascii="Calibri" w:hAnsi="Calibri" w:cs="Calibri"/>
                <w:color w:val="000000"/>
                <w:sz w:val="16"/>
                <w:szCs w:val="16"/>
              </w:rPr>
              <w:t>82.952.77</w:t>
            </w:r>
            <w:r w:rsidR="00891D85">
              <w:rPr>
                <w:rFonts w:ascii="Calibri" w:hAnsi="Calibri" w:cs="Calibri"/>
                <w:color w:val="000000"/>
                <w:sz w:val="16"/>
                <w:szCs w:val="16"/>
              </w:rPr>
              <w:t>7</w:t>
            </w:r>
          </w:p>
        </w:tc>
        <w:tc>
          <w:tcPr>
            <w:tcW w:w="795" w:type="pct"/>
            <w:tcBorders>
              <w:top w:val="nil"/>
              <w:left w:val="nil"/>
              <w:bottom w:val="nil"/>
              <w:right w:val="nil"/>
            </w:tcBorders>
            <w:shd w:val="clear" w:color="auto" w:fill="auto"/>
            <w:vAlign w:val="center"/>
            <w:hideMark/>
          </w:tcPr>
          <w:p w14:paraId="1346F3E4" w14:textId="00C2F23F" w:rsidR="00DE4DFB" w:rsidRPr="00D05194" w:rsidRDefault="00D05194">
            <w:pPr>
              <w:jc w:val="right"/>
              <w:rPr>
                <w:rFonts w:ascii="Calibri" w:hAnsi="Calibri" w:cs="Calibri"/>
                <w:color w:val="000000"/>
                <w:sz w:val="16"/>
                <w:szCs w:val="16"/>
              </w:rPr>
            </w:pPr>
            <w:r>
              <w:rPr>
                <w:rFonts w:ascii="Calibri" w:hAnsi="Calibri" w:cs="Calibri"/>
                <w:color w:val="000000"/>
                <w:sz w:val="16"/>
                <w:szCs w:val="16"/>
              </w:rPr>
              <w:t>75.552.245</w:t>
            </w:r>
          </w:p>
        </w:tc>
      </w:tr>
      <w:tr w:rsidR="00DE4DFB" w14:paraId="4985527E" w14:textId="77777777" w:rsidTr="00DE4DFB">
        <w:trPr>
          <w:trHeight w:hRule="exact" w:val="227"/>
        </w:trPr>
        <w:tc>
          <w:tcPr>
            <w:tcW w:w="3437" w:type="pct"/>
            <w:gridSpan w:val="2"/>
            <w:tcBorders>
              <w:top w:val="nil"/>
              <w:left w:val="nil"/>
              <w:bottom w:val="single" w:sz="8" w:space="0" w:color="auto"/>
              <w:right w:val="nil"/>
            </w:tcBorders>
            <w:shd w:val="clear" w:color="auto" w:fill="auto"/>
            <w:noWrap/>
            <w:vAlign w:val="center"/>
            <w:hideMark/>
          </w:tcPr>
          <w:p w14:paraId="425FA54D" w14:textId="77777777" w:rsidR="00DE4DFB" w:rsidRDefault="00DE4DFB">
            <w:pPr>
              <w:rPr>
                <w:rFonts w:ascii="Calibri" w:hAnsi="Calibri" w:cs="Calibri"/>
                <w:color w:val="000000"/>
                <w:sz w:val="16"/>
                <w:szCs w:val="16"/>
              </w:rPr>
            </w:pPr>
            <w:r>
              <w:rPr>
                <w:rFonts w:ascii="Calibri" w:hAnsi="Calibri" w:cs="Calibri"/>
                <w:color w:val="000000"/>
                <w:sz w:val="16"/>
                <w:szCs w:val="16"/>
              </w:rPr>
              <w:t>Investimento</w:t>
            </w:r>
          </w:p>
        </w:tc>
        <w:tc>
          <w:tcPr>
            <w:tcW w:w="768" w:type="pct"/>
            <w:tcBorders>
              <w:top w:val="nil"/>
              <w:left w:val="nil"/>
              <w:bottom w:val="single" w:sz="8" w:space="0" w:color="auto"/>
              <w:right w:val="nil"/>
            </w:tcBorders>
            <w:shd w:val="clear" w:color="auto" w:fill="auto"/>
            <w:noWrap/>
            <w:vAlign w:val="bottom"/>
            <w:hideMark/>
          </w:tcPr>
          <w:p w14:paraId="6A554586" w14:textId="5BCF2E9F" w:rsidR="00DE4DFB" w:rsidRDefault="00286BB6">
            <w:pPr>
              <w:jc w:val="right"/>
              <w:rPr>
                <w:rFonts w:ascii="Calibri" w:hAnsi="Calibri" w:cs="Calibri"/>
                <w:color w:val="000000"/>
                <w:sz w:val="16"/>
                <w:szCs w:val="16"/>
              </w:rPr>
            </w:pPr>
            <w:r>
              <w:rPr>
                <w:rFonts w:ascii="Calibri" w:hAnsi="Calibri" w:cs="Calibri"/>
                <w:color w:val="000000"/>
                <w:sz w:val="16"/>
                <w:szCs w:val="16"/>
              </w:rPr>
              <w:t>277.743.872</w:t>
            </w:r>
          </w:p>
        </w:tc>
        <w:tc>
          <w:tcPr>
            <w:tcW w:w="795" w:type="pct"/>
            <w:tcBorders>
              <w:top w:val="nil"/>
              <w:left w:val="nil"/>
              <w:bottom w:val="single" w:sz="8" w:space="0" w:color="auto"/>
              <w:right w:val="nil"/>
            </w:tcBorders>
            <w:shd w:val="clear" w:color="auto" w:fill="auto"/>
            <w:vAlign w:val="center"/>
            <w:hideMark/>
          </w:tcPr>
          <w:p w14:paraId="64591B9D" w14:textId="77C8D00A" w:rsidR="00DE4DFB" w:rsidRPr="00D05194" w:rsidRDefault="0050041E">
            <w:pPr>
              <w:jc w:val="right"/>
              <w:rPr>
                <w:rFonts w:ascii="Calibri" w:hAnsi="Calibri" w:cs="Calibri"/>
                <w:color w:val="000000"/>
                <w:sz w:val="16"/>
                <w:szCs w:val="16"/>
              </w:rPr>
            </w:pPr>
            <w:r>
              <w:rPr>
                <w:rFonts w:ascii="Calibri" w:hAnsi="Calibri" w:cs="Calibri"/>
                <w:color w:val="000000"/>
                <w:sz w:val="16"/>
                <w:szCs w:val="16"/>
              </w:rPr>
              <w:t>236.267.310</w:t>
            </w:r>
          </w:p>
        </w:tc>
      </w:tr>
      <w:tr w:rsidR="00DE4DFB" w14:paraId="1E983133" w14:textId="77777777" w:rsidTr="00DE4DFB">
        <w:trPr>
          <w:trHeight w:hRule="exact" w:val="227"/>
        </w:trPr>
        <w:tc>
          <w:tcPr>
            <w:tcW w:w="3437" w:type="pct"/>
            <w:gridSpan w:val="2"/>
            <w:tcBorders>
              <w:top w:val="nil"/>
              <w:left w:val="nil"/>
              <w:bottom w:val="single" w:sz="8" w:space="0" w:color="auto"/>
              <w:right w:val="nil"/>
            </w:tcBorders>
            <w:shd w:val="clear" w:color="auto" w:fill="auto"/>
            <w:noWrap/>
            <w:vAlign w:val="center"/>
            <w:hideMark/>
          </w:tcPr>
          <w:p w14:paraId="1ABA7A4D" w14:textId="77777777" w:rsidR="00DE4DFB" w:rsidRDefault="00DE4DFB">
            <w:pPr>
              <w:rPr>
                <w:rFonts w:ascii="Calibri" w:hAnsi="Calibri" w:cs="Calibri"/>
                <w:b/>
                <w:bCs/>
                <w:color w:val="000000"/>
                <w:sz w:val="16"/>
                <w:szCs w:val="16"/>
              </w:rPr>
            </w:pPr>
            <w:r>
              <w:rPr>
                <w:rFonts w:ascii="Calibri" w:hAnsi="Calibri" w:cs="Calibri"/>
                <w:b/>
                <w:bCs/>
                <w:color w:val="000000"/>
                <w:sz w:val="16"/>
                <w:szCs w:val="16"/>
              </w:rPr>
              <w:t>TOTAL GERAL</w:t>
            </w:r>
          </w:p>
        </w:tc>
        <w:tc>
          <w:tcPr>
            <w:tcW w:w="768" w:type="pct"/>
            <w:tcBorders>
              <w:top w:val="nil"/>
              <w:left w:val="nil"/>
              <w:bottom w:val="single" w:sz="8" w:space="0" w:color="auto"/>
              <w:right w:val="nil"/>
            </w:tcBorders>
            <w:shd w:val="clear" w:color="auto" w:fill="auto"/>
            <w:noWrap/>
            <w:vAlign w:val="center"/>
            <w:hideMark/>
          </w:tcPr>
          <w:p w14:paraId="7EF29D3B" w14:textId="448E4B4D" w:rsidR="00DE4DFB" w:rsidRDefault="00286BB6">
            <w:pPr>
              <w:jc w:val="right"/>
              <w:rPr>
                <w:rFonts w:ascii="Calibri" w:hAnsi="Calibri" w:cs="Calibri"/>
                <w:b/>
                <w:bCs/>
                <w:color w:val="000000"/>
                <w:sz w:val="16"/>
                <w:szCs w:val="16"/>
              </w:rPr>
            </w:pPr>
            <w:r>
              <w:rPr>
                <w:rFonts w:ascii="Calibri" w:hAnsi="Calibri" w:cs="Calibri"/>
                <w:b/>
                <w:bCs/>
                <w:color w:val="000000"/>
                <w:sz w:val="16"/>
                <w:szCs w:val="16"/>
              </w:rPr>
              <w:t>380.145.02</w:t>
            </w:r>
            <w:r w:rsidR="00891D85">
              <w:rPr>
                <w:rFonts w:ascii="Calibri" w:hAnsi="Calibri" w:cs="Calibri"/>
                <w:b/>
                <w:bCs/>
                <w:color w:val="000000"/>
                <w:sz w:val="16"/>
                <w:szCs w:val="16"/>
              </w:rPr>
              <w:t>6</w:t>
            </w:r>
          </w:p>
        </w:tc>
        <w:tc>
          <w:tcPr>
            <w:tcW w:w="795" w:type="pct"/>
            <w:tcBorders>
              <w:top w:val="nil"/>
              <w:left w:val="nil"/>
              <w:bottom w:val="single" w:sz="8" w:space="0" w:color="auto"/>
              <w:right w:val="nil"/>
            </w:tcBorders>
            <w:shd w:val="clear" w:color="auto" w:fill="auto"/>
            <w:noWrap/>
            <w:vAlign w:val="center"/>
            <w:hideMark/>
          </w:tcPr>
          <w:p w14:paraId="3C86E8A7" w14:textId="11DA3546" w:rsidR="00DE4DFB" w:rsidRPr="00D05194" w:rsidRDefault="00D05194">
            <w:pPr>
              <w:jc w:val="right"/>
              <w:rPr>
                <w:rFonts w:ascii="Calibri" w:hAnsi="Calibri" w:cs="Calibri"/>
                <w:b/>
                <w:bCs/>
                <w:color w:val="000000"/>
                <w:sz w:val="16"/>
                <w:szCs w:val="16"/>
              </w:rPr>
            </w:pPr>
            <w:r>
              <w:rPr>
                <w:rFonts w:ascii="Calibri" w:hAnsi="Calibri" w:cs="Calibri"/>
                <w:b/>
                <w:bCs/>
                <w:color w:val="000000"/>
                <w:sz w:val="16"/>
                <w:szCs w:val="16"/>
              </w:rPr>
              <w:t>335.</w:t>
            </w:r>
            <w:r w:rsidR="0050041E">
              <w:rPr>
                <w:rFonts w:ascii="Calibri" w:hAnsi="Calibri" w:cs="Calibri"/>
                <w:b/>
                <w:bCs/>
                <w:color w:val="000000"/>
                <w:sz w:val="16"/>
                <w:szCs w:val="16"/>
              </w:rPr>
              <w:t>9</w:t>
            </w:r>
            <w:r>
              <w:rPr>
                <w:rFonts w:ascii="Calibri" w:hAnsi="Calibri" w:cs="Calibri"/>
                <w:b/>
                <w:bCs/>
                <w:color w:val="000000"/>
                <w:sz w:val="16"/>
                <w:szCs w:val="16"/>
              </w:rPr>
              <w:t>19.913</w:t>
            </w:r>
          </w:p>
        </w:tc>
      </w:tr>
    </w:tbl>
    <w:p w14:paraId="7CB8E9F9" w14:textId="77777777" w:rsidR="00DE4DFB" w:rsidRPr="002E2B5B" w:rsidRDefault="00DE4DFB" w:rsidP="002E2B5B">
      <w:pPr>
        <w:ind w:right="-142"/>
        <w:rPr>
          <w:rFonts w:ascii="Calibri" w:hAnsi="Calibri" w:cs="Calibri"/>
          <w:b/>
          <w:sz w:val="22"/>
          <w:szCs w:val="22"/>
        </w:rPr>
      </w:pPr>
    </w:p>
    <w:p w14:paraId="72FBF3BC" w14:textId="399D875B" w:rsidR="00B57AAF" w:rsidRPr="002E2B5B" w:rsidRDefault="00117714" w:rsidP="002E2B5B">
      <w:pPr>
        <w:ind w:right="-142"/>
        <w:rPr>
          <w:rFonts w:ascii="Calibri" w:hAnsi="Calibri" w:cs="Calibri"/>
          <w:sz w:val="22"/>
          <w:szCs w:val="22"/>
        </w:rPr>
      </w:pPr>
      <w:r w:rsidRPr="002E2B5B">
        <w:rPr>
          <w:rFonts w:ascii="Calibri" w:hAnsi="Calibri" w:cs="Calibri"/>
          <w:b/>
          <w:sz w:val="22"/>
          <w:szCs w:val="22"/>
        </w:rPr>
        <w:t xml:space="preserve">c) </w:t>
      </w:r>
      <w:r w:rsidR="00B57AAF" w:rsidRPr="002E2B5B">
        <w:rPr>
          <w:rFonts w:ascii="Calibri" w:hAnsi="Calibri" w:cs="Calibri"/>
          <w:b/>
          <w:sz w:val="22"/>
          <w:szCs w:val="22"/>
        </w:rPr>
        <w:t xml:space="preserve">Aplicação dos Recursos </w:t>
      </w:r>
    </w:p>
    <w:p w14:paraId="741E2CCA" w14:textId="3CF246A3" w:rsidR="00DE4DFB" w:rsidRDefault="002159E4" w:rsidP="002E2B5B">
      <w:pPr>
        <w:ind w:right="57"/>
        <w:jc w:val="both"/>
        <w:rPr>
          <w:rFonts w:ascii="Calibri" w:hAnsi="Calibri" w:cs="Calibri"/>
          <w:sz w:val="22"/>
          <w:szCs w:val="22"/>
        </w:rPr>
      </w:pPr>
      <w:r w:rsidRPr="002E2B5B">
        <w:rPr>
          <w:rFonts w:ascii="Calibri" w:hAnsi="Calibri" w:cs="Calibri"/>
          <w:sz w:val="22"/>
          <w:szCs w:val="22"/>
        </w:rPr>
        <w:t>P</w:t>
      </w:r>
      <w:r w:rsidR="00B57AAF" w:rsidRPr="002E2B5B">
        <w:rPr>
          <w:rFonts w:ascii="Calibri" w:hAnsi="Calibri" w:cs="Calibri"/>
          <w:sz w:val="22"/>
          <w:szCs w:val="22"/>
        </w:rPr>
        <w:t>or meio da Dotação Orçamentária d</w:t>
      </w:r>
      <w:r w:rsidR="00352C7D">
        <w:rPr>
          <w:rFonts w:ascii="Calibri" w:hAnsi="Calibri" w:cs="Calibri"/>
          <w:sz w:val="22"/>
          <w:szCs w:val="22"/>
        </w:rPr>
        <w:t xml:space="preserve">e </w:t>
      </w:r>
      <w:r w:rsidR="00B57AAF" w:rsidRPr="002E2B5B">
        <w:rPr>
          <w:rFonts w:ascii="Calibri" w:hAnsi="Calibri" w:cs="Calibri"/>
          <w:sz w:val="22"/>
          <w:szCs w:val="22"/>
        </w:rPr>
        <w:t>20</w:t>
      </w:r>
      <w:r w:rsidR="003022B9" w:rsidRPr="002E2B5B">
        <w:rPr>
          <w:rFonts w:ascii="Calibri" w:hAnsi="Calibri" w:cs="Calibri"/>
          <w:sz w:val="22"/>
          <w:szCs w:val="22"/>
        </w:rPr>
        <w:t>2</w:t>
      </w:r>
      <w:r w:rsidR="00352C7D">
        <w:rPr>
          <w:rFonts w:ascii="Calibri" w:hAnsi="Calibri" w:cs="Calibri"/>
          <w:sz w:val="22"/>
          <w:szCs w:val="22"/>
        </w:rPr>
        <w:t>1</w:t>
      </w:r>
      <w:r w:rsidR="00B57AAF" w:rsidRPr="002E2B5B">
        <w:rPr>
          <w:rFonts w:ascii="Calibri" w:hAnsi="Calibri" w:cs="Calibri"/>
          <w:sz w:val="22"/>
          <w:szCs w:val="22"/>
        </w:rPr>
        <w:t xml:space="preserve">, </w:t>
      </w:r>
      <w:r w:rsidR="008B40D3" w:rsidRPr="002E2B5B">
        <w:rPr>
          <w:rFonts w:ascii="Calibri" w:hAnsi="Calibri" w:cs="Calibri"/>
          <w:sz w:val="22"/>
          <w:szCs w:val="22"/>
        </w:rPr>
        <w:t>com base no Sistema Integrado de Planejamento e Orçamento</w:t>
      </w:r>
      <w:r w:rsidR="008F6432" w:rsidRPr="002E2B5B">
        <w:rPr>
          <w:rFonts w:ascii="Calibri" w:hAnsi="Calibri" w:cs="Calibri"/>
          <w:sz w:val="22"/>
          <w:szCs w:val="22"/>
        </w:rPr>
        <w:t xml:space="preserve"> (</w:t>
      </w:r>
      <w:r w:rsidR="00BF55E8" w:rsidRPr="002E2B5B">
        <w:rPr>
          <w:rFonts w:ascii="Calibri" w:hAnsi="Calibri" w:cs="Calibri"/>
          <w:sz w:val="22"/>
          <w:szCs w:val="22"/>
        </w:rPr>
        <w:t>SIOP</w:t>
      </w:r>
      <w:r w:rsidR="008F6432" w:rsidRPr="002E2B5B">
        <w:rPr>
          <w:rFonts w:ascii="Calibri" w:hAnsi="Calibri" w:cs="Calibri"/>
          <w:sz w:val="22"/>
          <w:szCs w:val="22"/>
        </w:rPr>
        <w:t>)</w:t>
      </w:r>
      <w:r w:rsidR="008B40D3" w:rsidRPr="002E2B5B">
        <w:rPr>
          <w:rFonts w:ascii="Calibri" w:hAnsi="Calibri" w:cs="Calibri"/>
          <w:sz w:val="22"/>
          <w:szCs w:val="22"/>
        </w:rPr>
        <w:t xml:space="preserve">, </w:t>
      </w:r>
      <w:r w:rsidR="00B57AAF" w:rsidRPr="002E2B5B">
        <w:rPr>
          <w:rFonts w:ascii="Calibri" w:hAnsi="Calibri" w:cs="Calibri"/>
          <w:sz w:val="22"/>
          <w:szCs w:val="22"/>
        </w:rPr>
        <w:t>foram aplicados os seguintes recursos</w:t>
      </w:r>
      <w:r w:rsidR="00352C7D">
        <w:rPr>
          <w:rFonts w:ascii="Calibri" w:hAnsi="Calibri" w:cs="Calibri"/>
          <w:sz w:val="22"/>
          <w:szCs w:val="22"/>
        </w:rPr>
        <w:t xml:space="preserve"> </w:t>
      </w:r>
      <w:r w:rsidR="00DE4DFB">
        <w:rPr>
          <w:rFonts w:ascii="Calibri" w:hAnsi="Calibri" w:cs="Calibri"/>
          <w:sz w:val="22"/>
          <w:szCs w:val="22"/>
        </w:rPr>
        <w:t xml:space="preserve">até o </w:t>
      </w:r>
      <w:r w:rsidR="00286BB6">
        <w:rPr>
          <w:rFonts w:ascii="Calibri" w:hAnsi="Calibri" w:cs="Calibri"/>
          <w:sz w:val="22"/>
          <w:szCs w:val="22"/>
        </w:rPr>
        <w:t>terceir</w:t>
      </w:r>
      <w:r w:rsidR="00DE4DFB">
        <w:rPr>
          <w:rFonts w:ascii="Calibri" w:hAnsi="Calibri" w:cs="Calibri"/>
          <w:sz w:val="22"/>
          <w:szCs w:val="22"/>
        </w:rPr>
        <w:t>o trimestre</w:t>
      </w:r>
      <w:r w:rsidR="00860ECA" w:rsidRPr="002E2B5B">
        <w:rPr>
          <w:rFonts w:ascii="Calibri" w:hAnsi="Calibri" w:cs="Calibri"/>
          <w:sz w:val="22"/>
          <w:szCs w:val="22"/>
        </w:rPr>
        <w:t xml:space="preserve">: </w:t>
      </w:r>
    </w:p>
    <w:p w14:paraId="7E6817D4" w14:textId="77777777" w:rsidR="00473D2F" w:rsidRPr="002E2B5B" w:rsidRDefault="00473D2F" w:rsidP="002E2B5B">
      <w:pPr>
        <w:ind w:right="57"/>
        <w:jc w:val="both"/>
        <w:rPr>
          <w:rFonts w:ascii="Calibri" w:hAnsi="Calibri" w:cs="Calibri"/>
          <w:sz w:val="22"/>
          <w:szCs w:val="22"/>
        </w:rPr>
      </w:pPr>
    </w:p>
    <w:tbl>
      <w:tblPr>
        <w:tblW w:w="5000" w:type="pct"/>
        <w:tblCellMar>
          <w:left w:w="70" w:type="dxa"/>
          <w:right w:w="70" w:type="dxa"/>
        </w:tblCellMar>
        <w:tblLook w:val="04A0" w:firstRow="1" w:lastRow="0" w:firstColumn="1" w:lastColumn="0" w:noHBand="0" w:noVBand="1"/>
      </w:tblPr>
      <w:tblGrid>
        <w:gridCol w:w="2241"/>
        <w:gridCol w:w="2212"/>
        <w:gridCol w:w="1871"/>
        <w:gridCol w:w="1811"/>
        <w:gridCol w:w="2332"/>
      </w:tblGrid>
      <w:tr w:rsidR="00473D2F" w14:paraId="4B6253C4" w14:textId="77777777" w:rsidTr="00473D2F">
        <w:trPr>
          <w:trHeight w:hRule="exact" w:val="227"/>
        </w:trPr>
        <w:tc>
          <w:tcPr>
            <w:tcW w:w="1070" w:type="pct"/>
            <w:tcBorders>
              <w:top w:val="nil"/>
              <w:left w:val="nil"/>
              <w:bottom w:val="single" w:sz="8" w:space="0" w:color="auto"/>
              <w:right w:val="nil"/>
            </w:tcBorders>
            <w:shd w:val="clear" w:color="auto" w:fill="auto"/>
            <w:noWrap/>
            <w:vAlign w:val="center"/>
            <w:hideMark/>
          </w:tcPr>
          <w:p w14:paraId="08935A6C" w14:textId="77777777" w:rsidR="00473D2F" w:rsidRDefault="00473D2F">
            <w:pPr>
              <w:rPr>
                <w:rFonts w:ascii="Calibri" w:hAnsi="Calibri" w:cs="Calibri"/>
                <w:b/>
                <w:bCs/>
                <w:color w:val="000000"/>
                <w:sz w:val="16"/>
                <w:szCs w:val="16"/>
              </w:rPr>
            </w:pPr>
            <w:r>
              <w:rPr>
                <w:rFonts w:ascii="Calibri" w:hAnsi="Calibri" w:cs="Calibri"/>
                <w:b/>
                <w:bCs/>
                <w:color w:val="000000"/>
                <w:sz w:val="16"/>
                <w:szCs w:val="16"/>
              </w:rPr>
              <w:t>LOA</w:t>
            </w:r>
          </w:p>
        </w:tc>
        <w:tc>
          <w:tcPr>
            <w:tcW w:w="1056" w:type="pct"/>
            <w:tcBorders>
              <w:top w:val="nil"/>
              <w:left w:val="nil"/>
              <w:bottom w:val="single" w:sz="8" w:space="0" w:color="auto"/>
              <w:right w:val="nil"/>
            </w:tcBorders>
            <w:shd w:val="clear" w:color="auto" w:fill="auto"/>
            <w:noWrap/>
            <w:vAlign w:val="center"/>
            <w:hideMark/>
          </w:tcPr>
          <w:p w14:paraId="18009FCD" w14:textId="77777777" w:rsidR="00473D2F" w:rsidRDefault="00473D2F">
            <w:pPr>
              <w:jc w:val="right"/>
              <w:rPr>
                <w:rFonts w:ascii="Calibri" w:hAnsi="Calibri" w:cs="Calibri"/>
                <w:b/>
                <w:bCs/>
                <w:color w:val="000000"/>
                <w:sz w:val="16"/>
                <w:szCs w:val="16"/>
              </w:rPr>
            </w:pPr>
            <w:r>
              <w:rPr>
                <w:rFonts w:ascii="Calibri" w:hAnsi="Calibri" w:cs="Calibri"/>
                <w:b/>
                <w:bCs/>
                <w:color w:val="000000"/>
                <w:sz w:val="16"/>
                <w:szCs w:val="16"/>
              </w:rPr>
              <w:t>DOTAÇÃO 2021</w:t>
            </w:r>
          </w:p>
        </w:tc>
        <w:tc>
          <w:tcPr>
            <w:tcW w:w="894" w:type="pct"/>
            <w:tcBorders>
              <w:top w:val="nil"/>
              <w:left w:val="nil"/>
              <w:bottom w:val="single" w:sz="8" w:space="0" w:color="auto"/>
              <w:right w:val="nil"/>
            </w:tcBorders>
            <w:shd w:val="clear" w:color="auto" w:fill="auto"/>
            <w:vAlign w:val="center"/>
            <w:hideMark/>
          </w:tcPr>
          <w:p w14:paraId="6AFF48A6" w14:textId="77777777" w:rsidR="00473D2F" w:rsidRDefault="00473D2F">
            <w:pPr>
              <w:jc w:val="right"/>
              <w:rPr>
                <w:rFonts w:ascii="Calibri" w:hAnsi="Calibri" w:cs="Calibri"/>
                <w:b/>
                <w:bCs/>
                <w:color w:val="000000"/>
                <w:sz w:val="16"/>
                <w:szCs w:val="16"/>
              </w:rPr>
            </w:pPr>
            <w:r>
              <w:rPr>
                <w:rFonts w:ascii="Calibri" w:hAnsi="Calibri" w:cs="Calibri"/>
                <w:b/>
                <w:bCs/>
                <w:color w:val="000000"/>
                <w:sz w:val="16"/>
                <w:szCs w:val="16"/>
              </w:rPr>
              <w:t>EMPENHADO</w:t>
            </w:r>
          </w:p>
        </w:tc>
        <w:tc>
          <w:tcPr>
            <w:tcW w:w="865" w:type="pct"/>
            <w:tcBorders>
              <w:top w:val="nil"/>
              <w:left w:val="nil"/>
              <w:bottom w:val="single" w:sz="8" w:space="0" w:color="auto"/>
              <w:right w:val="nil"/>
            </w:tcBorders>
            <w:shd w:val="clear" w:color="auto" w:fill="auto"/>
            <w:noWrap/>
            <w:vAlign w:val="center"/>
            <w:hideMark/>
          </w:tcPr>
          <w:p w14:paraId="5E92E597" w14:textId="77777777" w:rsidR="00473D2F" w:rsidRDefault="00473D2F">
            <w:pPr>
              <w:jc w:val="right"/>
              <w:rPr>
                <w:rFonts w:ascii="Calibri" w:hAnsi="Calibri" w:cs="Calibri"/>
                <w:b/>
                <w:bCs/>
                <w:color w:val="000000"/>
                <w:sz w:val="16"/>
                <w:szCs w:val="16"/>
              </w:rPr>
            </w:pPr>
            <w:r>
              <w:rPr>
                <w:rFonts w:ascii="Calibri" w:hAnsi="Calibri" w:cs="Calibri"/>
                <w:b/>
                <w:bCs/>
                <w:color w:val="000000"/>
                <w:sz w:val="16"/>
                <w:szCs w:val="16"/>
              </w:rPr>
              <w:t>LIQUIDADO</w:t>
            </w:r>
          </w:p>
        </w:tc>
        <w:tc>
          <w:tcPr>
            <w:tcW w:w="1114" w:type="pct"/>
            <w:tcBorders>
              <w:top w:val="nil"/>
              <w:left w:val="nil"/>
              <w:bottom w:val="single" w:sz="8" w:space="0" w:color="auto"/>
              <w:right w:val="nil"/>
            </w:tcBorders>
            <w:shd w:val="clear" w:color="auto" w:fill="auto"/>
            <w:noWrap/>
            <w:vAlign w:val="center"/>
            <w:hideMark/>
          </w:tcPr>
          <w:p w14:paraId="447EB13D" w14:textId="77777777" w:rsidR="00473D2F" w:rsidRDefault="00473D2F">
            <w:pPr>
              <w:jc w:val="right"/>
              <w:rPr>
                <w:rFonts w:ascii="Calibri" w:hAnsi="Calibri" w:cs="Calibri"/>
                <w:b/>
                <w:bCs/>
                <w:color w:val="000000"/>
                <w:sz w:val="16"/>
                <w:szCs w:val="16"/>
              </w:rPr>
            </w:pPr>
            <w:r>
              <w:rPr>
                <w:rFonts w:ascii="Calibri" w:hAnsi="Calibri" w:cs="Calibri"/>
                <w:b/>
                <w:bCs/>
                <w:color w:val="000000"/>
                <w:sz w:val="16"/>
                <w:szCs w:val="16"/>
              </w:rPr>
              <w:t>PAGO</w:t>
            </w:r>
          </w:p>
        </w:tc>
      </w:tr>
      <w:tr w:rsidR="00473D2F" w14:paraId="0B217715" w14:textId="77777777" w:rsidTr="00473D2F">
        <w:trPr>
          <w:trHeight w:hRule="exact" w:val="227"/>
        </w:trPr>
        <w:tc>
          <w:tcPr>
            <w:tcW w:w="1070" w:type="pct"/>
            <w:tcBorders>
              <w:top w:val="nil"/>
              <w:left w:val="nil"/>
              <w:bottom w:val="nil"/>
              <w:right w:val="nil"/>
            </w:tcBorders>
            <w:shd w:val="clear" w:color="auto" w:fill="auto"/>
            <w:noWrap/>
            <w:vAlign w:val="center"/>
            <w:hideMark/>
          </w:tcPr>
          <w:p w14:paraId="1634618B" w14:textId="77777777" w:rsidR="00473D2F" w:rsidRDefault="00473D2F">
            <w:pPr>
              <w:rPr>
                <w:rFonts w:ascii="Calibri" w:hAnsi="Calibri" w:cs="Calibri"/>
                <w:color w:val="000000"/>
                <w:sz w:val="16"/>
                <w:szCs w:val="16"/>
              </w:rPr>
            </w:pPr>
            <w:r>
              <w:rPr>
                <w:rFonts w:ascii="Calibri" w:hAnsi="Calibri" w:cs="Calibri"/>
                <w:color w:val="000000"/>
                <w:sz w:val="16"/>
                <w:szCs w:val="16"/>
              </w:rPr>
              <w:t>Custeio</w:t>
            </w:r>
          </w:p>
        </w:tc>
        <w:tc>
          <w:tcPr>
            <w:tcW w:w="1056" w:type="pct"/>
            <w:tcBorders>
              <w:top w:val="nil"/>
              <w:left w:val="nil"/>
              <w:bottom w:val="nil"/>
              <w:right w:val="nil"/>
            </w:tcBorders>
            <w:shd w:val="clear" w:color="auto" w:fill="auto"/>
            <w:noWrap/>
            <w:vAlign w:val="center"/>
            <w:hideMark/>
          </w:tcPr>
          <w:p w14:paraId="728ED514" w14:textId="73CC0A83" w:rsidR="00473D2F" w:rsidRDefault="00473D2F">
            <w:pPr>
              <w:jc w:val="right"/>
              <w:rPr>
                <w:rFonts w:ascii="Calibri" w:hAnsi="Calibri" w:cs="Calibri"/>
                <w:color w:val="000000"/>
                <w:sz w:val="16"/>
                <w:szCs w:val="16"/>
              </w:rPr>
            </w:pPr>
            <w:r>
              <w:rPr>
                <w:rFonts w:ascii="Calibri" w:hAnsi="Calibri" w:cs="Calibri"/>
                <w:color w:val="000000"/>
                <w:sz w:val="16"/>
                <w:szCs w:val="16"/>
              </w:rPr>
              <w:t>62.</w:t>
            </w:r>
            <w:r w:rsidR="00286BB6">
              <w:rPr>
                <w:rFonts w:ascii="Calibri" w:hAnsi="Calibri" w:cs="Calibri"/>
                <w:color w:val="000000"/>
                <w:sz w:val="16"/>
                <w:szCs w:val="16"/>
              </w:rPr>
              <w:t>2</w:t>
            </w:r>
            <w:r>
              <w:rPr>
                <w:rFonts w:ascii="Calibri" w:hAnsi="Calibri" w:cs="Calibri"/>
                <w:color w:val="000000"/>
                <w:sz w:val="16"/>
                <w:szCs w:val="16"/>
              </w:rPr>
              <w:t>06.631</w:t>
            </w:r>
          </w:p>
        </w:tc>
        <w:tc>
          <w:tcPr>
            <w:tcW w:w="894" w:type="pct"/>
            <w:tcBorders>
              <w:top w:val="nil"/>
              <w:left w:val="nil"/>
              <w:bottom w:val="nil"/>
              <w:right w:val="nil"/>
            </w:tcBorders>
            <w:shd w:val="clear" w:color="auto" w:fill="auto"/>
            <w:noWrap/>
            <w:vAlign w:val="center"/>
            <w:hideMark/>
          </w:tcPr>
          <w:p w14:paraId="6C915A52" w14:textId="687B2CE7" w:rsidR="00473D2F" w:rsidRDefault="00286BB6">
            <w:pPr>
              <w:jc w:val="right"/>
              <w:rPr>
                <w:rFonts w:ascii="Calibri" w:hAnsi="Calibri" w:cs="Calibri"/>
                <w:color w:val="000000"/>
                <w:sz w:val="16"/>
                <w:szCs w:val="16"/>
              </w:rPr>
            </w:pPr>
            <w:r>
              <w:rPr>
                <w:rFonts w:ascii="Calibri" w:hAnsi="Calibri" w:cs="Calibri"/>
                <w:color w:val="000000"/>
                <w:sz w:val="16"/>
                <w:szCs w:val="16"/>
              </w:rPr>
              <w:t>43.469.608</w:t>
            </w:r>
          </w:p>
        </w:tc>
        <w:tc>
          <w:tcPr>
            <w:tcW w:w="865" w:type="pct"/>
            <w:tcBorders>
              <w:top w:val="nil"/>
              <w:left w:val="nil"/>
              <w:bottom w:val="nil"/>
              <w:right w:val="nil"/>
            </w:tcBorders>
            <w:shd w:val="clear" w:color="auto" w:fill="auto"/>
            <w:noWrap/>
            <w:vAlign w:val="center"/>
            <w:hideMark/>
          </w:tcPr>
          <w:p w14:paraId="1F42F7F3" w14:textId="236DA959" w:rsidR="00473D2F" w:rsidRDefault="00286BB6">
            <w:pPr>
              <w:jc w:val="right"/>
              <w:rPr>
                <w:rFonts w:ascii="Calibri" w:hAnsi="Calibri" w:cs="Calibri"/>
                <w:color w:val="000000"/>
                <w:sz w:val="16"/>
                <w:szCs w:val="16"/>
              </w:rPr>
            </w:pPr>
            <w:r>
              <w:rPr>
                <w:rFonts w:ascii="Calibri" w:hAnsi="Calibri" w:cs="Calibri"/>
                <w:color w:val="000000"/>
                <w:sz w:val="16"/>
                <w:szCs w:val="16"/>
              </w:rPr>
              <w:t>20.731.83</w:t>
            </w:r>
            <w:r w:rsidR="00060221">
              <w:rPr>
                <w:rFonts w:ascii="Calibri" w:hAnsi="Calibri" w:cs="Calibri"/>
                <w:color w:val="000000"/>
                <w:sz w:val="16"/>
                <w:szCs w:val="16"/>
              </w:rPr>
              <w:t>3</w:t>
            </w:r>
          </w:p>
        </w:tc>
        <w:tc>
          <w:tcPr>
            <w:tcW w:w="1114" w:type="pct"/>
            <w:tcBorders>
              <w:top w:val="nil"/>
              <w:left w:val="nil"/>
              <w:bottom w:val="nil"/>
              <w:right w:val="nil"/>
            </w:tcBorders>
            <w:shd w:val="clear" w:color="auto" w:fill="auto"/>
            <w:noWrap/>
            <w:vAlign w:val="center"/>
            <w:hideMark/>
          </w:tcPr>
          <w:p w14:paraId="672ED800" w14:textId="47B927E6" w:rsidR="00473D2F" w:rsidRDefault="00060221">
            <w:pPr>
              <w:jc w:val="right"/>
              <w:rPr>
                <w:rFonts w:ascii="Calibri" w:hAnsi="Calibri" w:cs="Calibri"/>
                <w:color w:val="000000"/>
                <w:sz w:val="16"/>
                <w:szCs w:val="16"/>
              </w:rPr>
            </w:pPr>
            <w:r>
              <w:rPr>
                <w:rFonts w:ascii="Calibri" w:hAnsi="Calibri" w:cs="Calibri"/>
                <w:color w:val="000000"/>
                <w:sz w:val="16"/>
                <w:szCs w:val="16"/>
              </w:rPr>
              <w:t>20.400.275</w:t>
            </w:r>
          </w:p>
        </w:tc>
      </w:tr>
      <w:tr w:rsidR="00473D2F" w14:paraId="208EC302" w14:textId="77777777" w:rsidTr="00473D2F">
        <w:trPr>
          <w:trHeight w:hRule="exact" w:val="227"/>
        </w:trPr>
        <w:tc>
          <w:tcPr>
            <w:tcW w:w="1070" w:type="pct"/>
            <w:tcBorders>
              <w:top w:val="nil"/>
              <w:left w:val="nil"/>
              <w:bottom w:val="nil"/>
              <w:right w:val="nil"/>
            </w:tcBorders>
            <w:shd w:val="clear" w:color="auto" w:fill="auto"/>
            <w:noWrap/>
            <w:vAlign w:val="center"/>
            <w:hideMark/>
          </w:tcPr>
          <w:p w14:paraId="1DE21681" w14:textId="77777777" w:rsidR="00473D2F" w:rsidRDefault="00473D2F">
            <w:pPr>
              <w:rPr>
                <w:rFonts w:ascii="Calibri" w:hAnsi="Calibri" w:cs="Calibri"/>
                <w:color w:val="000000"/>
                <w:sz w:val="16"/>
                <w:szCs w:val="16"/>
              </w:rPr>
            </w:pPr>
            <w:r>
              <w:rPr>
                <w:rFonts w:ascii="Calibri" w:hAnsi="Calibri" w:cs="Calibri"/>
                <w:color w:val="000000"/>
                <w:sz w:val="16"/>
                <w:szCs w:val="16"/>
              </w:rPr>
              <w:t>Pessoal e encargos</w:t>
            </w:r>
          </w:p>
        </w:tc>
        <w:tc>
          <w:tcPr>
            <w:tcW w:w="1056" w:type="pct"/>
            <w:tcBorders>
              <w:top w:val="nil"/>
              <w:left w:val="nil"/>
              <w:bottom w:val="nil"/>
              <w:right w:val="nil"/>
            </w:tcBorders>
            <w:shd w:val="clear" w:color="auto" w:fill="auto"/>
            <w:noWrap/>
            <w:vAlign w:val="center"/>
            <w:hideMark/>
          </w:tcPr>
          <w:p w14:paraId="05861D59" w14:textId="77777777" w:rsidR="00473D2F" w:rsidRDefault="00473D2F">
            <w:pPr>
              <w:jc w:val="right"/>
              <w:rPr>
                <w:rFonts w:ascii="Calibri" w:hAnsi="Calibri" w:cs="Calibri"/>
                <w:color w:val="000000"/>
                <w:sz w:val="16"/>
                <w:szCs w:val="16"/>
              </w:rPr>
            </w:pPr>
            <w:r>
              <w:rPr>
                <w:rFonts w:ascii="Calibri" w:hAnsi="Calibri" w:cs="Calibri"/>
                <w:color w:val="000000"/>
                <w:sz w:val="16"/>
                <w:szCs w:val="16"/>
              </w:rPr>
              <w:t>115.371.594</w:t>
            </w:r>
          </w:p>
        </w:tc>
        <w:tc>
          <w:tcPr>
            <w:tcW w:w="894" w:type="pct"/>
            <w:tcBorders>
              <w:top w:val="nil"/>
              <w:left w:val="nil"/>
              <w:bottom w:val="nil"/>
              <w:right w:val="nil"/>
            </w:tcBorders>
            <w:shd w:val="clear" w:color="auto" w:fill="auto"/>
            <w:noWrap/>
            <w:vAlign w:val="center"/>
            <w:hideMark/>
          </w:tcPr>
          <w:p w14:paraId="05208194" w14:textId="40EEA3AE" w:rsidR="00473D2F" w:rsidRDefault="00286BB6">
            <w:pPr>
              <w:jc w:val="right"/>
              <w:rPr>
                <w:rFonts w:ascii="Calibri" w:hAnsi="Calibri" w:cs="Calibri"/>
                <w:color w:val="000000"/>
                <w:sz w:val="16"/>
                <w:szCs w:val="16"/>
              </w:rPr>
            </w:pPr>
            <w:r>
              <w:rPr>
                <w:rFonts w:ascii="Calibri" w:hAnsi="Calibri" w:cs="Calibri"/>
                <w:color w:val="000000"/>
                <w:sz w:val="16"/>
                <w:szCs w:val="16"/>
              </w:rPr>
              <w:t>92.059.679</w:t>
            </w:r>
          </w:p>
        </w:tc>
        <w:tc>
          <w:tcPr>
            <w:tcW w:w="865" w:type="pct"/>
            <w:tcBorders>
              <w:top w:val="nil"/>
              <w:left w:val="nil"/>
              <w:bottom w:val="nil"/>
              <w:right w:val="nil"/>
            </w:tcBorders>
            <w:shd w:val="clear" w:color="auto" w:fill="auto"/>
            <w:noWrap/>
            <w:vAlign w:val="center"/>
            <w:hideMark/>
          </w:tcPr>
          <w:p w14:paraId="4B17BE9E" w14:textId="478FA5CF" w:rsidR="00473D2F" w:rsidRDefault="00286BB6">
            <w:pPr>
              <w:jc w:val="right"/>
              <w:rPr>
                <w:rFonts w:ascii="Calibri" w:hAnsi="Calibri" w:cs="Calibri"/>
                <w:color w:val="000000"/>
                <w:sz w:val="16"/>
                <w:szCs w:val="16"/>
              </w:rPr>
            </w:pPr>
            <w:r>
              <w:rPr>
                <w:rFonts w:ascii="Calibri" w:hAnsi="Calibri" w:cs="Calibri"/>
                <w:color w:val="000000"/>
                <w:sz w:val="16"/>
                <w:szCs w:val="16"/>
              </w:rPr>
              <w:t>81.144.143</w:t>
            </w:r>
          </w:p>
        </w:tc>
        <w:tc>
          <w:tcPr>
            <w:tcW w:w="1114" w:type="pct"/>
            <w:tcBorders>
              <w:top w:val="nil"/>
              <w:left w:val="nil"/>
              <w:bottom w:val="nil"/>
              <w:right w:val="nil"/>
            </w:tcBorders>
            <w:shd w:val="clear" w:color="auto" w:fill="auto"/>
            <w:noWrap/>
            <w:vAlign w:val="center"/>
            <w:hideMark/>
          </w:tcPr>
          <w:p w14:paraId="68F8818C" w14:textId="2830FE2F" w:rsidR="00473D2F" w:rsidRDefault="00060221">
            <w:pPr>
              <w:jc w:val="right"/>
              <w:rPr>
                <w:rFonts w:ascii="Calibri" w:hAnsi="Calibri" w:cs="Calibri"/>
                <w:color w:val="000000"/>
                <w:sz w:val="16"/>
                <w:szCs w:val="16"/>
              </w:rPr>
            </w:pPr>
            <w:r>
              <w:rPr>
                <w:rFonts w:ascii="Calibri" w:hAnsi="Calibri" w:cs="Calibri"/>
                <w:color w:val="000000"/>
                <w:sz w:val="16"/>
                <w:szCs w:val="16"/>
              </w:rPr>
              <w:t>76.110.885</w:t>
            </w:r>
          </w:p>
        </w:tc>
      </w:tr>
      <w:tr w:rsidR="00473D2F" w14:paraId="4FDC367B" w14:textId="77777777" w:rsidTr="00473D2F">
        <w:trPr>
          <w:trHeight w:hRule="exact" w:val="227"/>
        </w:trPr>
        <w:tc>
          <w:tcPr>
            <w:tcW w:w="1070" w:type="pct"/>
            <w:tcBorders>
              <w:top w:val="nil"/>
              <w:left w:val="nil"/>
              <w:bottom w:val="single" w:sz="8" w:space="0" w:color="auto"/>
              <w:right w:val="nil"/>
            </w:tcBorders>
            <w:shd w:val="clear" w:color="auto" w:fill="auto"/>
            <w:noWrap/>
            <w:vAlign w:val="center"/>
            <w:hideMark/>
          </w:tcPr>
          <w:p w14:paraId="1FDBF3D4" w14:textId="77777777" w:rsidR="00473D2F" w:rsidRDefault="00473D2F">
            <w:pPr>
              <w:rPr>
                <w:rFonts w:ascii="Calibri" w:hAnsi="Calibri" w:cs="Calibri"/>
                <w:color w:val="000000"/>
                <w:sz w:val="16"/>
                <w:szCs w:val="16"/>
              </w:rPr>
            </w:pPr>
            <w:r>
              <w:rPr>
                <w:rFonts w:ascii="Calibri" w:hAnsi="Calibri" w:cs="Calibri"/>
                <w:color w:val="000000"/>
                <w:sz w:val="16"/>
                <w:szCs w:val="16"/>
              </w:rPr>
              <w:t>Investimento</w:t>
            </w:r>
          </w:p>
        </w:tc>
        <w:tc>
          <w:tcPr>
            <w:tcW w:w="1056" w:type="pct"/>
            <w:tcBorders>
              <w:top w:val="nil"/>
              <w:left w:val="nil"/>
              <w:bottom w:val="single" w:sz="8" w:space="0" w:color="auto"/>
              <w:right w:val="nil"/>
            </w:tcBorders>
            <w:shd w:val="clear" w:color="auto" w:fill="auto"/>
            <w:noWrap/>
            <w:vAlign w:val="center"/>
            <w:hideMark/>
          </w:tcPr>
          <w:p w14:paraId="5425C629" w14:textId="59EDD13D" w:rsidR="00473D2F" w:rsidRDefault="00473D2F">
            <w:pPr>
              <w:jc w:val="right"/>
              <w:rPr>
                <w:rFonts w:ascii="Calibri" w:hAnsi="Calibri" w:cs="Calibri"/>
                <w:color w:val="000000"/>
                <w:sz w:val="16"/>
                <w:szCs w:val="16"/>
              </w:rPr>
            </w:pPr>
            <w:r>
              <w:rPr>
                <w:rFonts w:ascii="Calibri" w:hAnsi="Calibri" w:cs="Calibri"/>
                <w:color w:val="000000"/>
                <w:sz w:val="16"/>
                <w:szCs w:val="16"/>
              </w:rPr>
              <w:t>43</w:t>
            </w:r>
            <w:r w:rsidR="00286BB6">
              <w:rPr>
                <w:rFonts w:ascii="Calibri" w:hAnsi="Calibri" w:cs="Calibri"/>
                <w:color w:val="000000"/>
                <w:sz w:val="16"/>
                <w:szCs w:val="16"/>
              </w:rPr>
              <w:t>5</w:t>
            </w:r>
            <w:r>
              <w:rPr>
                <w:rFonts w:ascii="Calibri" w:hAnsi="Calibri" w:cs="Calibri"/>
                <w:color w:val="000000"/>
                <w:sz w:val="16"/>
                <w:szCs w:val="16"/>
              </w:rPr>
              <w:t>.</w:t>
            </w:r>
            <w:r w:rsidR="00286BB6">
              <w:rPr>
                <w:rFonts w:ascii="Calibri" w:hAnsi="Calibri" w:cs="Calibri"/>
                <w:color w:val="000000"/>
                <w:sz w:val="16"/>
                <w:szCs w:val="16"/>
              </w:rPr>
              <w:t>0</w:t>
            </w:r>
            <w:r>
              <w:rPr>
                <w:rFonts w:ascii="Calibri" w:hAnsi="Calibri" w:cs="Calibri"/>
                <w:color w:val="000000"/>
                <w:sz w:val="16"/>
                <w:szCs w:val="16"/>
              </w:rPr>
              <w:t>56.383</w:t>
            </w:r>
          </w:p>
        </w:tc>
        <w:tc>
          <w:tcPr>
            <w:tcW w:w="894" w:type="pct"/>
            <w:tcBorders>
              <w:top w:val="nil"/>
              <w:left w:val="nil"/>
              <w:bottom w:val="single" w:sz="8" w:space="0" w:color="auto"/>
              <w:right w:val="nil"/>
            </w:tcBorders>
            <w:shd w:val="clear" w:color="auto" w:fill="auto"/>
            <w:noWrap/>
            <w:vAlign w:val="center"/>
            <w:hideMark/>
          </w:tcPr>
          <w:p w14:paraId="482FEAEF" w14:textId="0E411A05" w:rsidR="00473D2F" w:rsidRDefault="00473D2F">
            <w:pPr>
              <w:jc w:val="right"/>
              <w:rPr>
                <w:rFonts w:ascii="Calibri" w:hAnsi="Calibri" w:cs="Calibri"/>
                <w:color w:val="000000"/>
                <w:sz w:val="16"/>
                <w:szCs w:val="16"/>
              </w:rPr>
            </w:pPr>
            <w:r>
              <w:rPr>
                <w:rFonts w:ascii="Calibri" w:hAnsi="Calibri" w:cs="Calibri"/>
                <w:color w:val="000000"/>
                <w:sz w:val="16"/>
                <w:szCs w:val="16"/>
              </w:rPr>
              <w:t>4</w:t>
            </w:r>
            <w:r w:rsidR="00286BB6">
              <w:rPr>
                <w:rFonts w:ascii="Calibri" w:hAnsi="Calibri" w:cs="Calibri"/>
                <w:color w:val="000000"/>
                <w:sz w:val="16"/>
                <w:szCs w:val="16"/>
              </w:rPr>
              <w:t>13.441.013</w:t>
            </w:r>
          </w:p>
        </w:tc>
        <w:tc>
          <w:tcPr>
            <w:tcW w:w="865" w:type="pct"/>
            <w:tcBorders>
              <w:top w:val="nil"/>
              <w:left w:val="nil"/>
              <w:bottom w:val="single" w:sz="8" w:space="0" w:color="auto"/>
              <w:right w:val="nil"/>
            </w:tcBorders>
            <w:shd w:val="clear" w:color="auto" w:fill="auto"/>
            <w:noWrap/>
            <w:vAlign w:val="center"/>
            <w:hideMark/>
          </w:tcPr>
          <w:p w14:paraId="7154BD12" w14:textId="76F3F9A2" w:rsidR="00473D2F" w:rsidRDefault="00286BB6">
            <w:pPr>
              <w:jc w:val="right"/>
              <w:rPr>
                <w:rFonts w:ascii="Calibri" w:hAnsi="Calibri" w:cs="Calibri"/>
                <w:color w:val="000000"/>
                <w:sz w:val="16"/>
                <w:szCs w:val="16"/>
              </w:rPr>
            </w:pPr>
            <w:r>
              <w:rPr>
                <w:rFonts w:ascii="Calibri" w:hAnsi="Calibri" w:cs="Calibri"/>
                <w:color w:val="000000"/>
                <w:sz w:val="16"/>
                <w:szCs w:val="16"/>
              </w:rPr>
              <w:t>66.867.416</w:t>
            </w:r>
          </w:p>
        </w:tc>
        <w:tc>
          <w:tcPr>
            <w:tcW w:w="1114" w:type="pct"/>
            <w:tcBorders>
              <w:top w:val="nil"/>
              <w:left w:val="nil"/>
              <w:bottom w:val="single" w:sz="8" w:space="0" w:color="auto"/>
              <w:right w:val="nil"/>
            </w:tcBorders>
            <w:shd w:val="clear" w:color="auto" w:fill="auto"/>
            <w:noWrap/>
            <w:vAlign w:val="center"/>
            <w:hideMark/>
          </w:tcPr>
          <w:p w14:paraId="5AE64B1B" w14:textId="639F421B" w:rsidR="00473D2F" w:rsidRDefault="00060221">
            <w:pPr>
              <w:jc w:val="right"/>
              <w:rPr>
                <w:rFonts w:ascii="Calibri" w:hAnsi="Calibri" w:cs="Calibri"/>
                <w:color w:val="000000"/>
                <w:sz w:val="16"/>
                <w:szCs w:val="16"/>
              </w:rPr>
            </w:pPr>
            <w:r>
              <w:rPr>
                <w:rFonts w:ascii="Calibri" w:hAnsi="Calibri" w:cs="Calibri"/>
                <w:color w:val="000000"/>
                <w:sz w:val="16"/>
                <w:szCs w:val="16"/>
              </w:rPr>
              <w:t>66.599.717</w:t>
            </w:r>
          </w:p>
        </w:tc>
      </w:tr>
      <w:tr w:rsidR="00473D2F" w14:paraId="15A50117" w14:textId="77777777" w:rsidTr="00473D2F">
        <w:trPr>
          <w:trHeight w:hRule="exact" w:val="227"/>
        </w:trPr>
        <w:tc>
          <w:tcPr>
            <w:tcW w:w="1070" w:type="pct"/>
            <w:tcBorders>
              <w:top w:val="nil"/>
              <w:left w:val="nil"/>
              <w:bottom w:val="single" w:sz="8" w:space="0" w:color="auto"/>
              <w:right w:val="nil"/>
            </w:tcBorders>
            <w:shd w:val="clear" w:color="auto" w:fill="auto"/>
            <w:noWrap/>
            <w:vAlign w:val="center"/>
            <w:hideMark/>
          </w:tcPr>
          <w:p w14:paraId="4E22E732" w14:textId="77777777" w:rsidR="00473D2F" w:rsidRDefault="00473D2F">
            <w:pPr>
              <w:rPr>
                <w:rFonts w:ascii="Calibri" w:hAnsi="Calibri" w:cs="Calibri"/>
                <w:b/>
                <w:bCs/>
                <w:color w:val="000000"/>
                <w:sz w:val="16"/>
                <w:szCs w:val="16"/>
              </w:rPr>
            </w:pPr>
            <w:r>
              <w:rPr>
                <w:rFonts w:ascii="Calibri" w:hAnsi="Calibri" w:cs="Calibri"/>
                <w:b/>
                <w:bCs/>
                <w:color w:val="000000"/>
                <w:sz w:val="16"/>
                <w:szCs w:val="16"/>
              </w:rPr>
              <w:t>TOTAL GERAL</w:t>
            </w:r>
          </w:p>
        </w:tc>
        <w:tc>
          <w:tcPr>
            <w:tcW w:w="1056" w:type="pct"/>
            <w:tcBorders>
              <w:top w:val="nil"/>
              <w:left w:val="nil"/>
              <w:bottom w:val="single" w:sz="8" w:space="0" w:color="auto"/>
              <w:right w:val="nil"/>
            </w:tcBorders>
            <w:shd w:val="clear" w:color="auto" w:fill="auto"/>
            <w:noWrap/>
            <w:vAlign w:val="center"/>
            <w:hideMark/>
          </w:tcPr>
          <w:p w14:paraId="2C0C5330" w14:textId="77777777" w:rsidR="00473D2F" w:rsidRDefault="00473D2F">
            <w:pPr>
              <w:jc w:val="right"/>
              <w:rPr>
                <w:rFonts w:ascii="Calibri" w:hAnsi="Calibri" w:cs="Calibri"/>
                <w:b/>
                <w:bCs/>
                <w:color w:val="000000"/>
                <w:sz w:val="16"/>
                <w:szCs w:val="16"/>
              </w:rPr>
            </w:pPr>
            <w:r>
              <w:rPr>
                <w:rFonts w:ascii="Calibri" w:hAnsi="Calibri" w:cs="Calibri"/>
                <w:b/>
                <w:bCs/>
                <w:color w:val="000000"/>
                <w:sz w:val="16"/>
                <w:szCs w:val="16"/>
              </w:rPr>
              <w:t>612.634.608</w:t>
            </w:r>
          </w:p>
        </w:tc>
        <w:tc>
          <w:tcPr>
            <w:tcW w:w="894" w:type="pct"/>
            <w:tcBorders>
              <w:top w:val="nil"/>
              <w:left w:val="nil"/>
              <w:bottom w:val="single" w:sz="8" w:space="0" w:color="auto"/>
              <w:right w:val="nil"/>
            </w:tcBorders>
            <w:shd w:val="clear" w:color="auto" w:fill="auto"/>
            <w:noWrap/>
            <w:vAlign w:val="center"/>
            <w:hideMark/>
          </w:tcPr>
          <w:p w14:paraId="6FE03319" w14:textId="13592CB7" w:rsidR="00473D2F" w:rsidRDefault="00473D2F">
            <w:pPr>
              <w:jc w:val="right"/>
              <w:rPr>
                <w:rFonts w:ascii="Calibri" w:hAnsi="Calibri" w:cs="Calibri"/>
                <w:b/>
                <w:bCs/>
                <w:color w:val="000000"/>
                <w:sz w:val="16"/>
                <w:szCs w:val="16"/>
              </w:rPr>
            </w:pPr>
            <w:r>
              <w:rPr>
                <w:rFonts w:ascii="Calibri" w:hAnsi="Calibri" w:cs="Calibri"/>
                <w:b/>
                <w:bCs/>
                <w:color w:val="000000"/>
                <w:sz w:val="16"/>
                <w:szCs w:val="16"/>
              </w:rPr>
              <w:t>5</w:t>
            </w:r>
            <w:r w:rsidR="00286BB6">
              <w:rPr>
                <w:rFonts w:ascii="Calibri" w:hAnsi="Calibri" w:cs="Calibri"/>
                <w:b/>
                <w:bCs/>
                <w:color w:val="000000"/>
                <w:sz w:val="16"/>
                <w:szCs w:val="16"/>
              </w:rPr>
              <w:t>48.970.300</w:t>
            </w:r>
          </w:p>
        </w:tc>
        <w:tc>
          <w:tcPr>
            <w:tcW w:w="865" w:type="pct"/>
            <w:tcBorders>
              <w:top w:val="nil"/>
              <w:left w:val="nil"/>
              <w:bottom w:val="single" w:sz="8" w:space="0" w:color="auto"/>
              <w:right w:val="nil"/>
            </w:tcBorders>
            <w:shd w:val="clear" w:color="auto" w:fill="auto"/>
            <w:noWrap/>
            <w:vAlign w:val="center"/>
            <w:hideMark/>
          </w:tcPr>
          <w:p w14:paraId="07153E0C" w14:textId="51A80FE6" w:rsidR="00473D2F" w:rsidRDefault="00060221">
            <w:pPr>
              <w:jc w:val="right"/>
              <w:rPr>
                <w:rFonts w:ascii="Calibri" w:hAnsi="Calibri" w:cs="Calibri"/>
                <w:b/>
                <w:bCs/>
                <w:color w:val="000000"/>
                <w:sz w:val="16"/>
                <w:szCs w:val="16"/>
              </w:rPr>
            </w:pPr>
            <w:r>
              <w:rPr>
                <w:rFonts w:ascii="Calibri" w:hAnsi="Calibri" w:cs="Calibri"/>
                <w:b/>
                <w:bCs/>
                <w:color w:val="000000"/>
                <w:sz w:val="16"/>
                <w:szCs w:val="16"/>
              </w:rPr>
              <w:t>168.743.392</w:t>
            </w:r>
          </w:p>
        </w:tc>
        <w:tc>
          <w:tcPr>
            <w:tcW w:w="1114" w:type="pct"/>
            <w:tcBorders>
              <w:top w:val="nil"/>
              <w:left w:val="nil"/>
              <w:bottom w:val="single" w:sz="8" w:space="0" w:color="auto"/>
              <w:right w:val="nil"/>
            </w:tcBorders>
            <w:shd w:val="clear" w:color="auto" w:fill="auto"/>
            <w:noWrap/>
            <w:vAlign w:val="center"/>
            <w:hideMark/>
          </w:tcPr>
          <w:p w14:paraId="54F9FE7E" w14:textId="43C54B18" w:rsidR="00473D2F" w:rsidRDefault="00060221">
            <w:pPr>
              <w:jc w:val="right"/>
              <w:rPr>
                <w:rFonts w:ascii="Calibri" w:hAnsi="Calibri" w:cs="Calibri"/>
                <w:b/>
                <w:bCs/>
                <w:color w:val="000000"/>
                <w:sz w:val="16"/>
                <w:szCs w:val="16"/>
              </w:rPr>
            </w:pPr>
            <w:r>
              <w:rPr>
                <w:rFonts w:ascii="Calibri" w:hAnsi="Calibri" w:cs="Calibri"/>
                <w:b/>
                <w:bCs/>
                <w:color w:val="000000"/>
                <w:sz w:val="16"/>
                <w:szCs w:val="16"/>
              </w:rPr>
              <w:t>163.110.877</w:t>
            </w:r>
          </w:p>
        </w:tc>
      </w:tr>
    </w:tbl>
    <w:p w14:paraId="2083DC88" w14:textId="77777777" w:rsidR="00473D2F" w:rsidRDefault="00473D2F" w:rsidP="002E2B5B">
      <w:pPr>
        <w:ind w:right="-142"/>
        <w:jc w:val="both"/>
        <w:rPr>
          <w:rFonts w:ascii="Calibri" w:hAnsi="Calibri" w:cs="Calibri"/>
          <w:sz w:val="22"/>
          <w:szCs w:val="22"/>
        </w:rPr>
      </w:pPr>
    </w:p>
    <w:p w14:paraId="0A9EC8F3" w14:textId="70676A01" w:rsidR="00B74DE7" w:rsidRDefault="00473D2F" w:rsidP="002E2B5B">
      <w:pPr>
        <w:ind w:right="-142"/>
        <w:jc w:val="both"/>
        <w:rPr>
          <w:rFonts w:ascii="Calibri" w:hAnsi="Calibri" w:cs="Calibri"/>
          <w:sz w:val="22"/>
          <w:szCs w:val="22"/>
        </w:rPr>
      </w:pPr>
      <w:r>
        <w:rPr>
          <w:rFonts w:ascii="Calibri" w:hAnsi="Calibri" w:cs="Calibri"/>
          <w:sz w:val="22"/>
          <w:szCs w:val="22"/>
        </w:rPr>
        <w:t xml:space="preserve">Até o </w:t>
      </w:r>
      <w:r w:rsidR="00286BB6">
        <w:rPr>
          <w:rFonts w:ascii="Calibri" w:hAnsi="Calibri" w:cs="Calibri"/>
          <w:sz w:val="22"/>
          <w:szCs w:val="22"/>
        </w:rPr>
        <w:t>terceiro</w:t>
      </w:r>
      <w:r w:rsidR="00352C7D">
        <w:rPr>
          <w:rFonts w:ascii="Calibri" w:hAnsi="Calibri" w:cs="Calibri"/>
          <w:sz w:val="22"/>
          <w:szCs w:val="22"/>
        </w:rPr>
        <w:t xml:space="preserve"> trimestre de 2021</w:t>
      </w:r>
      <w:r w:rsidR="00807253" w:rsidRPr="002E2B5B">
        <w:rPr>
          <w:rFonts w:ascii="Calibri" w:hAnsi="Calibri" w:cs="Calibri"/>
          <w:sz w:val="22"/>
          <w:szCs w:val="22"/>
        </w:rPr>
        <w:t xml:space="preserve">, </w:t>
      </w:r>
      <w:r w:rsidR="00B57AAF" w:rsidRPr="002E2B5B">
        <w:rPr>
          <w:rFonts w:ascii="Calibri" w:hAnsi="Calibri" w:cs="Calibri"/>
          <w:sz w:val="22"/>
          <w:szCs w:val="22"/>
        </w:rPr>
        <w:t xml:space="preserve">os recursos aplicados, </w:t>
      </w:r>
      <w:r w:rsidR="001A6BF8" w:rsidRPr="002E2B5B">
        <w:rPr>
          <w:rFonts w:ascii="Calibri" w:hAnsi="Calibri" w:cs="Calibri"/>
          <w:sz w:val="22"/>
          <w:szCs w:val="22"/>
        </w:rPr>
        <w:t xml:space="preserve">segundo o SIOP, </w:t>
      </w:r>
      <w:r w:rsidR="00B57AAF" w:rsidRPr="002E2B5B">
        <w:rPr>
          <w:rFonts w:ascii="Calibri" w:hAnsi="Calibri" w:cs="Calibri"/>
          <w:sz w:val="22"/>
          <w:szCs w:val="22"/>
        </w:rPr>
        <w:t>provindos de Restos a Pagar (RP), foram:</w:t>
      </w:r>
    </w:p>
    <w:tbl>
      <w:tblPr>
        <w:tblW w:w="5000" w:type="pct"/>
        <w:tblCellMar>
          <w:left w:w="70" w:type="dxa"/>
          <w:right w:w="70" w:type="dxa"/>
        </w:tblCellMar>
        <w:tblLook w:val="04A0" w:firstRow="1" w:lastRow="0" w:firstColumn="1" w:lastColumn="0" w:noHBand="0" w:noVBand="1"/>
      </w:tblPr>
      <w:tblGrid>
        <w:gridCol w:w="1785"/>
        <w:gridCol w:w="1761"/>
        <w:gridCol w:w="1761"/>
        <w:gridCol w:w="1442"/>
        <w:gridCol w:w="1859"/>
        <w:gridCol w:w="1859"/>
      </w:tblGrid>
      <w:tr w:rsidR="00B74DE7" w14:paraId="668663E7" w14:textId="77777777" w:rsidTr="00B74DE7">
        <w:trPr>
          <w:trHeight w:val="227"/>
        </w:trPr>
        <w:tc>
          <w:tcPr>
            <w:tcW w:w="853" w:type="pct"/>
            <w:vMerge w:val="restart"/>
            <w:tcBorders>
              <w:top w:val="nil"/>
              <w:left w:val="nil"/>
              <w:bottom w:val="single" w:sz="8" w:space="0" w:color="000000"/>
              <w:right w:val="nil"/>
            </w:tcBorders>
            <w:shd w:val="clear" w:color="auto" w:fill="auto"/>
            <w:noWrap/>
            <w:vAlign w:val="center"/>
            <w:hideMark/>
          </w:tcPr>
          <w:p w14:paraId="6706B3EA" w14:textId="77777777" w:rsidR="00B74DE7" w:rsidRDefault="00B74DE7">
            <w:pPr>
              <w:rPr>
                <w:rFonts w:ascii="Calibri" w:hAnsi="Calibri" w:cs="Calibri"/>
                <w:b/>
                <w:bCs/>
                <w:color w:val="000000"/>
                <w:sz w:val="16"/>
                <w:szCs w:val="16"/>
              </w:rPr>
            </w:pPr>
            <w:r>
              <w:rPr>
                <w:rFonts w:ascii="Calibri" w:hAnsi="Calibri" w:cs="Calibri"/>
                <w:b/>
                <w:bCs/>
                <w:color w:val="000000"/>
                <w:sz w:val="16"/>
                <w:szCs w:val="16"/>
              </w:rPr>
              <w:t>RESTOS A PAGAR</w:t>
            </w:r>
          </w:p>
        </w:tc>
        <w:tc>
          <w:tcPr>
            <w:tcW w:w="841" w:type="pct"/>
            <w:vMerge w:val="restart"/>
            <w:tcBorders>
              <w:top w:val="nil"/>
              <w:left w:val="nil"/>
              <w:bottom w:val="single" w:sz="8" w:space="0" w:color="000000"/>
              <w:right w:val="nil"/>
            </w:tcBorders>
            <w:shd w:val="clear" w:color="auto" w:fill="auto"/>
            <w:vAlign w:val="center"/>
            <w:hideMark/>
          </w:tcPr>
          <w:p w14:paraId="07310CE6" w14:textId="77777777" w:rsidR="00B74DE7" w:rsidRDefault="00B74DE7">
            <w:pPr>
              <w:jc w:val="right"/>
              <w:rPr>
                <w:rFonts w:ascii="Calibri" w:hAnsi="Calibri" w:cs="Calibri"/>
                <w:b/>
                <w:bCs/>
                <w:color w:val="000000"/>
                <w:sz w:val="16"/>
                <w:szCs w:val="16"/>
              </w:rPr>
            </w:pPr>
            <w:r>
              <w:rPr>
                <w:rFonts w:ascii="Calibri" w:hAnsi="Calibri" w:cs="Calibri"/>
                <w:b/>
                <w:bCs/>
                <w:color w:val="000000"/>
                <w:sz w:val="16"/>
                <w:szCs w:val="16"/>
              </w:rPr>
              <w:t xml:space="preserve">   RESTOS A PAGAR</w:t>
            </w:r>
          </w:p>
        </w:tc>
        <w:tc>
          <w:tcPr>
            <w:tcW w:w="841" w:type="pct"/>
            <w:vMerge w:val="restart"/>
            <w:tcBorders>
              <w:top w:val="nil"/>
              <w:left w:val="nil"/>
              <w:bottom w:val="single" w:sz="8" w:space="0" w:color="000000"/>
              <w:right w:val="nil"/>
            </w:tcBorders>
            <w:shd w:val="clear" w:color="auto" w:fill="auto"/>
            <w:vAlign w:val="center"/>
            <w:hideMark/>
          </w:tcPr>
          <w:p w14:paraId="7FC894D0" w14:textId="77777777" w:rsidR="00B74DE7" w:rsidRDefault="00B74DE7">
            <w:pPr>
              <w:jc w:val="right"/>
              <w:rPr>
                <w:rFonts w:ascii="Calibri" w:hAnsi="Calibri" w:cs="Calibri"/>
                <w:b/>
                <w:bCs/>
                <w:color w:val="000000"/>
                <w:sz w:val="16"/>
                <w:szCs w:val="16"/>
              </w:rPr>
            </w:pPr>
            <w:r>
              <w:rPr>
                <w:rFonts w:ascii="Calibri" w:hAnsi="Calibri" w:cs="Calibri"/>
                <w:b/>
                <w:bCs/>
                <w:color w:val="000000"/>
                <w:sz w:val="16"/>
                <w:szCs w:val="16"/>
              </w:rPr>
              <w:t>LIQUIDADO EM EXERCÍCIOS ANTERIORES</w:t>
            </w:r>
          </w:p>
        </w:tc>
        <w:tc>
          <w:tcPr>
            <w:tcW w:w="689" w:type="pct"/>
            <w:vMerge w:val="restart"/>
            <w:tcBorders>
              <w:top w:val="nil"/>
              <w:left w:val="nil"/>
              <w:bottom w:val="single" w:sz="8" w:space="0" w:color="000000"/>
              <w:right w:val="nil"/>
            </w:tcBorders>
            <w:shd w:val="clear" w:color="auto" w:fill="auto"/>
            <w:vAlign w:val="center"/>
            <w:hideMark/>
          </w:tcPr>
          <w:p w14:paraId="4D01F7C8" w14:textId="77777777" w:rsidR="00B74DE7" w:rsidRDefault="00B74DE7">
            <w:pPr>
              <w:jc w:val="right"/>
              <w:rPr>
                <w:rFonts w:ascii="Calibri" w:hAnsi="Calibri" w:cs="Calibri"/>
                <w:b/>
                <w:bCs/>
                <w:color w:val="000000"/>
                <w:sz w:val="16"/>
                <w:szCs w:val="16"/>
              </w:rPr>
            </w:pPr>
            <w:r>
              <w:rPr>
                <w:rFonts w:ascii="Calibri" w:hAnsi="Calibri" w:cs="Calibri"/>
                <w:b/>
                <w:bCs/>
                <w:color w:val="000000"/>
                <w:sz w:val="16"/>
                <w:szCs w:val="16"/>
              </w:rPr>
              <w:t>LIQUIDADO NO EXERCÍCIO</w:t>
            </w:r>
          </w:p>
        </w:tc>
        <w:tc>
          <w:tcPr>
            <w:tcW w:w="888" w:type="pct"/>
            <w:tcBorders>
              <w:top w:val="nil"/>
              <w:left w:val="nil"/>
              <w:bottom w:val="nil"/>
              <w:right w:val="nil"/>
            </w:tcBorders>
            <w:shd w:val="clear" w:color="auto" w:fill="auto"/>
            <w:vAlign w:val="center"/>
            <w:hideMark/>
          </w:tcPr>
          <w:p w14:paraId="5F8B962F" w14:textId="77777777" w:rsidR="00B74DE7" w:rsidRDefault="00B74DE7">
            <w:pPr>
              <w:jc w:val="right"/>
              <w:rPr>
                <w:rFonts w:ascii="Calibri" w:hAnsi="Calibri" w:cs="Calibri"/>
                <w:b/>
                <w:bCs/>
                <w:color w:val="000000"/>
                <w:sz w:val="16"/>
                <w:szCs w:val="16"/>
              </w:rPr>
            </w:pPr>
            <w:r>
              <w:rPr>
                <w:rFonts w:ascii="Calibri" w:hAnsi="Calibri" w:cs="Calibri"/>
                <w:b/>
                <w:bCs/>
                <w:color w:val="000000"/>
                <w:sz w:val="16"/>
                <w:szCs w:val="16"/>
              </w:rPr>
              <w:t> </w:t>
            </w:r>
          </w:p>
        </w:tc>
        <w:tc>
          <w:tcPr>
            <w:tcW w:w="888" w:type="pct"/>
            <w:vMerge w:val="restart"/>
            <w:tcBorders>
              <w:top w:val="nil"/>
              <w:left w:val="nil"/>
              <w:bottom w:val="single" w:sz="8" w:space="0" w:color="000000"/>
              <w:right w:val="nil"/>
            </w:tcBorders>
            <w:shd w:val="clear" w:color="auto" w:fill="auto"/>
            <w:noWrap/>
            <w:vAlign w:val="center"/>
            <w:hideMark/>
          </w:tcPr>
          <w:p w14:paraId="090D83CF" w14:textId="77777777" w:rsidR="00B74DE7" w:rsidRDefault="00B74DE7">
            <w:pPr>
              <w:jc w:val="right"/>
              <w:rPr>
                <w:rFonts w:ascii="Calibri" w:hAnsi="Calibri" w:cs="Calibri"/>
                <w:b/>
                <w:bCs/>
                <w:color w:val="000000"/>
                <w:sz w:val="16"/>
                <w:szCs w:val="16"/>
              </w:rPr>
            </w:pPr>
            <w:r>
              <w:rPr>
                <w:rFonts w:ascii="Calibri" w:hAnsi="Calibri" w:cs="Calibri"/>
                <w:b/>
                <w:bCs/>
                <w:color w:val="000000"/>
                <w:sz w:val="16"/>
                <w:szCs w:val="16"/>
              </w:rPr>
              <w:t>PAGOS</w:t>
            </w:r>
          </w:p>
        </w:tc>
      </w:tr>
      <w:tr w:rsidR="00B74DE7" w14:paraId="6B937AD5" w14:textId="77777777" w:rsidTr="00B74DE7">
        <w:trPr>
          <w:trHeight w:val="227"/>
        </w:trPr>
        <w:tc>
          <w:tcPr>
            <w:tcW w:w="853" w:type="pct"/>
            <w:vMerge/>
            <w:tcBorders>
              <w:top w:val="nil"/>
              <w:left w:val="nil"/>
              <w:bottom w:val="single" w:sz="8" w:space="0" w:color="000000"/>
              <w:right w:val="nil"/>
            </w:tcBorders>
            <w:vAlign w:val="center"/>
            <w:hideMark/>
          </w:tcPr>
          <w:p w14:paraId="4CB38E9A" w14:textId="77777777" w:rsidR="00B74DE7" w:rsidRDefault="00B74DE7">
            <w:pPr>
              <w:rPr>
                <w:rFonts w:ascii="Calibri" w:hAnsi="Calibri" w:cs="Calibri"/>
                <w:b/>
                <w:bCs/>
                <w:color w:val="000000"/>
                <w:sz w:val="16"/>
                <w:szCs w:val="16"/>
              </w:rPr>
            </w:pPr>
          </w:p>
        </w:tc>
        <w:tc>
          <w:tcPr>
            <w:tcW w:w="841" w:type="pct"/>
            <w:vMerge/>
            <w:tcBorders>
              <w:top w:val="nil"/>
              <w:left w:val="nil"/>
              <w:bottom w:val="single" w:sz="8" w:space="0" w:color="000000"/>
              <w:right w:val="nil"/>
            </w:tcBorders>
            <w:vAlign w:val="center"/>
            <w:hideMark/>
          </w:tcPr>
          <w:p w14:paraId="1F728330" w14:textId="77777777" w:rsidR="00B74DE7" w:rsidRDefault="00B74DE7">
            <w:pPr>
              <w:rPr>
                <w:rFonts w:ascii="Calibri" w:hAnsi="Calibri" w:cs="Calibri"/>
                <w:b/>
                <w:bCs/>
                <w:color w:val="000000"/>
                <w:sz w:val="16"/>
                <w:szCs w:val="16"/>
              </w:rPr>
            </w:pPr>
          </w:p>
        </w:tc>
        <w:tc>
          <w:tcPr>
            <w:tcW w:w="841" w:type="pct"/>
            <w:vMerge/>
            <w:tcBorders>
              <w:top w:val="nil"/>
              <w:left w:val="nil"/>
              <w:bottom w:val="single" w:sz="8" w:space="0" w:color="000000"/>
              <w:right w:val="nil"/>
            </w:tcBorders>
            <w:vAlign w:val="center"/>
            <w:hideMark/>
          </w:tcPr>
          <w:p w14:paraId="071F88BB" w14:textId="77777777" w:rsidR="00B74DE7" w:rsidRDefault="00B74DE7">
            <w:pPr>
              <w:rPr>
                <w:rFonts w:ascii="Calibri" w:hAnsi="Calibri" w:cs="Calibri"/>
                <w:b/>
                <w:bCs/>
                <w:color w:val="000000"/>
                <w:sz w:val="16"/>
                <w:szCs w:val="16"/>
              </w:rPr>
            </w:pPr>
          </w:p>
        </w:tc>
        <w:tc>
          <w:tcPr>
            <w:tcW w:w="689" w:type="pct"/>
            <w:vMerge/>
            <w:tcBorders>
              <w:top w:val="nil"/>
              <w:left w:val="nil"/>
              <w:bottom w:val="single" w:sz="8" w:space="0" w:color="000000"/>
              <w:right w:val="nil"/>
            </w:tcBorders>
            <w:vAlign w:val="center"/>
            <w:hideMark/>
          </w:tcPr>
          <w:p w14:paraId="5FCD1B90" w14:textId="77777777" w:rsidR="00B74DE7" w:rsidRDefault="00B74DE7">
            <w:pPr>
              <w:rPr>
                <w:rFonts w:ascii="Calibri" w:hAnsi="Calibri" w:cs="Calibri"/>
                <w:b/>
                <w:bCs/>
                <w:color w:val="000000"/>
                <w:sz w:val="16"/>
                <w:szCs w:val="16"/>
              </w:rPr>
            </w:pPr>
          </w:p>
        </w:tc>
        <w:tc>
          <w:tcPr>
            <w:tcW w:w="888" w:type="pct"/>
            <w:tcBorders>
              <w:top w:val="nil"/>
              <w:left w:val="nil"/>
              <w:bottom w:val="single" w:sz="8" w:space="0" w:color="auto"/>
              <w:right w:val="nil"/>
            </w:tcBorders>
            <w:shd w:val="clear" w:color="auto" w:fill="auto"/>
            <w:vAlign w:val="center"/>
            <w:hideMark/>
          </w:tcPr>
          <w:p w14:paraId="5AA754E7" w14:textId="77777777" w:rsidR="00B74DE7" w:rsidRDefault="00B74DE7">
            <w:pPr>
              <w:jc w:val="right"/>
              <w:rPr>
                <w:rFonts w:ascii="Calibri" w:hAnsi="Calibri" w:cs="Calibri"/>
                <w:b/>
                <w:bCs/>
                <w:color w:val="000000"/>
                <w:sz w:val="16"/>
                <w:szCs w:val="16"/>
              </w:rPr>
            </w:pPr>
            <w:r>
              <w:rPr>
                <w:rFonts w:ascii="Calibri" w:hAnsi="Calibri" w:cs="Calibri"/>
                <w:b/>
                <w:bCs/>
                <w:color w:val="000000"/>
                <w:sz w:val="16"/>
                <w:szCs w:val="16"/>
              </w:rPr>
              <w:t>CANCELADOS</w:t>
            </w:r>
          </w:p>
        </w:tc>
        <w:tc>
          <w:tcPr>
            <w:tcW w:w="888" w:type="pct"/>
            <w:vMerge/>
            <w:tcBorders>
              <w:top w:val="nil"/>
              <w:left w:val="nil"/>
              <w:bottom w:val="single" w:sz="8" w:space="0" w:color="000000"/>
              <w:right w:val="nil"/>
            </w:tcBorders>
            <w:vAlign w:val="center"/>
            <w:hideMark/>
          </w:tcPr>
          <w:p w14:paraId="607109D8" w14:textId="77777777" w:rsidR="00B74DE7" w:rsidRDefault="00B74DE7">
            <w:pPr>
              <w:rPr>
                <w:rFonts w:ascii="Calibri" w:hAnsi="Calibri" w:cs="Calibri"/>
                <w:b/>
                <w:bCs/>
                <w:color w:val="000000"/>
                <w:sz w:val="16"/>
                <w:szCs w:val="16"/>
              </w:rPr>
            </w:pPr>
          </w:p>
        </w:tc>
      </w:tr>
      <w:tr w:rsidR="00B74DE7" w14:paraId="5906CAC3" w14:textId="77777777" w:rsidTr="00B74DE7">
        <w:trPr>
          <w:trHeight w:val="227"/>
        </w:trPr>
        <w:tc>
          <w:tcPr>
            <w:tcW w:w="853" w:type="pct"/>
            <w:tcBorders>
              <w:top w:val="nil"/>
              <w:left w:val="nil"/>
              <w:bottom w:val="nil"/>
              <w:right w:val="nil"/>
            </w:tcBorders>
            <w:shd w:val="clear" w:color="auto" w:fill="auto"/>
            <w:noWrap/>
            <w:vAlign w:val="center"/>
            <w:hideMark/>
          </w:tcPr>
          <w:p w14:paraId="13DC35A4" w14:textId="77777777" w:rsidR="00B74DE7" w:rsidRDefault="00B74DE7">
            <w:pPr>
              <w:rPr>
                <w:rFonts w:ascii="Calibri" w:hAnsi="Calibri" w:cs="Calibri"/>
                <w:color w:val="000000"/>
                <w:sz w:val="16"/>
                <w:szCs w:val="16"/>
              </w:rPr>
            </w:pPr>
            <w:r>
              <w:rPr>
                <w:rFonts w:ascii="Calibri" w:hAnsi="Calibri" w:cs="Calibri"/>
                <w:color w:val="000000"/>
                <w:sz w:val="16"/>
                <w:szCs w:val="16"/>
              </w:rPr>
              <w:t>Custeio</w:t>
            </w:r>
          </w:p>
        </w:tc>
        <w:tc>
          <w:tcPr>
            <w:tcW w:w="841" w:type="pct"/>
            <w:tcBorders>
              <w:top w:val="nil"/>
              <w:left w:val="nil"/>
              <w:bottom w:val="nil"/>
              <w:right w:val="nil"/>
            </w:tcBorders>
            <w:shd w:val="clear" w:color="auto" w:fill="auto"/>
            <w:noWrap/>
            <w:vAlign w:val="center"/>
            <w:hideMark/>
          </w:tcPr>
          <w:p w14:paraId="02029C97" w14:textId="77777777" w:rsidR="00B74DE7" w:rsidRDefault="00B74DE7">
            <w:pPr>
              <w:jc w:val="right"/>
              <w:rPr>
                <w:rFonts w:ascii="Calibri" w:hAnsi="Calibri" w:cs="Calibri"/>
                <w:color w:val="000000"/>
                <w:sz w:val="16"/>
                <w:szCs w:val="16"/>
              </w:rPr>
            </w:pPr>
            <w:r>
              <w:rPr>
                <w:rFonts w:ascii="Calibri" w:hAnsi="Calibri" w:cs="Calibri"/>
                <w:color w:val="000000"/>
                <w:sz w:val="16"/>
                <w:szCs w:val="16"/>
              </w:rPr>
              <w:t>26.101.252</w:t>
            </w:r>
          </w:p>
        </w:tc>
        <w:tc>
          <w:tcPr>
            <w:tcW w:w="841" w:type="pct"/>
            <w:tcBorders>
              <w:top w:val="nil"/>
              <w:left w:val="nil"/>
              <w:bottom w:val="nil"/>
              <w:right w:val="nil"/>
            </w:tcBorders>
            <w:shd w:val="clear" w:color="auto" w:fill="auto"/>
            <w:noWrap/>
            <w:vAlign w:val="center"/>
            <w:hideMark/>
          </w:tcPr>
          <w:p w14:paraId="393DEF53" w14:textId="77777777" w:rsidR="00B74DE7" w:rsidRDefault="00B74DE7">
            <w:pPr>
              <w:jc w:val="right"/>
              <w:rPr>
                <w:rFonts w:ascii="Calibri" w:hAnsi="Calibri" w:cs="Calibri"/>
                <w:color w:val="000000"/>
                <w:sz w:val="16"/>
                <w:szCs w:val="16"/>
              </w:rPr>
            </w:pPr>
            <w:r>
              <w:rPr>
                <w:rFonts w:ascii="Calibri" w:hAnsi="Calibri" w:cs="Calibri"/>
                <w:color w:val="000000"/>
                <w:sz w:val="16"/>
                <w:szCs w:val="16"/>
              </w:rPr>
              <w:t>332.475</w:t>
            </w:r>
          </w:p>
        </w:tc>
        <w:tc>
          <w:tcPr>
            <w:tcW w:w="689" w:type="pct"/>
            <w:tcBorders>
              <w:top w:val="nil"/>
              <w:left w:val="nil"/>
              <w:bottom w:val="nil"/>
              <w:right w:val="nil"/>
            </w:tcBorders>
            <w:shd w:val="clear" w:color="auto" w:fill="auto"/>
            <w:noWrap/>
            <w:vAlign w:val="center"/>
            <w:hideMark/>
          </w:tcPr>
          <w:p w14:paraId="18130BEA" w14:textId="29879CAA" w:rsidR="00B74DE7" w:rsidRDefault="00060221">
            <w:pPr>
              <w:jc w:val="right"/>
              <w:rPr>
                <w:rFonts w:ascii="Calibri" w:hAnsi="Calibri" w:cs="Calibri"/>
                <w:color w:val="000000"/>
                <w:sz w:val="16"/>
                <w:szCs w:val="16"/>
              </w:rPr>
            </w:pPr>
            <w:r>
              <w:rPr>
                <w:rFonts w:ascii="Calibri" w:hAnsi="Calibri" w:cs="Calibri"/>
                <w:color w:val="000000"/>
                <w:sz w:val="16"/>
                <w:szCs w:val="16"/>
              </w:rPr>
              <w:t>9.112.499</w:t>
            </w:r>
          </w:p>
        </w:tc>
        <w:tc>
          <w:tcPr>
            <w:tcW w:w="888" w:type="pct"/>
            <w:tcBorders>
              <w:top w:val="nil"/>
              <w:left w:val="nil"/>
              <w:bottom w:val="nil"/>
              <w:right w:val="nil"/>
            </w:tcBorders>
            <w:shd w:val="clear" w:color="auto" w:fill="auto"/>
            <w:vAlign w:val="center"/>
            <w:hideMark/>
          </w:tcPr>
          <w:p w14:paraId="2DBCC270" w14:textId="2D1193D0" w:rsidR="00B74DE7" w:rsidRDefault="00B74DE7">
            <w:pPr>
              <w:jc w:val="right"/>
              <w:rPr>
                <w:rFonts w:ascii="Calibri" w:hAnsi="Calibri" w:cs="Calibri"/>
                <w:color w:val="000000"/>
                <w:sz w:val="16"/>
                <w:szCs w:val="16"/>
              </w:rPr>
            </w:pPr>
            <w:r>
              <w:rPr>
                <w:rFonts w:ascii="Calibri" w:hAnsi="Calibri" w:cs="Calibri"/>
                <w:color w:val="000000"/>
                <w:sz w:val="16"/>
                <w:szCs w:val="16"/>
              </w:rPr>
              <w:t>5.8</w:t>
            </w:r>
            <w:r w:rsidR="00060221">
              <w:rPr>
                <w:rFonts w:ascii="Calibri" w:hAnsi="Calibri" w:cs="Calibri"/>
                <w:color w:val="000000"/>
                <w:sz w:val="16"/>
                <w:szCs w:val="16"/>
              </w:rPr>
              <w:t>20</w:t>
            </w:r>
            <w:r>
              <w:rPr>
                <w:rFonts w:ascii="Calibri" w:hAnsi="Calibri" w:cs="Calibri"/>
                <w:color w:val="000000"/>
                <w:sz w:val="16"/>
                <w:szCs w:val="16"/>
              </w:rPr>
              <w:t>.2</w:t>
            </w:r>
            <w:r w:rsidR="00060221">
              <w:rPr>
                <w:rFonts w:ascii="Calibri" w:hAnsi="Calibri" w:cs="Calibri"/>
                <w:color w:val="000000"/>
                <w:sz w:val="16"/>
                <w:szCs w:val="16"/>
              </w:rPr>
              <w:t>79</w:t>
            </w:r>
          </w:p>
        </w:tc>
        <w:tc>
          <w:tcPr>
            <w:tcW w:w="888" w:type="pct"/>
            <w:tcBorders>
              <w:top w:val="nil"/>
              <w:left w:val="nil"/>
              <w:bottom w:val="nil"/>
              <w:right w:val="nil"/>
            </w:tcBorders>
            <w:shd w:val="clear" w:color="auto" w:fill="auto"/>
            <w:noWrap/>
            <w:vAlign w:val="center"/>
            <w:hideMark/>
          </w:tcPr>
          <w:p w14:paraId="3D7BFF88" w14:textId="7ACC47DB" w:rsidR="00B74DE7" w:rsidRDefault="00060221">
            <w:pPr>
              <w:jc w:val="right"/>
              <w:rPr>
                <w:rFonts w:ascii="Calibri" w:hAnsi="Calibri" w:cs="Calibri"/>
                <w:color w:val="000000"/>
                <w:sz w:val="16"/>
                <w:szCs w:val="16"/>
              </w:rPr>
            </w:pPr>
            <w:r>
              <w:rPr>
                <w:rFonts w:ascii="Calibri" w:hAnsi="Calibri" w:cs="Calibri"/>
                <w:color w:val="000000"/>
                <w:sz w:val="16"/>
                <w:szCs w:val="16"/>
              </w:rPr>
              <w:t>9.435.344</w:t>
            </w:r>
          </w:p>
        </w:tc>
      </w:tr>
      <w:tr w:rsidR="00B74DE7" w14:paraId="474B10F0" w14:textId="77777777" w:rsidTr="00B74DE7">
        <w:trPr>
          <w:trHeight w:val="227"/>
        </w:trPr>
        <w:tc>
          <w:tcPr>
            <w:tcW w:w="853" w:type="pct"/>
            <w:tcBorders>
              <w:top w:val="nil"/>
              <w:left w:val="nil"/>
              <w:bottom w:val="nil"/>
              <w:right w:val="nil"/>
            </w:tcBorders>
            <w:shd w:val="clear" w:color="auto" w:fill="auto"/>
            <w:noWrap/>
            <w:vAlign w:val="center"/>
            <w:hideMark/>
          </w:tcPr>
          <w:p w14:paraId="749D8A2E" w14:textId="77777777" w:rsidR="00B74DE7" w:rsidRDefault="00B74DE7">
            <w:pPr>
              <w:rPr>
                <w:rFonts w:ascii="Calibri" w:hAnsi="Calibri" w:cs="Calibri"/>
                <w:color w:val="000000"/>
                <w:sz w:val="16"/>
                <w:szCs w:val="16"/>
              </w:rPr>
            </w:pPr>
            <w:r>
              <w:rPr>
                <w:rFonts w:ascii="Calibri" w:hAnsi="Calibri" w:cs="Calibri"/>
                <w:color w:val="000000"/>
                <w:sz w:val="16"/>
                <w:szCs w:val="16"/>
              </w:rPr>
              <w:t>Pessoal e encargos</w:t>
            </w:r>
          </w:p>
        </w:tc>
        <w:tc>
          <w:tcPr>
            <w:tcW w:w="841" w:type="pct"/>
            <w:tcBorders>
              <w:top w:val="nil"/>
              <w:left w:val="nil"/>
              <w:bottom w:val="nil"/>
              <w:right w:val="nil"/>
            </w:tcBorders>
            <w:shd w:val="clear" w:color="auto" w:fill="auto"/>
            <w:noWrap/>
            <w:vAlign w:val="center"/>
            <w:hideMark/>
          </w:tcPr>
          <w:p w14:paraId="5ACB03C4" w14:textId="77777777" w:rsidR="00B74DE7" w:rsidRDefault="00B74DE7">
            <w:pPr>
              <w:jc w:val="right"/>
              <w:rPr>
                <w:rFonts w:ascii="Calibri" w:hAnsi="Calibri" w:cs="Calibri"/>
                <w:color w:val="000000"/>
                <w:sz w:val="16"/>
                <w:szCs w:val="16"/>
              </w:rPr>
            </w:pPr>
            <w:r>
              <w:rPr>
                <w:rFonts w:ascii="Calibri" w:hAnsi="Calibri" w:cs="Calibri"/>
                <w:color w:val="000000"/>
                <w:sz w:val="16"/>
                <w:szCs w:val="16"/>
              </w:rPr>
              <w:t>6.024.283</w:t>
            </w:r>
          </w:p>
        </w:tc>
        <w:tc>
          <w:tcPr>
            <w:tcW w:w="841" w:type="pct"/>
            <w:tcBorders>
              <w:top w:val="nil"/>
              <w:left w:val="nil"/>
              <w:bottom w:val="nil"/>
              <w:right w:val="nil"/>
            </w:tcBorders>
            <w:shd w:val="clear" w:color="auto" w:fill="auto"/>
            <w:noWrap/>
            <w:vAlign w:val="center"/>
            <w:hideMark/>
          </w:tcPr>
          <w:p w14:paraId="395C5630" w14:textId="77777777" w:rsidR="00B74DE7" w:rsidRDefault="00B74DE7">
            <w:pPr>
              <w:jc w:val="right"/>
              <w:rPr>
                <w:rFonts w:ascii="Calibri" w:hAnsi="Calibri" w:cs="Calibri"/>
                <w:color w:val="000000"/>
                <w:sz w:val="16"/>
                <w:szCs w:val="16"/>
              </w:rPr>
            </w:pPr>
            <w:r>
              <w:rPr>
                <w:rFonts w:ascii="Calibri" w:hAnsi="Calibri" w:cs="Calibri"/>
                <w:color w:val="000000"/>
                <w:sz w:val="16"/>
                <w:szCs w:val="16"/>
              </w:rPr>
              <w:t>6.023.453</w:t>
            </w:r>
          </w:p>
        </w:tc>
        <w:tc>
          <w:tcPr>
            <w:tcW w:w="689" w:type="pct"/>
            <w:tcBorders>
              <w:top w:val="nil"/>
              <w:left w:val="nil"/>
              <w:bottom w:val="nil"/>
              <w:right w:val="nil"/>
            </w:tcBorders>
            <w:shd w:val="clear" w:color="auto" w:fill="auto"/>
            <w:noWrap/>
            <w:vAlign w:val="center"/>
            <w:hideMark/>
          </w:tcPr>
          <w:p w14:paraId="26633D11" w14:textId="77777777" w:rsidR="00B74DE7" w:rsidRDefault="00B74DE7">
            <w:pPr>
              <w:jc w:val="right"/>
              <w:rPr>
                <w:rFonts w:ascii="Calibri" w:hAnsi="Calibri" w:cs="Calibri"/>
                <w:color w:val="000000"/>
                <w:sz w:val="16"/>
                <w:szCs w:val="16"/>
              </w:rPr>
            </w:pPr>
            <w:r>
              <w:rPr>
                <w:rFonts w:ascii="Calibri" w:hAnsi="Calibri" w:cs="Calibri"/>
                <w:color w:val="000000"/>
                <w:sz w:val="16"/>
                <w:szCs w:val="16"/>
              </w:rPr>
              <w:t>0</w:t>
            </w:r>
          </w:p>
        </w:tc>
        <w:tc>
          <w:tcPr>
            <w:tcW w:w="888" w:type="pct"/>
            <w:tcBorders>
              <w:top w:val="nil"/>
              <w:left w:val="nil"/>
              <w:bottom w:val="nil"/>
              <w:right w:val="nil"/>
            </w:tcBorders>
            <w:shd w:val="clear" w:color="auto" w:fill="auto"/>
            <w:vAlign w:val="center"/>
            <w:hideMark/>
          </w:tcPr>
          <w:p w14:paraId="482A6F8B" w14:textId="77777777" w:rsidR="00B74DE7" w:rsidRDefault="00B74DE7">
            <w:pPr>
              <w:jc w:val="right"/>
              <w:rPr>
                <w:rFonts w:ascii="Calibri" w:hAnsi="Calibri" w:cs="Calibri"/>
                <w:color w:val="000000"/>
                <w:sz w:val="16"/>
                <w:szCs w:val="16"/>
              </w:rPr>
            </w:pPr>
            <w:r>
              <w:rPr>
                <w:rFonts w:ascii="Calibri" w:hAnsi="Calibri" w:cs="Calibri"/>
                <w:color w:val="000000"/>
                <w:sz w:val="16"/>
                <w:szCs w:val="16"/>
              </w:rPr>
              <w:t>829</w:t>
            </w:r>
          </w:p>
        </w:tc>
        <w:tc>
          <w:tcPr>
            <w:tcW w:w="888" w:type="pct"/>
            <w:tcBorders>
              <w:top w:val="nil"/>
              <w:left w:val="nil"/>
              <w:bottom w:val="nil"/>
              <w:right w:val="nil"/>
            </w:tcBorders>
            <w:shd w:val="clear" w:color="auto" w:fill="auto"/>
            <w:noWrap/>
            <w:vAlign w:val="center"/>
            <w:hideMark/>
          </w:tcPr>
          <w:p w14:paraId="1F061472" w14:textId="77777777" w:rsidR="00B74DE7" w:rsidRDefault="00B74DE7">
            <w:pPr>
              <w:jc w:val="right"/>
              <w:rPr>
                <w:rFonts w:ascii="Calibri" w:hAnsi="Calibri" w:cs="Calibri"/>
                <w:color w:val="000000"/>
                <w:sz w:val="16"/>
                <w:szCs w:val="16"/>
              </w:rPr>
            </w:pPr>
            <w:r>
              <w:rPr>
                <w:rFonts w:ascii="Calibri" w:hAnsi="Calibri" w:cs="Calibri"/>
                <w:color w:val="000000"/>
                <w:sz w:val="16"/>
                <w:szCs w:val="16"/>
              </w:rPr>
              <w:t>6.023.453</w:t>
            </w:r>
          </w:p>
        </w:tc>
      </w:tr>
      <w:tr w:rsidR="00B74DE7" w14:paraId="276111F5" w14:textId="77777777" w:rsidTr="00B74DE7">
        <w:trPr>
          <w:trHeight w:val="227"/>
        </w:trPr>
        <w:tc>
          <w:tcPr>
            <w:tcW w:w="853" w:type="pct"/>
            <w:tcBorders>
              <w:top w:val="nil"/>
              <w:left w:val="nil"/>
              <w:bottom w:val="single" w:sz="8" w:space="0" w:color="auto"/>
              <w:right w:val="nil"/>
            </w:tcBorders>
            <w:shd w:val="clear" w:color="auto" w:fill="auto"/>
            <w:noWrap/>
            <w:vAlign w:val="center"/>
            <w:hideMark/>
          </w:tcPr>
          <w:p w14:paraId="25D59185" w14:textId="77777777" w:rsidR="00B74DE7" w:rsidRDefault="00B74DE7">
            <w:pPr>
              <w:rPr>
                <w:rFonts w:ascii="Calibri" w:hAnsi="Calibri" w:cs="Calibri"/>
                <w:color w:val="000000"/>
                <w:sz w:val="16"/>
                <w:szCs w:val="16"/>
              </w:rPr>
            </w:pPr>
            <w:r>
              <w:rPr>
                <w:rFonts w:ascii="Calibri" w:hAnsi="Calibri" w:cs="Calibri"/>
                <w:color w:val="000000"/>
                <w:sz w:val="16"/>
                <w:szCs w:val="16"/>
              </w:rPr>
              <w:t>Investimento</w:t>
            </w:r>
          </w:p>
        </w:tc>
        <w:tc>
          <w:tcPr>
            <w:tcW w:w="841" w:type="pct"/>
            <w:tcBorders>
              <w:top w:val="nil"/>
              <w:left w:val="nil"/>
              <w:bottom w:val="single" w:sz="8" w:space="0" w:color="auto"/>
              <w:right w:val="nil"/>
            </w:tcBorders>
            <w:shd w:val="clear" w:color="auto" w:fill="auto"/>
            <w:noWrap/>
            <w:vAlign w:val="center"/>
            <w:hideMark/>
          </w:tcPr>
          <w:p w14:paraId="0D3C55FD" w14:textId="77777777" w:rsidR="00B74DE7" w:rsidRDefault="00B74DE7">
            <w:pPr>
              <w:jc w:val="right"/>
              <w:rPr>
                <w:rFonts w:ascii="Calibri" w:hAnsi="Calibri" w:cs="Calibri"/>
                <w:color w:val="000000"/>
                <w:sz w:val="16"/>
                <w:szCs w:val="16"/>
              </w:rPr>
            </w:pPr>
            <w:r>
              <w:rPr>
                <w:rFonts w:ascii="Calibri" w:hAnsi="Calibri" w:cs="Calibri"/>
                <w:color w:val="000000"/>
                <w:sz w:val="16"/>
                <w:szCs w:val="16"/>
              </w:rPr>
              <w:t>282.738.699</w:t>
            </w:r>
          </w:p>
        </w:tc>
        <w:tc>
          <w:tcPr>
            <w:tcW w:w="841" w:type="pct"/>
            <w:tcBorders>
              <w:top w:val="nil"/>
              <w:left w:val="nil"/>
              <w:bottom w:val="single" w:sz="8" w:space="0" w:color="auto"/>
              <w:right w:val="nil"/>
            </w:tcBorders>
            <w:shd w:val="clear" w:color="auto" w:fill="auto"/>
            <w:noWrap/>
            <w:vAlign w:val="center"/>
            <w:hideMark/>
          </w:tcPr>
          <w:p w14:paraId="5EBB8700" w14:textId="77777777" w:rsidR="00B74DE7" w:rsidRDefault="00B74DE7">
            <w:pPr>
              <w:jc w:val="right"/>
              <w:rPr>
                <w:rFonts w:ascii="Calibri" w:hAnsi="Calibri" w:cs="Calibri"/>
                <w:color w:val="000000"/>
                <w:sz w:val="16"/>
                <w:szCs w:val="16"/>
              </w:rPr>
            </w:pPr>
            <w:r>
              <w:rPr>
                <w:rFonts w:ascii="Calibri" w:hAnsi="Calibri" w:cs="Calibri"/>
                <w:color w:val="000000"/>
                <w:sz w:val="16"/>
                <w:szCs w:val="16"/>
              </w:rPr>
              <w:t>41.912.394</w:t>
            </w:r>
          </w:p>
        </w:tc>
        <w:tc>
          <w:tcPr>
            <w:tcW w:w="689" w:type="pct"/>
            <w:tcBorders>
              <w:top w:val="nil"/>
              <w:left w:val="nil"/>
              <w:bottom w:val="single" w:sz="8" w:space="0" w:color="auto"/>
              <w:right w:val="nil"/>
            </w:tcBorders>
            <w:shd w:val="clear" w:color="auto" w:fill="auto"/>
            <w:noWrap/>
            <w:vAlign w:val="center"/>
            <w:hideMark/>
          </w:tcPr>
          <w:p w14:paraId="5B36FEC3" w14:textId="4AFDBB5A" w:rsidR="00B74DE7" w:rsidRDefault="00060221">
            <w:pPr>
              <w:jc w:val="right"/>
              <w:rPr>
                <w:rFonts w:ascii="Calibri" w:hAnsi="Calibri" w:cs="Calibri"/>
                <w:color w:val="000000"/>
                <w:sz w:val="16"/>
                <w:szCs w:val="16"/>
              </w:rPr>
            </w:pPr>
            <w:r>
              <w:rPr>
                <w:rFonts w:ascii="Calibri" w:hAnsi="Calibri" w:cs="Calibri"/>
                <w:color w:val="000000"/>
                <w:sz w:val="16"/>
                <w:szCs w:val="16"/>
              </w:rPr>
              <w:t>208.432.953</w:t>
            </w:r>
          </w:p>
        </w:tc>
        <w:tc>
          <w:tcPr>
            <w:tcW w:w="888" w:type="pct"/>
            <w:tcBorders>
              <w:top w:val="nil"/>
              <w:left w:val="nil"/>
              <w:bottom w:val="single" w:sz="8" w:space="0" w:color="auto"/>
              <w:right w:val="nil"/>
            </w:tcBorders>
            <w:shd w:val="clear" w:color="auto" w:fill="auto"/>
            <w:vAlign w:val="center"/>
            <w:hideMark/>
          </w:tcPr>
          <w:p w14:paraId="67D87107" w14:textId="267BF538" w:rsidR="00B74DE7" w:rsidRDefault="00060221">
            <w:pPr>
              <w:jc w:val="right"/>
              <w:rPr>
                <w:rFonts w:ascii="Calibri" w:hAnsi="Calibri" w:cs="Calibri"/>
                <w:color w:val="000000"/>
                <w:sz w:val="16"/>
                <w:szCs w:val="16"/>
              </w:rPr>
            </w:pPr>
            <w:r>
              <w:rPr>
                <w:rFonts w:ascii="Calibri" w:hAnsi="Calibri" w:cs="Calibri"/>
                <w:color w:val="000000"/>
                <w:sz w:val="16"/>
                <w:szCs w:val="16"/>
              </w:rPr>
              <w:t>6</w:t>
            </w:r>
            <w:r w:rsidR="00B74DE7">
              <w:rPr>
                <w:rFonts w:ascii="Calibri" w:hAnsi="Calibri" w:cs="Calibri"/>
                <w:color w:val="000000"/>
                <w:sz w:val="16"/>
                <w:szCs w:val="16"/>
              </w:rPr>
              <w:t>.</w:t>
            </w:r>
            <w:r>
              <w:rPr>
                <w:rFonts w:ascii="Calibri" w:hAnsi="Calibri" w:cs="Calibri"/>
                <w:color w:val="000000"/>
                <w:sz w:val="16"/>
                <w:szCs w:val="16"/>
              </w:rPr>
              <w:t>1</w:t>
            </w:r>
            <w:r w:rsidR="00B74DE7">
              <w:rPr>
                <w:rFonts w:ascii="Calibri" w:hAnsi="Calibri" w:cs="Calibri"/>
                <w:color w:val="000000"/>
                <w:sz w:val="16"/>
                <w:szCs w:val="16"/>
              </w:rPr>
              <w:t>6</w:t>
            </w:r>
            <w:r>
              <w:rPr>
                <w:rFonts w:ascii="Calibri" w:hAnsi="Calibri" w:cs="Calibri"/>
                <w:color w:val="000000"/>
                <w:sz w:val="16"/>
                <w:szCs w:val="16"/>
              </w:rPr>
              <w:t>7</w:t>
            </w:r>
            <w:r w:rsidR="00B74DE7">
              <w:rPr>
                <w:rFonts w:ascii="Calibri" w:hAnsi="Calibri" w:cs="Calibri"/>
                <w:color w:val="000000"/>
                <w:sz w:val="16"/>
                <w:szCs w:val="16"/>
              </w:rPr>
              <w:t>.3</w:t>
            </w:r>
            <w:r>
              <w:rPr>
                <w:rFonts w:ascii="Calibri" w:hAnsi="Calibri" w:cs="Calibri"/>
                <w:color w:val="000000"/>
                <w:sz w:val="16"/>
                <w:szCs w:val="16"/>
              </w:rPr>
              <w:t>31</w:t>
            </w:r>
          </w:p>
        </w:tc>
        <w:tc>
          <w:tcPr>
            <w:tcW w:w="888" w:type="pct"/>
            <w:tcBorders>
              <w:top w:val="nil"/>
              <w:left w:val="nil"/>
              <w:bottom w:val="single" w:sz="8" w:space="0" w:color="auto"/>
              <w:right w:val="nil"/>
            </w:tcBorders>
            <w:shd w:val="clear" w:color="auto" w:fill="auto"/>
            <w:noWrap/>
            <w:vAlign w:val="center"/>
            <w:hideMark/>
          </w:tcPr>
          <w:p w14:paraId="757512D9" w14:textId="596BE2D9" w:rsidR="00B74DE7" w:rsidRDefault="00060221">
            <w:pPr>
              <w:jc w:val="right"/>
              <w:rPr>
                <w:rFonts w:ascii="Calibri" w:hAnsi="Calibri" w:cs="Calibri"/>
                <w:color w:val="000000"/>
                <w:sz w:val="16"/>
                <w:szCs w:val="16"/>
              </w:rPr>
            </w:pPr>
            <w:r>
              <w:rPr>
                <w:rFonts w:ascii="Calibri" w:hAnsi="Calibri" w:cs="Calibri"/>
                <w:color w:val="000000"/>
                <w:sz w:val="16"/>
                <w:szCs w:val="16"/>
              </w:rPr>
              <w:t>20</w:t>
            </w:r>
            <w:r w:rsidR="00B74DE7">
              <w:rPr>
                <w:rFonts w:ascii="Calibri" w:hAnsi="Calibri" w:cs="Calibri"/>
                <w:color w:val="000000"/>
                <w:sz w:val="16"/>
                <w:szCs w:val="16"/>
              </w:rPr>
              <w:t>7.65</w:t>
            </w:r>
            <w:r>
              <w:rPr>
                <w:rFonts w:ascii="Calibri" w:hAnsi="Calibri" w:cs="Calibri"/>
                <w:color w:val="000000"/>
                <w:sz w:val="16"/>
                <w:szCs w:val="16"/>
              </w:rPr>
              <w:t>8</w:t>
            </w:r>
            <w:r w:rsidR="00B74DE7">
              <w:rPr>
                <w:rFonts w:ascii="Calibri" w:hAnsi="Calibri" w:cs="Calibri"/>
                <w:color w:val="000000"/>
                <w:sz w:val="16"/>
                <w:szCs w:val="16"/>
              </w:rPr>
              <w:t>.</w:t>
            </w:r>
            <w:r>
              <w:rPr>
                <w:rFonts w:ascii="Calibri" w:hAnsi="Calibri" w:cs="Calibri"/>
                <w:color w:val="000000"/>
                <w:sz w:val="16"/>
                <w:szCs w:val="16"/>
              </w:rPr>
              <w:t>100</w:t>
            </w:r>
          </w:p>
        </w:tc>
      </w:tr>
      <w:tr w:rsidR="00B74DE7" w14:paraId="63970874" w14:textId="77777777" w:rsidTr="00B74DE7">
        <w:trPr>
          <w:trHeight w:val="227"/>
        </w:trPr>
        <w:tc>
          <w:tcPr>
            <w:tcW w:w="853" w:type="pct"/>
            <w:tcBorders>
              <w:top w:val="nil"/>
              <w:left w:val="nil"/>
              <w:bottom w:val="single" w:sz="8" w:space="0" w:color="auto"/>
              <w:right w:val="nil"/>
            </w:tcBorders>
            <w:shd w:val="clear" w:color="auto" w:fill="auto"/>
            <w:noWrap/>
            <w:vAlign w:val="center"/>
            <w:hideMark/>
          </w:tcPr>
          <w:p w14:paraId="51FAB90C" w14:textId="77777777" w:rsidR="00B74DE7" w:rsidRDefault="00B74DE7">
            <w:pPr>
              <w:rPr>
                <w:rFonts w:ascii="Calibri" w:hAnsi="Calibri" w:cs="Calibri"/>
                <w:b/>
                <w:bCs/>
                <w:color w:val="000000"/>
                <w:sz w:val="16"/>
                <w:szCs w:val="16"/>
              </w:rPr>
            </w:pPr>
            <w:r>
              <w:rPr>
                <w:rFonts w:ascii="Calibri" w:hAnsi="Calibri" w:cs="Calibri"/>
                <w:b/>
                <w:bCs/>
                <w:color w:val="000000"/>
                <w:sz w:val="16"/>
                <w:szCs w:val="16"/>
              </w:rPr>
              <w:t>TOTAL GERAL</w:t>
            </w:r>
          </w:p>
        </w:tc>
        <w:tc>
          <w:tcPr>
            <w:tcW w:w="841" w:type="pct"/>
            <w:tcBorders>
              <w:top w:val="nil"/>
              <w:left w:val="nil"/>
              <w:bottom w:val="single" w:sz="8" w:space="0" w:color="auto"/>
              <w:right w:val="nil"/>
            </w:tcBorders>
            <w:shd w:val="clear" w:color="auto" w:fill="auto"/>
            <w:noWrap/>
            <w:vAlign w:val="center"/>
            <w:hideMark/>
          </w:tcPr>
          <w:p w14:paraId="1A99E16C" w14:textId="77777777" w:rsidR="00B74DE7" w:rsidRDefault="00B74DE7">
            <w:pPr>
              <w:jc w:val="right"/>
              <w:rPr>
                <w:rFonts w:ascii="Calibri" w:hAnsi="Calibri" w:cs="Calibri"/>
                <w:b/>
                <w:bCs/>
                <w:color w:val="000000"/>
                <w:sz w:val="16"/>
                <w:szCs w:val="16"/>
              </w:rPr>
            </w:pPr>
            <w:r>
              <w:rPr>
                <w:rFonts w:ascii="Calibri" w:hAnsi="Calibri" w:cs="Calibri"/>
                <w:b/>
                <w:bCs/>
                <w:color w:val="000000"/>
                <w:sz w:val="16"/>
                <w:szCs w:val="16"/>
              </w:rPr>
              <w:t>314.864.234</w:t>
            </w:r>
          </w:p>
        </w:tc>
        <w:tc>
          <w:tcPr>
            <w:tcW w:w="841" w:type="pct"/>
            <w:tcBorders>
              <w:top w:val="nil"/>
              <w:left w:val="nil"/>
              <w:bottom w:val="single" w:sz="8" w:space="0" w:color="auto"/>
              <w:right w:val="nil"/>
            </w:tcBorders>
            <w:shd w:val="clear" w:color="auto" w:fill="auto"/>
            <w:noWrap/>
            <w:vAlign w:val="center"/>
            <w:hideMark/>
          </w:tcPr>
          <w:p w14:paraId="1C699A78" w14:textId="77777777" w:rsidR="00B74DE7" w:rsidRDefault="00B74DE7">
            <w:pPr>
              <w:jc w:val="right"/>
              <w:rPr>
                <w:rFonts w:ascii="Calibri" w:hAnsi="Calibri" w:cs="Calibri"/>
                <w:b/>
                <w:bCs/>
                <w:color w:val="000000"/>
                <w:sz w:val="16"/>
                <w:szCs w:val="16"/>
              </w:rPr>
            </w:pPr>
            <w:r>
              <w:rPr>
                <w:rFonts w:ascii="Calibri" w:hAnsi="Calibri" w:cs="Calibri"/>
                <w:b/>
                <w:bCs/>
                <w:color w:val="000000"/>
                <w:sz w:val="16"/>
                <w:szCs w:val="16"/>
              </w:rPr>
              <w:t>48.268.322</w:t>
            </w:r>
          </w:p>
        </w:tc>
        <w:tc>
          <w:tcPr>
            <w:tcW w:w="689" w:type="pct"/>
            <w:tcBorders>
              <w:top w:val="nil"/>
              <w:left w:val="nil"/>
              <w:bottom w:val="single" w:sz="8" w:space="0" w:color="auto"/>
              <w:right w:val="nil"/>
            </w:tcBorders>
            <w:shd w:val="clear" w:color="auto" w:fill="auto"/>
            <w:noWrap/>
            <w:vAlign w:val="center"/>
            <w:hideMark/>
          </w:tcPr>
          <w:p w14:paraId="1A57A3D8" w14:textId="66F8AD19" w:rsidR="00B74DE7" w:rsidRDefault="00060221">
            <w:pPr>
              <w:jc w:val="right"/>
              <w:rPr>
                <w:rFonts w:ascii="Calibri" w:hAnsi="Calibri" w:cs="Calibri"/>
                <w:b/>
                <w:bCs/>
                <w:color w:val="000000"/>
                <w:sz w:val="16"/>
                <w:szCs w:val="16"/>
              </w:rPr>
            </w:pPr>
            <w:r>
              <w:rPr>
                <w:rFonts w:ascii="Calibri" w:hAnsi="Calibri" w:cs="Calibri"/>
                <w:b/>
                <w:bCs/>
                <w:color w:val="000000"/>
                <w:sz w:val="16"/>
                <w:szCs w:val="16"/>
              </w:rPr>
              <w:t>217.545.452</w:t>
            </w:r>
          </w:p>
        </w:tc>
        <w:tc>
          <w:tcPr>
            <w:tcW w:w="888" w:type="pct"/>
            <w:tcBorders>
              <w:top w:val="nil"/>
              <w:left w:val="nil"/>
              <w:bottom w:val="single" w:sz="8" w:space="0" w:color="auto"/>
              <w:right w:val="nil"/>
            </w:tcBorders>
            <w:shd w:val="clear" w:color="auto" w:fill="auto"/>
            <w:noWrap/>
            <w:vAlign w:val="center"/>
            <w:hideMark/>
          </w:tcPr>
          <w:p w14:paraId="2F355C6D" w14:textId="408A3666" w:rsidR="00B74DE7" w:rsidRDefault="00B74DE7">
            <w:pPr>
              <w:jc w:val="right"/>
              <w:rPr>
                <w:rFonts w:ascii="Calibri" w:hAnsi="Calibri" w:cs="Calibri"/>
                <w:b/>
                <w:bCs/>
                <w:color w:val="000000"/>
                <w:sz w:val="16"/>
                <w:szCs w:val="16"/>
              </w:rPr>
            </w:pPr>
            <w:r>
              <w:rPr>
                <w:rFonts w:ascii="Calibri" w:hAnsi="Calibri" w:cs="Calibri"/>
                <w:b/>
                <w:bCs/>
                <w:color w:val="000000"/>
                <w:sz w:val="16"/>
                <w:szCs w:val="16"/>
              </w:rPr>
              <w:t>11.</w:t>
            </w:r>
            <w:r w:rsidR="00060221">
              <w:rPr>
                <w:rFonts w:ascii="Calibri" w:hAnsi="Calibri" w:cs="Calibri"/>
                <w:b/>
                <w:bCs/>
                <w:color w:val="000000"/>
                <w:sz w:val="16"/>
                <w:szCs w:val="16"/>
              </w:rPr>
              <w:t>98</w:t>
            </w:r>
            <w:r>
              <w:rPr>
                <w:rFonts w:ascii="Calibri" w:hAnsi="Calibri" w:cs="Calibri"/>
                <w:b/>
                <w:bCs/>
                <w:color w:val="000000"/>
                <w:sz w:val="16"/>
                <w:szCs w:val="16"/>
              </w:rPr>
              <w:t>8.</w:t>
            </w:r>
            <w:r w:rsidR="00060221">
              <w:rPr>
                <w:rFonts w:ascii="Calibri" w:hAnsi="Calibri" w:cs="Calibri"/>
                <w:b/>
                <w:bCs/>
                <w:color w:val="000000"/>
                <w:sz w:val="16"/>
                <w:szCs w:val="16"/>
              </w:rPr>
              <w:t>439</w:t>
            </w:r>
          </w:p>
        </w:tc>
        <w:tc>
          <w:tcPr>
            <w:tcW w:w="888" w:type="pct"/>
            <w:tcBorders>
              <w:top w:val="nil"/>
              <w:left w:val="nil"/>
              <w:bottom w:val="single" w:sz="8" w:space="0" w:color="auto"/>
              <w:right w:val="nil"/>
            </w:tcBorders>
            <w:shd w:val="clear" w:color="auto" w:fill="auto"/>
            <w:noWrap/>
            <w:vAlign w:val="center"/>
            <w:hideMark/>
          </w:tcPr>
          <w:p w14:paraId="2D279BF6" w14:textId="5A0EF9F1" w:rsidR="00B74DE7" w:rsidRDefault="00060221">
            <w:pPr>
              <w:jc w:val="right"/>
              <w:rPr>
                <w:rFonts w:ascii="Calibri" w:hAnsi="Calibri" w:cs="Calibri"/>
                <w:b/>
                <w:bCs/>
                <w:color w:val="000000"/>
                <w:sz w:val="16"/>
                <w:szCs w:val="16"/>
              </w:rPr>
            </w:pPr>
            <w:r>
              <w:rPr>
                <w:rFonts w:ascii="Calibri" w:hAnsi="Calibri" w:cs="Calibri"/>
                <w:b/>
                <w:bCs/>
                <w:color w:val="000000"/>
                <w:sz w:val="16"/>
                <w:szCs w:val="16"/>
              </w:rPr>
              <w:t>223.116.897</w:t>
            </w:r>
          </w:p>
        </w:tc>
      </w:tr>
    </w:tbl>
    <w:p w14:paraId="257C8CED" w14:textId="77777777" w:rsidR="00B74DE7" w:rsidRPr="002E2B5B" w:rsidRDefault="00B74DE7" w:rsidP="002E2B5B">
      <w:pPr>
        <w:autoSpaceDE w:val="0"/>
        <w:autoSpaceDN w:val="0"/>
        <w:jc w:val="both"/>
        <w:rPr>
          <w:rFonts w:ascii="Calibri" w:hAnsi="Calibri" w:cs="Calibri"/>
          <w:sz w:val="22"/>
          <w:szCs w:val="22"/>
        </w:rPr>
      </w:pPr>
    </w:p>
    <w:p w14:paraId="323F1C1B" w14:textId="77777777" w:rsidR="00F158C0" w:rsidRDefault="00F158C0" w:rsidP="002E2B5B">
      <w:pPr>
        <w:ind w:right="-142"/>
        <w:rPr>
          <w:rFonts w:ascii="Calibri" w:hAnsi="Calibri" w:cs="Calibri"/>
          <w:b/>
          <w:sz w:val="22"/>
          <w:szCs w:val="22"/>
        </w:rPr>
      </w:pPr>
    </w:p>
    <w:p w14:paraId="0AE59FD0" w14:textId="1184E482" w:rsidR="005557CC" w:rsidRPr="00654405" w:rsidRDefault="007158EB" w:rsidP="002E2B5B">
      <w:pPr>
        <w:ind w:right="-142"/>
        <w:rPr>
          <w:rFonts w:ascii="Calibri" w:hAnsi="Calibri" w:cs="Calibri"/>
          <w:b/>
          <w:sz w:val="22"/>
          <w:szCs w:val="22"/>
        </w:rPr>
      </w:pPr>
      <w:r w:rsidRPr="00654405">
        <w:rPr>
          <w:rFonts w:ascii="Calibri" w:hAnsi="Calibri" w:cs="Calibri"/>
          <w:b/>
          <w:sz w:val="22"/>
          <w:szCs w:val="22"/>
        </w:rPr>
        <w:lastRenderedPageBreak/>
        <w:t>NOTA 2</w:t>
      </w:r>
      <w:r w:rsidR="003C3F27" w:rsidRPr="00654405">
        <w:rPr>
          <w:rFonts w:ascii="Calibri" w:hAnsi="Calibri" w:cs="Calibri"/>
          <w:b/>
          <w:sz w:val="22"/>
          <w:szCs w:val="22"/>
        </w:rPr>
        <w:t>3</w:t>
      </w:r>
      <w:r w:rsidRPr="00654405">
        <w:rPr>
          <w:rFonts w:ascii="Calibri" w:hAnsi="Calibri" w:cs="Calibri"/>
          <w:b/>
          <w:sz w:val="22"/>
          <w:szCs w:val="22"/>
        </w:rPr>
        <w:t xml:space="preserve"> </w:t>
      </w:r>
      <w:r w:rsidR="005557CC" w:rsidRPr="00654405">
        <w:rPr>
          <w:rFonts w:ascii="Calibri" w:hAnsi="Calibri" w:cs="Calibri"/>
          <w:b/>
          <w:sz w:val="22"/>
          <w:szCs w:val="22"/>
        </w:rPr>
        <w:t xml:space="preserve">– </w:t>
      </w:r>
      <w:r w:rsidR="00F150CE" w:rsidRPr="00654405">
        <w:rPr>
          <w:rFonts w:ascii="Calibri" w:hAnsi="Calibri" w:cs="Calibri"/>
          <w:b/>
          <w:sz w:val="22"/>
          <w:szCs w:val="22"/>
        </w:rPr>
        <w:t xml:space="preserve">CONCILIAÇÃO ENTRE A LEI Nº 6.404/76 E A LEI Nº 4.320/64 </w:t>
      </w:r>
      <w:r w:rsidR="006E295E" w:rsidRPr="00654405">
        <w:rPr>
          <w:rFonts w:ascii="Calibri" w:hAnsi="Calibri" w:cs="Calibri"/>
          <w:b/>
          <w:sz w:val="22"/>
          <w:szCs w:val="22"/>
        </w:rPr>
        <w:t>(NOTA NÃO AUDITADA)</w:t>
      </w:r>
    </w:p>
    <w:p w14:paraId="1DEA868D" w14:textId="77777777" w:rsidR="000C065B" w:rsidRPr="00654405" w:rsidRDefault="000C065B" w:rsidP="002E2B5B">
      <w:pPr>
        <w:ind w:right="-142"/>
        <w:rPr>
          <w:rFonts w:ascii="Calibri" w:hAnsi="Calibri" w:cs="Calibri"/>
          <w:b/>
          <w:sz w:val="22"/>
          <w:szCs w:val="22"/>
        </w:rPr>
      </w:pPr>
    </w:p>
    <w:p w14:paraId="2630A93C" w14:textId="593F980A" w:rsidR="00F150CE" w:rsidRPr="00654405" w:rsidRDefault="00863872" w:rsidP="002E2B5B">
      <w:pPr>
        <w:ind w:right="57"/>
        <w:jc w:val="both"/>
        <w:rPr>
          <w:rFonts w:ascii="Calibri" w:hAnsi="Calibri" w:cs="Calibri"/>
          <w:sz w:val="22"/>
          <w:szCs w:val="22"/>
        </w:rPr>
      </w:pPr>
      <w:r w:rsidRPr="00654405">
        <w:rPr>
          <w:rFonts w:ascii="Calibri" w:hAnsi="Calibri" w:cs="Calibri"/>
          <w:sz w:val="22"/>
          <w:szCs w:val="22"/>
        </w:rPr>
        <w:t>De acordo com do Acórdão</w:t>
      </w:r>
      <w:r w:rsidR="0023205E" w:rsidRPr="00654405">
        <w:rPr>
          <w:rFonts w:ascii="Calibri" w:hAnsi="Calibri" w:cs="Calibri"/>
          <w:sz w:val="22"/>
          <w:szCs w:val="22"/>
        </w:rPr>
        <w:t xml:space="preserve"> nº </w:t>
      </w:r>
      <w:r w:rsidRPr="00654405">
        <w:rPr>
          <w:rFonts w:ascii="Calibri" w:hAnsi="Calibri" w:cs="Calibri"/>
          <w:sz w:val="22"/>
          <w:szCs w:val="22"/>
        </w:rPr>
        <w:t>2016/2006 do Tribunal de Contas Da União, a</w:t>
      </w:r>
      <w:r w:rsidR="00F150CE" w:rsidRPr="00654405">
        <w:rPr>
          <w:rFonts w:ascii="Calibri" w:hAnsi="Calibri" w:cs="Calibri"/>
          <w:sz w:val="22"/>
          <w:szCs w:val="22"/>
        </w:rPr>
        <w:t xml:space="preserve">presenta-se o Balanço Patrimonial </w:t>
      </w:r>
      <w:r w:rsidR="009D5C7E" w:rsidRPr="00654405">
        <w:rPr>
          <w:rFonts w:ascii="Calibri" w:hAnsi="Calibri" w:cs="Calibri"/>
          <w:sz w:val="22"/>
          <w:szCs w:val="22"/>
        </w:rPr>
        <w:t xml:space="preserve">e a Demonstração de Resultados </w:t>
      </w:r>
      <w:r w:rsidR="00F150CE" w:rsidRPr="00654405">
        <w:rPr>
          <w:rFonts w:ascii="Calibri" w:hAnsi="Calibri" w:cs="Calibri"/>
          <w:sz w:val="22"/>
          <w:szCs w:val="22"/>
        </w:rPr>
        <w:t>comparativo</w:t>
      </w:r>
      <w:r w:rsidR="009D5C7E" w:rsidRPr="00654405">
        <w:rPr>
          <w:rFonts w:ascii="Calibri" w:hAnsi="Calibri" w:cs="Calibri"/>
          <w:sz w:val="22"/>
          <w:szCs w:val="22"/>
        </w:rPr>
        <w:t>s</w:t>
      </w:r>
      <w:r w:rsidR="00F150CE" w:rsidRPr="00654405">
        <w:rPr>
          <w:rFonts w:ascii="Calibri" w:hAnsi="Calibri" w:cs="Calibri"/>
          <w:sz w:val="22"/>
          <w:szCs w:val="22"/>
        </w:rPr>
        <w:t xml:space="preserve"> entre a contabilização conforme preceitos da Lei nº 6.404</w:t>
      </w:r>
      <w:r w:rsidR="00372962" w:rsidRPr="00654405">
        <w:rPr>
          <w:rFonts w:ascii="Calibri" w:hAnsi="Calibri" w:cs="Calibri"/>
          <w:sz w:val="22"/>
          <w:szCs w:val="22"/>
        </w:rPr>
        <w:t>, de 15 de dezembro de 19</w:t>
      </w:r>
      <w:r w:rsidR="00F150CE" w:rsidRPr="00654405">
        <w:rPr>
          <w:rFonts w:ascii="Calibri" w:hAnsi="Calibri" w:cs="Calibri"/>
          <w:sz w:val="22"/>
          <w:szCs w:val="22"/>
        </w:rPr>
        <w:t>76</w:t>
      </w:r>
      <w:r w:rsidR="00372962" w:rsidRPr="00654405">
        <w:rPr>
          <w:rFonts w:ascii="Calibri" w:hAnsi="Calibri" w:cs="Calibri"/>
          <w:sz w:val="22"/>
          <w:szCs w:val="22"/>
        </w:rPr>
        <w:t>,</w:t>
      </w:r>
      <w:r w:rsidR="00F150CE" w:rsidRPr="00654405">
        <w:rPr>
          <w:rFonts w:ascii="Calibri" w:hAnsi="Calibri" w:cs="Calibri"/>
          <w:sz w:val="22"/>
          <w:szCs w:val="22"/>
        </w:rPr>
        <w:t xml:space="preserve"> aplicadas às empresas sociedades anônimas e a Lei nº 4.320</w:t>
      </w:r>
      <w:r w:rsidR="00372962" w:rsidRPr="00654405">
        <w:rPr>
          <w:rFonts w:ascii="Calibri" w:hAnsi="Calibri" w:cs="Calibri"/>
          <w:sz w:val="22"/>
          <w:szCs w:val="22"/>
        </w:rPr>
        <w:t>, de 17 de março de 19</w:t>
      </w:r>
      <w:r w:rsidR="00F150CE" w:rsidRPr="00654405">
        <w:rPr>
          <w:rFonts w:ascii="Calibri" w:hAnsi="Calibri" w:cs="Calibri"/>
          <w:sz w:val="22"/>
          <w:szCs w:val="22"/>
        </w:rPr>
        <w:t>64</w:t>
      </w:r>
      <w:r w:rsidR="00372962" w:rsidRPr="00654405">
        <w:rPr>
          <w:rFonts w:ascii="Calibri" w:hAnsi="Calibri" w:cs="Calibri"/>
          <w:sz w:val="22"/>
          <w:szCs w:val="22"/>
        </w:rPr>
        <w:t xml:space="preserve">, </w:t>
      </w:r>
      <w:r w:rsidR="00F150CE" w:rsidRPr="00654405">
        <w:rPr>
          <w:rFonts w:ascii="Calibri" w:hAnsi="Calibri" w:cs="Calibri"/>
          <w:sz w:val="22"/>
          <w:szCs w:val="22"/>
        </w:rPr>
        <w:t xml:space="preserve">aplicada </w:t>
      </w:r>
      <w:r w:rsidRPr="00654405">
        <w:rPr>
          <w:rFonts w:ascii="Calibri" w:hAnsi="Calibri" w:cs="Calibri"/>
          <w:sz w:val="22"/>
          <w:szCs w:val="22"/>
        </w:rPr>
        <w:t>a</w:t>
      </w:r>
      <w:r w:rsidR="00F150CE" w:rsidRPr="00654405">
        <w:rPr>
          <w:rFonts w:ascii="Calibri" w:hAnsi="Calibri" w:cs="Calibri"/>
          <w:sz w:val="22"/>
          <w:szCs w:val="22"/>
        </w:rPr>
        <w:t xml:space="preserve">o setor público. </w:t>
      </w:r>
    </w:p>
    <w:p w14:paraId="2D47AB6D" w14:textId="0B36A9F3" w:rsidR="004E7131" w:rsidRDefault="00F150CE" w:rsidP="002E2B5B">
      <w:pPr>
        <w:ind w:right="57"/>
        <w:jc w:val="both"/>
        <w:rPr>
          <w:rFonts w:ascii="Calibri" w:hAnsi="Calibri" w:cs="Calibri"/>
          <w:sz w:val="22"/>
          <w:szCs w:val="22"/>
        </w:rPr>
      </w:pPr>
      <w:r w:rsidRPr="00654405">
        <w:rPr>
          <w:rFonts w:ascii="Calibri" w:hAnsi="Calibri" w:cs="Calibri"/>
          <w:sz w:val="22"/>
          <w:szCs w:val="22"/>
        </w:rPr>
        <w:t xml:space="preserve">Os dados para a elaboração </w:t>
      </w:r>
      <w:r w:rsidR="009D5C7E" w:rsidRPr="00654405">
        <w:rPr>
          <w:rFonts w:ascii="Calibri" w:hAnsi="Calibri" w:cs="Calibri"/>
          <w:sz w:val="22"/>
          <w:szCs w:val="22"/>
        </w:rPr>
        <w:t>das demonstrações</w:t>
      </w:r>
      <w:r w:rsidRPr="00654405">
        <w:rPr>
          <w:rFonts w:ascii="Calibri" w:hAnsi="Calibri" w:cs="Calibri"/>
          <w:sz w:val="22"/>
          <w:szCs w:val="22"/>
        </w:rPr>
        <w:t xml:space="preserve"> conforme a Lei 4.320/64 foram extraídos do Sistema Integrado de Administração Financeira do Governo Federal -SIAFI</w:t>
      </w:r>
      <w:r w:rsidR="00927F8A" w:rsidRPr="00654405">
        <w:rPr>
          <w:rFonts w:ascii="Calibri" w:hAnsi="Calibri" w:cs="Calibri"/>
          <w:sz w:val="22"/>
          <w:szCs w:val="22"/>
        </w:rPr>
        <w:t>.</w:t>
      </w:r>
    </w:p>
    <w:p w14:paraId="4B228C0B" w14:textId="076367C1" w:rsidR="002C7B71" w:rsidRDefault="002C7B71" w:rsidP="002E2B5B">
      <w:pPr>
        <w:ind w:right="57"/>
        <w:jc w:val="both"/>
        <w:rPr>
          <w:rFonts w:ascii="Calibri" w:hAnsi="Calibri" w:cs="Calibri"/>
          <w:sz w:val="22"/>
          <w:szCs w:val="22"/>
        </w:rPr>
      </w:pPr>
    </w:p>
    <w:p w14:paraId="0B8FFDDB" w14:textId="2E0A6A84" w:rsidR="002C7B71" w:rsidRDefault="002C7B71" w:rsidP="002E2B5B">
      <w:pPr>
        <w:ind w:right="57"/>
        <w:jc w:val="both"/>
        <w:rPr>
          <w:rFonts w:ascii="Calibri" w:hAnsi="Calibri" w:cs="Calibri"/>
          <w:sz w:val="22"/>
          <w:szCs w:val="22"/>
        </w:rPr>
      </w:pPr>
    </w:p>
    <w:p w14:paraId="60A50705" w14:textId="360B2614" w:rsidR="002C7B71" w:rsidRDefault="002C7B71" w:rsidP="002E2B5B">
      <w:pPr>
        <w:ind w:right="57"/>
        <w:jc w:val="both"/>
        <w:rPr>
          <w:rFonts w:ascii="Calibri" w:hAnsi="Calibri" w:cs="Calibri"/>
          <w:sz w:val="22"/>
          <w:szCs w:val="22"/>
        </w:rPr>
      </w:pPr>
    </w:p>
    <w:p w14:paraId="64C0B03E" w14:textId="4F3638B4" w:rsidR="002C7B71" w:rsidRDefault="002C7B71" w:rsidP="002E2B5B">
      <w:pPr>
        <w:ind w:right="57"/>
        <w:jc w:val="both"/>
        <w:rPr>
          <w:rFonts w:ascii="Calibri" w:hAnsi="Calibri" w:cs="Calibri"/>
          <w:sz w:val="22"/>
          <w:szCs w:val="22"/>
        </w:rPr>
      </w:pPr>
    </w:p>
    <w:p w14:paraId="6E2A26BB" w14:textId="621CCFDD" w:rsidR="002C7B71" w:rsidRDefault="002C7B71" w:rsidP="002E2B5B">
      <w:pPr>
        <w:ind w:right="57"/>
        <w:jc w:val="both"/>
        <w:rPr>
          <w:rFonts w:ascii="Calibri" w:hAnsi="Calibri" w:cs="Calibri"/>
          <w:sz w:val="22"/>
          <w:szCs w:val="22"/>
        </w:rPr>
      </w:pPr>
    </w:p>
    <w:p w14:paraId="065F3BE9" w14:textId="0E8A1F55" w:rsidR="002C7B71" w:rsidRDefault="002C7B71" w:rsidP="002E2B5B">
      <w:pPr>
        <w:ind w:right="57"/>
        <w:jc w:val="both"/>
        <w:rPr>
          <w:rFonts w:ascii="Calibri" w:hAnsi="Calibri" w:cs="Calibri"/>
          <w:sz w:val="22"/>
          <w:szCs w:val="22"/>
        </w:rPr>
      </w:pPr>
    </w:p>
    <w:p w14:paraId="63E0B081" w14:textId="3DE040A5" w:rsidR="002C7B71" w:rsidRDefault="002C7B71" w:rsidP="002E2B5B">
      <w:pPr>
        <w:ind w:right="57"/>
        <w:jc w:val="both"/>
        <w:rPr>
          <w:rFonts w:ascii="Calibri" w:hAnsi="Calibri" w:cs="Calibri"/>
          <w:sz w:val="22"/>
          <w:szCs w:val="22"/>
        </w:rPr>
      </w:pPr>
    </w:p>
    <w:p w14:paraId="5F1CD67A" w14:textId="705CECAB" w:rsidR="002C7B71" w:rsidRDefault="002C7B71" w:rsidP="002E2B5B">
      <w:pPr>
        <w:ind w:right="57"/>
        <w:jc w:val="both"/>
        <w:rPr>
          <w:rFonts w:ascii="Calibri" w:hAnsi="Calibri" w:cs="Calibri"/>
          <w:sz w:val="22"/>
          <w:szCs w:val="22"/>
        </w:rPr>
      </w:pPr>
    </w:p>
    <w:p w14:paraId="37F060F8" w14:textId="1BC4E5E2" w:rsidR="002C7B71" w:rsidRDefault="002C7B71" w:rsidP="002E2B5B">
      <w:pPr>
        <w:ind w:right="57"/>
        <w:jc w:val="both"/>
        <w:rPr>
          <w:rFonts w:ascii="Calibri" w:hAnsi="Calibri" w:cs="Calibri"/>
          <w:sz w:val="22"/>
          <w:szCs w:val="22"/>
        </w:rPr>
      </w:pPr>
    </w:p>
    <w:p w14:paraId="6BB3D622" w14:textId="6D2AB7AE" w:rsidR="002C7B71" w:rsidRDefault="002C7B71" w:rsidP="002E2B5B">
      <w:pPr>
        <w:ind w:right="57"/>
        <w:jc w:val="both"/>
        <w:rPr>
          <w:rFonts w:ascii="Calibri" w:hAnsi="Calibri" w:cs="Calibri"/>
          <w:sz w:val="22"/>
          <w:szCs w:val="22"/>
        </w:rPr>
      </w:pPr>
    </w:p>
    <w:p w14:paraId="1AD58C9E" w14:textId="0D804D5D" w:rsidR="002C7B71" w:rsidRDefault="002C7B71" w:rsidP="002E2B5B">
      <w:pPr>
        <w:ind w:right="57"/>
        <w:jc w:val="both"/>
        <w:rPr>
          <w:rFonts w:ascii="Calibri" w:hAnsi="Calibri" w:cs="Calibri"/>
          <w:sz w:val="22"/>
          <w:szCs w:val="22"/>
        </w:rPr>
      </w:pPr>
    </w:p>
    <w:p w14:paraId="0E249299" w14:textId="2C18B8B2" w:rsidR="002C7B71" w:rsidRDefault="002C7B71" w:rsidP="002E2B5B">
      <w:pPr>
        <w:ind w:right="57"/>
        <w:jc w:val="both"/>
        <w:rPr>
          <w:rFonts w:ascii="Calibri" w:hAnsi="Calibri" w:cs="Calibri"/>
          <w:sz w:val="22"/>
          <w:szCs w:val="22"/>
        </w:rPr>
      </w:pPr>
    </w:p>
    <w:p w14:paraId="4B725895" w14:textId="7CBD36C0" w:rsidR="002C7B71" w:rsidRDefault="002C7B71" w:rsidP="002E2B5B">
      <w:pPr>
        <w:ind w:right="57"/>
        <w:jc w:val="both"/>
        <w:rPr>
          <w:rFonts w:ascii="Calibri" w:hAnsi="Calibri" w:cs="Calibri"/>
          <w:sz w:val="22"/>
          <w:szCs w:val="22"/>
        </w:rPr>
      </w:pPr>
    </w:p>
    <w:p w14:paraId="01EA4FCD" w14:textId="15041C41" w:rsidR="002C7B71" w:rsidRDefault="002C7B71" w:rsidP="002E2B5B">
      <w:pPr>
        <w:ind w:right="57"/>
        <w:jc w:val="both"/>
        <w:rPr>
          <w:rFonts w:ascii="Calibri" w:hAnsi="Calibri" w:cs="Calibri"/>
          <w:sz w:val="22"/>
          <w:szCs w:val="22"/>
        </w:rPr>
      </w:pPr>
    </w:p>
    <w:p w14:paraId="59BCA69B" w14:textId="3550739B" w:rsidR="002C7B71" w:rsidRDefault="002C7B71" w:rsidP="002E2B5B">
      <w:pPr>
        <w:ind w:right="57"/>
        <w:jc w:val="both"/>
        <w:rPr>
          <w:rFonts w:ascii="Calibri" w:hAnsi="Calibri" w:cs="Calibri"/>
          <w:sz w:val="22"/>
          <w:szCs w:val="22"/>
        </w:rPr>
      </w:pPr>
    </w:p>
    <w:p w14:paraId="6A6FDF57" w14:textId="60D80B3C" w:rsidR="002C7B71" w:rsidRDefault="002C7B71" w:rsidP="002E2B5B">
      <w:pPr>
        <w:ind w:right="57"/>
        <w:jc w:val="both"/>
        <w:rPr>
          <w:rFonts w:ascii="Calibri" w:hAnsi="Calibri" w:cs="Calibri"/>
          <w:sz w:val="22"/>
          <w:szCs w:val="22"/>
        </w:rPr>
      </w:pPr>
    </w:p>
    <w:p w14:paraId="5B33D596" w14:textId="6E95BEB2" w:rsidR="002C7B71" w:rsidRDefault="002C7B71" w:rsidP="002E2B5B">
      <w:pPr>
        <w:ind w:right="57"/>
        <w:jc w:val="both"/>
        <w:rPr>
          <w:rFonts w:ascii="Calibri" w:hAnsi="Calibri" w:cs="Calibri"/>
          <w:sz w:val="22"/>
          <w:szCs w:val="22"/>
        </w:rPr>
      </w:pPr>
    </w:p>
    <w:p w14:paraId="01C19F64" w14:textId="7C0C6204" w:rsidR="002C7B71" w:rsidRDefault="002C7B71" w:rsidP="002E2B5B">
      <w:pPr>
        <w:ind w:right="57"/>
        <w:jc w:val="both"/>
        <w:rPr>
          <w:rFonts w:ascii="Calibri" w:hAnsi="Calibri" w:cs="Calibri"/>
          <w:sz w:val="22"/>
          <w:szCs w:val="22"/>
        </w:rPr>
      </w:pPr>
    </w:p>
    <w:p w14:paraId="0219377C" w14:textId="1C723630" w:rsidR="002C7B71" w:rsidRDefault="002C7B71" w:rsidP="002E2B5B">
      <w:pPr>
        <w:ind w:right="57"/>
        <w:jc w:val="both"/>
        <w:rPr>
          <w:rFonts w:ascii="Calibri" w:hAnsi="Calibri" w:cs="Calibri"/>
          <w:sz w:val="22"/>
          <w:szCs w:val="22"/>
        </w:rPr>
      </w:pPr>
    </w:p>
    <w:p w14:paraId="6495945F" w14:textId="5969F58C" w:rsidR="002C7B71" w:rsidRDefault="002C7B71" w:rsidP="002E2B5B">
      <w:pPr>
        <w:ind w:right="57"/>
        <w:jc w:val="both"/>
        <w:rPr>
          <w:rFonts w:ascii="Calibri" w:hAnsi="Calibri" w:cs="Calibri"/>
          <w:sz w:val="22"/>
          <w:szCs w:val="22"/>
        </w:rPr>
      </w:pPr>
    </w:p>
    <w:p w14:paraId="50FDF16C" w14:textId="392395D9" w:rsidR="002C7B71" w:rsidRDefault="002C7B71" w:rsidP="002E2B5B">
      <w:pPr>
        <w:ind w:right="57"/>
        <w:jc w:val="both"/>
        <w:rPr>
          <w:rFonts w:ascii="Calibri" w:hAnsi="Calibri" w:cs="Calibri"/>
          <w:sz w:val="22"/>
          <w:szCs w:val="22"/>
        </w:rPr>
      </w:pPr>
    </w:p>
    <w:p w14:paraId="253888F7" w14:textId="04EB2B20" w:rsidR="002C7B71" w:rsidRDefault="002C7B71" w:rsidP="002E2B5B">
      <w:pPr>
        <w:ind w:right="57"/>
        <w:jc w:val="both"/>
        <w:rPr>
          <w:rFonts w:ascii="Calibri" w:hAnsi="Calibri" w:cs="Calibri"/>
          <w:sz w:val="22"/>
          <w:szCs w:val="22"/>
        </w:rPr>
      </w:pPr>
    </w:p>
    <w:p w14:paraId="4CE2115D" w14:textId="17C0F31B" w:rsidR="002C7B71" w:rsidRDefault="002C7B71" w:rsidP="002E2B5B">
      <w:pPr>
        <w:ind w:right="57"/>
        <w:jc w:val="both"/>
        <w:rPr>
          <w:rFonts w:ascii="Calibri" w:hAnsi="Calibri" w:cs="Calibri"/>
          <w:sz w:val="22"/>
          <w:szCs w:val="22"/>
        </w:rPr>
      </w:pPr>
    </w:p>
    <w:p w14:paraId="603B0FE0" w14:textId="54DCDFA3" w:rsidR="002C7B71" w:rsidRDefault="002C7B71" w:rsidP="002E2B5B">
      <w:pPr>
        <w:ind w:right="57"/>
        <w:jc w:val="both"/>
        <w:rPr>
          <w:rFonts w:ascii="Calibri" w:hAnsi="Calibri" w:cs="Calibri"/>
          <w:sz w:val="22"/>
          <w:szCs w:val="22"/>
        </w:rPr>
      </w:pPr>
    </w:p>
    <w:p w14:paraId="387C5332" w14:textId="14907CFC" w:rsidR="002C7B71" w:rsidRDefault="002C7B71" w:rsidP="002E2B5B">
      <w:pPr>
        <w:ind w:right="57"/>
        <w:jc w:val="both"/>
        <w:rPr>
          <w:rFonts w:ascii="Calibri" w:hAnsi="Calibri" w:cs="Calibri"/>
          <w:sz w:val="22"/>
          <w:szCs w:val="22"/>
        </w:rPr>
      </w:pPr>
    </w:p>
    <w:p w14:paraId="06177E88" w14:textId="4E5DD69C" w:rsidR="002C7B71" w:rsidRDefault="002C7B71" w:rsidP="002E2B5B">
      <w:pPr>
        <w:ind w:right="57"/>
        <w:jc w:val="both"/>
        <w:rPr>
          <w:rFonts w:ascii="Calibri" w:hAnsi="Calibri" w:cs="Calibri"/>
          <w:sz w:val="22"/>
          <w:szCs w:val="22"/>
        </w:rPr>
      </w:pPr>
    </w:p>
    <w:p w14:paraId="00FF0926" w14:textId="530EAE8D" w:rsidR="002C7B71" w:rsidRDefault="002C7B71" w:rsidP="002E2B5B">
      <w:pPr>
        <w:ind w:right="57"/>
        <w:jc w:val="both"/>
        <w:rPr>
          <w:rFonts w:ascii="Calibri" w:hAnsi="Calibri" w:cs="Calibri"/>
          <w:sz w:val="22"/>
          <w:szCs w:val="22"/>
        </w:rPr>
      </w:pPr>
    </w:p>
    <w:p w14:paraId="754B3674" w14:textId="617506A3" w:rsidR="002C7B71" w:rsidRDefault="002C7B71" w:rsidP="002E2B5B">
      <w:pPr>
        <w:ind w:right="57"/>
        <w:jc w:val="both"/>
        <w:rPr>
          <w:rFonts w:ascii="Calibri" w:hAnsi="Calibri" w:cs="Calibri"/>
          <w:sz w:val="22"/>
          <w:szCs w:val="22"/>
        </w:rPr>
      </w:pPr>
    </w:p>
    <w:p w14:paraId="618C76DA" w14:textId="64B868A7" w:rsidR="002C7B71" w:rsidRDefault="002C7B71" w:rsidP="002E2B5B">
      <w:pPr>
        <w:ind w:right="57"/>
        <w:jc w:val="both"/>
        <w:rPr>
          <w:rFonts w:ascii="Calibri" w:hAnsi="Calibri" w:cs="Calibri"/>
          <w:sz w:val="22"/>
          <w:szCs w:val="22"/>
        </w:rPr>
      </w:pPr>
    </w:p>
    <w:p w14:paraId="1193B83F" w14:textId="6B0FF9BD" w:rsidR="002C7B71" w:rsidRDefault="002C7B71" w:rsidP="002E2B5B">
      <w:pPr>
        <w:ind w:right="57"/>
        <w:jc w:val="both"/>
        <w:rPr>
          <w:rFonts w:ascii="Calibri" w:hAnsi="Calibri" w:cs="Calibri"/>
          <w:sz w:val="22"/>
          <w:szCs w:val="22"/>
        </w:rPr>
      </w:pPr>
    </w:p>
    <w:p w14:paraId="5EECB1FB" w14:textId="3974E0CC" w:rsidR="002C7B71" w:rsidRDefault="002C7B71" w:rsidP="002E2B5B">
      <w:pPr>
        <w:ind w:right="57"/>
        <w:jc w:val="both"/>
        <w:rPr>
          <w:rFonts w:ascii="Calibri" w:hAnsi="Calibri" w:cs="Calibri"/>
          <w:sz w:val="22"/>
          <w:szCs w:val="22"/>
        </w:rPr>
      </w:pPr>
    </w:p>
    <w:p w14:paraId="53E0BA31" w14:textId="6F53B999" w:rsidR="002C7B71" w:rsidRDefault="002C7B71" w:rsidP="002E2B5B">
      <w:pPr>
        <w:ind w:right="57"/>
        <w:jc w:val="both"/>
        <w:rPr>
          <w:rFonts w:ascii="Calibri" w:hAnsi="Calibri" w:cs="Calibri"/>
          <w:sz w:val="22"/>
          <w:szCs w:val="22"/>
        </w:rPr>
      </w:pPr>
    </w:p>
    <w:p w14:paraId="7A040D94" w14:textId="0889CF4B" w:rsidR="002C7B71" w:rsidRDefault="002C7B71" w:rsidP="002E2B5B">
      <w:pPr>
        <w:ind w:right="57"/>
        <w:jc w:val="both"/>
        <w:rPr>
          <w:rFonts w:ascii="Calibri" w:hAnsi="Calibri" w:cs="Calibri"/>
          <w:sz w:val="22"/>
          <w:szCs w:val="22"/>
        </w:rPr>
      </w:pPr>
    </w:p>
    <w:p w14:paraId="29E232B6" w14:textId="65C02803" w:rsidR="002C7B71" w:rsidRDefault="002C7B71" w:rsidP="002E2B5B">
      <w:pPr>
        <w:ind w:right="57"/>
        <w:jc w:val="both"/>
        <w:rPr>
          <w:rFonts w:ascii="Calibri" w:hAnsi="Calibri" w:cs="Calibri"/>
          <w:sz w:val="22"/>
          <w:szCs w:val="22"/>
        </w:rPr>
      </w:pPr>
    </w:p>
    <w:p w14:paraId="17CBE843" w14:textId="049A1EC5" w:rsidR="002C7B71" w:rsidRDefault="002C7B71" w:rsidP="002E2B5B">
      <w:pPr>
        <w:ind w:right="57"/>
        <w:jc w:val="both"/>
        <w:rPr>
          <w:rFonts w:ascii="Calibri" w:hAnsi="Calibri" w:cs="Calibri"/>
          <w:sz w:val="22"/>
          <w:szCs w:val="22"/>
        </w:rPr>
      </w:pPr>
    </w:p>
    <w:p w14:paraId="279B2989" w14:textId="06952891" w:rsidR="002C7B71" w:rsidRDefault="002C7B71" w:rsidP="002E2B5B">
      <w:pPr>
        <w:ind w:right="57"/>
        <w:jc w:val="both"/>
        <w:rPr>
          <w:rFonts w:ascii="Calibri" w:hAnsi="Calibri" w:cs="Calibri"/>
          <w:sz w:val="22"/>
          <w:szCs w:val="22"/>
        </w:rPr>
      </w:pPr>
    </w:p>
    <w:p w14:paraId="2341F435" w14:textId="34424B34" w:rsidR="002C7B71" w:rsidRDefault="002C7B71" w:rsidP="002E2B5B">
      <w:pPr>
        <w:ind w:right="57"/>
        <w:jc w:val="both"/>
        <w:rPr>
          <w:rFonts w:ascii="Calibri" w:hAnsi="Calibri" w:cs="Calibri"/>
          <w:sz w:val="22"/>
          <w:szCs w:val="22"/>
        </w:rPr>
      </w:pPr>
    </w:p>
    <w:p w14:paraId="6E4BDB56" w14:textId="6F2A5D16" w:rsidR="002C7B71" w:rsidRDefault="002C7B71" w:rsidP="002E2B5B">
      <w:pPr>
        <w:ind w:right="57"/>
        <w:jc w:val="both"/>
        <w:rPr>
          <w:rFonts w:ascii="Calibri" w:hAnsi="Calibri" w:cs="Calibri"/>
          <w:sz w:val="22"/>
          <w:szCs w:val="22"/>
        </w:rPr>
      </w:pPr>
    </w:p>
    <w:p w14:paraId="47421618" w14:textId="4D566F5C" w:rsidR="002C7B71" w:rsidRDefault="002C7B71" w:rsidP="002E2B5B">
      <w:pPr>
        <w:ind w:right="57"/>
        <w:jc w:val="both"/>
        <w:rPr>
          <w:rFonts w:ascii="Calibri" w:hAnsi="Calibri" w:cs="Calibri"/>
          <w:sz w:val="22"/>
          <w:szCs w:val="22"/>
        </w:rPr>
      </w:pPr>
    </w:p>
    <w:p w14:paraId="07FAF1B2" w14:textId="4116E1E7" w:rsidR="002C7B71" w:rsidRDefault="002C7B71" w:rsidP="002E2B5B">
      <w:pPr>
        <w:ind w:right="57"/>
        <w:jc w:val="both"/>
        <w:rPr>
          <w:rFonts w:ascii="Calibri" w:hAnsi="Calibri" w:cs="Calibri"/>
          <w:sz w:val="22"/>
          <w:szCs w:val="22"/>
        </w:rPr>
      </w:pPr>
    </w:p>
    <w:p w14:paraId="25E52327" w14:textId="77777777" w:rsidR="002C7B71" w:rsidRDefault="002C7B71" w:rsidP="002E2B5B">
      <w:pPr>
        <w:ind w:right="57"/>
        <w:jc w:val="both"/>
        <w:rPr>
          <w:rFonts w:ascii="Calibri" w:hAnsi="Calibri" w:cs="Calibri"/>
          <w:sz w:val="22"/>
          <w:szCs w:val="22"/>
        </w:rPr>
      </w:pPr>
    </w:p>
    <w:p w14:paraId="2B395ED2" w14:textId="77777777" w:rsidR="002F3B3F" w:rsidRPr="002E2B5B" w:rsidRDefault="002F3B3F" w:rsidP="002E2B5B">
      <w:pPr>
        <w:ind w:right="57"/>
        <w:jc w:val="both"/>
        <w:rPr>
          <w:rFonts w:ascii="Calibri" w:hAnsi="Calibri" w:cs="Calibri"/>
          <w:sz w:val="22"/>
          <w:szCs w:val="22"/>
        </w:rPr>
      </w:pPr>
    </w:p>
    <w:p w14:paraId="032417FF" w14:textId="1AB949B0" w:rsidR="005E272E" w:rsidRPr="002E2B5B" w:rsidRDefault="00EC7A73" w:rsidP="002E2B5B">
      <w:pPr>
        <w:spacing w:after="240"/>
        <w:ind w:right="-142"/>
        <w:jc w:val="both"/>
        <w:rPr>
          <w:rFonts w:ascii="Calibri" w:hAnsi="Calibri" w:cs="Calibri"/>
          <w:b/>
          <w:sz w:val="22"/>
          <w:szCs w:val="22"/>
        </w:rPr>
      </w:pPr>
      <w:r w:rsidRPr="002E2B5B">
        <w:rPr>
          <w:rFonts w:ascii="Calibri" w:hAnsi="Calibri" w:cs="Calibri"/>
          <w:b/>
          <w:sz w:val="22"/>
          <w:szCs w:val="22"/>
        </w:rPr>
        <w:lastRenderedPageBreak/>
        <w:t>I – ATIVO</w:t>
      </w:r>
    </w:p>
    <w:p w14:paraId="43B0C9E6" w14:textId="5B33A6F4" w:rsidR="00052E9C" w:rsidRDefault="002F3B3F" w:rsidP="004B2832">
      <w:pPr>
        <w:spacing w:after="240"/>
        <w:ind w:right="-142"/>
        <w:rPr>
          <w:rFonts w:ascii="Calibri" w:hAnsi="Calibri" w:cs="Calibri"/>
          <w:bCs/>
          <w:sz w:val="22"/>
          <w:szCs w:val="22"/>
        </w:rPr>
      </w:pPr>
      <w:r w:rsidRPr="002F3B3F">
        <w:rPr>
          <w:noProof/>
        </w:rPr>
        <w:drawing>
          <wp:inline distT="0" distB="0" distL="0" distR="0" wp14:anchorId="7584EFFD" wp14:editId="2FF1033F">
            <wp:extent cx="5479888" cy="7720641"/>
            <wp:effectExtent l="0" t="0" r="698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4112" cy="7740682"/>
                    </a:xfrm>
                    <a:prstGeom prst="rect">
                      <a:avLst/>
                    </a:prstGeom>
                    <a:noFill/>
                    <a:ln>
                      <a:noFill/>
                    </a:ln>
                  </pic:spPr>
                </pic:pic>
              </a:graphicData>
            </a:graphic>
          </wp:inline>
        </w:drawing>
      </w:r>
    </w:p>
    <w:p w14:paraId="6798B6AE" w14:textId="77777777" w:rsidR="002F3B3F" w:rsidRPr="002E2B5B" w:rsidRDefault="002F3B3F" w:rsidP="002E2B5B">
      <w:pPr>
        <w:spacing w:after="240"/>
        <w:ind w:right="-142"/>
        <w:jc w:val="both"/>
        <w:rPr>
          <w:rFonts w:ascii="Calibri" w:hAnsi="Calibri" w:cs="Calibri"/>
          <w:bCs/>
          <w:sz w:val="22"/>
          <w:szCs w:val="22"/>
        </w:rPr>
      </w:pPr>
    </w:p>
    <w:p w14:paraId="5DD6C923" w14:textId="77777777" w:rsidR="00F158C0" w:rsidRDefault="00F158C0" w:rsidP="002E2B5B">
      <w:pPr>
        <w:spacing w:after="240"/>
        <w:ind w:right="-142"/>
        <w:jc w:val="both"/>
        <w:rPr>
          <w:rFonts w:ascii="Calibri" w:hAnsi="Calibri" w:cs="Calibri"/>
          <w:b/>
          <w:sz w:val="22"/>
          <w:szCs w:val="22"/>
        </w:rPr>
      </w:pPr>
    </w:p>
    <w:p w14:paraId="39350A0D" w14:textId="3A25F939" w:rsidR="00EC7A73" w:rsidRPr="002E2B5B" w:rsidRDefault="00E26B0F" w:rsidP="002E2B5B">
      <w:pPr>
        <w:spacing w:after="240"/>
        <w:ind w:right="-142"/>
        <w:jc w:val="both"/>
        <w:rPr>
          <w:rFonts w:ascii="Calibri" w:hAnsi="Calibri" w:cs="Calibri"/>
          <w:b/>
          <w:sz w:val="22"/>
          <w:szCs w:val="22"/>
        </w:rPr>
      </w:pPr>
      <w:r w:rsidRPr="002E2B5B">
        <w:rPr>
          <w:rFonts w:ascii="Calibri" w:hAnsi="Calibri" w:cs="Calibri"/>
          <w:b/>
          <w:sz w:val="22"/>
          <w:szCs w:val="22"/>
        </w:rPr>
        <w:lastRenderedPageBreak/>
        <w:t>II – PASSIVO</w:t>
      </w:r>
    </w:p>
    <w:p w14:paraId="42CF66D8" w14:textId="383055D2" w:rsidR="00E26B0F" w:rsidRPr="002E2B5B" w:rsidRDefault="004B2832" w:rsidP="004B2832">
      <w:pPr>
        <w:spacing w:after="240"/>
        <w:ind w:right="-142"/>
        <w:rPr>
          <w:rFonts w:ascii="Calibri" w:hAnsi="Calibri" w:cs="Calibri"/>
          <w:bCs/>
          <w:sz w:val="22"/>
          <w:szCs w:val="22"/>
        </w:rPr>
      </w:pPr>
      <w:r w:rsidRPr="004B2832">
        <w:rPr>
          <w:noProof/>
        </w:rPr>
        <w:drawing>
          <wp:inline distT="0" distB="0" distL="0" distR="0" wp14:anchorId="1EA4047E" wp14:editId="2342E339">
            <wp:extent cx="5593072" cy="5496560"/>
            <wp:effectExtent l="0" t="0" r="8255" b="889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2758" cy="5506079"/>
                    </a:xfrm>
                    <a:prstGeom prst="rect">
                      <a:avLst/>
                    </a:prstGeom>
                    <a:noFill/>
                    <a:ln>
                      <a:noFill/>
                    </a:ln>
                  </pic:spPr>
                </pic:pic>
              </a:graphicData>
            </a:graphic>
          </wp:inline>
        </w:drawing>
      </w:r>
    </w:p>
    <w:p w14:paraId="29A9494E" w14:textId="77777777" w:rsidR="00F150CE" w:rsidRPr="002E2B5B" w:rsidRDefault="00F150CE" w:rsidP="002E2B5B">
      <w:pPr>
        <w:spacing w:after="240"/>
        <w:ind w:right="-142"/>
        <w:rPr>
          <w:rFonts w:ascii="Calibri" w:hAnsi="Calibri" w:cs="Calibri"/>
          <w:bCs/>
          <w:sz w:val="22"/>
          <w:szCs w:val="22"/>
        </w:rPr>
      </w:pPr>
    </w:p>
    <w:p w14:paraId="5E6E1132" w14:textId="77777777" w:rsidR="00781F33" w:rsidRPr="002E2B5B" w:rsidRDefault="00781F33" w:rsidP="002E2B5B">
      <w:pPr>
        <w:spacing w:after="240"/>
        <w:ind w:right="-142"/>
        <w:rPr>
          <w:rFonts w:ascii="Calibri" w:hAnsi="Calibri" w:cs="Calibri"/>
          <w:bCs/>
          <w:sz w:val="22"/>
          <w:szCs w:val="22"/>
        </w:rPr>
      </w:pPr>
    </w:p>
    <w:p w14:paraId="3F969F87" w14:textId="77777777" w:rsidR="00781F33" w:rsidRPr="002E2B5B" w:rsidRDefault="00781F33" w:rsidP="002E2B5B">
      <w:pPr>
        <w:spacing w:after="240"/>
        <w:ind w:right="-142"/>
        <w:rPr>
          <w:rFonts w:ascii="Calibri" w:hAnsi="Calibri" w:cs="Calibri"/>
          <w:bCs/>
          <w:sz w:val="22"/>
          <w:szCs w:val="22"/>
        </w:rPr>
      </w:pPr>
    </w:p>
    <w:p w14:paraId="1072DB42" w14:textId="77777777" w:rsidR="00781F33" w:rsidRPr="002E2B5B" w:rsidRDefault="00781F33" w:rsidP="002E2B5B">
      <w:pPr>
        <w:spacing w:after="240"/>
        <w:ind w:right="-142"/>
        <w:rPr>
          <w:rFonts w:ascii="Calibri" w:hAnsi="Calibri" w:cs="Calibri"/>
          <w:bCs/>
          <w:sz w:val="22"/>
          <w:szCs w:val="22"/>
        </w:rPr>
      </w:pPr>
    </w:p>
    <w:p w14:paraId="215224F5" w14:textId="77777777" w:rsidR="00781F33" w:rsidRPr="002E2B5B" w:rsidRDefault="00781F33" w:rsidP="002E2B5B">
      <w:pPr>
        <w:spacing w:after="240"/>
        <w:ind w:right="-142"/>
        <w:rPr>
          <w:rFonts w:ascii="Calibri" w:hAnsi="Calibri" w:cs="Calibri"/>
          <w:bCs/>
          <w:sz w:val="22"/>
          <w:szCs w:val="22"/>
        </w:rPr>
      </w:pPr>
    </w:p>
    <w:p w14:paraId="67608466" w14:textId="6282468A" w:rsidR="00781F33" w:rsidRDefault="00781F33" w:rsidP="002E2B5B">
      <w:pPr>
        <w:spacing w:after="240"/>
        <w:ind w:right="-142"/>
        <w:rPr>
          <w:rFonts w:ascii="Calibri" w:hAnsi="Calibri" w:cs="Calibri"/>
          <w:bCs/>
          <w:sz w:val="22"/>
          <w:szCs w:val="22"/>
        </w:rPr>
      </w:pPr>
    </w:p>
    <w:p w14:paraId="3AD8FEE4" w14:textId="31B733BE" w:rsidR="002C7B71" w:rsidRDefault="002C7B71" w:rsidP="002E2B5B">
      <w:pPr>
        <w:spacing w:after="240"/>
        <w:ind w:right="-142"/>
        <w:rPr>
          <w:rFonts w:ascii="Calibri" w:hAnsi="Calibri" w:cs="Calibri"/>
          <w:bCs/>
          <w:sz w:val="22"/>
          <w:szCs w:val="22"/>
        </w:rPr>
      </w:pPr>
    </w:p>
    <w:p w14:paraId="7CC41C23" w14:textId="77777777" w:rsidR="00781F33" w:rsidRPr="002E2B5B" w:rsidRDefault="00781F33" w:rsidP="002E2B5B">
      <w:pPr>
        <w:spacing w:after="240"/>
        <w:ind w:right="-142"/>
        <w:rPr>
          <w:rFonts w:ascii="Calibri" w:hAnsi="Calibri" w:cs="Calibri"/>
          <w:bCs/>
          <w:sz w:val="22"/>
          <w:szCs w:val="22"/>
        </w:rPr>
      </w:pPr>
    </w:p>
    <w:p w14:paraId="2D294B92" w14:textId="32C496DC" w:rsidR="00E26B0F" w:rsidRPr="002E2B5B" w:rsidRDefault="00E26B0F" w:rsidP="002E2B5B">
      <w:pPr>
        <w:spacing w:after="240"/>
        <w:ind w:right="-142"/>
        <w:rPr>
          <w:rFonts w:ascii="Calibri" w:hAnsi="Calibri" w:cs="Calibri"/>
          <w:b/>
          <w:sz w:val="22"/>
          <w:szCs w:val="22"/>
        </w:rPr>
      </w:pPr>
      <w:r w:rsidRPr="002E2B5B">
        <w:rPr>
          <w:rFonts w:ascii="Calibri" w:hAnsi="Calibri" w:cs="Calibri"/>
          <w:b/>
          <w:sz w:val="22"/>
          <w:szCs w:val="22"/>
        </w:rPr>
        <w:lastRenderedPageBreak/>
        <w:t>III – DEM</w:t>
      </w:r>
      <w:r w:rsidR="009470F8" w:rsidRPr="002E2B5B">
        <w:rPr>
          <w:rFonts w:ascii="Calibri" w:hAnsi="Calibri" w:cs="Calibri"/>
          <w:b/>
          <w:sz w:val="22"/>
          <w:szCs w:val="22"/>
        </w:rPr>
        <w:t>O</w:t>
      </w:r>
      <w:r w:rsidRPr="002E2B5B">
        <w:rPr>
          <w:rFonts w:ascii="Calibri" w:hAnsi="Calibri" w:cs="Calibri"/>
          <w:b/>
          <w:sz w:val="22"/>
          <w:szCs w:val="22"/>
        </w:rPr>
        <w:t>NSTRAÇÃO DO RESULTADO DO EXERCÍCIO</w:t>
      </w:r>
    </w:p>
    <w:p w14:paraId="1CC95302" w14:textId="1D2027AB" w:rsidR="00A40611" w:rsidRPr="002E2B5B" w:rsidRDefault="004B2832" w:rsidP="004B2832">
      <w:pPr>
        <w:spacing w:after="240"/>
        <w:ind w:right="-142"/>
        <w:rPr>
          <w:rFonts w:ascii="Calibri" w:hAnsi="Calibri" w:cs="Calibri"/>
          <w:bCs/>
          <w:noProof/>
          <w:sz w:val="22"/>
          <w:szCs w:val="22"/>
        </w:rPr>
      </w:pPr>
      <w:r w:rsidRPr="004B2832">
        <w:rPr>
          <w:noProof/>
        </w:rPr>
        <w:drawing>
          <wp:inline distT="0" distB="0" distL="0" distR="0" wp14:anchorId="3B65D8CD" wp14:editId="4916AF87">
            <wp:extent cx="6001386" cy="6271438"/>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16808" cy="6287553"/>
                    </a:xfrm>
                    <a:prstGeom prst="rect">
                      <a:avLst/>
                    </a:prstGeom>
                    <a:noFill/>
                    <a:ln>
                      <a:noFill/>
                    </a:ln>
                  </pic:spPr>
                </pic:pic>
              </a:graphicData>
            </a:graphic>
          </wp:inline>
        </w:drawing>
      </w:r>
    </w:p>
    <w:p w14:paraId="7CD57E77" w14:textId="77777777" w:rsidR="00781F33" w:rsidRPr="002E2B5B" w:rsidRDefault="00781F33" w:rsidP="002E2B5B">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As permissões de uso de pátios e terminais são registradas na contabilidade societária pelo regime de competência, portanto, os direitos a receber sobre os contratos de permissões são contabilizados no ativo circulante e não circulante conforme o vencimento e são corrigidas monetariamente de acordo com as cláusulas contratuais. No SIAFI essas receitas são registradas somente no momento que são recebidas;</w:t>
      </w:r>
    </w:p>
    <w:p w14:paraId="256190B8" w14:textId="1012FAAC" w:rsidR="0068558C" w:rsidRPr="00212F6A" w:rsidRDefault="00A04255" w:rsidP="002E2B5B">
      <w:pPr>
        <w:numPr>
          <w:ilvl w:val="0"/>
          <w:numId w:val="21"/>
        </w:numPr>
        <w:spacing w:after="120"/>
        <w:ind w:left="714" w:right="57" w:hanging="357"/>
        <w:jc w:val="both"/>
        <w:rPr>
          <w:rFonts w:ascii="Calibri" w:hAnsi="Calibri" w:cs="Calibri"/>
          <w:bCs/>
          <w:sz w:val="18"/>
          <w:szCs w:val="18"/>
        </w:rPr>
      </w:pPr>
      <w:r w:rsidRPr="00212F6A">
        <w:rPr>
          <w:rFonts w:ascii="Calibri" w:hAnsi="Calibri" w:cs="Calibri"/>
          <w:bCs/>
          <w:sz w:val="18"/>
          <w:szCs w:val="18"/>
        </w:rPr>
        <w:t>Reconhecimento de PIS e COFINS intempestivamente no SIAFI, devido ao saldo positivo de créditos tributários;</w:t>
      </w:r>
    </w:p>
    <w:p w14:paraId="48B463A9" w14:textId="77777777" w:rsidR="00781F33" w:rsidRPr="002E2B5B" w:rsidRDefault="00781F33" w:rsidP="002E2B5B">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 xml:space="preserve">Os registros do resultado da equivalência patrimonial </w:t>
      </w:r>
      <w:r w:rsidR="00D9020C" w:rsidRPr="002E2B5B">
        <w:rPr>
          <w:rFonts w:ascii="Calibri" w:hAnsi="Calibri" w:cs="Calibri"/>
          <w:bCs/>
          <w:sz w:val="18"/>
          <w:szCs w:val="18"/>
        </w:rPr>
        <w:t>s</w:t>
      </w:r>
      <w:r w:rsidRPr="002E2B5B">
        <w:rPr>
          <w:rFonts w:ascii="Calibri" w:hAnsi="Calibri" w:cs="Calibri"/>
          <w:bCs/>
          <w:sz w:val="18"/>
          <w:szCs w:val="18"/>
        </w:rPr>
        <w:t xml:space="preserve">obre o investimento na Transnordestina Logística S/A são registrados no SIAFI intempestivamente, </w:t>
      </w:r>
      <w:r w:rsidR="009800E5" w:rsidRPr="002E2B5B">
        <w:rPr>
          <w:rFonts w:ascii="Calibri" w:hAnsi="Calibri" w:cs="Calibri"/>
          <w:bCs/>
          <w:sz w:val="18"/>
          <w:szCs w:val="18"/>
        </w:rPr>
        <w:t>visto que a coligada envia à VALEC suas demonstrações somente após serem auditadas;</w:t>
      </w:r>
    </w:p>
    <w:p w14:paraId="6CB13012" w14:textId="48526669" w:rsidR="00313C6B" w:rsidRPr="00212F6A" w:rsidRDefault="00313C6B" w:rsidP="00212F6A">
      <w:pPr>
        <w:numPr>
          <w:ilvl w:val="0"/>
          <w:numId w:val="21"/>
        </w:numPr>
        <w:spacing w:after="120"/>
        <w:ind w:left="714" w:right="57" w:hanging="357"/>
        <w:jc w:val="both"/>
        <w:rPr>
          <w:rFonts w:ascii="Calibri" w:hAnsi="Calibri" w:cs="Calibri"/>
          <w:bCs/>
          <w:sz w:val="18"/>
          <w:szCs w:val="18"/>
        </w:rPr>
      </w:pPr>
      <w:r w:rsidRPr="00212F6A">
        <w:rPr>
          <w:rFonts w:ascii="Calibri" w:hAnsi="Calibri" w:cs="Calibri"/>
          <w:bCs/>
          <w:sz w:val="18"/>
          <w:szCs w:val="18"/>
        </w:rPr>
        <w:t xml:space="preserve">Reclassificação efetuada no SIAFI </w:t>
      </w:r>
      <w:r w:rsidR="00433984" w:rsidRPr="00212F6A">
        <w:rPr>
          <w:rFonts w:ascii="Calibri" w:hAnsi="Calibri" w:cs="Calibri"/>
          <w:bCs/>
          <w:sz w:val="18"/>
          <w:szCs w:val="18"/>
        </w:rPr>
        <w:t>intempestivamente</w:t>
      </w:r>
      <w:r w:rsidRPr="00212F6A">
        <w:rPr>
          <w:rFonts w:ascii="Calibri" w:hAnsi="Calibri" w:cs="Calibri"/>
          <w:bCs/>
          <w:sz w:val="18"/>
          <w:szCs w:val="18"/>
        </w:rPr>
        <w:t xml:space="preserve">, </w:t>
      </w:r>
      <w:r w:rsidR="00A04255" w:rsidRPr="00212F6A">
        <w:rPr>
          <w:rFonts w:ascii="Calibri" w:hAnsi="Calibri" w:cs="Calibri"/>
          <w:bCs/>
          <w:sz w:val="18"/>
          <w:szCs w:val="18"/>
        </w:rPr>
        <w:t>decorrente da subconcessão da FIOL I</w:t>
      </w:r>
      <w:r w:rsidR="00212F6A">
        <w:rPr>
          <w:rFonts w:ascii="Calibri" w:hAnsi="Calibri" w:cs="Calibri"/>
          <w:bCs/>
          <w:sz w:val="18"/>
          <w:szCs w:val="18"/>
        </w:rPr>
        <w:t>. Foi</w:t>
      </w:r>
      <w:r w:rsidR="00212F6A" w:rsidRPr="00212F6A">
        <w:rPr>
          <w:rFonts w:ascii="Calibri" w:hAnsi="Calibri" w:cs="Calibri"/>
          <w:bCs/>
          <w:sz w:val="18"/>
          <w:szCs w:val="18"/>
        </w:rPr>
        <w:t xml:space="preserve"> registrad</w:t>
      </w:r>
      <w:r w:rsidR="00212F6A">
        <w:rPr>
          <w:rFonts w:ascii="Calibri" w:hAnsi="Calibri" w:cs="Calibri"/>
          <w:bCs/>
          <w:sz w:val="18"/>
          <w:szCs w:val="18"/>
        </w:rPr>
        <w:t xml:space="preserve">a </w:t>
      </w:r>
      <w:r w:rsidR="00212F6A" w:rsidRPr="00212F6A">
        <w:rPr>
          <w:rFonts w:ascii="Calibri" w:hAnsi="Calibri" w:cs="Calibri"/>
          <w:bCs/>
          <w:sz w:val="18"/>
          <w:szCs w:val="18"/>
        </w:rPr>
        <w:t>no SIAFI somente a partir da aprovação dessas demonstrações financeiras pela Assembleia Geral Ordinária, que ocorreu em outubro de 2021;</w:t>
      </w:r>
    </w:p>
    <w:p w14:paraId="779C4FF8" w14:textId="6AE2F287" w:rsidR="00212F6A" w:rsidRPr="002E2B5B" w:rsidRDefault="00A04255" w:rsidP="00212F6A">
      <w:pPr>
        <w:numPr>
          <w:ilvl w:val="0"/>
          <w:numId w:val="21"/>
        </w:numPr>
        <w:spacing w:after="120"/>
        <w:ind w:left="714" w:right="57" w:hanging="357"/>
        <w:jc w:val="both"/>
        <w:rPr>
          <w:rFonts w:ascii="Calibri" w:hAnsi="Calibri" w:cs="Calibri"/>
          <w:bCs/>
          <w:sz w:val="18"/>
          <w:szCs w:val="18"/>
        </w:rPr>
      </w:pPr>
      <w:r w:rsidRPr="00212F6A">
        <w:rPr>
          <w:rFonts w:ascii="Calibri" w:hAnsi="Calibri" w:cs="Calibri"/>
          <w:bCs/>
          <w:sz w:val="18"/>
          <w:szCs w:val="18"/>
        </w:rPr>
        <w:t>Reclassificação efetuada no SIAFI intempestivamente, decorrente da subconcessão da FNS</w:t>
      </w:r>
      <w:r w:rsidR="00212F6A">
        <w:rPr>
          <w:rFonts w:ascii="Calibri" w:hAnsi="Calibri" w:cs="Calibri"/>
          <w:bCs/>
          <w:sz w:val="18"/>
          <w:szCs w:val="18"/>
        </w:rPr>
        <w:t xml:space="preserve">. Foi </w:t>
      </w:r>
      <w:r w:rsidR="00212F6A" w:rsidRPr="00212F6A">
        <w:rPr>
          <w:rFonts w:ascii="Calibri" w:hAnsi="Calibri" w:cs="Calibri"/>
          <w:bCs/>
          <w:sz w:val="18"/>
          <w:szCs w:val="18"/>
        </w:rPr>
        <w:t>registrad</w:t>
      </w:r>
      <w:r w:rsidR="00212F6A">
        <w:rPr>
          <w:rFonts w:ascii="Calibri" w:hAnsi="Calibri" w:cs="Calibri"/>
          <w:bCs/>
          <w:sz w:val="18"/>
          <w:szCs w:val="18"/>
        </w:rPr>
        <w:t>a</w:t>
      </w:r>
      <w:r w:rsidR="00212F6A" w:rsidRPr="00212F6A">
        <w:rPr>
          <w:rFonts w:ascii="Calibri" w:hAnsi="Calibri" w:cs="Calibri"/>
          <w:bCs/>
          <w:sz w:val="18"/>
          <w:szCs w:val="18"/>
        </w:rPr>
        <w:t xml:space="preserve"> no SIAFI somente a partir da aprovação dessas demonstrações financeiras pela Assembleia Geral Ordinária, que ocorreu</w:t>
      </w:r>
      <w:r w:rsidR="00212F6A">
        <w:rPr>
          <w:rFonts w:ascii="Calibri" w:hAnsi="Calibri" w:cs="Calibri"/>
          <w:bCs/>
          <w:sz w:val="18"/>
          <w:szCs w:val="18"/>
        </w:rPr>
        <w:t xml:space="preserve"> em outubro de 2021</w:t>
      </w:r>
      <w:r w:rsidR="00212F6A" w:rsidRPr="002E2B5B">
        <w:rPr>
          <w:rFonts w:ascii="Calibri" w:hAnsi="Calibri" w:cs="Calibri"/>
          <w:bCs/>
          <w:sz w:val="18"/>
          <w:szCs w:val="18"/>
        </w:rPr>
        <w:t>;</w:t>
      </w:r>
    </w:p>
    <w:p w14:paraId="63A0B6D8" w14:textId="42B4C9F7" w:rsidR="00A04255" w:rsidRPr="00A04255" w:rsidRDefault="00A04255" w:rsidP="00212F6A">
      <w:pPr>
        <w:spacing w:after="120"/>
        <w:ind w:left="714" w:right="57"/>
        <w:jc w:val="both"/>
        <w:rPr>
          <w:rFonts w:ascii="Calibri" w:hAnsi="Calibri" w:cs="Calibri"/>
          <w:bCs/>
          <w:sz w:val="18"/>
          <w:szCs w:val="18"/>
          <w:highlight w:val="magenta"/>
        </w:rPr>
      </w:pPr>
    </w:p>
    <w:p w14:paraId="14B91000" w14:textId="52D5AACA" w:rsidR="00F0649F" w:rsidRPr="002E2B5B" w:rsidRDefault="00F0649F" w:rsidP="002E2B5B">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Reconhecimento da provisão para perda ao valor recuperável dos ativos da FNS</w:t>
      </w:r>
      <w:r w:rsidR="00A04255">
        <w:rPr>
          <w:rFonts w:ascii="Calibri" w:hAnsi="Calibri" w:cs="Calibri"/>
          <w:bCs/>
          <w:sz w:val="18"/>
          <w:szCs w:val="18"/>
        </w:rPr>
        <w:t>, referente ao exercício de 2020,</w:t>
      </w:r>
      <w:r w:rsidRPr="002E2B5B">
        <w:rPr>
          <w:rFonts w:ascii="Calibri" w:hAnsi="Calibri" w:cs="Calibri"/>
          <w:bCs/>
          <w:sz w:val="18"/>
          <w:szCs w:val="18"/>
        </w:rPr>
        <w:t xml:space="preserve"> foram registrados no SIAFI somente a partir da aprovação dessas demonstrações financeiras pela Assembleia Geral Ordinária</w:t>
      </w:r>
      <w:r w:rsidR="00433984">
        <w:rPr>
          <w:rFonts w:ascii="Calibri" w:hAnsi="Calibri" w:cs="Calibri"/>
          <w:bCs/>
          <w:sz w:val="18"/>
          <w:szCs w:val="18"/>
        </w:rPr>
        <w:t xml:space="preserve">, que ocorreu em </w:t>
      </w:r>
      <w:r w:rsidR="00A04255">
        <w:rPr>
          <w:rFonts w:ascii="Calibri" w:hAnsi="Calibri" w:cs="Calibri"/>
          <w:bCs/>
          <w:sz w:val="18"/>
          <w:szCs w:val="18"/>
        </w:rPr>
        <w:t>outubr</w:t>
      </w:r>
      <w:r w:rsidR="00433984">
        <w:rPr>
          <w:rFonts w:ascii="Calibri" w:hAnsi="Calibri" w:cs="Calibri"/>
          <w:bCs/>
          <w:sz w:val="18"/>
          <w:szCs w:val="18"/>
        </w:rPr>
        <w:t>o de 2021</w:t>
      </w:r>
      <w:r w:rsidRPr="002E2B5B">
        <w:rPr>
          <w:rFonts w:ascii="Calibri" w:hAnsi="Calibri" w:cs="Calibri"/>
          <w:bCs/>
          <w:sz w:val="18"/>
          <w:szCs w:val="18"/>
        </w:rPr>
        <w:t>;</w:t>
      </w:r>
    </w:p>
    <w:p w14:paraId="1AA79683" w14:textId="6A05F96C" w:rsidR="0068558C" w:rsidRPr="002E2B5B" w:rsidRDefault="00F0649F" w:rsidP="002E2B5B">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Reconhecimento da provisão para perda ao valor recuperável dos ativos da FIOL serão registrados no SIAFI somente a partir da aprovação dessas demonstrações financeiras pela Assembleia Geral Ordinária</w:t>
      </w:r>
      <w:r w:rsidR="00E52EF5">
        <w:rPr>
          <w:rFonts w:ascii="Calibri" w:hAnsi="Calibri" w:cs="Calibri"/>
          <w:bCs/>
          <w:sz w:val="18"/>
          <w:szCs w:val="18"/>
        </w:rPr>
        <w:t>, que ocorreu em outubro de</w:t>
      </w:r>
      <w:r w:rsidR="00A04255">
        <w:rPr>
          <w:rFonts w:ascii="Calibri" w:hAnsi="Calibri" w:cs="Calibri"/>
          <w:bCs/>
          <w:sz w:val="18"/>
          <w:szCs w:val="18"/>
        </w:rPr>
        <w:t xml:space="preserve"> </w:t>
      </w:r>
      <w:r w:rsidRPr="002E2B5B">
        <w:rPr>
          <w:rFonts w:ascii="Calibri" w:hAnsi="Calibri" w:cs="Calibri"/>
          <w:bCs/>
          <w:sz w:val="18"/>
          <w:szCs w:val="18"/>
        </w:rPr>
        <w:t>2021;</w:t>
      </w:r>
    </w:p>
    <w:p w14:paraId="2A45D025" w14:textId="023E8F9C" w:rsidR="0068558C" w:rsidRDefault="006B77C0" w:rsidP="002E2B5B">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 xml:space="preserve">Conforme descrito na Nota </w:t>
      </w:r>
      <w:r w:rsidR="00980858" w:rsidRPr="002E2B5B">
        <w:rPr>
          <w:rFonts w:ascii="Calibri" w:hAnsi="Calibri" w:cs="Calibri"/>
          <w:bCs/>
          <w:sz w:val="18"/>
          <w:szCs w:val="18"/>
        </w:rPr>
        <w:t>1</w:t>
      </w:r>
      <w:r w:rsidR="00E52EF5">
        <w:rPr>
          <w:rFonts w:ascii="Calibri" w:hAnsi="Calibri" w:cs="Calibri"/>
          <w:bCs/>
          <w:sz w:val="18"/>
          <w:szCs w:val="18"/>
        </w:rPr>
        <w:t>3</w:t>
      </w:r>
      <w:r w:rsidRPr="002E2B5B">
        <w:rPr>
          <w:rFonts w:ascii="Calibri" w:hAnsi="Calibri" w:cs="Calibri"/>
          <w:bCs/>
          <w:sz w:val="18"/>
          <w:szCs w:val="18"/>
        </w:rPr>
        <w:t>, o CPC 06 (R2) estabelece que os contratos de aluguéis, que se enquadram nos requisitos estipulados naquele pronunciamento, deverão ser registrados como direitos de uso no ativo e passivos de arrendamentos no passivo, além de registrar a depreciação desses direitos. Na contabilidade aplicada ao setor público ainda não houve alterações na contabilização dos contratos de aluguéis, os quais continuam sendo registrados como despesas de locações</w:t>
      </w:r>
      <w:r w:rsidR="00CC6D4F" w:rsidRPr="002E2B5B">
        <w:rPr>
          <w:rFonts w:ascii="Calibri" w:hAnsi="Calibri" w:cs="Calibri"/>
          <w:bCs/>
          <w:sz w:val="18"/>
          <w:szCs w:val="18"/>
        </w:rPr>
        <w:t>;</w:t>
      </w:r>
    </w:p>
    <w:p w14:paraId="35181250" w14:textId="041D4061" w:rsidR="00A04255" w:rsidRPr="00CF3FAA" w:rsidRDefault="00A04255" w:rsidP="00A04255">
      <w:pPr>
        <w:numPr>
          <w:ilvl w:val="0"/>
          <w:numId w:val="21"/>
        </w:numPr>
        <w:spacing w:after="120"/>
        <w:ind w:left="714" w:right="57" w:hanging="357"/>
        <w:jc w:val="both"/>
        <w:rPr>
          <w:rFonts w:ascii="Calibri" w:hAnsi="Calibri" w:cs="Calibri"/>
          <w:bCs/>
          <w:sz w:val="18"/>
          <w:szCs w:val="18"/>
        </w:rPr>
      </w:pPr>
      <w:r w:rsidRPr="00CF3FAA">
        <w:rPr>
          <w:rFonts w:ascii="Calibri" w:hAnsi="Calibri" w:cs="Calibri"/>
          <w:bCs/>
          <w:sz w:val="18"/>
          <w:szCs w:val="18"/>
        </w:rPr>
        <w:t>A</w:t>
      </w:r>
      <w:r w:rsidR="006117DD" w:rsidRPr="00CF3FAA">
        <w:rPr>
          <w:rFonts w:ascii="Calibri" w:hAnsi="Calibri" w:cs="Calibri"/>
          <w:bCs/>
          <w:sz w:val="18"/>
          <w:szCs w:val="18"/>
        </w:rPr>
        <w:t xml:space="preserve"> receita decorrente da </w:t>
      </w:r>
      <w:r w:rsidR="0041256D" w:rsidRPr="00CF3FAA">
        <w:rPr>
          <w:rFonts w:ascii="Calibri" w:hAnsi="Calibri" w:cs="Calibri"/>
          <w:bCs/>
          <w:sz w:val="18"/>
          <w:szCs w:val="18"/>
        </w:rPr>
        <w:t>Subconcessão da FIOL I foi registrada</w:t>
      </w:r>
      <w:r w:rsidR="006117DD" w:rsidRPr="00CF3FAA">
        <w:rPr>
          <w:rFonts w:ascii="Calibri" w:hAnsi="Calibri" w:cs="Calibri"/>
          <w:bCs/>
          <w:sz w:val="18"/>
          <w:szCs w:val="18"/>
        </w:rPr>
        <w:t xml:space="preserve"> no SIAFI </w:t>
      </w:r>
      <w:r w:rsidR="002C7B71" w:rsidRPr="00CF3FAA">
        <w:rPr>
          <w:rFonts w:ascii="Calibri" w:hAnsi="Calibri" w:cs="Calibri"/>
          <w:bCs/>
          <w:sz w:val="18"/>
          <w:szCs w:val="18"/>
        </w:rPr>
        <w:t>quando</w:t>
      </w:r>
      <w:r w:rsidR="006117DD" w:rsidRPr="00CF3FAA">
        <w:rPr>
          <w:rFonts w:ascii="Calibri" w:hAnsi="Calibri" w:cs="Calibri"/>
          <w:bCs/>
          <w:sz w:val="18"/>
          <w:szCs w:val="18"/>
        </w:rPr>
        <w:t xml:space="preserve"> foi recebida.</w:t>
      </w:r>
      <w:r w:rsidR="0041256D" w:rsidRPr="00CF3FAA">
        <w:rPr>
          <w:rFonts w:ascii="Calibri" w:hAnsi="Calibri" w:cs="Calibri"/>
          <w:bCs/>
          <w:sz w:val="18"/>
          <w:szCs w:val="18"/>
        </w:rPr>
        <w:t xml:space="preserve"> </w:t>
      </w:r>
      <w:r w:rsidR="006117DD" w:rsidRPr="00CF3FAA">
        <w:rPr>
          <w:rFonts w:ascii="Calibri" w:hAnsi="Calibri" w:cs="Calibri"/>
          <w:bCs/>
          <w:sz w:val="18"/>
          <w:szCs w:val="18"/>
        </w:rPr>
        <w:t>Já na</w:t>
      </w:r>
      <w:r w:rsidR="0041256D" w:rsidRPr="00CF3FAA">
        <w:rPr>
          <w:rFonts w:ascii="Calibri" w:hAnsi="Calibri" w:cs="Calibri"/>
          <w:bCs/>
          <w:sz w:val="18"/>
          <w:szCs w:val="18"/>
        </w:rPr>
        <w:t xml:space="preserve"> </w:t>
      </w:r>
      <w:r w:rsidRPr="00CF3FAA">
        <w:rPr>
          <w:rFonts w:ascii="Calibri" w:hAnsi="Calibri" w:cs="Calibri"/>
          <w:bCs/>
          <w:sz w:val="18"/>
          <w:szCs w:val="18"/>
        </w:rPr>
        <w:t>contabilidade societária</w:t>
      </w:r>
      <w:r w:rsidR="006117DD" w:rsidRPr="00CF3FAA">
        <w:rPr>
          <w:rFonts w:ascii="Calibri" w:hAnsi="Calibri" w:cs="Calibri"/>
          <w:bCs/>
          <w:sz w:val="18"/>
          <w:szCs w:val="18"/>
        </w:rPr>
        <w:t xml:space="preserve">, observando-se o regime de </w:t>
      </w:r>
      <w:r w:rsidRPr="00CF3FAA">
        <w:rPr>
          <w:rFonts w:ascii="Calibri" w:hAnsi="Calibri" w:cs="Calibri"/>
          <w:bCs/>
          <w:sz w:val="18"/>
          <w:szCs w:val="18"/>
        </w:rPr>
        <w:t xml:space="preserve">competência, </w:t>
      </w:r>
      <w:r w:rsidR="0041256D" w:rsidRPr="00CF3FAA">
        <w:rPr>
          <w:rFonts w:ascii="Calibri" w:hAnsi="Calibri" w:cs="Calibri"/>
          <w:bCs/>
          <w:sz w:val="18"/>
          <w:szCs w:val="18"/>
        </w:rPr>
        <w:t xml:space="preserve">a </w:t>
      </w:r>
      <w:r w:rsidR="006117DD" w:rsidRPr="00CF3FAA">
        <w:rPr>
          <w:rFonts w:ascii="Calibri" w:hAnsi="Calibri" w:cs="Calibri"/>
          <w:bCs/>
          <w:sz w:val="18"/>
          <w:szCs w:val="18"/>
        </w:rPr>
        <w:t xml:space="preserve">receita </w:t>
      </w:r>
      <w:r w:rsidR="0041256D" w:rsidRPr="00CF3FAA">
        <w:rPr>
          <w:rFonts w:ascii="Calibri" w:hAnsi="Calibri" w:cs="Calibri"/>
          <w:bCs/>
          <w:sz w:val="18"/>
          <w:szCs w:val="18"/>
        </w:rPr>
        <w:t>foi</w:t>
      </w:r>
      <w:r w:rsidRPr="00CF3FAA">
        <w:rPr>
          <w:rFonts w:ascii="Calibri" w:hAnsi="Calibri" w:cs="Calibri"/>
          <w:bCs/>
          <w:sz w:val="18"/>
          <w:szCs w:val="18"/>
        </w:rPr>
        <w:t xml:space="preserve"> contabilizad</w:t>
      </w:r>
      <w:r w:rsidR="0041256D" w:rsidRPr="00CF3FAA">
        <w:rPr>
          <w:rFonts w:ascii="Calibri" w:hAnsi="Calibri" w:cs="Calibri"/>
          <w:bCs/>
          <w:sz w:val="18"/>
          <w:szCs w:val="18"/>
        </w:rPr>
        <w:t>a</w:t>
      </w:r>
      <w:r w:rsidRPr="00CF3FAA">
        <w:rPr>
          <w:rFonts w:ascii="Calibri" w:hAnsi="Calibri" w:cs="Calibri"/>
          <w:bCs/>
          <w:sz w:val="18"/>
          <w:szCs w:val="18"/>
        </w:rPr>
        <w:t xml:space="preserve"> no </w:t>
      </w:r>
      <w:r w:rsidR="0041256D" w:rsidRPr="00CF3FAA">
        <w:rPr>
          <w:rFonts w:ascii="Calibri" w:hAnsi="Calibri" w:cs="Calibri"/>
          <w:bCs/>
          <w:sz w:val="18"/>
          <w:szCs w:val="18"/>
        </w:rPr>
        <w:t>passivo</w:t>
      </w:r>
      <w:r w:rsidRPr="00CF3FAA">
        <w:rPr>
          <w:rFonts w:ascii="Calibri" w:hAnsi="Calibri" w:cs="Calibri"/>
          <w:bCs/>
          <w:sz w:val="18"/>
          <w:szCs w:val="18"/>
        </w:rPr>
        <w:t xml:space="preserve"> circulante e não circulante</w:t>
      </w:r>
      <w:r w:rsidR="0041256D" w:rsidRPr="00CF3FAA">
        <w:rPr>
          <w:rFonts w:ascii="Calibri" w:hAnsi="Calibri" w:cs="Calibri"/>
          <w:bCs/>
          <w:sz w:val="18"/>
          <w:szCs w:val="18"/>
        </w:rPr>
        <w:t xml:space="preserve">, e será </w:t>
      </w:r>
      <w:r w:rsidR="006117DD" w:rsidRPr="00CF3FAA">
        <w:rPr>
          <w:rFonts w:ascii="Calibri" w:hAnsi="Calibri" w:cs="Calibri"/>
          <w:bCs/>
          <w:sz w:val="18"/>
          <w:szCs w:val="18"/>
        </w:rPr>
        <w:t>diferida durante todo o período referente a subconcessão.</w:t>
      </w:r>
      <w:r w:rsidRPr="00CF3FAA">
        <w:rPr>
          <w:rFonts w:ascii="Calibri" w:hAnsi="Calibri" w:cs="Calibri"/>
          <w:bCs/>
          <w:sz w:val="18"/>
          <w:szCs w:val="18"/>
        </w:rPr>
        <w:t xml:space="preserve"> </w:t>
      </w:r>
    </w:p>
    <w:p w14:paraId="564AE329" w14:textId="22AF8B28" w:rsidR="00E52EF5" w:rsidRDefault="00E52EF5" w:rsidP="002E2B5B">
      <w:pPr>
        <w:numPr>
          <w:ilvl w:val="0"/>
          <w:numId w:val="21"/>
        </w:numPr>
        <w:spacing w:after="120"/>
        <w:ind w:left="714" w:right="57" w:hanging="357"/>
        <w:jc w:val="both"/>
        <w:rPr>
          <w:rFonts w:ascii="Calibri" w:hAnsi="Calibri" w:cs="Calibri"/>
          <w:bCs/>
          <w:sz w:val="18"/>
          <w:szCs w:val="18"/>
        </w:rPr>
      </w:pPr>
      <w:r w:rsidRPr="002E2B5B">
        <w:rPr>
          <w:rFonts w:ascii="Calibri" w:hAnsi="Calibri" w:cs="Calibri"/>
          <w:bCs/>
          <w:sz w:val="18"/>
          <w:szCs w:val="18"/>
        </w:rPr>
        <w:t xml:space="preserve">Reclassificação de risco na planilha do jurídico, corrigida no SIAFI </w:t>
      </w:r>
      <w:r>
        <w:rPr>
          <w:rFonts w:ascii="Calibri" w:hAnsi="Calibri" w:cs="Calibri"/>
          <w:bCs/>
          <w:sz w:val="18"/>
          <w:szCs w:val="18"/>
        </w:rPr>
        <w:t>intempestivamente</w:t>
      </w:r>
      <w:r w:rsidRPr="002E2B5B">
        <w:rPr>
          <w:rFonts w:ascii="Calibri" w:hAnsi="Calibri" w:cs="Calibri"/>
          <w:bCs/>
          <w:sz w:val="18"/>
          <w:szCs w:val="18"/>
        </w:rPr>
        <w:t>. Além da reclassificação de atualizações monetárias das contingências de despesas financeiras para provisões e reversões de provisões quando se trata de baixa de atualização</w:t>
      </w:r>
      <w:r>
        <w:rPr>
          <w:rFonts w:ascii="Calibri" w:hAnsi="Calibri" w:cs="Calibri"/>
          <w:bCs/>
          <w:sz w:val="18"/>
          <w:szCs w:val="18"/>
        </w:rPr>
        <w:t xml:space="preserve">; </w:t>
      </w:r>
    </w:p>
    <w:p w14:paraId="405F69BE" w14:textId="1AF41AEF" w:rsidR="0003646A" w:rsidRPr="00935B57" w:rsidRDefault="00CF3FAA" w:rsidP="00935B57">
      <w:pPr>
        <w:numPr>
          <w:ilvl w:val="0"/>
          <w:numId w:val="21"/>
        </w:numPr>
        <w:spacing w:after="120"/>
        <w:ind w:left="714" w:right="57" w:hanging="357"/>
        <w:jc w:val="both"/>
        <w:rPr>
          <w:rFonts w:ascii="Calibri" w:hAnsi="Calibri" w:cs="Calibri"/>
          <w:bCs/>
          <w:sz w:val="18"/>
          <w:szCs w:val="18"/>
        </w:rPr>
      </w:pPr>
      <w:r>
        <w:rPr>
          <w:rFonts w:ascii="Calibri" w:hAnsi="Calibri" w:cs="Calibri"/>
          <w:bCs/>
          <w:sz w:val="18"/>
          <w:szCs w:val="18"/>
        </w:rPr>
        <w:t xml:space="preserve">Reversão de depreciação dos bens </w:t>
      </w:r>
      <w:r w:rsidR="00935B57">
        <w:rPr>
          <w:rFonts w:ascii="Calibri" w:hAnsi="Calibri" w:cs="Calibri"/>
          <w:bCs/>
          <w:sz w:val="18"/>
          <w:szCs w:val="18"/>
        </w:rPr>
        <w:t xml:space="preserve">móveis provisionados para perda. Registro realizado no SIAFI </w:t>
      </w:r>
      <w:r w:rsidR="00935B57" w:rsidRPr="002E2B5B">
        <w:rPr>
          <w:rFonts w:ascii="Calibri" w:hAnsi="Calibri" w:cs="Calibri"/>
          <w:bCs/>
          <w:sz w:val="18"/>
          <w:szCs w:val="18"/>
        </w:rPr>
        <w:t>somente a partir da aprovação dessas demonstrações financeiras pela Assembleia Geral Ordinária</w:t>
      </w:r>
      <w:r w:rsidR="00935B57">
        <w:rPr>
          <w:rFonts w:ascii="Calibri" w:hAnsi="Calibri" w:cs="Calibri"/>
          <w:bCs/>
          <w:sz w:val="18"/>
          <w:szCs w:val="18"/>
        </w:rPr>
        <w:t xml:space="preserve">, que ocorreu em outubro de </w:t>
      </w:r>
      <w:r w:rsidR="00935B57" w:rsidRPr="002E2B5B">
        <w:rPr>
          <w:rFonts w:ascii="Calibri" w:hAnsi="Calibri" w:cs="Calibri"/>
          <w:bCs/>
          <w:sz w:val="18"/>
          <w:szCs w:val="18"/>
        </w:rPr>
        <w:t>2021;</w:t>
      </w:r>
      <w:r w:rsidR="00935B57">
        <w:rPr>
          <w:rFonts w:ascii="Calibri" w:hAnsi="Calibri" w:cs="Calibri"/>
          <w:bCs/>
          <w:sz w:val="18"/>
          <w:szCs w:val="18"/>
        </w:rPr>
        <w:t xml:space="preserve"> e</w:t>
      </w:r>
    </w:p>
    <w:p w14:paraId="4146536A" w14:textId="77777777" w:rsidR="00A02E15" w:rsidRDefault="00A02E15" w:rsidP="00A02E15">
      <w:pPr>
        <w:numPr>
          <w:ilvl w:val="0"/>
          <w:numId w:val="21"/>
        </w:numPr>
        <w:spacing w:after="120"/>
        <w:ind w:left="714" w:right="57" w:hanging="357"/>
        <w:jc w:val="both"/>
        <w:rPr>
          <w:rFonts w:ascii="Calibri" w:hAnsi="Calibri" w:cs="Calibri"/>
          <w:bCs/>
          <w:sz w:val="18"/>
          <w:szCs w:val="18"/>
        </w:rPr>
      </w:pPr>
      <w:r>
        <w:rPr>
          <w:rFonts w:ascii="Calibri" w:hAnsi="Calibri" w:cs="Calibri"/>
          <w:bCs/>
          <w:sz w:val="18"/>
          <w:szCs w:val="18"/>
        </w:rPr>
        <w:t>Prejuízos Acumulados reconhecidos no SIAFI após a aprovação das demonstrações de 2019 e 2020, em agosto e outubro de 2021.</w:t>
      </w:r>
    </w:p>
    <w:p w14:paraId="68ED2712" w14:textId="4EED7993" w:rsidR="008E44BC" w:rsidRDefault="008E44BC" w:rsidP="0052206D">
      <w:pPr>
        <w:spacing w:after="120"/>
        <w:ind w:right="57"/>
        <w:rPr>
          <w:rFonts w:ascii="Calibri" w:hAnsi="Calibri" w:cs="Calibri"/>
          <w:b/>
          <w:sz w:val="22"/>
          <w:szCs w:val="22"/>
        </w:rPr>
      </w:pPr>
    </w:p>
    <w:p w14:paraId="075DE3BB" w14:textId="1E8C2B47" w:rsidR="002C7B71" w:rsidRDefault="002C7B71" w:rsidP="0052206D">
      <w:pPr>
        <w:spacing w:after="120"/>
        <w:ind w:right="57"/>
        <w:rPr>
          <w:rFonts w:ascii="Calibri" w:hAnsi="Calibri" w:cs="Calibri"/>
          <w:b/>
          <w:sz w:val="22"/>
          <w:szCs w:val="22"/>
        </w:rPr>
      </w:pPr>
    </w:p>
    <w:p w14:paraId="02650D5A" w14:textId="77777777" w:rsidR="002C7B71" w:rsidRPr="002E2B5B" w:rsidRDefault="002C7B71" w:rsidP="0052206D">
      <w:pPr>
        <w:spacing w:after="120"/>
        <w:ind w:right="57"/>
        <w:rPr>
          <w:rFonts w:ascii="Calibri" w:hAnsi="Calibri" w:cs="Calibri"/>
          <w:b/>
          <w:sz w:val="22"/>
          <w:szCs w:val="22"/>
        </w:rPr>
      </w:pPr>
    </w:p>
    <w:p w14:paraId="65338743" w14:textId="326AEB0F" w:rsidR="001159E0" w:rsidRPr="002E2B5B" w:rsidRDefault="001159E0" w:rsidP="002E2B5B">
      <w:pPr>
        <w:ind w:left="714" w:right="57"/>
        <w:rPr>
          <w:rFonts w:ascii="Calibri" w:hAnsi="Calibri" w:cs="Calibri"/>
          <w:b/>
          <w:sz w:val="22"/>
          <w:szCs w:val="22"/>
        </w:rPr>
      </w:pPr>
      <w:r w:rsidRPr="002E2B5B">
        <w:rPr>
          <w:rFonts w:ascii="Calibri" w:hAnsi="Calibri" w:cs="Calibri"/>
          <w:b/>
          <w:sz w:val="22"/>
          <w:szCs w:val="22"/>
        </w:rPr>
        <w:t>André Kuhn</w:t>
      </w:r>
    </w:p>
    <w:p w14:paraId="695E7325" w14:textId="4F0A98B6" w:rsidR="001159E0" w:rsidRPr="002E2B5B" w:rsidRDefault="001159E0" w:rsidP="002E2B5B">
      <w:pPr>
        <w:ind w:left="714" w:right="57"/>
        <w:rPr>
          <w:rFonts w:ascii="Calibri" w:hAnsi="Calibri" w:cs="Calibri"/>
          <w:bCs/>
          <w:sz w:val="22"/>
          <w:szCs w:val="22"/>
        </w:rPr>
      </w:pPr>
      <w:r w:rsidRPr="002E2B5B">
        <w:rPr>
          <w:rFonts w:ascii="Calibri" w:hAnsi="Calibri" w:cs="Calibri"/>
          <w:bCs/>
          <w:sz w:val="22"/>
          <w:szCs w:val="22"/>
        </w:rPr>
        <w:t>Diretor Presidente</w:t>
      </w:r>
    </w:p>
    <w:p w14:paraId="1FE56FB0" w14:textId="1A7328B5" w:rsidR="002C7B71" w:rsidRPr="002E2B5B" w:rsidRDefault="002C7B71" w:rsidP="002C7B71">
      <w:pPr>
        <w:ind w:left="714" w:right="57"/>
        <w:rPr>
          <w:rFonts w:ascii="Calibri" w:hAnsi="Calibri" w:cs="Calibri"/>
          <w:bCs/>
          <w:sz w:val="22"/>
          <w:szCs w:val="22"/>
        </w:rPr>
      </w:pPr>
      <w:r w:rsidRPr="002E2B5B">
        <w:rPr>
          <w:rFonts w:ascii="Calibri" w:hAnsi="Calibri" w:cs="Calibri"/>
          <w:bCs/>
          <w:sz w:val="22"/>
          <w:szCs w:val="22"/>
        </w:rPr>
        <w:t>Diretor de Administração e Finanças</w:t>
      </w:r>
      <w:r>
        <w:rPr>
          <w:rFonts w:ascii="Calibri" w:hAnsi="Calibri" w:cs="Calibri"/>
          <w:bCs/>
          <w:sz w:val="22"/>
          <w:szCs w:val="22"/>
        </w:rPr>
        <w:t xml:space="preserve"> - Substituto</w:t>
      </w:r>
    </w:p>
    <w:p w14:paraId="1F5A0F76" w14:textId="5D0FD81D" w:rsidR="001159E0" w:rsidRPr="002E2B5B" w:rsidRDefault="001159E0" w:rsidP="009145F5">
      <w:pPr>
        <w:ind w:right="57"/>
        <w:rPr>
          <w:rFonts w:ascii="Calibri" w:hAnsi="Calibri" w:cs="Calibri"/>
          <w:bCs/>
          <w:sz w:val="22"/>
          <w:szCs w:val="22"/>
        </w:rPr>
      </w:pPr>
    </w:p>
    <w:p w14:paraId="706EE1BF" w14:textId="68D7541F" w:rsidR="001159E0" w:rsidRPr="002E2B5B" w:rsidRDefault="001159E0" w:rsidP="002E2B5B">
      <w:pPr>
        <w:ind w:left="714" w:right="57"/>
        <w:rPr>
          <w:rFonts w:ascii="Calibri" w:hAnsi="Calibri" w:cs="Calibri"/>
          <w:bCs/>
          <w:sz w:val="22"/>
          <w:szCs w:val="22"/>
        </w:rPr>
      </w:pPr>
    </w:p>
    <w:p w14:paraId="4E831D6F" w14:textId="26DEC735" w:rsidR="001159E0" w:rsidRDefault="001159E0" w:rsidP="002E2B5B">
      <w:pPr>
        <w:ind w:left="714" w:right="57"/>
        <w:rPr>
          <w:rFonts w:ascii="Calibri" w:hAnsi="Calibri" w:cs="Calibri"/>
          <w:bCs/>
          <w:sz w:val="22"/>
          <w:szCs w:val="22"/>
        </w:rPr>
      </w:pPr>
    </w:p>
    <w:p w14:paraId="7E4E7C66" w14:textId="240755C9" w:rsidR="001159E0" w:rsidRPr="002E2B5B" w:rsidRDefault="001159E0" w:rsidP="002E2B5B">
      <w:pPr>
        <w:ind w:right="57"/>
        <w:rPr>
          <w:rFonts w:ascii="Calibri" w:hAnsi="Calibri" w:cs="Calibri"/>
          <w:bCs/>
          <w:sz w:val="22"/>
          <w:szCs w:val="22"/>
        </w:rPr>
      </w:pPr>
    </w:p>
    <w:p w14:paraId="290E9C2C" w14:textId="1EE87064" w:rsidR="009145F5" w:rsidRPr="002E2B5B" w:rsidRDefault="009145F5" w:rsidP="009145F5">
      <w:pPr>
        <w:ind w:left="714" w:right="57"/>
        <w:rPr>
          <w:rFonts w:ascii="Calibri" w:hAnsi="Calibri" w:cs="Calibri"/>
          <w:b/>
          <w:sz w:val="22"/>
          <w:szCs w:val="22"/>
        </w:rPr>
      </w:pPr>
      <w:r>
        <w:rPr>
          <w:rFonts w:ascii="Calibri" w:hAnsi="Calibri" w:cs="Calibri"/>
          <w:b/>
          <w:sz w:val="22"/>
          <w:szCs w:val="22"/>
        </w:rPr>
        <w:t>Alex Augusto Sanches Trevizan</w:t>
      </w:r>
    </w:p>
    <w:p w14:paraId="308A19EE" w14:textId="46E0530C" w:rsidR="009145F5" w:rsidRPr="002E2B5B" w:rsidRDefault="009145F5" w:rsidP="009145F5">
      <w:pPr>
        <w:ind w:left="714" w:right="57"/>
        <w:rPr>
          <w:rFonts w:ascii="Calibri" w:hAnsi="Calibri" w:cs="Calibri"/>
          <w:bCs/>
          <w:sz w:val="22"/>
          <w:szCs w:val="22"/>
        </w:rPr>
      </w:pPr>
      <w:r w:rsidRPr="002E2B5B">
        <w:rPr>
          <w:rFonts w:ascii="Calibri" w:hAnsi="Calibri" w:cs="Calibri"/>
          <w:bCs/>
          <w:sz w:val="22"/>
          <w:szCs w:val="22"/>
        </w:rPr>
        <w:t xml:space="preserve">Diretor de </w:t>
      </w:r>
      <w:r>
        <w:rPr>
          <w:rFonts w:ascii="Calibri" w:hAnsi="Calibri" w:cs="Calibri"/>
          <w:bCs/>
          <w:sz w:val="22"/>
          <w:szCs w:val="22"/>
        </w:rPr>
        <w:t>Negócios</w:t>
      </w:r>
    </w:p>
    <w:p w14:paraId="44FA97BC" w14:textId="254166DD" w:rsidR="002C7B71" w:rsidRPr="002E2B5B" w:rsidRDefault="002C7B71" w:rsidP="002C7B71">
      <w:pPr>
        <w:ind w:left="714" w:right="57"/>
        <w:rPr>
          <w:rFonts w:ascii="Calibri" w:hAnsi="Calibri" w:cs="Calibri"/>
          <w:bCs/>
          <w:sz w:val="22"/>
          <w:szCs w:val="22"/>
        </w:rPr>
      </w:pPr>
      <w:r w:rsidRPr="002E2B5B">
        <w:rPr>
          <w:rFonts w:ascii="Calibri" w:hAnsi="Calibri" w:cs="Calibri"/>
          <w:bCs/>
          <w:sz w:val="22"/>
          <w:szCs w:val="22"/>
        </w:rPr>
        <w:t>Diretor de Empreendimentos</w:t>
      </w:r>
      <w:r>
        <w:rPr>
          <w:rFonts w:ascii="Calibri" w:hAnsi="Calibri" w:cs="Calibri"/>
          <w:bCs/>
          <w:sz w:val="22"/>
          <w:szCs w:val="22"/>
        </w:rPr>
        <w:t xml:space="preserve"> </w:t>
      </w:r>
      <w:r w:rsidR="00B87BB1">
        <w:rPr>
          <w:rFonts w:ascii="Calibri" w:hAnsi="Calibri" w:cs="Calibri"/>
          <w:bCs/>
          <w:sz w:val="22"/>
          <w:szCs w:val="22"/>
        </w:rPr>
        <w:t>–</w:t>
      </w:r>
      <w:r>
        <w:rPr>
          <w:rFonts w:ascii="Calibri" w:hAnsi="Calibri" w:cs="Calibri"/>
          <w:bCs/>
          <w:sz w:val="22"/>
          <w:szCs w:val="22"/>
        </w:rPr>
        <w:t xml:space="preserve"> Substituto</w:t>
      </w:r>
      <w:r w:rsidR="00B87BB1">
        <w:rPr>
          <w:rFonts w:ascii="Calibri" w:hAnsi="Calibri" w:cs="Calibri"/>
          <w:bCs/>
          <w:sz w:val="22"/>
          <w:szCs w:val="22"/>
        </w:rPr>
        <w:t xml:space="preserve"> </w:t>
      </w:r>
      <w:bookmarkStart w:id="7" w:name="_GoBack"/>
      <w:bookmarkEnd w:id="7"/>
    </w:p>
    <w:p w14:paraId="4872B5E5" w14:textId="1C7E018F" w:rsidR="001159E0" w:rsidRDefault="001159E0" w:rsidP="002E2B5B">
      <w:pPr>
        <w:ind w:left="714" w:right="57"/>
        <w:rPr>
          <w:rFonts w:ascii="Calibri" w:hAnsi="Calibri" w:cs="Calibri"/>
          <w:bCs/>
          <w:sz w:val="22"/>
          <w:szCs w:val="22"/>
        </w:rPr>
      </w:pPr>
    </w:p>
    <w:p w14:paraId="5EB18B42" w14:textId="0C43B890" w:rsidR="009145F5" w:rsidRDefault="009145F5" w:rsidP="002E2B5B">
      <w:pPr>
        <w:ind w:left="714" w:right="57"/>
        <w:rPr>
          <w:rFonts w:ascii="Calibri" w:hAnsi="Calibri" w:cs="Calibri"/>
          <w:bCs/>
          <w:sz w:val="22"/>
          <w:szCs w:val="22"/>
        </w:rPr>
      </w:pPr>
    </w:p>
    <w:p w14:paraId="1D0C2DA8" w14:textId="7740391F" w:rsidR="002C7B71" w:rsidRDefault="002C7B71" w:rsidP="002E2B5B">
      <w:pPr>
        <w:ind w:left="714" w:right="57"/>
        <w:rPr>
          <w:rFonts w:ascii="Calibri" w:hAnsi="Calibri" w:cs="Calibri"/>
          <w:bCs/>
          <w:sz w:val="22"/>
          <w:szCs w:val="22"/>
        </w:rPr>
      </w:pPr>
    </w:p>
    <w:p w14:paraId="75DC4691" w14:textId="77777777" w:rsidR="002C7B71" w:rsidRPr="002E2B5B" w:rsidRDefault="002C7B71" w:rsidP="002E2B5B">
      <w:pPr>
        <w:ind w:left="714" w:right="57"/>
        <w:rPr>
          <w:rFonts w:ascii="Calibri" w:hAnsi="Calibri" w:cs="Calibri"/>
          <w:bCs/>
          <w:sz w:val="22"/>
          <w:szCs w:val="22"/>
        </w:rPr>
      </w:pPr>
    </w:p>
    <w:p w14:paraId="15F67B18" w14:textId="2DC868C7" w:rsidR="001159E0" w:rsidRPr="002E2B5B" w:rsidRDefault="001159E0" w:rsidP="002E2B5B">
      <w:pPr>
        <w:ind w:left="714" w:right="57"/>
        <w:rPr>
          <w:rFonts w:ascii="Calibri" w:hAnsi="Calibri" w:cs="Calibri"/>
          <w:b/>
          <w:sz w:val="22"/>
          <w:szCs w:val="22"/>
        </w:rPr>
      </w:pPr>
      <w:r w:rsidRPr="002E2B5B">
        <w:rPr>
          <w:rFonts w:ascii="Calibri" w:hAnsi="Calibri" w:cs="Calibri"/>
          <w:b/>
          <w:sz w:val="22"/>
          <w:szCs w:val="22"/>
        </w:rPr>
        <w:t>Meg Sarkis Simão Rosa</w:t>
      </w:r>
    </w:p>
    <w:p w14:paraId="7C68540F" w14:textId="00482F42" w:rsidR="001159E0" w:rsidRPr="001159E0" w:rsidRDefault="001159E0" w:rsidP="002E2B5B">
      <w:pPr>
        <w:ind w:left="714" w:right="57"/>
        <w:rPr>
          <w:rFonts w:ascii="Calibri" w:hAnsi="Calibri" w:cs="Calibri"/>
          <w:bCs/>
          <w:sz w:val="22"/>
          <w:szCs w:val="22"/>
        </w:rPr>
      </w:pPr>
      <w:r w:rsidRPr="002E2B5B">
        <w:rPr>
          <w:rFonts w:ascii="Calibri" w:hAnsi="Calibri" w:cs="Calibri"/>
          <w:bCs/>
          <w:sz w:val="22"/>
          <w:szCs w:val="22"/>
        </w:rPr>
        <w:t>Contadora – CRC/DF – 012674/O-9</w:t>
      </w:r>
    </w:p>
    <w:p w14:paraId="6F0A6F6A" w14:textId="7E6136AF" w:rsidR="001159E0" w:rsidRDefault="001159E0" w:rsidP="002E2B5B">
      <w:pPr>
        <w:ind w:left="714" w:right="57"/>
        <w:rPr>
          <w:rFonts w:ascii="Calibri" w:hAnsi="Calibri" w:cs="Calibri"/>
          <w:bCs/>
          <w:sz w:val="22"/>
          <w:szCs w:val="22"/>
        </w:rPr>
      </w:pPr>
    </w:p>
    <w:p w14:paraId="6C2B5594" w14:textId="5ED0AA35" w:rsidR="001159E0" w:rsidRDefault="001159E0" w:rsidP="002E2B5B">
      <w:pPr>
        <w:spacing w:after="120"/>
        <w:ind w:right="57"/>
        <w:jc w:val="both"/>
        <w:rPr>
          <w:rFonts w:ascii="Calibri" w:hAnsi="Calibri" w:cs="Calibri"/>
          <w:bCs/>
          <w:sz w:val="18"/>
          <w:szCs w:val="18"/>
        </w:rPr>
      </w:pPr>
    </w:p>
    <w:sectPr w:rsidR="001159E0" w:rsidSect="00EE5736">
      <w:headerReference w:type="default" r:id="rId14"/>
      <w:footerReference w:type="default" r:id="rId15"/>
      <w:pgSz w:w="11907" w:h="16840" w:code="9"/>
      <w:pgMar w:top="720" w:right="720" w:bottom="720" w:left="720" w:header="709" w:footer="11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47D51" w14:textId="77777777" w:rsidR="00A774D3" w:rsidRDefault="00A774D3">
      <w:r>
        <w:separator/>
      </w:r>
    </w:p>
  </w:endnote>
  <w:endnote w:type="continuationSeparator" w:id="0">
    <w:p w14:paraId="3B3AA3A1" w14:textId="77777777" w:rsidR="00A774D3" w:rsidRDefault="00A77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otham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1243443"/>
      <w:docPartObj>
        <w:docPartGallery w:val="Page Numbers (Bottom of Page)"/>
        <w:docPartUnique/>
      </w:docPartObj>
    </w:sdtPr>
    <w:sdtEndPr/>
    <w:sdtContent>
      <w:p w14:paraId="58B3AB4C" w14:textId="6C169044" w:rsidR="00A774D3" w:rsidRDefault="00A774D3">
        <w:pPr>
          <w:pStyle w:val="Rodap"/>
          <w:jc w:val="center"/>
        </w:pPr>
        <w:r>
          <w:fldChar w:fldCharType="begin"/>
        </w:r>
        <w:r>
          <w:instrText>PAGE   \* MERGEFORMAT</w:instrText>
        </w:r>
        <w:r>
          <w:fldChar w:fldCharType="separate"/>
        </w:r>
        <w:r>
          <w:rPr>
            <w:lang w:val="pt-BR"/>
          </w:rPr>
          <w:t>2</w:t>
        </w:r>
        <w:r>
          <w:fldChar w:fldCharType="end"/>
        </w:r>
      </w:p>
    </w:sdtContent>
  </w:sdt>
  <w:p w14:paraId="437BD4BE" w14:textId="77777777" w:rsidR="00A774D3" w:rsidRPr="00D1757A" w:rsidRDefault="00A774D3">
    <w:pPr>
      <w:pStyle w:val="Rodap"/>
      <w:jc w:val="center"/>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25C8C" w14:textId="77777777" w:rsidR="00A774D3" w:rsidRDefault="00A774D3">
      <w:r>
        <w:separator/>
      </w:r>
    </w:p>
  </w:footnote>
  <w:footnote w:type="continuationSeparator" w:id="0">
    <w:p w14:paraId="5E6EA9CD" w14:textId="77777777" w:rsidR="00A774D3" w:rsidRDefault="00A77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EDB0E" w14:textId="5BC0CDFB" w:rsidR="00A774D3" w:rsidRDefault="00A774D3">
    <w:pPr>
      <w:pStyle w:val="Cabealho"/>
    </w:pPr>
    <w:r>
      <w:rPr>
        <w:noProof/>
      </w:rPr>
      <w:drawing>
        <wp:inline distT="0" distB="0" distL="0" distR="0" wp14:anchorId="737FDF62" wp14:editId="5907D0C6">
          <wp:extent cx="2677160" cy="349885"/>
          <wp:effectExtent l="0" t="0" r="8890" b="0"/>
          <wp:docPr id="1" name="Imagem 1" descr="logo valec1"/>
          <wp:cNvGraphicFramePr/>
          <a:graphic xmlns:a="http://schemas.openxmlformats.org/drawingml/2006/main">
            <a:graphicData uri="http://schemas.openxmlformats.org/drawingml/2006/picture">
              <pic:pic xmlns:pic="http://schemas.openxmlformats.org/drawingml/2006/picture">
                <pic:nvPicPr>
                  <pic:cNvPr id="5" name="Imagem 5" descr="logo valec1"/>
                  <pic:cNvPicPr/>
                </pic:nvPicPr>
                <pic:blipFill>
                  <a:blip r:embed="rId1"/>
                  <a:srcRect/>
                  <a:stretch>
                    <a:fillRect/>
                  </a:stretch>
                </pic:blipFill>
                <pic:spPr bwMode="auto">
                  <a:xfrm>
                    <a:off x="0" y="0"/>
                    <a:ext cx="2677160" cy="349885"/>
                  </a:xfrm>
                  <a:prstGeom prst="rect">
                    <a:avLst/>
                  </a:prstGeom>
                  <a:noFill/>
                  <a:ln w="9525">
                    <a:noFill/>
                    <a:miter lim="800000"/>
                    <a:headEnd/>
                    <a:tailEnd/>
                  </a:ln>
                </pic:spPr>
              </pic:pic>
            </a:graphicData>
          </a:graphic>
        </wp:inline>
      </w:drawing>
    </w:r>
  </w:p>
  <w:p w14:paraId="185A0884" w14:textId="77777777" w:rsidR="00A774D3" w:rsidRDefault="00A774D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35pt;height:9.2pt" o:bullet="t">
        <v:imagedata r:id="rId1" o:title="clip_image001"/>
      </v:shape>
    </w:pict>
  </w:numPicBullet>
  <w:abstractNum w:abstractNumId="0" w15:restartNumberingAfterBreak="0">
    <w:nsid w:val="04BB26BB"/>
    <w:multiLevelType w:val="hybridMultilevel"/>
    <w:tmpl w:val="CE5AF8BA"/>
    <w:lvl w:ilvl="0" w:tplc="88C21872">
      <w:start w:val="1"/>
      <w:numFmt w:val="lowerLetter"/>
      <w:lvlText w:val="%1)"/>
      <w:lvlJc w:val="left"/>
      <w:pPr>
        <w:ind w:left="644" w:hanging="360"/>
      </w:pPr>
      <w:rPr>
        <w:rFonts w:hint="default"/>
        <w:sz w:val="24"/>
        <w:szCs w:val="24"/>
      </w:rPr>
    </w:lvl>
    <w:lvl w:ilvl="1" w:tplc="04160019" w:tentative="1">
      <w:start w:val="1"/>
      <w:numFmt w:val="lowerLetter"/>
      <w:lvlText w:val="%2."/>
      <w:lvlJc w:val="left"/>
      <w:pPr>
        <w:ind w:left="4058" w:hanging="360"/>
      </w:pPr>
    </w:lvl>
    <w:lvl w:ilvl="2" w:tplc="0416001B" w:tentative="1">
      <w:start w:val="1"/>
      <w:numFmt w:val="lowerRoman"/>
      <w:lvlText w:val="%3."/>
      <w:lvlJc w:val="right"/>
      <w:pPr>
        <w:ind w:left="4778" w:hanging="180"/>
      </w:pPr>
    </w:lvl>
    <w:lvl w:ilvl="3" w:tplc="0416000F" w:tentative="1">
      <w:start w:val="1"/>
      <w:numFmt w:val="decimal"/>
      <w:lvlText w:val="%4."/>
      <w:lvlJc w:val="left"/>
      <w:pPr>
        <w:ind w:left="5498" w:hanging="360"/>
      </w:pPr>
    </w:lvl>
    <w:lvl w:ilvl="4" w:tplc="04160019" w:tentative="1">
      <w:start w:val="1"/>
      <w:numFmt w:val="lowerLetter"/>
      <w:lvlText w:val="%5."/>
      <w:lvlJc w:val="left"/>
      <w:pPr>
        <w:ind w:left="6218" w:hanging="360"/>
      </w:pPr>
    </w:lvl>
    <w:lvl w:ilvl="5" w:tplc="0416001B" w:tentative="1">
      <w:start w:val="1"/>
      <w:numFmt w:val="lowerRoman"/>
      <w:lvlText w:val="%6."/>
      <w:lvlJc w:val="right"/>
      <w:pPr>
        <w:ind w:left="6938" w:hanging="180"/>
      </w:pPr>
    </w:lvl>
    <w:lvl w:ilvl="6" w:tplc="0416000F" w:tentative="1">
      <w:start w:val="1"/>
      <w:numFmt w:val="decimal"/>
      <w:lvlText w:val="%7."/>
      <w:lvlJc w:val="left"/>
      <w:pPr>
        <w:ind w:left="7658" w:hanging="360"/>
      </w:pPr>
    </w:lvl>
    <w:lvl w:ilvl="7" w:tplc="04160019" w:tentative="1">
      <w:start w:val="1"/>
      <w:numFmt w:val="lowerLetter"/>
      <w:lvlText w:val="%8."/>
      <w:lvlJc w:val="left"/>
      <w:pPr>
        <w:ind w:left="8378" w:hanging="360"/>
      </w:pPr>
    </w:lvl>
    <w:lvl w:ilvl="8" w:tplc="0416001B" w:tentative="1">
      <w:start w:val="1"/>
      <w:numFmt w:val="lowerRoman"/>
      <w:lvlText w:val="%9."/>
      <w:lvlJc w:val="right"/>
      <w:pPr>
        <w:ind w:left="9098" w:hanging="180"/>
      </w:pPr>
    </w:lvl>
  </w:abstractNum>
  <w:abstractNum w:abstractNumId="1" w15:restartNumberingAfterBreak="0">
    <w:nsid w:val="09C610F1"/>
    <w:multiLevelType w:val="hybridMultilevel"/>
    <w:tmpl w:val="9D042E94"/>
    <w:lvl w:ilvl="0" w:tplc="04160017">
      <w:start w:val="1"/>
      <w:numFmt w:val="lowerLetter"/>
      <w:lvlText w:val="%1)"/>
      <w:lvlJc w:val="left"/>
      <w:pPr>
        <w:ind w:left="404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516FEE"/>
    <w:multiLevelType w:val="hybridMultilevel"/>
    <w:tmpl w:val="0D90D0B4"/>
    <w:lvl w:ilvl="0" w:tplc="0082F4BA">
      <w:start w:val="1"/>
      <w:numFmt w:val="lowerLetter"/>
      <w:lvlText w:val="%1)"/>
      <w:lvlJc w:val="left"/>
      <w:pPr>
        <w:ind w:left="720" w:hanging="360"/>
      </w:pPr>
      <w:rPr>
        <w:rFonts w:ascii="Calibri" w:eastAsia="Times New Roman" w:hAnsi="Calibri" w:cs="Calibri"/>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63683E"/>
    <w:multiLevelType w:val="hybridMultilevel"/>
    <w:tmpl w:val="21985030"/>
    <w:lvl w:ilvl="0" w:tplc="F0DE01E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714E4C"/>
    <w:multiLevelType w:val="hybridMultilevel"/>
    <w:tmpl w:val="7A86DF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936EAB"/>
    <w:multiLevelType w:val="hybridMultilevel"/>
    <w:tmpl w:val="CCDA5052"/>
    <w:lvl w:ilvl="0" w:tplc="8424FA3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DD6630"/>
    <w:multiLevelType w:val="hybridMultilevel"/>
    <w:tmpl w:val="ADE26C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2704CB"/>
    <w:multiLevelType w:val="hybridMultilevel"/>
    <w:tmpl w:val="0DAE396A"/>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13D6C52"/>
    <w:multiLevelType w:val="hybridMultilevel"/>
    <w:tmpl w:val="E0969A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47560D7"/>
    <w:multiLevelType w:val="hybridMultilevel"/>
    <w:tmpl w:val="A5C85D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542AF3"/>
    <w:multiLevelType w:val="hybridMultilevel"/>
    <w:tmpl w:val="2EB2EE1C"/>
    <w:lvl w:ilvl="0" w:tplc="3FE6CBA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BD04E3"/>
    <w:multiLevelType w:val="hybridMultilevel"/>
    <w:tmpl w:val="8864EAF2"/>
    <w:lvl w:ilvl="0" w:tplc="E340B244">
      <w:start w:val="3"/>
      <w:numFmt w:val="lowerLetter"/>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956740"/>
    <w:multiLevelType w:val="hybridMultilevel"/>
    <w:tmpl w:val="2E0C0A66"/>
    <w:lvl w:ilvl="0" w:tplc="608899E6">
      <w:start w:val="1"/>
      <w:numFmt w:val="decimal"/>
      <w:lvlText w:val="(%1)"/>
      <w:lvlJc w:val="left"/>
      <w:pPr>
        <w:ind w:left="720" w:hanging="360"/>
      </w:pPr>
      <w:rPr>
        <w:rFonts w:ascii="Calibri" w:eastAsia="Times New Roman" w:hAnsi="Calibri" w:cs="Calibr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D20147"/>
    <w:multiLevelType w:val="hybridMultilevel"/>
    <w:tmpl w:val="544E9E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CBA7190"/>
    <w:multiLevelType w:val="hybridMultilevel"/>
    <w:tmpl w:val="6204BC5C"/>
    <w:lvl w:ilvl="0" w:tplc="A0F8FC4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CF127D2"/>
    <w:multiLevelType w:val="hybridMultilevel"/>
    <w:tmpl w:val="A1E2D0A6"/>
    <w:lvl w:ilvl="0" w:tplc="0416001B">
      <w:start w:val="1"/>
      <w:numFmt w:val="low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D0A6201"/>
    <w:multiLevelType w:val="hybridMultilevel"/>
    <w:tmpl w:val="97D4183E"/>
    <w:lvl w:ilvl="0" w:tplc="225EE5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3FB2ECE"/>
    <w:multiLevelType w:val="hybridMultilevel"/>
    <w:tmpl w:val="86A2641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6A69AC"/>
    <w:multiLevelType w:val="hybridMultilevel"/>
    <w:tmpl w:val="90382556"/>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DB60E16"/>
    <w:multiLevelType w:val="hybridMultilevel"/>
    <w:tmpl w:val="DA1E5116"/>
    <w:lvl w:ilvl="0" w:tplc="26F4BD7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F4434FA"/>
    <w:multiLevelType w:val="hybridMultilevel"/>
    <w:tmpl w:val="10BA319C"/>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2F13B24"/>
    <w:multiLevelType w:val="hybridMultilevel"/>
    <w:tmpl w:val="2994816C"/>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36F03F8"/>
    <w:multiLevelType w:val="multilevel"/>
    <w:tmpl w:val="A4C0FEDA"/>
    <w:lvl w:ilvl="0">
      <w:start w:val="1"/>
      <w:numFmt w:val="decimal"/>
      <w:lvlText w:val="%1."/>
      <w:lvlJc w:val="left"/>
      <w:pPr>
        <w:tabs>
          <w:tab w:val="num" w:pos="1418"/>
        </w:tabs>
        <w:ind w:left="0" w:firstLine="0"/>
      </w:pPr>
      <w:rPr>
        <w:rFonts w:ascii="Times New Roman" w:hAnsi="Times New Roman" w:cs="Times New Roman" w:hint="default"/>
        <w:sz w:val="24"/>
        <w:szCs w:val="22"/>
      </w:rPr>
    </w:lvl>
    <w:lvl w:ilvl="1">
      <w:start w:val="1"/>
      <w:numFmt w:val="lowerLetter"/>
      <w:lvlText w:val="%2."/>
      <w:lvlJc w:val="left"/>
      <w:pPr>
        <w:ind w:left="2269" w:hanging="1418"/>
      </w:pPr>
      <w:rPr>
        <w:rFonts w:hint="default"/>
      </w:rPr>
    </w:lvl>
    <w:lvl w:ilvl="2">
      <w:start w:val="1"/>
      <w:numFmt w:val="lowerRoman"/>
      <w:lvlText w:val="%3."/>
      <w:lvlJc w:val="right"/>
      <w:pPr>
        <w:ind w:left="3120" w:hanging="1418"/>
      </w:pPr>
      <w:rPr>
        <w:rFonts w:hint="default"/>
      </w:rPr>
    </w:lvl>
    <w:lvl w:ilvl="3">
      <w:start w:val="1"/>
      <w:numFmt w:val="decimal"/>
      <w:lvlText w:val="%4."/>
      <w:lvlJc w:val="left"/>
      <w:pPr>
        <w:ind w:left="3971" w:hanging="1418"/>
      </w:pPr>
      <w:rPr>
        <w:rFonts w:hint="default"/>
      </w:rPr>
    </w:lvl>
    <w:lvl w:ilvl="4">
      <w:start w:val="1"/>
      <w:numFmt w:val="lowerLetter"/>
      <w:lvlText w:val="%5."/>
      <w:lvlJc w:val="left"/>
      <w:pPr>
        <w:ind w:left="4822" w:hanging="1418"/>
      </w:pPr>
      <w:rPr>
        <w:rFonts w:hint="default"/>
      </w:rPr>
    </w:lvl>
    <w:lvl w:ilvl="5">
      <w:start w:val="1"/>
      <w:numFmt w:val="lowerRoman"/>
      <w:lvlText w:val="%6."/>
      <w:lvlJc w:val="right"/>
      <w:pPr>
        <w:ind w:left="5673" w:hanging="1418"/>
      </w:pPr>
      <w:rPr>
        <w:rFonts w:hint="default"/>
      </w:rPr>
    </w:lvl>
    <w:lvl w:ilvl="6">
      <w:start w:val="1"/>
      <w:numFmt w:val="decimal"/>
      <w:lvlText w:val="%7."/>
      <w:lvlJc w:val="left"/>
      <w:pPr>
        <w:ind w:left="6524" w:hanging="1418"/>
      </w:pPr>
      <w:rPr>
        <w:rFonts w:hint="default"/>
      </w:rPr>
    </w:lvl>
    <w:lvl w:ilvl="7">
      <w:start w:val="1"/>
      <w:numFmt w:val="lowerLetter"/>
      <w:lvlText w:val="%8."/>
      <w:lvlJc w:val="left"/>
      <w:pPr>
        <w:ind w:left="7375" w:hanging="1418"/>
      </w:pPr>
      <w:rPr>
        <w:rFonts w:hint="default"/>
      </w:rPr>
    </w:lvl>
    <w:lvl w:ilvl="8">
      <w:start w:val="1"/>
      <w:numFmt w:val="lowerRoman"/>
      <w:lvlText w:val="%9."/>
      <w:lvlJc w:val="right"/>
      <w:pPr>
        <w:ind w:left="8226" w:hanging="1418"/>
      </w:pPr>
      <w:rPr>
        <w:rFonts w:hint="default"/>
      </w:rPr>
    </w:lvl>
  </w:abstractNum>
  <w:abstractNum w:abstractNumId="23" w15:restartNumberingAfterBreak="0">
    <w:nsid w:val="53F772D5"/>
    <w:multiLevelType w:val="hybridMultilevel"/>
    <w:tmpl w:val="002847E2"/>
    <w:lvl w:ilvl="0" w:tplc="3FC00C00">
      <w:start w:val="1"/>
      <w:numFmt w:val="lowerLetter"/>
      <w:lvlText w:val="%1)"/>
      <w:lvlJc w:val="left"/>
      <w:pPr>
        <w:ind w:left="1637" w:hanging="360"/>
      </w:pPr>
      <w:rPr>
        <w:rFonts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2D7DA4"/>
    <w:multiLevelType w:val="hybridMultilevel"/>
    <w:tmpl w:val="B8506C5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B076B7F"/>
    <w:multiLevelType w:val="hybridMultilevel"/>
    <w:tmpl w:val="32DC7932"/>
    <w:lvl w:ilvl="0" w:tplc="108C4072">
      <w:start w:val="1"/>
      <w:numFmt w:val="decimal"/>
      <w:lvlText w:val="%1."/>
      <w:lvlJc w:val="left"/>
      <w:pPr>
        <w:ind w:left="928" w:hanging="360"/>
      </w:pPr>
      <w:rPr>
        <w:b w:val="0"/>
        <w:i w:val="0"/>
        <w:color w:val="auto"/>
        <w:lang w:val="pt-BR"/>
      </w:rPr>
    </w:lvl>
    <w:lvl w:ilvl="1" w:tplc="FCDAE2C6">
      <w:start w:val="1"/>
      <w:numFmt w:val="lowerLetter"/>
      <w:lvlText w:val="%2)"/>
      <w:lvlJc w:val="left"/>
      <w:pPr>
        <w:ind w:left="1495" w:hanging="360"/>
      </w:pPr>
      <w:rPr>
        <w:rFonts w:hint="default"/>
        <w:b w:val="0"/>
        <w:i/>
        <w:color w:val="auto"/>
      </w:rPr>
    </w:lvl>
    <w:lvl w:ilvl="2" w:tplc="0416001B">
      <w:start w:val="1"/>
      <w:numFmt w:val="lowerRoman"/>
      <w:lvlText w:val="%3."/>
      <w:lvlJc w:val="right"/>
      <w:pPr>
        <w:ind w:left="2160" w:hanging="180"/>
      </w:pPr>
    </w:lvl>
    <w:lvl w:ilvl="3" w:tplc="08160001">
      <w:start w:val="1"/>
      <w:numFmt w:val="bullet"/>
      <w:lvlText w:val=""/>
      <w:lvlJc w:val="left"/>
      <w:pPr>
        <w:ind w:left="2880" w:hanging="360"/>
      </w:pPr>
      <w:rPr>
        <w:rFonts w:ascii="Symbol" w:hAnsi="Symbol" w:hint="default"/>
      </w:r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B4C4CDD"/>
    <w:multiLevelType w:val="hybridMultilevel"/>
    <w:tmpl w:val="D63C3B4A"/>
    <w:lvl w:ilvl="0" w:tplc="CEBA4714">
      <w:start w:val="1"/>
      <w:numFmt w:val="lowerLetter"/>
      <w:lvlText w:val="%1)"/>
      <w:lvlJc w:val="left"/>
      <w:pPr>
        <w:ind w:left="644" w:hanging="360"/>
      </w:pPr>
      <w:rPr>
        <w:rFonts w:hint="default"/>
        <w:b/>
        <w:sz w:val="24"/>
        <w:szCs w:val="24"/>
      </w:rPr>
    </w:lvl>
    <w:lvl w:ilvl="1" w:tplc="04160019" w:tentative="1">
      <w:start w:val="1"/>
      <w:numFmt w:val="lowerLetter"/>
      <w:lvlText w:val="%2."/>
      <w:lvlJc w:val="left"/>
      <w:pPr>
        <w:ind w:left="4058" w:hanging="360"/>
      </w:pPr>
    </w:lvl>
    <w:lvl w:ilvl="2" w:tplc="0416001B" w:tentative="1">
      <w:start w:val="1"/>
      <w:numFmt w:val="lowerRoman"/>
      <w:lvlText w:val="%3."/>
      <w:lvlJc w:val="right"/>
      <w:pPr>
        <w:ind w:left="4778" w:hanging="180"/>
      </w:pPr>
    </w:lvl>
    <w:lvl w:ilvl="3" w:tplc="0416000F" w:tentative="1">
      <w:start w:val="1"/>
      <w:numFmt w:val="decimal"/>
      <w:lvlText w:val="%4."/>
      <w:lvlJc w:val="left"/>
      <w:pPr>
        <w:ind w:left="5498" w:hanging="360"/>
      </w:pPr>
    </w:lvl>
    <w:lvl w:ilvl="4" w:tplc="04160019" w:tentative="1">
      <w:start w:val="1"/>
      <w:numFmt w:val="lowerLetter"/>
      <w:lvlText w:val="%5."/>
      <w:lvlJc w:val="left"/>
      <w:pPr>
        <w:ind w:left="6218" w:hanging="360"/>
      </w:pPr>
    </w:lvl>
    <w:lvl w:ilvl="5" w:tplc="0416001B" w:tentative="1">
      <w:start w:val="1"/>
      <w:numFmt w:val="lowerRoman"/>
      <w:lvlText w:val="%6."/>
      <w:lvlJc w:val="right"/>
      <w:pPr>
        <w:ind w:left="6938" w:hanging="180"/>
      </w:pPr>
    </w:lvl>
    <w:lvl w:ilvl="6" w:tplc="0416000F" w:tentative="1">
      <w:start w:val="1"/>
      <w:numFmt w:val="decimal"/>
      <w:lvlText w:val="%7."/>
      <w:lvlJc w:val="left"/>
      <w:pPr>
        <w:ind w:left="7658" w:hanging="360"/>
      </w:pPr>
    </w:lvl>
    <w:lvl w:ilvl="7" w:tplc="04160019" w:tentative="1">
      <w:start w:val="1"/>
      <w:numFmt w:val="lowerLetter"/>
      <w:lvlText w:val="%8."/>
      <w:lvlJc w:val="left"/>
      <w:pPr>
        <w:ind w:left="8378" w:hanging="360"/>
      </w:pPr>
    </w:lvl>
    <w:lvl w:ilvl="8" w:tplc="0416001B" w:tentative="1">
      <w:start w:val="1"/>
      <w:numFmt w:val="lowerRoman"/>
      <w:lvlText w:val="%9."/>
      <w:lvlJc w:val="right"/>
      <w:pPr>
        <w:ind w:left="9098" w:hanging="180"/>
      </w:pPr>
    </w:lvl>
  </w:abstractNum>
  <w:abstractNum w:abstractNumId="27" w15:restartNumberingAfterBreak="0">
    <w:nsid w:val="5D9453D1"/>
    <w:multiLevelType w:val="hybridMultilevel"/>
    <w:tmpl w:val="E79AA2B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1622C2C"/>
    <w:multiLevelType w:val="hybridMultilevel"/>
    <w:tmpl w:val="E9A89910"/>
    <w:lvl w:ilvl="0" w:tplc="9BA813C6">
      <w:start w:val="2"/>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19D0CF3"/>
    <w:multiLevelType w:val="hybridMultilevel"/>
    <w:tmpl w:val="7A8AA542"/>
    <w:lvl w:ilvl="0" w:tplc="FB323B3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79D366B"/>
    <w:multiLevelType w:val="hybridMultilevel"/>
    <w:tmpl w:val="510213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84143D1"/>
    <w:multiLevelType w:val="hybridMultilevel"/>
    <w:tmpl w:val="FBC6967C"/>
    <w:lvl w:ilvl="0" w:tplc="9398D658">
      <w:start w:val="1"/>
      <w:numFmt w:val="decimal"/>
      <w:lvlText w:val="(%1)"/>
      <w:lvlJc w:val="left"/>
      <w:pPr>
        <w:ind w:left="720" w:hanging="360"/>
      </w:pPr>
      <w:rPr>
        <w:rFonts w:ascii="Calibri" w:eastAsia="Times New Roman" w:hAnsi="Calibri" w:cs="Calibri"/>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DBE6C1D"/>
    <w:multiLevelType w:val="hybridMultilevel"/>
    <w:tmpl w:val="36F0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DDC608A"/>
    <w:multiLevelType w:val="hybridMultilevel"/>
    <w:tmpl w:val="D7CA1482"/>
    <w:lvl w:ilvl="0" w:tplc="1A243D74">
      <w:start w:val="1"/>
      <w:numFmt w:val="decimal"/>
      <w:lvlText w:val="(%1)"/>
      <w:lvlJc w:val="left"/>
      <w:pPr>
        <w:ind w:left="720" w:hanging="360"/>
      </w:pPr>
      <w:rPr>
        <w:rFonts w:ascii="Calibri" w:eastAsia="Times New Roman" w:hAnsi="Calibri" w:cs="Calibr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32C3BE0"/>
    <w:multiLevelType w:val="hybridMultilevel"/>
    <w:tmpl w:val="319ED6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7D02846"/>
    <w:multiLevelType w:val="hybridMultilevel"/>
    <w:tmpl w:val="7BDC4CA6"/>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81E7B19"/>
    <w:multiLevelType w:val="hybridMultilevel"/>
    <w:tmpl w:val="69067E88"/>
    <w:lvl w:ilvl="0" w:tplc="AE9C3EB4">
      <w:numFmt w:val="bullet"/>
      <w:lvlText w:val=""/>
      <w:lvlJc w:val="left"/>
      <w:pPr>
        <w:ind w:left="2118" w:hanging="360"/>
      </w:pPr>
      <w:rPr>
        <w:rFonts w:ascii="Wingdings" w:eastAsia="Wingdings" w:hAnsi="Wingdings" w:cs="Wingdings" w:hint="default"/>
        <w:w w:val="100"/>
        <w:sz w:val="22"/>
        <w:szCs w:val="22"/>
        <w:lang w:val="pt-PT" w:eastAsia="en-US" w:bidi="ar-SA"/>
      </w:rPr>
    </w:lvl>
    <w:lvl w:ilvl="1" w:tplc="E4DC7D58">
      <w:numFmt w:val="bullet"/>
      <w:lvlText w:val="•"/>
      <w:lvlJc w:val="left"/>
      <w:pPr>
        <w:ind w:left="3020" w:hanging="360"/>
      </w:pPr>
      <w:rPr>
        <w:rFonts w:hint="default"/>
        <w:lang w:val="pt-PT" w:eastAsia="en-US" w:bidi="ar-SA"/>
      </w:rPr>
    </w:lvl>
    <w:lvl w:ilvl="2" w:tplc="1C184AF0">
      <w:numFmt w:val="bullet"/>
      <w:lvlText w:val="•"/>
      <w:lvlJc w:val="left"/>
      <w:pPr>
        <w:ind w:left="3920" w:hanging="360"/>
      </w:pPr>
      <w:rPr>
        <w:rFonts w:hint="default"/>
        <w:lang w:val="pt-PT" w:eastAsia="en-US" w:bidi="ar-SA"/>
      </w:rPr>
    </w:lvl>
    <w:lvl w:ilvl="3" w:tplc="46BCEFBC">
      <w:numFmt w:val="bullet"/>
      <w:lvlText w:val="•"/>
      <w:lvlJc w:val="left"/>
      <w:pPr>
        <w:ind w:left="4820" w:hanging="360"/>
      </w:pPr>
      <w:rPr>
        <w:rFonts w:hint="default"/>
        <w:lang w:val="pt-PT" w:eastAsia="en-US" w:bidi="ar-SA"/>
      </w:rPr>
    </w:lvl>
    <w:lvl w:ilvl="4" w:tplc="BD1C81DE">
      <w:numFmt w:val="bullet"/>
      <w:lvlText w:val="•"/>
      <w:lvlJc w:val="left"/>
      <w:pPr>
        <w:ind w:left="5720" w:hanging="360"/>
      </w:pPr>
      <w:rPr>
        <w:rFonts w:hint="default"/>
        <w:lang w:val="pt-PT" w:eastAsia="en-US" w:bidi="ar-SA"/>
      </w:rPr>
    </w:lvl>
    <w:lvl w:ilvl="5" w:tplc="96523094">
      <w:numFmt w:val="bullet"/>
      <w:lvlText w:val="•"/>
      <w:lvlJc w:val="left"/>
      <w:pPr>
        <w:ind w:left="6620" w:hanging="360"/>
      </w:pPr>
      <w:rPr>
        <w:rFonts w:hint="default"/>
        <w:lang w:val="pt-PT" w:eastAsia="en-US" w:bidi="ar-SA"/>
      </w:rPr>
    </w:lvl>
    <w:lvl w:ilvl="6" w:tplc="2856D76C">
      <w:numFmt w:val="bullet"/>
      <w:lvlText w:val="•"/>
      <w:lvlJc w:val="left"/>
      <w:pPr>
        <w:ind w:left="7520" w:hanging="360"/>
      </w:pPr>
      <w:rPr>
        <w:rFonts w:hint="default"/>
        <w:lang w:val="pt-PT" w:eastAsia="en-US" w:bidi="ar-SA"/>
      </w:rPr>
    </w:lvl>
    <w:lvl w:ilvl="7" w:tplc="0B307206">
      <w:numFmt w:val="bullet"/>
      <w:lvlText w:val="•"/>
      <w:lvlJc w:val="left"/>
      <w:pPr>
        <w:ind w:left="8420" w:hanging="360"/>
      </w:pPr>
      <w:rPr>
        <w:rFonts w:hint="default"/>
        <w:lang w:val="pt-PT" w:eastAsia="en-US" w:bidi="ar-SA"/>
      </w:rPr>
    </w:lvl>
    <w:lvl w:ilvl="8" w:tplc="C8A87708">
      <w:numFmt w:val="bullet"/>
      <w:lvlText w:val="•"/>
      <w:lvlJc w:val="left"/>
      <w:pPr>
        <w:ind w:left="9320" w:hanging="360"/>
      </w:pPr>
      <w:rPr>
        <w:rFonts w:hint="default"/>
        <w:lang w:val="pt-PT" w:eastAsia="en-US" w:bidi="ar-SA"/>
      </w:rPr>
    </w:lvl>
  </w:abstractNum>
  <w:abstractNum w:abstractNumId="37" w15:restartNumberingAfterBreak="0">
    <w:nsid w:val="7CE7090E"/>
    <w:multiLevelType w:val="hybridMultilevel"/>
    <w:tmpl w:val="299813CE"/>
    <w:lvl w:ilvl="0" w:tplc="9AE8422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E891B70"/>
    <w:multiLevelType w:val="hybridMultilevel"/>
    <w:tmpl w:val="7BDC4CA6"/>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0"/>
  </w:num>
  <w:num w:numId="3">
    <w:abstractNumId w:val="28"/>
  </w:num>
  <w:num w:numId="4">
    <w:abstractNumId w:val="11"/>
  </w:num>
  <w:num w:numId="5">
    <w:abstractNumId w:val="26"/>
  </w:num>
  <w:num w:numId="6">
    <w:abstractNumId w:val="4"/>
  </w:num>
  <w:num w:numId="7">
    <w:abstractNumId w:val="10"/>
  </w:num>
  <w:num w:numId="8">
    <w:abstractNumId w:val="19"/>
  </w:num>
  <w:num w:numId="9">
    <w:abstractNumId w:val="6"/>
  </w:num>
  <w:num w:numId="10">
    <w:abstractNumId w:val="1"/>
  </w:num>
  <w:num w:numId="11">
    <w:abstractNumId w:val="34"/>
  </w:num>
  <w:num w:numId="12">
    <w:abstractNumId w:val="8"/>
  </w:num>
  <w:num w:numId="13">
    <w:abstractNumId w:val="30"/>
  </w:num>
  <w:num w:numId="14">
    <w:abstractNumId w:val="12"/>
  </w:num>
  <w:num w:numId="15">
    <w:abstractNumId w:val="2"/>
  </w:num>
  <w:num w:numId="16">
    <w:abstractNumId w:val="35"/>
  </w:num>
  <w:num w:numId="17">
    <w:abstractNumId w:val="24"/>
  </w:num>
  <w:num w:numId="18">
    <w:abstractNumId w:val="13"/>
  </w:num>
  <w:num w:numId="19">
    <w:abstractNumId w:val="16"/>
  </w:num>
  <w:num w:numId="20">
    <w:abstractNumId w:val="29"/>
  </w:num>
  <w:num w:numId="21">
    <w:abstractNumId w:val="31"/>
  </w:num>
  <w:num w:numId="22">
    <w:abstractNumId w:val="22"/>
  </w:num>
  <w:num w:numId="23">
    <w:abstractNumId w:val="25"/>
  </w:num>
  <w:num w:numId="24">
    <w:abstractNumId w:val="21"/>
  </w:num>
  <w:num w:numId="25">
    <w:abstractNumId w:val="38"/>
  </w:num>
  <w:num w:numId="26">
    <w:abstractNumId w:val="3"/>
  </w:num>
  <w:num w:numId="27">
    <w:abstractNumId w:val="36"/>
  </w:num>
  <w:num w:numId="28">
    <w:abstractNumId w:val="27"/>
  </w:num>
  <w:num w:numId="29">
    <w:abstractNumId w:val="18"/>
  </w:num>
  <w:num w:numId="30">
    <w:abstractNumId w:val="7"/>
  </w:num>
  <w:num w:numId="31">
    <w:abstractNumId w:val="20"/>
  </w:num>
  <w:num w:numId="32">
    <w:abstractNumId w:val="17"/>
  </w:num>
  <w:num w:numId="33">
    <w:abstractNumId w:val="37"/>
  </w:num>
  <w:num w:numId="34">
    <w:abstractNumId w:val="15"/>
  </w:num>
  <w:num w:numId="35">
    <w:abstractNumId w:val="32"/>
  </w:num>
  <w:num w:numId="36">
    <w:abstractNumId w:val="33"/>
  </w:num>
  <w:num w:numId="37">
    <w:abstractNumId w:val="14"/>
  </w:num>
  <w:num w:numId="38">
    <w:abstractNumId w:val="5"/>
  </w:num>
  <w:num w:numId="39">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910"/>
    <w:rsid w:val="00000BCA"/>
    <w:rsid w:val="00000C94"/>
    <w:rsid w:val="00000D8F"/>
    <w:rsid w:val="00000E94"/>
    <w:rsid w:val="00001005"/>
    <w:rsid w:val="00001DA8"/>
    <w:rsid w:val="00001F30"/>
    <w:rsid w:val="0000220D"/>
    <w:rsid w:val="000027B2"/>
    <w:rsid w:val="000028C7"/>
    <w:rsid w:val="00002A88"/>
    <w:rsid w:val="00002D60"/>
    <w:rsid w:val="00003029"/>
    <w:rsid w:val="000038B1"/>
    <w:rsid w:val="00004966"/>
    <w:rsid w:val="00004F42"/>
    <w:rsid w:val="000052AC"/>
    <w:rsid w:val="000052BC"/>
    <w:rsid w:val="000052F0"/>
    <w:rsid w:val="0000641F"/>
    <w:rsid w:val="000069AD"/>
    <w:rsid w:val="00006A6A"/>
    <w:rsid w:val="00006D0C"/>
    <w:rsid w:val="00007081"/>
    <w:rsid w:val="00007768"/>
    <w:rsid w:val="00007A8B"/>
    <w:rsid w:val="00007B07"/>
    <w:rsid w:val="000103EB"/>
    <w:rsid w:val="00010472"/>
    <w:rsid w:val="00010501"/>
    <w:rsid w:val="00010512"/>
    <w:rsid w:val="000109FB"/>
    <w:rsid w:val="0001206F"/>
    <w:rsid w:val="000125DE"/>
    <w:rsid w:val="00012608"/>
    <w:rsid w:val="00012652"/>
    <w:rsid w:val="00012EC4"/>
    <w:rsid w:val="000130F4"/>
    <w:rsid w:val="00013845"/>
    <w:rsid w:val="00013C66"/>
    <w:rsid w:val="00014143"/>
    <w:rsid w:val="00014224"/>
    <w:rsid w:val="0001425A"/>
    <w:rsid w:val="00014767"/>
    <w:rsid w:val="00014790"/>
    <w:rsid w:val="000148F8"/>
    <w:rsid w:val="00014B09"/>
    <w:rsid w:val="00014BFF"/>
    <w:rsid w:val="00014DC2"/>
    <w:rsid w:val="000154C7"/>
    <w:rsid w:val="000155BF"/>
    <w:rsid w:val="000155FA"/>
    <w:rsid w:val="0001580D"/>
    <w:rsid w:val="000158DC"/>
    <w:rsid w:val="0001598F"/>
    <w:rsid w:val="00016521"/>
    <w:rsid w:val="000168FB"/>
    <w:rsid w:val="00016B69"/>
    <w:rsid w:val="00020BA1"/>
    <w:rsid w:val="00020E50"/>
    <w:rsid w:val="00021249"/>
    <w:rsid w:val="00021F17"/>
    <w:rsid w:val="00021FF3"/>
    <w:rsid w:val="00022105"/>
    <w:rsid w:val="00022911"/>
    <w:rsid w:val="000229FA"/>
    <w:rsid w:val="0002316D"/>
    <w:rsid w:val="0002343B"/>
    <w:rsid w:val="00023AC8"/>
    <w:rsid w:val="00023BAC"/>
    <w:rsid w:val="000242FD"/>
    <w:rsid w:val="00024680"/>
    <w:rsid w:val="00024A86"/>
    <w:rsid w:val="00024F2C"/>
    <w:rsid w:val="0002508D"/>
    <w:rsid w:val="0002552A"/>
    <w:rsid w:val="00026171"/>
    <w:rsid w:val="00026475"/>
    <w:rsid w:val="000264A3"/>
    <w:rsid w:val="00026A12"/>
    <w:rsid w:val="00027791"/>
    <w:rsid w:val="00027F1B"/>
    <w:rsid w:val="00030200"/>
    <w:rsid w:val="00030E8C"/>
    <w:rsid w:val="000311D3"/>
    <w:rsid w:val="000315AE"/>
    <w:rsid w:val="0003160C"/>
    <w:rsid w:val="00031B0F"/>
    <w:rsid w:val="00031BB7"/>
    <w:rsid w:val="00031D94"/>
    <w:rsid w:val="00032764"/>
    <w:rsid w:val="00032CB9"/>
    <w:rsid w:val="00032F3B"/>
    <w:rsid w:val="00033BD9"/>
    <w:rsid w:val="00034521"/>
    <w:rsid w:val="00034776"/>
    <w:rsid w:val="00034820"/>
    <w:rsid w:val="00034851"/>
    <w:rsid w:val="00034AA9"/>
    <w:rsid w:val="000358F4"/>
    <w:rsid w:val="000360CF"/>
    <w:rsid w:val="00036234"/>
    <w:rsid w:val="0003643F"/>
    <w:rsid w:val="0003646A"/>
    <w:rsid w:val="000376F3"/>
    <w:rsid w:val="0004011B"/>
    <w:rsid w:val="000406FC"/>
    <w:rsid w:val="000408D6"/>
    <w:rsid w:val="00040BCF"/>
    <w:rsid w:val="00041155"/>
    <w:rsid w:val="0004117C"/>
    <w:rsid w:val="00042BE5"/>
    <w:rsid w:val="00043892"/>
    <w:rsid w:val="00043EC6"/>
    <w:rsid w:val="00044367"/>
    <w:rsid w:val="00044AC3"/>
    <w:rsid w:val="00044D40"/>
    <w:rsid w:val="0004581F"/>
    <w:rsid w:val="00045C0E"/>
    <w:rsid w:val="00046545"/>
    <w:rsid w:val="00046BF7"/>
    <w:rsid w:val="00046C80"/>
    <w:rsid w:val="0004780C"/>
    <w:rsid w:val="00047DC1"/>
    <w:rsid w:val="00047EC0"/>
    <w:rsid w:val="000500AD"/>
    <w:rsid w:val="000504C2"/>
    <w:rsid w:val="00051335"/>
    <w:rsid w:val="000519D8"/>
    <w:rsid w:val="00052819"/>
    <w:rsid w:val="00052C65"/>
    <w:rsid w:val="00052E9C"/>
    <w:rsid w:val="00053A04"/>
    <w:rsid w:val="00053F40"/>
    <w:rsid w:val="00054133"/>
    <w:rsid w:val="00054673"/>
    <w:rsid w:val="000547EE"/>
    <w:rsid w:val="0005481F"/>
    <w:rsid w:val="00054CE1"/>
    <w:rsid w:val="00054F4D"/>
    <w:rsid w:val="000551F6"/>
    <w:rsid w:val="0005551A"/>
    <w:rsid w:val="00055773"/>
    <w:rsid w:val="00055904"/>
    <w:rsid w:val="00055F20"/>
    <w:rsid w:val="00056148"/>
    <w:rsid w:val="00056337"/>
    <w:rsid w:val="00056433"/>
    <w:rsid w:val="000568B0"/>
    <w:rsid w:val="00056ED5"/>
    <w:rsid w:val="00056FCB"/>
    <w:rsid w:val="0005788D"/>
    <w:rsid w:val="00057AF4"/>
    <w:rsid w:val="00057B1E"/>
    <w:rsid w:val="00060221"/>
    <w:rsid w:val="000603DE"/>
    <w:rsid w:val="0006051E"/>
    <w:rsid w:val="00060615"/>
    <w:rsid w:val="00060741"/>
    <w:rsid w:val="00060FC5"/>
    <w:rsid w:val="00061562"/>
    <w:rsid w:val="0006229F"/>
    <w:rsid w:val="00062DDB"/>
    <w:rsid w:val="00063101"/>
    <w:rsid w:val="00063344"/>
    <w:rsid w:val="000638C7"/>
    <w:rsid w:val="00063CAF"/>
    <w:rsid w:val="00063D79"/>
    <w:rsid w:val="00063F74"/>
    <w:rsid w:val="000643B0"/>
    <w:rsid w:val="000643FB"/>
    <w:rsid w:val="0006479C"/>
    <w:rsid w:val="0006483C"/>
    <w:rsid w:val="0006516E"/>
    <w:rsid w:val="000656CB"/>
    <w:rsid w:val="0006608E"/>
    <w:rsid w:val="0006611E"/>
    <w:rsid w:val="00066BBD"/>
    <w:rsid w:val="000671A8"/>
    <w:rsid w:val="00067272"/>
    <w:rsid w:val="000674F2"/>
    <w:rsid w:val="00067549"/>
    <w:rsid w:val="00067718"/>
    <w:rsid w:val="00067BD4"/>
    <w:rsid w:val="000703BF"/>
    <w:rsid w:val="000704CC"/>
    <w:rsid w:val="00070651"/>
    <w:rsid w:val="0007086A"/>
    <w:rsid w:val="00070945"/>
    <w:rsid w:val="00070966"/>
    <w:rsid w:val="00071445"/>
    <w:rsid w:val="00071652"/>
    <w:rsid w:val="00071F5E"/>
    <w:rsid w:val="0007275C"/>
    <w:rsid w:val="00072D26"/>
    <w:rsid w:val="00073B49"/>
    <w:rsid w:val="000742C8"/>
    <w:rsid w:val="000746D2"/>
    <w:rsid w:val="00075644"/>
    <w:rsid w:val="0007577E"/>
    <w:rsid w:val="00075AC0"/>
    <w:rsid w:val="00076C37"/>
    <w:rsid w:val="000771FA"/>
    <w:rsid w:val="000773F2"/>
    <w:rsid w:val="000776EC"/>
    <w:rsid w:val="000776F4"/>
    <w:rsid w:val="00077A22"/>
    <w:rsid w:val="00077D8A"/>
    <w:rsid w:val="00077E62"/>
    <w:rsid w:val="00077EFE"/>
    <w:rsid w:val="00080C28"/>
    <w:rsid w:val="000814AE"/>
    <w:rsid w:val="00081913"/>
    <w:rsid w:val="00081926"/>
    <w:rsid w:val="00081C95"/>
    <w:rsid w:val="00081F1C"/>
    <w:rsid w:val="00081F5F"/>
    <w:rsid w:val="00082764"/>
    <w:rsid w:val="000827A5"/>
    <w:rsid w:val="00082F16"/>
    <w:rsid w:val="000832CA"/>
    <w:rsid w:val="0008330B"/>
    <w:rsid w:val="00083534"/>
    <w:rsid w:val="00083A35"/>
    <w:rsid w:val="00083D50"/>
    <w:rsid w:val="00083E15"/>
    <w:rsid w:val="0008493B"/>
    <w:rsid w:val="000849AA"/>
    <w:rsid w:val="00084CAE"/>
    <w:rsid w:val="000853BB"/>
    <w:rsid w:val="00086456"/>
    <w:rsid w:val="00087654"/>
    <w:rsid w:val="00087AFF"/>
    <w:rsid w:val="00087D47"/>
    <w:rsid w:val="00087EAE"/>
    <w:rsid w:val="00087FAB"/>
    <w:rsid w:val="00087FB4"/>
    <w:rsid w:val="00090452"/>
    <w:rsid w:val="000904CF"/>
    <w:rsid w:val="000907E8"/>
    <w:rsid w:val="00090C3E"/>
    <w:rsid w:val="00091613"/>
    <w:rsid w:val="00091DA1"/>
    <w:rsid w:val="000921F9"/>
    <w:rsid w:val="0009226D"/>
    <w:rsid w:val="000924B3"/>
    <w:rsid w:val="00092B32"/>
    <w:rsid w:val="00092D86"/>
    <w:rsid w:val="00093156"/>
    <w:rsid w:val="0009413E"/>
    <w:rsid w:val="00094AF6"/>
    <w:rsid w:val="00094E05"/>
    <w:rsid w:val="000950F2"/>
    <w:rsid w:val="0009517C"/>
    <w:rsid w:val="000951E8"/>
    <w:rsid w:val="00095F47"/>
    <w:rsid w:val="00096AC9"/>
    <w:rsid w:val="00096B8A"/>
    <w:rsid w:val="00096C2A"/>
    <w:rsid w:val="00096C73"/>
    <w:rsid w:val="00097D2B"/>
    <w:rsid w:val="000A01E5"/>
    <w:rsid w:val="000A0467"/>
    <w:rsid w:val="000A074B"/>
    <w:rsid w:val="000A0FBE"/>
    <w:rsid w:val="000A115F"/>
    <w:rsid w:val="000A1B91"/>
    <w:rsid w:val="000A1BDD"/>
    <w:rsid w:val="000A1E95"/>
    <w:rsid w:val="000A21A6"/>
    <w:rsid w:val="000A287F"/>
    <w:rsid w:val="000A2D28"/>
    <w:rsid w:val="000A2FBC"/>
    <w:rsid w:val="000A35ED"/>
    <w:rsid w:val="000A35FC"/>
    <w:rsid w:val="000A370C"/>
    <w:rsid w:val="000A44A6"/>
    <w:rsid w:val="000A4607"/>
    <w:rsid w:val="000A4AF6"/>
    <w:rsid w:val="000A4C5D"/>
    <w:rsid w:val="000A5021"/>
    <w:rsid w:val="000A524B"/>
    <w:rsid w:val="000A58E4"/>
    <w:rsid w:val="000A59F8"/>
    <w:rsid w:val="000A6515"/>
    <w:rsid w:val="000A6C60"/>
    <w:rsid w:val="000A7077"/>
    <w:rsid w:val="000A7290"/>
    <w:rsid w:val="000A786E"/>
    <w:rsid w:val="000A797E"/>
    <w:rsid w:val="000A7AAF"/>
    <w:rsid w:val="000A7B39"/>
    <w:rsid w:val="000B037F"/>
    <w:rsid w:val="000B0C95"/>
    <w:rsid w:val="000B0D56"/>
    <w:rsid w:val="000B1790"/>
    <w:rsid w:val="000B1857"/>
    <w:rsid w:val="000B1DB5"/>
    <w:rsid w:val="000B2097"/>
    <w:rsid w:val="000B2278"/>
    <w:rsid w:val="000B251D"/>
    <w:rsid w:val="000B2533"/>
    <w:rsid w:val="000B2874"/>
    <w:rsid w:val="000B2E26"/>
    <w:rsid w:val="000B2E29"/>
    <w:rsid w:val="000B2ED9"/>
    <w:rsid w:val="000B2F24"/>
    <w:rsid w:val="000B33CC"/>
    <w:rsid w:val="000B364F"/>
    <w:rsid w:val="000B38C8"/>
    <w:rsid w:val="000B3937"/>
    <w:rsid w:val="000B3BA2"/>
    <w:rsid w:val="000B3E29"/>
    <w:rsid w:val="000B4020"/>
    <w:rsid w:val="000B422E"/>
    <w:rsid w:val="000B473C"/>
    <w:rsid w:val="000B47F9"/>
    <w:rsid w:val="000B4EB0"/>
    <w:rsid w:val="000B4F11"/>
    <w:rsid w:val="000B4F14"/>
    <w:rsid w:val="000B56DF"/>
    <w:rsid w:val="000B5B0A"/>
    <w:rsid w:val="000B5CEA"/>
    <w:rsid w:val="000B6302"/>
    <w:rsid w:val="000B6330"/>
    <w:rsid w:val="000B6539"/>
    <w:rsid w:val="000B6763"/>
    <w:rsid w:val="000B6F1A"/>
    <w:rsid w:val="000B74B9"/>
    <w:rsid w:val="000B79FA"/>
    <w:rsid w:val="000B7ECF"/>
    <w:rsid w:val="000C0004"/>
    <w:rsid w:val="000C0051"/>
    <w:rsid w:val="000C0099"/>
    <w:rsid w:val="000C00AB"/>
    <w:rsid w:val="000C05F8"/>
    <w:rsid w:val="000C065B"/>
    <w:rsid w:val="000C076B"/>
    <w:rsid w:val="000C0A54"/>
    <w:rsid w:val="000C0D09"/>
    <w:rsid w:val="000C0E1C"/>
    <w:rsid w:val="000C0E8D"/>
    <w:rsid w:val="000C106E"/>
    <w:rsid w:val="000C1363"/>
    <w:rsid w:val="000C1625"/>
    <w:rsid w:val="000C1923"/>
    <w:rsid w:val="000C194A"/>
    <w:rsid w:val="000C1A6D"/>
    <w:rsid w:val="000C2E06"/>
    <w:rsid w:val="000C32A1"/>
    <w:rsid w:val="000C3310"/>
    <w:rsid w:val="000C379A"/>
    <w:rsid w:val="000C384D"/>
    <w:rsid w:val="000C3A2F"/>
    <w:rsid w:val="000C3C86"/>
    <w:rsid w:val="000C3D09"/>
    <w:rsid w:val="000C3E4F"/>
    <w:rsid w:val="000C3EA9"/>
    <w:rsid w:val="000C41E8"/>
    <w:rsid w:val="000C469B"/>
    <w:rsid w:val="000C4C87"/>
    <w:rsid w:val="000C4E07"/>
    <w:rsid w:val="000C506A"/>
    <w:rsid w:val="000C54C6"/>
    <w:rsid w:val="000C5879"/>
    <w:rsid w:val="000C6213"/>
    <w:rsid w:val="000C6952"/>
    <w:rsid w:val="000C6F93"/>
    <w:rsid w:val="000C71AB"/>
    <w:rsid w:val="000C7886"/>
    <w:rsid w:val="000C7926"/>
    <w:rsid w:val="000C7A67"/>
    <w:rsid w:val="000D054F"/>
    <w:rsid w:val="000D0CB4"/>
    <w:rsid w:val="000D11E6"/>
    <w:rsid w:val="000D121E"/>
    <w:rsid w:val="000D171F"/>
    <w:rsid w:val="000D1C0E"/>
    <w:rsid w:val="000D2FD4"/>
    <w:rsid w:val="000D3277"/>
    <w:rsid w:val="000D32E0"/>
    <w:rsid w:val="000D3626"/>
    <w:rsid w:val="000D44CE"/>
    <w:rsid w:val="000D4C7E"/>
    <w:rsid w:val="000D5724"/>
    <w:rsid w:val="000D59FC"/>
    <w:rsid w:val="000D5E38"/>
    <w:rsid w:val="000D65C1"/>
    <w:rsid w:val="000D6720"/>
    <w:rsid w:val="000D7127"/>
    <w:rsid w:val="000D730B"/>
    <w:rsid w:val="000D7318"/>
    <w:rsid w:val="000D74D4"/>
    <w:rsid w:val="000E2F7F"/>
    <w:rsid w:val="000E350F"/>
    <w:rsid w:val="000E3604"/>
    <w:rsid w:val="000E37CB"/>
    <w:rsid w:val="000E3C01"/>
    <w:rsid w:val="000E3E4E"/>
    <w:rsid w:val="000E42E0"/>
    <w:rsid w:val="000E534A"/>
    <w:rsid w:val="000E5694"/>
    <w:rsid w:val="000E606F"/>
    <w:rsid w:val="000E6508"/>
    <w:rsid w:val="000E663C"/>
    <w:rsid w:val="000E687D"/>
    <w:rsid w:val="000E76F7"/>
    <w:rsid w:val="000F0F31"/>
    <w:rsid w:val="000F1298"/>
    <w:rsid w:val="000F149C"/>
    <w:rsid w:val="000F23AF"/>
    <w:rsid w:val="000F2AF3"/>
    <w:rsid w:val="000F37A3"/>
    <w:rsid w:val="000F3CD4"/>
    <w:rsid w:val="000F3FB5"/>
    <w:rsid w:val="000F4A6F"/>
    <w:rsid w:val="000F4B0D"/>
    <w:rsid w:val="000F4DEB"/>
    <w:rsid w:val="000F4E1E"/>
    <w:rsid w:val="000F548D"/>
    <w:rsid w:val="000F5E21"/>
    <w:rsid w:val="000F5F74"/>
    <w:rsid w:val="000F63D0"/>
    <w:rsid w:val="000F651F"/>
    <w:rsid w:val="000F6782"/>
    <w:rsid w:val="000F6924"/>
    <w:rsid w:val="000F6A87"/>
    <w:rsid w:val="000F6B94"/>
    <w:rsid w:val="000F6BE9"/>
    <w:rsid w:val="000F6F4C"/>
    <w:rsid w:val="000F7362"/>
    <w:rsid w:val="00100270"/>
    <w:rsid w:val="0010105F"/>
    <w:rsid w:val="001011FD"/>
    <w:rsid w:val="001018CD"/>
    <w:rsid w:val="001018D3"/>
    <w:rsid w:val="00101B21"/>
    <w:rsid w:val="001029DA"/>
    <w:rsid w:val="00103104"/>
    <w:rsid w:val="00103490"/>
    <w:rsid w:val="0010352A"/>
    <w:rsid w:val="0010489B"/>
    <w:rsid w:val="00105C34"/>
    <w:rsid w:val="00105C7D"/>
    <w:rsid w:val="00105DA1"/>
    <w:rsid w:val="00106049"/>
    <w:rsid w:val="001061C7"/>
    <w:rsid w:val="001067A5"/>
    <w:rsid w:val="00106A38"/>
    <w:rsid w:val="00106C73"/>
    <w:rsid w:val="00106DEC"/>
    <w:rsid w:val="00106EB8"/>
    <w:rsid w:val="00107366"/>
    <w:rsid w:val="0010770E"/>
    <w:rsid w:val="0011006A"/>
    <w:rsid w:val="001105D5"/>
    <w:rsid w:val="00110D88"/>
    <w:rsid w:val="001110A6"/>
    <w:rsid w:val="001112A6"/>
    <w:rsid w:val="0011134F"/>
    <w:rsid w:val="0011140B"/>
    <w:rsid w:val="0011141B"/>
    <w:rsid w:val="001119D5"/>
    <w:rsid w:val="00111D18"/>
    <w:rsid w:val="001123E3"/>
    <w:rsid w:val="0011284B"/>
    <w:rsid w:val="00112906"/>
    <w:rsid w:val="00112A07"/>
    <w:rsid w:val="00112A99"/>
    <w:rsid w:val="00112B54"/>
    <w:rsid w:val="00113232"/>
    <w:rsid w:val="00113665"/>
    <w:rsid w:val="00113737"/>
    <w:rsid w:val="00114D37"/>
    <w:rsid w:val="00114D4F"/>
    <w:rsid w:val="00114D87"/>
    <w:rsid w:val="00114E9F"/>
    <w:rsid w:val="00115882"/>
    <w:rsid w:val="001159E0"/>
    <w:rsid w:val="00116109"/>
    <w:rsid w:val="00116122"/>
    <w:rsid w:val="00116254"/>
    <w:rsid w:val="00116DCC"/>
    <w:rsid w:val="0011700E"/>
    <w:rsid w:val="0011745C"/>
    <w:rsid w:val="0011767A"/>
    <w:rsid w:val="00117714"/>
    <w:rsid w:val="00117D45"/>
    <w:rsid w:val="00117DE2"/>
    <w:rsid w:val="001200B5"/>
    <w:rsid w:val="001205E1"/>
    <w:rsid w:val="00120CA0"/>
    <w:rsid w:val="001210A7"/>
    <w:rsid w:val="001215A2"/>
    <w:rsid w:val="0012161D"/>
    <w:rsid w:val="00121A13"/>
    <w:rsid w:val="00121D3E"/>
    <w:rsid w:val="001222D9"/>
    <w:rsid w:val="001222F4"/>
    <w:rsid w:val="0012289E"/>
    <w:rsid w:val="001228A7"/>
    <w:rsid w:val="00122C48"/>
    <w:rsid w:val="00122E30"/>
    <w:rsid w:val="0012428D"/>
    <w:rsid w:val="00124C6A"/>
    <w:rsid w:val="00125016"/>
    <w:rsid w:val="00125124"/>
    <w:rsid w:val="00125959"/>
    <w:rsid w:val="001266A0"/>
    <w:rsid w:val="00126B46"/>
    <w:rsid w:val="00126EC2"/>
    <w:rsid w:val="00126EFA"/>
    <w:rsid w:val="00127E88"/>
    <w:rsid w:val="0013029F"/>
    <w:rsid w:val="0013088C"/>
    <w:rsid w:val="00130BAF"/>
    <w:rsid w:val="001316AB"/>
    <w:rsid w:val="001317E8"/>
    <w:rsid w:val="0013183F"/>
    <w:rsid w:val="001318FE"/>
    <w:rsid w:val="00131D9C"/>
    <w:rsid w:val="00131E8C"/>
    <w:rsid w:val="00132B17"/>
    <w:rsid w:val="00132BE2"/>
    <w:rsid w:val="00132E80"/>
    <w:rsid w:val="00133D80"/>
    <w:rsid w:val="00133F09"/>
    <w:rsid w:val="001347FC"/>
    <w:rsid w:val="00134CB9"/>
    <w:rsid w:val="001351E9"/>
    <w:rsid w:val="001357D8"/>
    <w:rsid w:val="00135B5A"/>
    <w:rsid w:val="00136016"/>
    <w:rsid w:val="001361A2"/>
    <w:rsid w:val="00136585"/>
    <w:rsid w:val="001367CA"/>
    <w:rsid w:val="00136BED"/>
    <w:rsid w:val="00136D17"/>
    <w:rsid w:val="00136FB8"/>
    <w:rsid w:val="00137200"/>
    <w:rsid w:val="0013739E"/>
    <w:rsid w:val="0014006B"/>
    <w:rsid w:val="001402F7"/>
    <w:rsid w:val="001404C6"/>
    <w:rsid w:val="001408D6"/>
    <w:rsid w:val="00140FB0"/>
    <w:rsid w:val="00141E08"/>
    <w:rsid w:val="00142321"/>
    <w:rsid w:val="0014249E"/>
    <w:rsid w:val="00142948"/>
    <w:rsid w:val="00142CB0"/>
    <w:rsid w:val="001439AF"/>
    <w:rsid w:val="001439E4"/>
    <w:rsid w:val="00143B02"/>
    <w:rsid w:val="00143DEB"/>
    <w:rsid w:val="001441C4"/>
    <w:rsid w:val="00144DC2"/>
    <w:rsid w:val="001450C5"/>
    <w:rsid w:val="00145B35"/>
    <w:rsid w:val="00145F6B"/>
    <w:rsid w:val="00146133"/>
    <w:rsid w:val="001461CC"/>
    <w:rsid w:val="00146CCC"/>
    <w:rsid w:val="00146DAB"/>
    <w:rsid w:val="00147218"/>
    <w:rsid w:val="00150B2A"/>
    <w:rsid w:val="00150DED"/>
    <w:rsid w:val="0015160D"/>
    <w:rsid w:val="00151B18"/>
    <w:rsid w:val="00152A45"/>
    <w:rsid w:val="00152E49"/>
    <w:rsid w:val="001533D4"/>
    <w:rsid w:val="00154397"/>
    <w:rsid w:val="001548FD"/>
    <w:rsid w:val="00154A1F"/>
    <w:rsid w:val="00154C95"/>
    <w:rsid w:val="00154CCF"/>
    <w:rsid w:val="00154CED"/>
    <w:rsid w:val="00154E18"/>
    <w:rsid w:val="0015581A"/>
    <w:rsid w:val="00155D97"/>
    <w:rsid w:val="001569E1"/>
    <w:rsid w:val="00156ACF"/>
    <w:rsid w:val="0015792C"/>
    <w:rsid w:val="001601D7"/>
    <w:rsid w:val="0016035D"/>
    <w:rsid w:val="001607F0"/>
    <w:rsid w:val="0016151E"/>
    <w:rsid w:val="00162655"/>
    <w:rsid w:val="00162A04"/>
    <w:rsid w:val="001637F9"/>
    <w:rsid w:val="00163817"/>
    <w:rsid w:val="00163A22"/>
    <w:rsid w:val="00163C69"/>
    <w:rsid w:val="00163D87"/>
    <w:rsid w:val="00163DF4"/>
    <w:rsid w:val="00163E2A"/>
    <w:rsid w:val="00163EFE"/>
    <w:rsid w:val="00164619"/>
    <w:rsid w:val="00164FDD"/>
    <w:rsid w:val="00165005"/>
    <w:rsid w:val="00166692"/>
    <w:rsid w:val="00166E77"/>
    <w:rsid w:val="00166FF6"/>
    <w:rsid w:val="001671F2"/>
    <w:rsid w:val="001676EA"/>
    <w:rsid w:val="001679D7"/>
    <w:rsid w:val="00167CD7"/>
    <w:rsid w:val="00170575"/>
    <w:rsid w:val="0017183F"/>
    <w:rsid w:val="00171CB8"/>
    <w:rsid w:val="00171DF3"/>
    <w:rsid w:val="00172411"/>
    <w:rsid w:val="00172964"/>
    <w:rsid w:val="00172DC1"/>
    <w:rsid w:val="00173084"/>
    <w:rsid w:val="0017323E"/>
    <w:rsid w:val="00173907"/>
    <w:rsid w:val="00173B29"/>
    <w:rsid w:val="00173EAD"/>
    <w:rsid w:val="00174075"/>
    <w:rsid w:val="001740BF"/>
    <w:rsid w:val="001743C1"/>
    <w:rsid w:val="00174649"/>
    <w:rsid w:val="00174797"/>
    <w:rsid w:val="00175268"/>
    <w:rsid w:val="00175D0A"/>
    <w:rsid w:val="00175E06"/>
    <w:rsid w:val="0017635C"/>
    <w:rsid w:val="00176457"/>
    <w:rsid w:val="0017653C"/>
    <w:rsid w:val="001768B3"/>
    <w:rsid w:val="00176D93"/>
    <w:rsid w:val="00176F52"/>
    <w:rsid w:val="00177614"/>
    <w:rsid w:val="00177E04"/>
    <w:rsid w:val="00177E27"/>
    <w:rsid w:val="00177F9D"/>
    <w:rsid w:val="001806AA"/>
    <w:rsid w:val="0018078C"/>
    <w:rsid w:val="00180AD7"/>
    <w:rsid w:val="00180B0D"/>
    <w:rsid w:val="00181017"/>
    <w:rsid w:val="00181180"/>
    <w:rsid w:val="001812E4"/>
    <w:rsid w:val="0018138D"/>
    <w:rsid w:val="00182A74"/>
    <w:rsid w:val="00183135"/>
    <w:rsid w:val="00183372"/>
    <w:rsid w:val="00183671"/>
    <w:rsid w:val="00183775"/>
    <w:rsid w:val="00183F5C"/>
    <w:rsid w:val="001857C6"/>
    <w:rsid w:val="00185C18"/>
    <w:rsid w:val="00185E32"/>
    <w:rsid w:val="00185F0A"/>
    <w:rsid w:val="00186216"/>
    <w:rsid w:val="001874E5"/>
    <w:rsid w:val="00190DE0"/>
    <w:rsid w:val="00190FDC"/>
    <w:rsid w:val="001913F9"/>
    <w:rsid w:val="001916AC"/>
    <w:rsid w:val="0019182A"/>
    <w:rsid w:val="00191B93"/>
    <w:rsid w:val="001921EC"/>
    <w:rsid w:val="0019250E"/>
    <w:rsid w:val="0019262B"/>
    <w:rsid w:val="0019284B"/>
    <w:rsid w:val="00192DEB"/>
    <w:rsid w:val="001930C7"/>
    <w:rsid w:val="00193122"/>
    <w:rsid w:val="001939E2"/>
    <w:rsid w:val="00194AAA"/>
    <w:rsid w:val="00195CC2"/>
    <w:rsid w:val="00195DA3"/>
    <w:rsid w:val="001965A7"/>
    <w:rsid w:val="00196C03"/>
    <w:rsid w:val="00196DD8"/>
    <w:rsid w:val="00197436"/>
    <w:rsid w:val="001A0376"/>
    <w:rsid w:val="001A04A6"/>
    <w:rsid w:val="001A0CAF"/>
    <w:rsid w:val="001A0EF1"/>
    <w:rsid w:val="001A10D4"/>
    <w:rsid w:val="001A123C"/>
    <w:rsid w:val="001A168A"/>
    <w:rsid w:val="001A1797"/>
    <w:rsid w:val="001A1C65"/>
    <w:rsid w:val="001A1CF6"/>
    <w:rsid w:val="001A1F83"/>
    <w:rsid w:val="001A234E"/>
    <w:rsid w:val="001A26F3"/>
    <w:rsid w:val="001A272B"/>
    <w:rsid w:val="001A2EA3"/>
    <w:rsid w:val="001A2EAF"/>
    <w:rsid w:val="001A302C"/>
    <w:rsid w:val="001A3B64"/>
    <w:rsid w:val="001A3D8C"/>
    <w:rsid w:val="001A41A2"/>
    <w:rsid w:val="001A43E3"/>
    <w:rsid w:val="001A483A"/>
    <w:rsid w:val="001A4852"/>
    <w:rsid w:val="001A4BBF"/>
    <w:rsid w:val="001A535A"/>
    <w:rsid w:val="001A5E52"/>
    <w:rsid w:val="001A5FD6"/>
    <w:rsid w:val="001A6963"/>
    <w:rsid w:val="001A6BF8"/>
    <w:rsid w:val="001A70B7"/>
    <w:rsid w:val="001A72BC"/>
    <w:rsid w:val="001A752B"/>
    <w:rsid w:val="001A77BC"/>
    <w:rsid w:val="001A7B58"/>
    <w:rsid w:val="001B00D0"/>
    <w:rsid w:val="001B0B17"/>
    <w:rsid w:val="001B1192"/>
    <w:rsid w:val="001B173F"/>
    <w:rsid w:val="001B1F8A"/>
    <w:rsid w:val="001B21E9"/>
    <w:rsid w:val="001B2272"/>
    <w:rsid w:val="001B2304"/>
    <w:rsid w:val="001B2742"/>
    <w:rsid w:val="001B35AA"/>
    <w:rsid w:val="001B4261"/>
    <w:rsid w:val="001B4C75"/>
    <w:rsid w:val="001B4D2D"/>
    <w:rsid w:val="001B6529"/>
    <w:rsid w:val="001B6717"/>
    <w:rsid w:val="001B68CD"/>
    <w:rsid w:val="001B6974"/>
    <w:rsid w:val="001B71DD"/>
    <w:rsid w:val="001B7279"/>
    <w:rsid w:val="001B7584"/>
    <w:rsid w:val="001B75DC"/>
    <w:rsid w:val="001B7C68"/>
    <w:rsid w:val="001C028C"/>
    <w:rsid w:val="001C053F"/>
    <w:rsid w:val="001C0967"/>
    <w:rsid w:val="001C0BA4"/>
    <w:rsid w:val="001C0E9A"/>
    <w:rsid w:val="001C0F3A"/>
    <w:rsid w:val="001C0F8D"/>
    <w:rsid w:val="001C14BC"/>
    <w:rsid w:val="001C1837"/>
    <w:rsid w:val="001C1894"/>
    <w:rsid w:val="001C18A1"/>
    <w:rsid w:val="001C1DE6"/>
    <w:rsid w:val="001C23DF"/>
    <w:rsid w:val="001C243D"/>
    <w:rsid w:val="001C26DB"/>
    <w:rsid w:val="001C28F6"/>
    <w:rsid w:val="001C2FA9"/>
    <w:rsid w:val="001C3941"/>
    <w:rsid w:val="001C3A9B"/>
    <w:rsid w:val="001C4098"/>
    <w:rsid w:val="001C40C0"/>
    <w:rsid w:val="001C42EC"/>
    <w:rsid w:val="001C4A0D"/>
    <w:rsid w:val="001C4EDD"/>
    <w:rsid w:val="001C4F0C"/>
    <w:rsid w:val="001C5B54"/>
    <w:rsid w:val="001C62D7"/>
    <w:rsid w:val="001C670C"/>
    <w:rsid w:val="001C6B2C"/>
    <w:rsid w:val="001C6FCE"/>
    <w:rsid w:val="001C75AC"/>
    <w:rsid w:val="001C7A28"/>
    <w:rsid w:val="001D09B9"/>
    <w:rsid w:val="001D0C0C"/>
    <w:rsid w:val="001D0E6B"/>
    <w:rsid w:val="001D1411"/>
    <w:rsid w:val="001D14E8"/>
    <w:rsid w:val="001D1606"/>
    <w:rsid w:val="001D1CAC"/>
    <w:rsid w:val="001D2085"/>
    <w:rsid w:val="001D3270"/>
    <w:rsid w:val="001D3381"/>
    <w:rsid w:val="001D35B6"/>
    <w:rsid w:val="001D3EB1"/>
    <w:rsid w:val="001D40A3"/>
    <w:rsid w:val="001D4268"/>
    <w:rsid w:val="001D444E"/>
    <w:rsid w:val="001D44A8"/>
    <w:rsid w:val="001D46BE"/>
    <w:rsid w:val="001D4E7F"/>
    <w:rsid w:val="001D5BA5"/>
    <w:rsid w:val="001D5F24"/>
    <w:rsid w:val="001D633A"/>
    <w:rsid w:val="001D64BE"/>
    <w:rsid w:val="001D64D6"/>
    <w:rsid w:val="001D6DEE"/>
    <w:rsid w:val="001D7313"/>
    <w:rsid w:val="001D7488"/>
    <w:rsid w:val="001D7998"/>
    <w:rsid w:val="001D7A8A"/>
    <w:rsid w:val="001D7AD3"/>
    <w:rsid w:val="001D7AD8"/>
    <w:rsid w:val="001E0396"/>
    <w:rsid w:val="001E040F"/>
    <w:rsid w:val="001E0FF2"/>
    <w:rsid w:val="001E167F"/>
    <w:rsid w:val="001E211B"/>
    <w:rsid w:val="001E23D5"/>
    <w:rsid w:val="001E241B"/>
    <w:rsid w:val="001E2DAE"/>
    <w:rsid w:val="001E3256"/>
    <w:rsid w:val="001E36F7"/>
    <w:rsid w:val="001E3DF1"/>
    <w:rsid w:val="001E3ED7"/>
    <w:rsid w:val="001E42E9"/>
    <w:rsid w:val="001E42FE"/>
    <w:rsid w:val="001E490C"/>
    <w:rsid w:val="001E4F40"/>
    <w:rsid w:val="001E5396"/>
    <w:rsid w:val="001E608D"/>
    <w:rsid w:val="001E6760"/>
    <w:rsid w:val="001E6C5B"/>
    <w:rsid w:val="001E6C68"/>
    <w:rsid w:val="001E6E1B"/>
    <w:rsid w:val="001E75B4"/>
    <w:rsid w:val="001F03AB"/>
    <w:rsid w:val="001F06D4"/>
    <w:rsid w:val="001F0CF3"/>
    <w:rsid w:val="001F0CFE"/>
    <w:rsid w:val="001F0D6A"/>
    <w:rsid w:val="001F0FCF"/>
    <w:rsid w:val="001F10AA"/>
    <w:rsid w:val="001F11ED"/>
    <w:rsid w:val="001F1375"/>
    <w:rsid w:val="001F13A3"/>
    <w:rsid w:val="001F17F1"/>
    <w:rsid w:val="001F1901"/>
    <w:rsid w:val="001F2206"/>
    <w:rsid w:val="001F2EFA"/>
    <w:rsid w:val="001F3698"/>
    <w:rsid w:val="001F3868"/>
    <w:rsid w:val="001F3F30"/>
    <w:rsid w:val="001F3FCD"/>
    <w:rsid w:val="001F460F"/>
    <w:rsid w:val="001F4C5C"/>
    <w:rsid w:val="001F53D2"/>
    <w:rsid w:val="001F541A"/>
    <w:rsid w:val="001F5C35"/>
    <w:rsid w:val="001F5F93"/>
    <w:rsid w:val="001F6377"/>
    <w:rsid w:val="001F651A"/>
    <w:rsid w:val="001F6D6C"/>
    <w:rsid w:val="001F7184"/>
    <w:rsid w:val="001F71C1"/>
    <w:rsid w:val="001F736D"/>
    <w:rsid w:val="001F7BA0"/>
    <w:rsid w:val="001F7E8C"/>
    <w:rsid w:val="00200519"/>
    <w:rsid w:val="00200DCD"/>
    <w:rsid w:val="00201511"/>
    <w:rsid w:val="00201A02"/>
    <w:rsid w:val="00201C2C"/>
    <w:rsid w:val="00201C3D"/>
    <w:rsid w:val="002038F4"/>
    <w:rsid w:val="002040F2"/>
    <w:rsid w:val="0020443A"/>
    <w:rsid w:val="002045B8"/>
    <w:rsid w:val="0020468B"/>
    <w:rsid w:val="00204A83"/>
    <w:rsid w:val="0020593C"/>
    <w:rsid w:val="00205B43"/>
    <w:rsid w:val="00206344"/>
    <w:rsid w:val="002069FD"/>
    <w:rsid w:val="00206DA0"/>
    <w:rsid w:val="00206DD8"/>
    <w:rsid w:val="00207068"/>
    <w:rsid w:val="00207BDE"/>
    <w:rsid w:val="002101B8"/>
    <w:rsid w:val="00210C76"/>
    <w:rsid w:val="002112E5"/>
    <w:rsid w:val="00211845"/>
    <w:rsid w:val="0021184B"/>
    <w:rsid w:val="00211AAC"/>
    <w:rsid w:val="00211F8E"/>
    <w:rsid w:val="00212750"/>
    <w:rsid w:val="00212DC1"/>
    <w:rsid w:val="00212F6A"/>
    <w:rsid w:val="00212FFB"/>
    <w:rsid w:val="002133DC"/>
    <w:rsid w:val="0021356A"/>
    <w:rsid w:val="00213611"/>
    <w:rsid w:val="002136B7"/>
    <w:rsid w:val="00213900"/>
    <w:rsid w:val="0021398B"/>
    <w:rsid w:val="00214011"/>
    <w:rsid w:val="00214572"/>
    <w:rsid w:val="00214B07"/>
    <w:rsid w:val="00214E87"/>
    <w:rsid w:val="0021502A"/>
    <w:rsid w:val="002151F1"/>
    <w:rsid w:val="00215602"/>
    <w:rsid w:val="002159E4"/>
    <w:rsid w:val="00215A18"/>
    <w:rsid w:val="00215C4F"/>
    <w:rsid w:val="00216251"/>
    <w:rsid w:val="00216972"/>
    <w:rsid w:val="00216A83"/>
    <w:rsid w:val="00216B28"/>
    <w:rsid w:val="0021723B"/>
    <w:rsid w:val="00217D56"/>
    <w:rsid w:val="00217F78"/>
    <w:rsid w:val="00220496"/>
    <w:rsid w:val="00220BEC"/>
    <w:rsid w:val="00220C2C"/>
    <w:rsid w:val="002211A7"/>
    <w:rsid w:val="00221212"/>
    <w:rsid w:val="002214A0"/>
    <w:rsid w:val="0022225E"/>
    <w:rsid w:val="002222A8"/>
    <w:rsid w:val="00222360"/>
    <w:rsid w:val="00222415"/>
    <w:rsid w:val="002228D9"/>
    <w:rsid w:val="00222F6D"/>
    <w:rsid w:val="0022360A"/>
    <w:rsid w:val="00223FAA"/>
    <w:rsid w:val="002248C0"/>
    <w:rsid w:val="002249D9"/>
    <w:rsid w:val="00224DCD"/>
    <w:rsid w:val="002258BA"/>
    <w:rsid w:val="00225A1A"/>
    <w:rsid w:val="00225C07"/>
    <w:rsid w:val="00225CBD"/>
    <w:rsid w:val="002261FE"/>
    <w:rsid w:val="0022654B"/>
    <w:rsid w:val="0022655B"/>
    <w:rsid w:val="0022694E"/>
    <w:rsid w:val="00226A56"/>
    <w:rsid w:val="00226C64"/>
    <w:rsid w:val="00226E66"/>
    <w:rsid w:val="00226EAC"/>
    <w:rsid w:val="00226FF3"/>
    <w:rsid w:val="00227325"/>
    <w:rsid w:val="00227355"/>
    <w:rsid w:val="00230BF7"/>
    <w:rsid w:val="00230E8D"/>
    <w:rsid w:val="00231205"/>
    <w:rsid w:val="00231511"/>
    <w:rsid w:val="00231782"/>
    <w:rsid w:val="00231ED2"/>
    <w:rsid w:val="0023205E"/>
    <w:rsid w:val="00232186"/>
    <w:rsid w:val="002326AF"/>
    <w:rsid w:val="002326FF"/>
    <w:rsid w:val="00232874"/>
    <w:rsid w:val="00232AD1"/>
    <w:rsid w:val="00232D07"/>
    <w:rsid w:val="00232E07"/>
    <w:rsid w:val="00232FB4"/>
    <w:rsid w:val="002339ED"/>
    <w:rsid w:val="00233C6A"/>
    <w:rsid w:val="00233E70"/>
    <w:rsid w:val="00233EF6"/>
    <w:rsid w:val="00233FD5"/>
    <w:rsid w:val="00234588"/>
    <w:rsid w:val="00234708"/>
    <w:rsid w:val="00234DB1"/>
    <w:rsid w:val="0023562E"/>
    <w:rsid w:val="00235AB6"/>
    <w:rsid w:val="00235B50"/>
    <w:rsid w:val="00235CD9"/>
    <w:rsid w:val="002361C7"/>
    <w:rsid w:val="00236796"/>
    <w:rsid w:val="00236C23"/>
    <w:rsid w:val="00236F77"/>
    <w:rsid w:val="00236FCA"/>
    <w:rsid w:val="00237136"/>
    <w:rsid w:val="0023738D"/>
    <w:rsid w:val="002374E1"/>
    <w:rsid w:val="00237CC5"/>
    <w:rsid w:val="00237F77"/>
    <w:rsid w:val="0024026F"/>
    <w:rsid w:val="00240330"/>
    <w:rsid w:val="002416B7"/>
    <w:rsid w:val="0024178A"/>
    <w:rsid w:val="00242420"/>
    <w:rsid w:val="00242919"/>
    <w:rsid w:val="00242B31"/>
    <w:rsid w:val="00242BDF"/>
    <w:rsid w:val="00242BE8"/>
    <w:rsid w:val="0024337A"/>
    <w:rsid w:val="002436B6"/>
    <w:rsid w:val="00244C98"/>
    <w:rsid w:val="00245187"/>
    <w:rsid w:val="0024519B"/>
    <w:rsid w:val="002451CD"/>
    <w:rsid w:val="0024530F"/>
    <w:rsid w:val="00246AA9"/>
    <w:rsid w:val="00247863"/>
    <w:rsid w:val="002478C4"/>
    <w:rsid w:val="00247BF9"/>
    <w:rsid w:val="00247C09"/>
    <w:rsid w:val="002502B3"/>
    <w:rsid w:val="00250E26"/>
    <w:rsid w:val="00250E6B"/>
    <w:rsid w:val="002516D0"/>
    <w:rsid w:val="002517EB"/>
    <w:rsid w:val="00251A3C"/>
    <w:rsid w:val="00251F5E"/>
    <w:rsid w:val="00251F8D"/>
    <w:rsid w:val="00252248"/>
    <w:rsid w:val="0025237E"/>
    <w:rsid w:val="00252608"/>
    <w:rsid w:val="00252AEB"/>
    <w:rsid w:val="002535EA"/>
    <w:rsid w:val="00253A71"/>
    <w:rsid w:val="00253F1B"/>
    <w:rsid w:val="002540FB"/>
    <w:rsid w:val="0025456B"/>
    <w:rsid w:val="00254E5E"/>
    <w:rsid w:val="002555D4"/>
    <w:rsid w:val="0025580E"/>
    <w:rsid w:val="00255AD7"/>
    <w:rsid w:val="00255F1A"/>
    <w:rsid w:val="0025648E"/>
    <w:rsid w:val="00257E20"/>
    <w:rsid w:val="00260195"/>
    <w:rsid w:val="00260305"/>
    <w:rsid w:val="0026056F"/>
    <w:rsid w:val="00260641"/>
    <w:rsid w:val="002606F1"/>
    <w:rsid w:val="002609C6"/>
    <w:rsid w:val="00261501"/>
    <w:rsid w:val="00261F53"/>
    <w:rsid w:val="00261F7F"/>
    <w:rsid w:val="00262E1B"/>
    <w:rsid w:val="00262E1E"/>
    <w:rsid w:val="00263450"/>
    <w:rsid w:val="0026417F"/>
    <w:rsid w:val="00264385"/>
    <w:rsid w:val="002648A6"/>
    <w:rsid w:val="002648FA"/>
    <w:rsid w:val="00265255"/>
    <w:rsid w:val="00265512"/>
    <w:rsid w:val="002656B6"/>
    <w:rsid w:val="002657B8"/>
    <w:rsid w:val="00266798"/>
    <w:rsid w:val="00266AF3"/>
    <w:rsid w:val="00266BD2"/>
    <w:rsid w:val="00267BC1"/>
    <w:rsid w:val="00267F86"/>
    <w:rsid w:val="00270197"/>
    <w:rsid w:val="00270D71"/>
    <w:rsid w:val="00270FAF"/>
    <w:rsid w:val="00271134"/>
    <w:rsid w:val="0027114A"/>
    <w:rsid w:val="002713FE"/>
    <w:rsid w:val="002719E9"/>
    <w:rsid w:val="002726DB"/>
    <w:rsid w:val="00272E22"/>
    <w:rsid w:val="00272E7B"/>
    <w:rsid w:val="00272EEE"/>
    <w:rsid w:val="002731A4"/>
    <w:rsid w:val="002734B9"/>
    <w:rsid w:val="002734BB"/>
    <w:rsid w:val="002739AF"/>
    <w:rsid w:val="00274477"/>
    <w:rsid w:val="00274BD5"/>
    <w:rsid w:val="00274C70"/>
    <w:rsid w:val="002750C1"/>
    <w:rsid w:val="0027510E"/>
    <w:rsid w:val="00275FCF"/>
    <w:rsid w:val="002761AA"/>
    <w:rsid w:val="00276EDE"/>
    <w:rsid w:val="00276F7D"/>
    <w:rsid w:val="0027756C"/>
    <w:rsid w:val="00277E5E"/>
    <w:rsid w:val="00280013"/>
    <w:rsid w:val="002802FA"/>
    <w:rsid w:val="00280363"/>
    <w:rsid w:val="00280540"/>
    <w:rsid w:val="00280700"/>
    <w:rsid w:val="0028094F"/>
    <w:rsid w:val="00280ACF"/>
    <w:rsid w:val="00280BC1"/>
    <w:rsid w:val="00280E5D"/>
    <w:rsid w:val="0028115B"/>
    <w:rsid w:val="002812E1"/>
    <w:rsid w:val="00281B3E"/>
    <w:rsid w:val="00282411"/>
    <w:rsid w:val="002827B8"/>
    <w:rsid w:val="00282AD9"/>
    <w:rsid w:val="0028322A"/>
    <w:rsid w:val="0028336F"/>
    <w:rsid w:val="00283D44"/>
    <w:rsid w:val="00284203"/>
    <w:rsid w:val="0028480F"/>
    <w:rsid w:val="002849F4"/>
    <w:rsid w:val="00285145"/>
    <w:rsid w:val="00285439"/>
    <w:rsid w:val="002855FD"/>
    <w:rsid w:val="00285A54"/>
    <w:rsid w:val="00285DE7"/>
    <w:rsid w:val="00285E6B"/>
    <w:rsid w:val="00285EE6"/>
    <w:rsid w:val="00286BB6"/>
    <w:rsid w:val="00286DBD"/>
    <w:rsid w:val="0028745D"/>
    <w:rsid w:val="00290D2B"/>
    <w:rsid w:val="00291064"/>
    <w:rsid w:val="00291465"/>
    <w:rsid w:val="00291947"/>
    <w:rsid w:val="00291CAC"/>
    <w:rsid w:val="00291E40"/>
    <w:rsid w:val="00291EC1"/>
    <w:rsid w:val="0029203E"/>
    <w:rsid w:val="00292D0A"/>
    <w:rsid w:val="00292ECC"/>
    <w:rsid w:val="0029312F"/>
    <w:rsid w:val="0029338F"/>
    <w:rsid w:val="0029349B"/>
    <w:rsid w:val="0029391C"/>
    <w:rsid w:val="00293A21"/>
    <w:rsid w:val="00293B33"/>
    <w:rsid w:val="00294423"/>
    <w:rsid w:val="0029489A"/>
    <w:rsid w:val="00295CBE"/>
    <w:rsid w:val="00296367"/>
    <w:rsid w:val="00296D1E"/>
    <w:rsid w:val="00296F3A"/>
    <w:rsid w:val="002972E5"/>
    <w:rsid w:val="00297BEC"/>
    <w:rsid w:val="002A0008"/>
    <w:rsid w:val="002A076C"/>
    <w:rsid w:val="002A0CE7"/>
    <w:rsid w:val="002A0EBB"/>
    <w:rsid w:val="002A146C"/>
    <w:rsid w:val="002A1657"/>
    <w:rsid w:val="002A172E"/>
    <w:rsid w:val="002A2302"/>
    <w:rsid w:val="002A2756"/>
    <w:rsid w:val="002A28D2"/>
    <w:rsid w:val="002A36AB"/>
    <w:rsid w:val="002A4517"/>
    <w:rsid w:val="002A4973"/>
    <w:rsid w:val="002A4C74"/>
    <w:rsid w:val="002A4E76"/>
    <w:rsid w:val="002A4F16"/>
    <w:rsid w:val="002A5142"/>
    <w:rsid w:val="002A548D"/>
    <w:rsid w:val="002A5E53"/>
    <w:rsid w:val="002A6F7B"/>
    <w:rsid w:val="002A708A"/>
    <w:rsid w:val="002A759B"/>
    <w:rsid w:val="002A7BF9"/>
    <w:rsid w:val="002B0379"/>
    <w:rsid w:val="002B0DBB"/>
    <w:rsid w:val="002B1208"/>
    <w:rsid w:val="002B1683"/>
    <w:rsid w:val="002B1B7F"/>
    <w:rsid w:val="002B2C00"/>
    <w:rsid w:val="002B2DEF"/>
    <w:rsid w:val="002B31CE"/>
    <w:rsid w:val="002B3435"/>
    <w:rsid w:val="002B491B"/>
    <w:rsid w:val="002B4CEC"/>
    <w:rsid w:val="002B5DEF"/>
    <w:rsid w:val="002B62A3"/>
    <w:rsid w:val="002B6527"/>
    <w:rsid w:val="002B67C8"/>
    <w:rsid w:val="002B6A98"/>
    <w:rsid w:val="002B6EC4"/>
    <w:rsid w:val="002B6FD2"/>
    <w:rsid w:val="002B70B9"/>
    <w:rsid w:val="002B7599"/>
    <w:rsid w:val="002B7E5A"/>
    <w:rsid w:val="002C0116"/>
    <w:rsid w:val="002C03C6"/>
    <w:rsid w:val="002C0431"/>
    <w:rsid w:val="002C0672"/>
    <w:rsid w:val="002C1046"/>
    <w:rsid w:val="002C17D2"/>
    <w:rsid w:val="002C1F78"/>
    <w:rsid w:val="002C2269"/>
    <w:rsid w:val="002C293D"/>
    <w:rsid w:val="002C2CD3"/>
    <w:rsid w:val="002C3525"/>
    <w:rsid w:val="002C35EF"/>
    <w:rsid w:val="002C36DA"/>
    <w:rsid w:val="002C375F"/>
    <w:rsid w:val="002C4223"/>
    <w:rsid w:val="002C44E3"/>
    <w:rsid w:val="002C45D1"/>
    <w:rsid w:val="002C4C63"/>
    <w:rsid w:val="002C4D21"/>
    <w:rsid w:val="002C55D8"/>
    <w:rsid w:val="002C5670"/>
    <w:rsid w:val="002C5CFC"/>
    <w:rsid w:val="002C5D57"/>
    <w:rsid w:val="002C5EB7"/>
    <w:rsid w:val="002C6677"/>
    <w:rsid w:val="002C6E49"/>
    <w:rsid w:val="002C6EEB"/>
    <w:rsid w:val="002C77F6"/>
    <w:rsid w:val="002C7B71"/>
    <w:rsid w:val="002C7C0D"/>
    <w:rsid w:val="002C7DBE"/>
    <w:rsid w:val="002D08F1"/>
    <w:rsid w:val="002D13A6"/>
    <w:rsid w:val="002D13D3"/>
    <w:rsid w:val="002D17D5"/>
    <w:rsid w:val="002D1F60"/>
    <w:rsid w:val="002D2295"/>
    <w:rsid w:val="002D287A"/>
    <w:rsid w:val="002D346E"/>
    <w:rsid w:val="002D37EB"/>
    <w:rsid w:val="002D500B"/>
    <w:rsid w:val="002D53BB"/>
    <w:rsid w:val="002D5664"/>
    <w:rsid w:val="002D5C65"/>
    <w:rsid w:val="002D5D12"/>
    <w:rsid w:val="002D606D"/>
    <w:rsid w:val="002D611D"/>
    <w:rsid w:val="002D664C"/>
    <w:rsid w:val="002D6B2F"/>
    <w:rsid w:val="002D75C1"/>
    <w:rsid w:val="002D7913"/>
    <w:rsid w:val="002D7BCB"/>
    <w:rsid w:val="002D7D5D"/>
    <w:rsid w:val="002E06FC"/>
    <w:rsid w:val="002E0F1E"/>
    <w:rsid w:val="002E15F8"/>
    <w:rsid w:val="002E1833"/>
    <w:rsid w:val="002E192D"/>
    <w:rsid w:val="002E1A50"/>
    <w:rsid w:val="002E2B5B"/>
    <w:rsid w:val="002E3088"/>
    <w:rsid w:val="002E32B3"/>
    <w:rsid w:val="002E36B4"/>
    <w:rsid w:val="002E3990"/>
    <w:rsid w:val="002E3C51"/>
    <w:rsid w:val="002E4013"/>
    <w:rsid w:val="002E4092"/>
    <w:rsid w:val="002E490D"/>
    <w:rsid w:val="002E4F63"/>
    <w:rsid w:val="002E504F"/>
    <w:rsid w:val="002E50CB"/>
    <w:rsid w:val="002E5338"/>
    <w:rsid w:val="002E5476"/>
    <w:rsid w:val="002E5564"/>
    <w:rsid w:val="002E56BA"/>
    <w:rsid w:val="002E583B"/>
    <w:rsid w:val="002E5970"/>
    <w:rsid w:val="002E6401"/>
    <w:rsid w:val="002E6478"/>
    <w:rsid w:val="002E6499"/>
    <w:rsid w:val="002E66D4"/>
    <w:rsid w:val="002E6C3F"/>
    <w:rsid w:val="002E6E07"/>
    <w:rsid w:val="002E7110"/>
    <w:rsid w:val="002E79FB"/>
    <w:rsid w:val="002F04F2"/>
    <w:rsid w:val="002F0BF4"/>
    <w:rsid w:val="002F0C0F"/>
    <w:rsid w:val="002F154C"/>
    <w:rsid w:val="002F1CFC"/>
    <w:rsid w:val="002F22D7"/>
    <w:rsid w:val="002F2512"/>
    <w:rsid w:val="002F2B7B"/>
    <w:rsid w:val="002F2F86"/>
    <w:rsid w:val="002F30BA"/>
    <w:rsid w:val="002F344A"/>
    <w:rsid w:val="002F35E9"/>
    <w:rsid w:val="002F38BC"/>
    <w:rsid w:val="002F3B21"/>
    <w:rsid w:val="002F3B3F"/>
    <w:rsid w:val="002F3C43"/>
    <w:rsid w:val="002F3CCB"/>
    <w:rsid w:val="002F3FB3"/>
    <w:rsid w:val="002F42DE"/>
    <w:rsid w:val="002F473D"/>
    <w:rsid w:val="002F49E3"/>
    <w:rsid w:val="002F4A9D"/>
    <w:rsid w:val="002F4B8C"/>
    <w:rsid w:val="002F4EB1"/>
    <w:rsid w:val="002F52AE"/>
    <w:rsid w:val="002F55BD"/>
    <w:rsid w:val="002F5633"/>
    <w:rsid w:val="002F56B9"/>
    <w:rsid w:val="002F5C68"/>
    <w:rsid w:val="002F6A50"/>
    <w:rsid w:val="002F7A90"/>
    <w:rsid w:val="002F7C9F"/>
    <w:rsid w:val="002F7DBD"/>
    <w:rsid w:val="003000C9"/>
    <w:rsid w:val="0030050F"/>
    <w:rsid w:val="00300790"/>
    <w:rsid w:val="00300D53"/>
    <w:rsid w:val="00300ECC"/>
    <w:rsid w:val="00300F0C"/>
    <w:rsid w:val="00301062"/>
    <w:rsid w:val="003022B9"/>
    <w:rsid w:val="00302B78"/>
    <w:rsid w:val="00302BE7"/>
    <w:rsid w:val="00302FC7"/>
    <w:rsid w:val="00303149"/>
    <w:rsid w:val="00303C09"/>
    <w:rsid w:val="003049AF"/>
    <w:rsid w:val="0030506A"/>
    <w:rsid w:val="003054F5"/>
    <w:rsid w:val="003057AB"/>
    <w:rsid w:val="00305EB0"/>
    <w:rsid w:val="00305ED4"/>
    <w:rsid w:val="00306325"/>
    <w:rsid w:val="0030665C"/>
    <w:rsid w:val="00307AA3"/>
    <w:rsid w:val="00307C25"/>
    <w:rsid w:val="003101AE"/>
    <w:rsid w:val="00310FBD"/>
    <w:rsid w:val="00310FBF"/>
    <w:rsid w:val="003115CB"/>
    <w:rsid w:val="003126F7"/>
    <w:rsid w:val="00312824"/>
    <w:rsid w:val="0031346E"/>
    <w:rsid w:val="00313718"/>
    <w:rsid w:val="0031395C"/>
    <w:rsid w:val="003139B5"/>
    <w:rsid w:val="00313AF4"/>
    <w:rsid w:val="00313C6B"/>
    <w:rsid w:val="003143D1"/>
    <w:rsid w:val="003148F8"/>
    <w:rsid w:val="003157EC"/>
    <w:rsid w:val="00315A29"/>
    <w:rsid w:val="00315F5B"/>
    <w:rsid w:val="003162EB"/>
    <w:rsid w:val="00316397"/>
    <w:rsid w:val="00316443"/>
    <w:rsid w:val="00316C62"/>
    <w:rsid w:val="00316EC9"/>
    <w:rsid w:val="003172EB"/>
    <w:rsid w:val="00317348"/>
    <w:rsid w:val="00317503"/>
    <w:rsid w:val="00317CCE"/>
    <w:rsid w:val="00320261"/>
    <w:rsid w:val="0032046B"/>
    <w:rsid w:val="00320C05"/>
    <w:rsid w:val="00320FB3"/>
    <w:rsid w:val="00321501"/>
    <w:rsid w:val="0032153F"/>
    <w:rsid w:val="00321B4D"/>
    <w:rsid w:val="00322792"/>
    <w:rsid w:val="0032290B"/>
    <w:rsid w:val="00322AE4"/>
    <w:rsid w:val="00323215"/>
    <w:rsid w:val="0032323C"/>
    <w:rsid w:val="00323D63"/>
    <w:rsid w:val="0032459D"/>
    <w:rsid w:val="0032479D"/>
    <w:rsid w:val="00324D5B"/>
    <w:rsid w:val="00324E7A"/>
    <w:rsid w:val="00324FB1"/>
    <w:rsid w:val="00325141"/>
    <w:rsid w:val="00325423"/>
    <w:rsid w:val="00325DA7"/>
    <w:rsid w:val="00325E59"/>
    <w:rsid w:val="0032609E"/>
    <w:rsid w:val="00326CEF"/>
    <w:rsid w:val="00327246"/>
    <w:rsid w:val="003278F1"/>
    <w:rsid w:val="00327BA4"/>
    <w:rsid w:val="00327CB1"/>
    <w:rsid w:val="00327F38"/>
    <w:rsid w:val="00330135"/>
    <w:rsid w:val="00330139"/>
    <w:rsid w:val="00330200"/>
    <w:rsid w:val="0033029E"/>
    <w:rsid w:val="00330325"/>
    <w:rsid w:val="00330B9D"/>
    <w:rsid w:val="00331514"/>
    <w:rsid w:val="0033177A"/>
    <w:rsid w:val="00331CEB"/>
    <w:rsid w:val="0033212C"/>
    <w:rsid w:val="003323DF"/>
    <w:rsid w:val="00332562"/>
    <w:rsid w:val="00332914"/>
    <w:rsid w:val="003329B3"/>
    <w:rsid w:val="00332A42"/>
    <w:rsid w:val="00332E13"/>
    <w:rsid w:val="00333052"/>
    <w:rsid w:val="00333D1C"/>
    <w:rsid w:val="00334454"/>
    <w:rsid w:val="0033450E"/>
    <w:rsid w:val="0033456D"/>
    <w:rsid w:val="00334C29"/>
    <w:rsid w:val="00334C99"/>
    <w:rsid w:val="00334E85"/>
    <w:rsid w:val="003352E3"/>
    <w:rsid w:val="00335715"/>
    <w:rsid w:val="00335D07"/>
    <w:rsid w:val="00336008"/>
    <w:rsid w:val="003361A8"/>
    <w:rsid w:val="00337000"/>
    <w:rsid w:val="00337667"/>
    <w:rsid w:val="00337B7B"/>
    <w:rsid w:val="00337DFF"/>
    <w:rsid w:val="00340975"/>
    <w:rsid w:val="00340E14"/>
    <w:rsid w:val="003413C0"/>
    <w:rsid w:val="003418EC"/>
    <w:rsid w:val="00341C76"/>
    <w:rsid w:val="00341FD7"/>
    <w:rsid w:val="00342277"/>
    <w:rsid w:val="00342761"/>
    <w:rsid w:val="00342FBF"/>
    <w:rsid w:val="003430CE"/>
    <w:rsid w:val="003436F2"/>
    <w:rsid w:val="00343BA0"/>
    <w:rsid w:val="003440D8"/>
    <w:rsid w:val="00344713"/>
    <w:rsid w:val="00345714"/>
    <w:rsid w:val="00345769"/>
    <w:rsid w:val="00345DED"/>
    <w:rsid w:val="003465BB"/>
    <w:rsid w:val="00346953"/>
    <w:rsid w:val="00346A27"/>
    <w:rsid w:val="00346D20"/>
    <w:rsid w:val="00346FAD"/>
    <w:rsid w:val="00346FD8"/>
    <w:rsid w:val="0034767A"/>
    <w:rsid w:val="00347797"/>
    <w:rsid w:val="0035020D"/>
    <w:rsid w:val="00351015"/>
    <w:rsid w:val="00351C4B"/>
    <w:rsid w:val="00352089"/>
    <w:rsid w:val="003520B5"/>
    <w:rsid w:val="003527D4"/>
    <w:rsid w:val="00352A31"/>
    <w:rsid w:val="00352C7D"/>
    <w:rsid w:val="00352CEB"/>
    <w:rsid w:val="003530ED"/>
    <w:rsid w:val="003533F8"/>
    <w:rsid w:val="0035342B"/>
    <w:rsid w:val="00354AAD"/>
    <w:rsid w:val="003554DC"/>
    <w:rsid w:val="00355572"/>
    <w:rsid w:val="00355938"/>
    <w:rsid w:val="00355D3C"/>
    <w:rsid w:val="00356063"/>
    <w:rsid w:val="003565E5"/>
    <w:rsid w:val="00356F75"/>
    <w:rsid w:val="00357504"/>
    <w:rsid w:val="0036035E"/>
    <w:rsid w:val="00360463"/>
    <w:rsid w:val="00360844"/>
    <w:rsid w:val="00360865"/>
    <w:rsid w:val="00360ABD"/>
    <w:rsid w:val="00361595"/>
    <w:rsid w:val="003616AC"/>
    <w:rsid w:val="00361A5C"/>
    <w:rsid w:val="003630C4"/>
    <w:rsid w:val="00364119"/>
    <w:rsid w:val="003641CD"/>
    <w:rsid w:val="0036433E"/>
    <w:rsid w:val="003648BA"/>
    <w:rsid w:val="003649A0"/>
    <w:rsid w:val="00364BDB"/>
    <w:rsid w:val="00364E3A"/>
    <w:rsid w:val="0036547A"/>
    <w:rsid w:val="003657C6"/>
    <w:rsid w:val="003661F6"/>
    <w:rsid w:val="00366256"/>
    <w:rsid w:val="0036657C"/>
    <w:rsid w:val="00366626"/>
    <w:rsid w:val="0036694D"/>
    <w:rsid w:val="00366F1C"/>
    <w:rsid w:val="00367905"/>
    <w:rsid w:val="00370028"/>
    <w:rsid w:val="003708C5"/>
    <w:rsid w:val="00370EBE"/>
    <w:rsid w:val="003710E4"/>
    <w:rsid w:val="0037111D"/>
    <w:rsid w:val="003711F9"/>
    <w:rsid w:val="00371EEC"/>
    <w:rsid w:val="00372108"/>
    <w:rsid w:val="00372610"/>
    <w:rsid w:val="00372962"/>
    <w:rsid w:val="00372A18"/>
    <w:rsid w:val="003749BD"/>
    <w:rsid w:val="00374A20"/>
    <w:rsid w:val="00374CDF"/>
    <w:rsid w:val="00374F2B"/>
    <w:rsid w:val="00374FB9"/>
    <w:rsid w:val="00375246"/>
    <w:rsid w:val="00376383"/>
    <w:rsid w:val="0037639A"/>
    <w:rsid w:val="00376501"/>
    <w:rsid w:val="003769B3"/>
    <w:rsid w:val="00376BE3"/>
    <w:rsid w:val="003771D4"/>
    <w:rsid w:val="003772E3"/>
    <w:rsid w:val="00377941"/>
    <w:rsid w:val="00377AEF"/>
    <w:rsid w:val="00377C1C"/>
    <w:rsid w:val="00377C9F"/>
    <w:rsid w:val="00377FE8"/>
    <w:rsid w:val="0038067F"/>
    <w:rsid w:val="00380CE3"/>
    <w:rsid w:val="00380E89"/>
    <w:rsid w:val="003811EA"/>
    <w:rsid w:val="003817AC"/>
    <w:rsid w:val="003817DD"/>
    <w:rsid w:val="00383020"/>
    <w:rsid w:val="003833C1"/>
    <w:rsid w:val="00384006"/>
    <w:rsid w:val="00384A03"/>
    <w:rsid w:val="00384D60"/>
    <w:rsid w:val="00385199"/>
    <w:rsid w:val="00385299"/>
    <w:rsid w:val="0038658A"/>
    <w:rsid w:val="003870DB"/>
    <w:rsid w:val="0038713B"/>
    <w:rsid w:val="0038736C"/>
    <w:rsid w:val="003878BB"/>
    <w:rsid w:val="00390307"/>
    <w:rsid w:val="00390615"/>
    <w:rsid w:val="0039073D"/>
    <w:rsid w:val="00391326"/>
    <w:rsid w:val="003915F3"/>
    <w:rsid w:val="003919C1"/>
    <w:rsid w:val="00391DED"/>
    <w:rsid w:val="0039269A"/>
    <w:rsid w:val="00392B86"/>
    <w:rsid w:val="00393341"/>
    <w:rsid w:val="003939F8"/>
    <w:rsid w:val="00394409"/>
    <w:rsid w:val="003946EF"/>
    <w:rsid w:val="0039481B"/>
    <w:rsid w:val="0039488A"/>
    <w:rsid w:val="00394B93"/>
    <w:rsid w:val="003950D9"/>
    <w:rsid w:val="00395553"/>
    <w:rsid w:val="00395D66"/>
    <w:rsid w:val="00395EAE"/>
    <w:rsid w:val="00396388"/>
    <w:rsid w:val="003963A9"/>
    <w:rsid w:val="003966E4"/>
    <w:rsid w:val="00397012"/>
    <w:rsid w:val="00397478"/>
    <w:rsid w:val="0039758B"/>
    <w:rsid w:val="0039796F"/>
    <w:rsid w:val="003A0EAF"/>
    <w:rsid w:val="003A1800"/>
    <w:rsid w:val="003A1DB3"/>
    <w:rsid w:val="003A2169"/>
    <w:rsid w:val="003A2A21"/>
    <w:rsid w:val="003A2C01"/>
    <w:rsid w:val="003A31D3"/>
    <w:rsid w:val="003A356C"/>
    <w:rsid w:val="003A3637"/>
    <w:rsid w:val="003A3727"/>
    <w:rsid w:val="003A3828"/>
    <w:rsid w:val="003A3F0D"/>
    <w:rsid w:val="003A432B"/>
    <w:rsid w:val="003A4B09"/>
    <w:rsid w:val="003A4E0A"/>
    <w:rsid w:val="003A5A70"/>
    <w:rsid w:val="003A6000"/>
    <w:rsid w:val="003A6036"/>
    <w:rsid w:val="003A655B"/>
    <w:rsid w:val="003A7478"/>
    <w:rsid w:val="003A747D"/>
    <w:rsid w:val="003A7AD7"/>
    <w:rsid w:val="003B0393"/>
    <w:rsid w:val="003B05F9"/>
    <w:rsid w:val="003B0930"/>
    <w:rsid w:val="003B0A43"/>
    <w:rsid w:val="003B0F8A"/>
    <w:rsid w:val="003B193A"/>
    <w:rsid w:val="003B1CC8"/>
    <w:rsid w:val="003B1DDA"/>
    <w:rsid w:val="003B2634"/>
    <w:rsid w:val="003B26EF"/>
    <w:rsid w:val="003B2E20"/>
    <w:rsid w:val="003B30C0"/>
    <w:rsid w:val="003B31B0"/>
    <w:rsid w:val="003B3440"/>
    <w:rsid w:val="003B3968"/>
    <w:rsid w:val="003B5E1C"/>
    <w:rsid w:val="003B60A7"/>
    <w:rsid w:val="003B664F"/>
    <w:rsid w:val="003B67EF"/>
    <w:rsid w:val="003B6BCA"/>
    <w:rsid w:val="003B73DB"/>
    <w:rsid w:val="003B7737"/>
    <w:rsid w:val="003B7B6F"/>
    <w:rsid w:val="003B7C6D"/>
    <w:rsid w:val="003B7CD8"/>
    <w:rsid w:val="003B7F53"/>
    <w:rsid w:val="003C0027"/>
    <w:rsid w:val="003C04AD"/>
    <w:rsid w:val="003C0642"/>
    <w:rsid w:val="003C0660"/>
    <w:rsid w:val="003C0862"/>
    <w:rsid w:val="003C0BE6"/>
    <w:rsid w:val="003C15D2"/>
    <w:rsid w:val="003C169B"/>
    <w:rsid w:val="003C1EC1"/>
    <w:rsid w:val="003C22BD"/>
    <w:rsid w:val="003C2D07"/>
    <w:rsid w:val="003C31AC"/>
    <w:rsid w:val="003C3F27"/>
    <w:rsid w:val="003C4206"/>
    <w:rsid w:val="003C43FA"/>
    <w:rsid w:val="003C45B8"/>
    <w:rsid w:val="003C46DE"/>
    <w:rsid w:val="003C4736"/>
    <w:rsid w:val="003C5A11"/>
    <w:rsid w:val="003C5BA5"/>
    <w:rsid w:val="003C633D"/>
    <w:rsid w:val="003C65D8"/>
    <w:rsid w:val="003C6DD8"/>
    <w:rsid w:val="003C6F7D"/>
    <w:rsid w:val="003C79DF"/>
    <w:rsid w:val="003C7FAF"/>
    <w:rsid w:val="003C7FDD"/>
    <w:rsid w:val="003D0094"/>
    <w:rsid w:val="003D05BD"/>
    <w:rsid w:val="003D14BD"/>
    <w:rsid w:val="003D193D"/>
    <w:rsid w:val="003D2036"/>
    <w:rsid w:val="003D2828"/>
    <w:rsid w:val="003D2C54"/>
    <w:rsid w:val="003D2FAD"/>
    <w:rsid w:val="003D3E12"/>
    <w:rsid w:val="003D4190"/>
    <w:rsid w:val="003D4819"/>
    <w:rsid w:val="003D49EC"/>
    <w:rsid w:val="003D4C88"/>
    <w:rsid w:val="003D4EEC"/>
    <w:rsid w:val="003D53DA"/>
    <w:rsid w:val="003D5411"/>
    <w:rsid w:val="003D5F46"/>
    <w:rsid w:val="003D7053"/>
    <w:rsid w:val="003D7317"/>
    <w:rsid w:val="003D7372"/>
    <w:rsid w:val="003D77F7"/>
    <w:rsid w:val="003D7A5A"/>
    <w:rsid w:val="003D7AB5"/>
    <w:rsid w:val="003D7ACC"/>
    <w:rsid w:val="003E00EF"/>
    <w:rsid w:val="003E0634"/>
    <w:rsid w:val="003E06E5"/>
    <w:rsid w:val="003E0839"/>
    <w:rsid w:val="003E099A"/>
    <w:rsid w:val="003E0DF1"/>
    <w:rsid w:val="003E0F2B"/>
    <w:rsid w:val="003E12D3"/>
    <w:rsid w:val="003E143C"/>
    <w:rsid w:val="003E1902"/>
    <w:rsid w:val="003E1A19"/>
    <w:rsid w:val="003E1AAC"/>
    <w:rsid w:val="003E1BC9"/>
    <w:rsid w:val="003E2089"/>
    <w:rsid w:val="003E274D"/>
    <w:rsid w:val="003E3784"/>
    <w:rsid w:val="003E3F52"/>
    <w:rsid w:val="003E4383"/>
    <w:rsid w:val="003E49F4"/>
    <w:rsid w:val="003E4A7B"/>
    <w:rsid w:val="003E4D9E"/>
    <w:rsid w:val="003E5433"/>
    <w:rsid w:val="003E551B"/>
    <w:rsid w:val="003E5549"/>
    <w:rsid w:val="003E611D"/>
    <w:rsid w:val="003E61E3"/>
    <w:rsid w:val="003E6997"/>
    <w:rsid w:val="003E6A43"/>
    <w:rsid w:val="003E70DB"/>
    <w:rsid w:val="003E711A"/>
    <w:rsid w:val="003E7293"/>
    <w:rsid w:val="003E73A2"/>
    <w:rsid w:val="003E757E"/>
    <w:rsid w:val="003E7928"/>
    <w:rsid w:val="003E7A5C"/>
    <w:rsid w:val="003E7C91"/>
    <w:rsid w:val="003F0052"/>
    <w:rsid w:val="003F03FE"/>
    <w:rsid w:val="003F07A4"/>
    <w:rsid w:val="003F0A38"/>
    <w:rsid w:val="003F0EA0"/>
    <w:rsid w:val="003F0F2B"/>
    <w:rsid w:val="003F0F58"/>
    <w:rsid w:val="003F0F8D"/>
    <w:rsid w:val="003F14AA"/>
    <w:rsid w:val="003F1B50"/>
    <w:rsid w:val="003F291E"/>
    <w:rsid w:val="003F2D2C"/>
    <w:rsid w:val="003F2E5C"/>
    <w:rsid w:val="003F2ED3"/>
    <w:rsid w:val="003F2FA5"/>
    <w:rsid w:val="003F30BE"/>
    <w:rsid w:val="003F3242"/>
    <w:rsid w:val="003F3259"/>
    <w:rsid w:val="003F36D9"/>
    <w:rsid w:val="003F3897"/>
    <w:rsid w:val="003F3EFA"/>
    <w:rsid w:val="003F45D6"/>
    <w:rsid w:val="003F5105"/>
    <w:rsid w:val="003F5674"/>
    <w:rsid w:val="003F5889"/>
    <w:rsid w:val="003F69A2"/>
    <w:rsid w:val="003F6BD0"/>
    <w:rsid w:val="003F6BDF"/>
    <w:rsid w:val="003F6EAF"/>
    <w:rsid w:val="003F7024"/>
    <w:rsid w:val="003F70B3"/>
    <w:rsid w:val="003F7BD2"/>
    <w:rsid w:val="003F7C46"/>
    <w:rsid w:val="00400A96"/>
    <w:rsid w:val="00400D09"/>
    <w:rsid w:val="004012F4"/>
    <w:rsid w:val="004019E4"/>
    <w:rsid w:val="004028E9"/>
    <w:rsid w:val="0040290A"/>
    <w:rsid w:val="0040297E"/>
    <w:rsid w:val="00402A21"/>
    <w:rsid w:val="00403538"/>
    <w:rsid w:val="004036AB"/>
    <w:rsid w:val="00404356"/>
    <w:rsid w:val="00404F54"/>
    <w:rsid w:val="00404F88"/>
    <w:rsid w:val="00404FDE"/>
    <w:rsid w:val="00405261"/>
    <w:rsid w:val="004056FF"/>
    <w:rsid w:val="0040680B"/>
    <w:rsid w:val="00406866"/>
    <w:rsid w:val="00406922"/>
    <w:rsid w:val="00406E13"/>
    <w:rsid w:val="00406EAF"/>
    <w:rsid w:val="00406FD5"/>
    <w:rsid w:val="004073C8"/>
    <w:rsid w:val="00407512"/>
    <w:rsid w:val="00410897"/>
    <w:rsid w:val="004108DC"/>
    <w:rsid w:val="0041100A"/>
    <w:rsid w:val="00411126"/>
    <w:rsid w:val="004114AD"/>
    <w:rsid w:val="004116F2"/>
    <w:rsid w:val="00412096"/>
    <w:rsid w:val="00412468"/>
    <w:rsid w:val="0041256D"/>
    <w:rsid w:val="00412855"/>
    <w:rsid w:val="00412AC0"/>
    <w:rsid w:val="00412BC1"/>
    <w:rsid w:val="00412BF8"/>
    <w:rsid w:val="00412EC8"/>
    <w:rsid w:val="00413216"/>
    <w:rsid w:val="0041372E"/>
    <w:rsid w:val="004143A2"/>
    <w:rsid w:val="004148BE"/>
    <w:rsid w:val="004149B8"/>
    <w:rsid w:val="00414A66"/>
    <w:rsid w:val="00414D72"/>
    <w:rsid w:val="00414D99"/>
    <w:rsid w:val="00414FD5"/>
    <w:rsid w:val="0041556E"/>
    <w:rsid w:val="00415763"/>
    <w:rsid w:val="00415B13"/>
    <w:rsid w:val="00415DD0"/>
    <w:rsid w:val="0041653E"/>
    <w:rsid w:val="00416598"/>
    <w:rsid w:val="00416920"/>
    <w:rsid w:val="0041692B"/>
    <w:rsid w:val="00417147"/>
    <w:rsid w:val="004178F2"/>
    <w:rsid w:val="00417D28"/>
    <w:rsid w:val="00417F9C"/>
    <w:rsid w:val="00420437"/>
    <w:rsid w:val="00420756"/>
    <w:rsid w:val="004208F6"/>
    <w:rsid w:val="00420A4D"/>
    <w:rsid w:val="00420CEC"/>
    <w:rsid w:val="004213E2"/>
    <w:rsid w:val="00421830"/>
    <w:rsid w:val="00421F18"/>
    <w:rsid w:val="00422BD1"/>
    <w:rsid w:val="00422D50"/>
    <w:rsid w:val="00423D5A"/>
    <w:rsid w:val="00423E50"/>
    <w:rsid w:val="0042488B"/>
    <w:rsid w:val="004248C2"/>
    <w:rsid w:val="004249BB"/>
    <w:rsid w:val="0042530D"/>
    <w:rsid w:val="00425C5C"/>
    <w:rsid w:val="00425EF5"/>
    <w:rsid w:val="00426800"/>
    <w:rsid w:val="00426F2C"/>
    <w:rsid w:val="00426F57"/>
    <w:rsid w:val="00427381"/>
    <w:rsid w:val="004276B6"/>
    <w:rsid w:val="0042786A"/>
    <w:rsid w:val="0042788A"/>
    <w:rsid w:val="00427EB7"/>
    <w:rsid w:val="0043002A"/>
    <w:rsid w:val="00430D00"/>
    <w:rsid w:val="00431629"/>
    <w:rsid w:val="00432864"/>
    <w:rsid w:val="0043393E"/>
    <w:rsid w:val="00433984"/>
    <w:rsid w:val="00433D29"/>
    <w:rsid w:val="0043468F"/>
    <w:rsid w:val="00434961"/>
    <w:rsid w:val="00434F88"/>
    <w:rsid w:val="00434FB3"/>
    <w:rsid w:val="00435040"/>
    <w:rsid w:val="0043505F"/>
    <w:rsid w:val="00435592"/>
    <w:rsid w:val="00436652"/>
    <w:rsid w:val="0043697E"/>
    <w:rsid w:val="00436A5D"/>
    <w:rsid w:val="00437494"/>
    <w:rsid w:val="00437FA9"/>
    <w:rsid w:val="0044000E"/>
    <w:rsid w:val="00440A58"/>
    <w:rsid w:val="00440D37"/>
    <w:rsid w:val="004412AA"/>
    <w:rsid w:val="00441B0B"/>
    <w:rsid w:val="00442167"/>
    <w:rsid w:val="0044247E"/>
    <w:rsid w:val="004433FA"/>
    <w:rsid w:val="004435FD"/>
    <w:rsid w:val="00443958"/>
    <w:rsid w:val="00443D68"/>
    <w:rsid w:val="00444B52"/>
    <w:rsid w:val="00445173"/>
    <w:rsid w:val="004455D0"/>
    <w:rsid w:val="0044576D"/>
    <w:rsid w:val="00445B06"/>
    <w:rsid w:val="00446C98"/>
    <w:rsid w:val="00446CD3"/>
    <w:rsid w:val="00447628"/>
    <w:rsid w:val="00447ECF"/>
    <w:rsid w:val="004508F0"/>
    <w:rsid w:val="00450DDD"/>
    <w:rsid w:val="004514B0"/>
    <w:rsid w:val="004515ED"/>
    <w:rsid w:val="004518AD"/>
    <w:rsid w:val="004518E1"/>
    <w:rsid w:val="00452B53"/>
    <w:rsid w:val="0045396F"/>
    <w:rsid w:val="00453BBE"/>
    <w:rsid w:val="00454419"/>
    <w:rsid w:val="00454B08"/>
    <w:rsid w:val="00454BA0"/>
    <w:rsid w:val="00454D07"/>
    <w:rsid w:val="00454D6D"/>
    <w:rsid w:val="0045528D"/>
    <w:rsid w:val="0045562C"/>
    <w:rsid w:val="00455C58"/>
    <w:rsid w:val="00455E81"/>
    <w:rsid w:val="00456168"/>
    <w:rsid w:val="004563A3"/>
    <w:rsid w:val="004566A2"/>
    <w:rsid w:val="00456849"/>
    <w:rsid w:val="00456B32"/>
    <w:rsid w:val="00456BC1"/>
    <w:rsid w:val="00456F49"/>
    <w:rsid w:val="00457555"/>
    <w:rsid w:val="00457CA3"/>
    <w:rsid w:val="00457E0A"/>
    <w:rsid w:val="004601AC"/>
    <w:rsid w:val="004601AF"/>
    <w:rsid w:val="0046053F"/>
    <w:rsid w:val="004616F1"/>
    <w:rsid w:val="00461D64"/>
    <w:rsid w:val="00462791"/>
    <w:rsid w:val="00462814"/>
    <w:rsid w:val="00463A9D"/>
    <w:rsid w:val="00463C99"/>
    <w:rsid w:val="0046427A"/>
    <w:rsid w:val="004644A3"/>
    <w:rsid w:val="004646C1"/>
    <w:rsid w:val="00464B71"/>
    <w:rsid w:val="00464FF8"/>
    <w:rsid w:val="0046500A"/>
    <w:rsid w:val="004652CE"/>
    <w:rsid w:val="00465489"/>
    <w:rsid w:val="004657E4"/>
    <w:rsid w:val="00465828"/>
    <w:rsid w:val="0046584E"/>
    <w:rsid w:val="00465B3E"/>
    <w:rsid w:val="00466137"/>
    <w:rsid w:val="00466271"/>
    <w:rsid w:val="004669FB"/>
    <w:rsid w:val="0046778D"/>
    <w:rsid w:val="00467DF4"/>
    <w:rsid w:val="004706C7"/>
    <w:rsid w:val="00470829"/>
    <w:rsid w:val="00470A41"/>
    <w:rsid w:val="00470DBA"/>
    <w:rsid w:val="00471053"/>
    <w:rsid w:val="0047116A"/>
    <w:rsid w:val="004711FB"/>
    <w:rsid w:val="0047129C"/>
    <w:rsid w:val="004713C1"/>
    <w:rsid w:val="004719C0"/>
    <w:rsid w:val="00471EA2"/>
    <w:rsid w:val="00472268"/>
    <w:rsid w:val="00472388"/>
    <w:rsid w:val="00472CB4"/>
    <w:rsid w:val="00472E42"/>
    <w:rsid w:val="00472E99"/>
    <w:rsid w:val="004730B9"/>
    <w:rsid w:val="004737F5"/>
    <w:rsid w:val="00473823"/>
    <w:rsid w:val="00473B94"/>
    <w:rsid w:val="00473D2F"/>
    <w:rsid w:val="004742EE"/>
    <w:rsid w:val="00475112"/>
    <w:rsid w:val="0047547D"/>
    <w:rsid w:val="00475538"/>
    <w:rsid w:val="004763D2"/>
    <w:rsid w:val="0047664A"/>
    <w:rsid w:val="0047683C"/>
    <w:rsid w:val="00476A47"/>
    <w:rsid w:val="00477497"/>
    <w:rsid w:val="004779B3"/>
    <w:rsid w:val="00477CF3"/>
    <w:rsid w:val="00477EEA"/>
    <w:rsid w:val="00480E96"/>
    <w:rsid w:val="00480F8A"/>
    <w:rsid w:val="00481296"/>
    <w:rsid w:val="004812FC"/>
    <w:rsid w:val="004819F1"/>
    <w:rsid w:val="004820B6"/>
    <w:rsid w:val="00482104"/>
    <w:rsid w:val="00482B63"/>
    <w:rsid w:val="00482BE9"/>
    <w:rsid w:val="0048322D"/>
    <w:rsid w:val="004834F4"/>
    <w:rsid w:val="004836CF"/>
    <w:rsid w:val="00483D1B"/>
    <w:rsid w:val="00483E8B"/>
    <w:rsid w:val="00484222"/>
    <w:rsid w:val="00484A79"/>
    <w:rsid w:val="00484A87"/>
    <w:rsid w:val="00484B5B"/>
    <w:rsid w:val="004850E5"/>
    <w:rsid w:val="0048519F"/>
    <w:rsid w:val="004852BA"/>
    <w:rsid w:val="00485503"/>
    <w:rsid w:val="0048564B"/>
    <w:rsid w:val="00485E83"/>
    <w:rsid w:val="00485F1A"/>
    <w:rsid w:val="004864F7"/>
    <w:rsid w:val="0048718A"/>
    <w:rsid w:val="00487255"/>
    <w:rsid w:val="00487548"/>
    <w:rsid w:val="00487EB6"/>
    <w:rsid w:val="00487F83"/>
    <w:rsid w:val="00487FA4"/>
    <w:rsid w:val="004906E7"/>
    <w:rsid w:val="0049086E"/>
    <w:rsid w:val="00490AB2"/>
    <w:rsid w:val="00490BA3"/>
    <w:rsid w:val="0049121E"/>
    <w:rsid w:val="0049122B"/>
    <w:rsid w:val="00491481"/>
    <w:rsid w:val="00491890"/>
    <w:rsid w:val="00491BC0"/>
    <w:rsid w:val="00493956"/>
    <w:rsid w:val="004945DC"/>
    <w:rsid w:val="004947D4"/>
    <w:rsid w:val="00494C82"/>
    <w:rsid w:val="00495032"/>
    <w:rsid w:val="0049522C"/>
    <w:rsid w:val="00495A0B"/>
    <w:rsid w:val="00495DA6"/>
    <w:rsid w:val="004966A1"/>
    <w:rsid w:val="004966BC"/>
    <w:rsid w:val="00496BF3"/>
    <w:rsid w:val="00496C7D"/>
    <w:rsid w:val="00496DC7"/>
    <w:rsid w:val="0049735C"/>
    <w:rsid w:val="004975EC"/>
    <w:rsid w:val="00497DA1"/>
    <w:rsid w:val="004A0B4F"/>
    <w:rsid w:val="004A10A7"/>
    <w:rsid w:val="004A1361"/>
    <w:rsid w:val="004A1AFC"/>
    <w:rsid w:val="004A1C5A"/>
    <w:rsid w:val="004A1F28"/>
    <w:rsid w:val="004A2573"/>
    <w:rsid w:val="004A28ED"/>
    <w:rsid w:val="004A2942"/>
    <w:rsid w:val="004A2C24"/>
    <w:rsid w:val="004A2C25"/>
    <w:rsid w:val="004A304D"/>
    <w:rsid w:val="004A328F"/>
    <w:rsid w:val="004A397B"/>
    <w:rsid w:val="004A430A"/>
    <w:rsid w:val="004A4AF9"/>
    <w:rsid w:val="004A4CFC"/>
    <w:rsid w:val="004A592B"/>
    <w:rsid w:val="004A59E2"/>
    <w:rsid w:val="004A5C0E"/>
    <w:rsid w:val="004A675D"/>
    <w:rsid w:val="004A67ED"/>
    <w:rsid w:val="004A683C"/>
    <w:rsid w:val="004A73A8"/>
    <w:rsid w:val="004A7431"/>
    <w:rsid w:val="004A743B"/>
    <w:rsid w:val="004A7C2F"/>
    <w:rsid w:val="004B016C"/>
    <w:rsid w:val="004B03CD"/>
    <w:rsid w:val="004B0538"/>
    <w:rsid w:val="004B0CFE"/>
    <w:rsid w:val="004B1860"/>
    <w:rsid w:val="004B1A8D"/>
    <w:rsid w:val="004B1D90"/>
    <w:rsid w:val="004B2832"/>
    <w:rsid w:val="004B2DFA"/>
    <w:rsid w:val="004B3427"/>
    <w:rsid w:val="004B34F4"/>
    <w:rsid w:val="004B35BB"/>
    <w:rsid w:val="004B377E"/>
    <w:rsid w:val="004B3802"/>
    <w:rsid w:val="004B4295"/>
    <w:rsid w:val="004B44DE"/>
    <w:rsid w:val="004B4CE7"/>
    <w:rsid w:val="004B4E8F"/>
    <w:rsid w:val="004B5155"/>
    <w:rsid w:val="004B5BEE"/>
    <w:rsid w:val="004B6430"/>
    <w:rsid w:val="004B6B43"/>
    <w:rsid w:val="004B6CEF"/>
    <w:rsid w:val="004B7BBA"/>
    <w:rsid w:val="004C00F5"/>
    <w:rsid w:val="004C0B6F"/>
    <w:rsid w:val="004C1857"/>
    <w:rsid w:val="004C18BA"/>
    <w:rsid w:val="004C220F"/>
    <w:rsid w:val="004C2306"/>
    <w:rsid w:val="004C2F13"/>
    <w:rsid w:val="004C3272"/>
    <w:rsid w:val="004C32F4"/>
    <w:rsid w:val="004C3C18"/>
    <w:rsid w:val="004C4782"/>
    <w:rsid w:val="004C4CA5"/>
    <w:rsid w:val="004C4F9D"/>
    <w:rsid w:val="004C5443"/>
    <w:rsid w:val="004C5740"/>
    <w:rsid w:val="004C5B95"/>
    <w:rsid w:val="004C5FA1"/>
    <w:rsid w:val="004C6205"/>
    <w:rsid w:val="004C64B8"/>
    <w:rsid w:val="004C6861"/>
    <w:rsid w:val="004C6C47"/>
    <w:rsid w:val="004C6D16"/>
    <w:rsid w:val="004C6E14"/>
    <w:rsid w:val="004C6FA5"/>
    <w:rsid w:val="004C6FE6"/>
    <w:rsid w:val="004C6FEE"/>
    <w:rsid w:val="004D0257"/>
    <w:rsid w:val="004D06A5"/>
    <w:rsid w:val="004D073A"/>
    <w:rsid w:val="004D0E50"/>
    <w:rsid w:val="004D1B00"/>
    <w:rsid w:val="004D2138"/>
    <w:rsid w:val="004D26B5"/>
    <w:rsid w:val="004D2BD0"/>
    <w:rsid w:val="004D317A"/>
    <w:rsid w:val="004D3792"/>
    <w:rsid w:val="004D40F7"/>
    <w:rsid w:val="004D4B9C"/>
    <w:rsid w:val="004D5045"/>
    <w:rsid w:val="004D5C6A"/>
    <w:rsid w:val="004D6EE1"/>
    <w:rsid w:val="004D6F0A"/>
    <w:rsid w:val="004D75BB"/>
    <w:rsid w:val="004E0405"/>
    <w:rsid w:val="004E083C"/>
    <w:rsid w:val="004E0A12"/>
    <w:rsid w:val="004E0CB7"/>
    <w:rsid w:val="004E0E50"/>
    <w:rsid w:val="004E0F23"/>
    <w:rsid w:val="004E124B"/>
    <w:rsid w:val="004E146F"/>
    <w:rsid w:val="004E19DB"/>
    <w:rsid w:val="004E217C"/>
    <w:rsid w:val="004E2723"/>
    <w:rsid w:val="004E289C"/>
    <w:rsid w:val="004E2976"/>
    <w:rsid w:val="004E3470"/>
    <w:rsid w:val="004E38F5"/>
    <w:rsid w:val="004E3A8D"/>
    <w:rsid w:val="004E3F1A"/>
    <w:rsid w:val="004E4102"/>
    <w:rsid w:val="004E4194"/>
    <w:rsid w:val="004E4A6D"/>
    <w:rsid w:val="004E4D55"/>
    <w:rsid w:val="004E5733"/>
    <w:rsid w:val="004E5A10"/>
    <w:rsid w:val="004E5A14"/>
    <w:rsid w:val="004E6935"/>
    <w:rsid w:val="004E7131"/>
    <w:rsid w:val="004E742E"/>
    <w:rsid w:val="004E78C7"/>
    <w:rsid w:val="004E795F"/>
    <w:rsid w:val="004E79AF"/>
    <w:rsid w:val="004E79FA"/>
    <w:rsid w:val="004E7F6E"/>
    <w:rsid w:val="004E7F9A"/>
    <w:rsid w:val="004F00F8"/>
    <w:rsid w:val="004F0408"/>
    <w:rsid w:val="004F064E"/>
    <w:rsid w:val="004F0782"/>
    <w:rsid w:val="004F147F"/>
    <w:rsid w:val="004F1623"/>
    <w:rsid w:val="004F1627"/>
    <w:rsid w:val="004F177A"/>
    <w:rsid w:val="004F1B2F"/>
    <w:rsid w:val="004F1C72"/>
    <w:rsid w:val="004F1C8E"/>
    <w:rsid w:val="004F2188"/>
    <w:rsid w:val="004F28B2"/>
    <w:rsid w:val="004F2BD2"/>
    <w:rsid w:val="004F2BF6"/>
    <w:rsid w:val="004F2E2E"/>
    <w:rsid w:val="004F38A5"/>
    <w:rsid w:val="004F3C6F"/>
    <w:rsid w:val="004F3D6F"/>
    <w:rsid w:val="004F406C"/>
    <w:rsid w:val="004F4203"/>
    <w:rsid w:val="004F4C12"/>
    <w:rsid w:val="004F528E"/>
    <w:rsid w:val="004F5C2F"/>
    <w:rsid w:val="004F623A"/>
    <w:rsid w:val="004F6CB8"/>
    <w:rsid w:val="004F6D01"/>
    <w:rsid w:val="004F70BA"/>
    <w:rsid w:val="004F7E3B"/>
    <w:rsid w:val="004F7F05"/>
    <w:rsid w:val="004F7FA8"/>
    <w:rsid w:val="005003C4"/>
    <w:rsid w:val="0050041E"/>
    <w:rsid w:val="00500465"/>
    <w:rsid w:val="00500C0F"/>
    <w:rsid w:val="00500D5C"/>
    <w:rsid w:val="00501695"/>
    <w:rsid w:val="00502068"/>
    <w:rsid w:val="00502558"/>
    <w:rsid w:val="00502C3F"/>
    <w:rsid w:val="00502DE2"/>
    <w:rsid w:val="00503137"/>
    <w:rsid w:val="00503361"/>
    <w:rsid w:val="00503F54"/>
    <w:rsid w:val="00504145"/>
    <w:rsid w:val="00504693"/>
    <w:rsid w:val="00505049"/>
    <w:rsid w:val="00505328"/>
    <w:rsid w:val="00505396"/>
    <w:rsid w:val="00505668"/>
    <w:rsid w:val="00505717"/>
    <w:rsid w:val="00505723"/>
    <w:rsid w:val="00506095"/>
    <w:rsid w:val="00506347"/>
    <w:rsid w:val="00506C24"/>
    <w:rsid w:val="00506F69"/>
    <w:rsid w:val="005078E9"/>
    <w:rsid w:val="00507B6C"/>
    <w:rsid w:val="00510216"/>
    <w:rsid w:val="005105BB"/>
    <w:rsid w:val="00510B4C"/>
    <w:rsid w:val="00510EA8"/>
    <w:rsid w:val="00511201"/>
    <w:rsid w:val="005112AB"/>
    <w:rsid w:val="00511593"/>
    <w:rsid w:val="00511B88"/>
    <w:rsid w:val="00511BD3"/>
    <w:rsid w:val="0051236C"/>
    <w:rsid w:val="00512B61"/>
    <w:rsid w:val="00512CD7"/>
    <w:rsid w:val="00513218"/>
    <w:rsid w:val="0051348F"/>
    <w:rsid w:val="0051474D"/>
    <w:rsid w:val="0051484D"/>
    <w:rsid w:val="005149DF"/>
    <w:rsid w:val="00514B8F"/>
    <w:rsid w:val="00514C92"/>
    <w:rsid w:val="00514CF2"/>
    <w:rsid w:val="00514E69"/>
    <w:rsid w:val="00514F3F"/>
    <w:rsid w:val="0051524D"/>
    <w:rsid w:val="00515BC6"/>
    <w:rsid w:val="00515E35"/>
    <w:rsid w:val="005160EF"/>
    <w:rsid w:val="00516368"/>
    <w:rsid w:val="0051676B"/>
    <w:rsid w:val="00516C4F"/>
    <w:rsid w:val="0051749D"/>
    <w:rsid w:val="0051754F"/>
    <w:rsid w:val="0051780A"/>
    <w:rsid w:val="00517A60"/>
    <w:rsid w:val="00517C80"/>
    <w:rsid w:val="00517D36"/>
    <w:rsid w:val="0052020B"/>
    <w:rsid w:val="00520566"/>
    <w:rsid w:val="00520B1E"/>
    <w:rsid w:val="005216DD"/>
    <w:rsid w:val="0052182F"/>
    <w:rsid w:val="005219C9"/>
    <w:rsid w:val="0052206D"/>
    <w:rsid w:val="005228B2"/>
    <w:rsid w:val="00522CF7"/>
    <w:rsid w:val="005230F1"/>
    <w:rsid w:val="005233EA"/>
    <w:rsid w:val="0052342E"/>
    <w:rsid w:val="00523E09"/>
    <w:rsid w:val="00523FE3"/>
    <w:rsid w:val="00524400"/>
    <w:rsid w:val="00524E76"/>
    <w:rsid w:val="005257CC"/>
    <w:rsid w:val="005259FB"/>
    <w:rsid w:val="0052637A"/>
    <w:rsid w:val="00526964"/>
    <w:rsid w:val="00526A0F"/>
    <w:rsid w:val="00526F70"/>
    <w:rsid w:val="005270DF"/>
    <w:rsid w:val="0052743E"/>
    <w:rsid w:val="00527A2E"/>
    <w:rsid w:val="00527D4B"/>
    <w:rsid w:val="00530682"/>
    <w:rsid w:val="005306A0"/>
    <w:rsid w:val="00530884"/>
    <w:rsid w:val="00530B25"/>
    <w:rsid w:val="00530DF5"/>
    <w:rsid w:val="0053171C"/>
    <w:rsid w:val="005322CF"/>
    <w:rsid w:val="0053253F"/>
    <w:rsid w:val="005325AA"/>
    <w:rsid w:val="00532880"/>
    <w:rsid w:val="005329EB"/>
    <w:rsid w:val="00532F56"/>
    <w:rsid w:val="00533D6F"/>
    <w:rsid w:val="00533E28"/>
    <w:rsid w:val="005348E0"/>
    <w:rsid w:val="00535171"/>
    <w:rsid w:val="00535623"/>
    <w:rsid w:val="00535637"/>
    <w:rsid w:val="005356AB"/>
    <w:rsid w:val="00535EB0"/>
    <w:rsid w:val="00537736"/>
    <w:rsid w:val="00537BFD"/>
    <w:rsid w:val="00540430"/>
    <w:rsid w:val="005407E6"/>
    <w:rsid w:val="0054098B"/>
    <w:rsid w:val="00541262"/>
    <w:rsid w:val="0054161F"/>
    <w:rsid w:val="0054173E"/>
    <w:rsid w:val="00541788"/>
    <w:rsid w:val="005421BE"/>
    <w:rsid w:val="00542739"/>
    <w:rsid w:val="00542C73"/>
    <w:rsid w:val="00542F46"/>
    <w:rsid w:val="00543052"/>
    <w:rsid w:val="00543179"/>
    <w:rsid w:val="0054404E"/>
    <w:rsid w:val="005440FD"/>
    <w:rsid w:val="0054475A"/>
    <w:rsid w:val="005447B8"/>
    <w:rsid w:val="00544FAD"/>
    <w:rsid w:val="00546499"/>
    <w:rsid w:val="00546A8C"/>
    <w:rsid w:val="005476D8"/>
    <w:rsid w:val="00547AFA"/>
    <w:rsid w:val="00547DF2"/>
    <w:rsid w:val="00550092"/>
    <w:rsid w:val="005500E0"/>
    <w:rsid w:val="005503AF"/>
    <w:rsid w:val="005508BC"/>
    <w:rsid w:val="0055111D"/>
    <w:rsid w:val="005514B8"/>
    <w:rsid w:val="005518B3"/>
    <w:rsid w:val="00551D9C"/>
    <w:rsid w:val="00551F0F"/>
    <w:rsid w:val="00552191"/>
    <w:rsid w:val="00552279"/>
    <w:rsid w:val="00552812"/>
    <w:rsid w:val="00553202"/>
    <w:rsid w:val="00553276"/>
    <w:rsid w:val="00553448"/>
    <w:rsid w:val="0055378D"/>
    <w:rsid w:val="00554097"/>
    <w:rsid w:val="00554468"/>
    <w:rsid w:val="005544D6"/>
    <w:rsid w:val="005549F3"/>
    <w:rsid w:val="00554B7B"/>
    <w:rsid w:val="00554C48"/>
    <w:rsid w:val="00554CE7"/>
    <w:rsid w:val="00555417"/>
    <w:rsid w:val="005557CC"/>
    <w:rsid w:val="005558CB"/>
    <w:rsid w:val="005562D1"/>
    <w:rsid w:val="0055642C"/>
    <w:rsid w:val="00556561"/>
    <w:rsid w:val="00556636"/>
    <w:rsid w:val="005568A3"/>
    <w:rsid w:val="00556ED9"/>
    <w:rsid w:val="00556FDB"/>
    <w:rsid w:val="0055734C"/>
    <w:rsid w:val="00557752"/>
    <w:rsid w:val="00557769"/>
    <w:rsid w:val="00557919"/>
    <w:rsid w:val="00557B96"/>
    <w:rsid w:val="00557E2E"/>
    <w:rsid w:val="00560079"/>
    <w:rsid w:val="00560236"/>
    <w:rsid w:val="005602F4"/>
    <w:rsid w:val="00560E36"/>
    <w:rsid w:val="005611B2"/>
    <w:rsid w:val="005613CD"/>
    <w:rsid w:val="00561598"/>
    <w:rsid w:val="00561DA8"/>
    <w:rsid w:val="00561E8E"/>
    <w:rsid w:val="00562631"/>
    <w:rsid w:val="005628F5"/>
    <w:rsid w:val="00562A79"/>
    <w:rsid w:val="00562EE7"/>
    <w:rsid w:val="005636E7"/>
    <w:rsid w:val="00563EFC"/>
    <w:rsid w:val="00564AAD"/>
    <w:rsid w:val="00564DCF"/>
    <w:rsid w:val="00565718"/>
    <w:rsid w:val="00565D8E"/>
    <w:rsid w:val="0056620F"/>
    <w:rsid w:val="00566A88"/>
    <w:rsid w:val="00566D1A"/>
    <w:rsid w:val="00566FA5"/>
    <w:rsid w:val="00566FF6"/>
    <w:rsid w:val="00567185"/>
    <w:rsid w:val="005672BA"/>
    <w:rsid w:val="0056750E"/>
    <w:rsid w:val="00567812"/>
    <w:rsid w:val="0057083A"/>
    <w:rsid w:val="00570FE9"/>
    <w:rsid w:val="00571085"/>
    <w:rsid w:val="005711AA"/>
    <w:rsid w:val="00571361"/>
    <w:rsid w:val="005715B8"/>
    <w:rsid w:val="005723FD"/>
    <w:rsid w:val="00572630"/>
    <w:rsid w:val="005728B7"/>
    <w:rsid w:val="00572B11"/>
    <w:rsid w:val="00573509"/>
    <w:rsid w:val="005736A6"/>
    <w:rsid w:val="00573966"/>
    <w:rsid w:val="00573CAD"/>
    <w:rsid w:val="00573FE4"/>
    <w:rsid w:val="00574077"/>
    <w:rsid w:val="00574412"/>
    <w:rsid w:val="00575F57"/>
    <w:rsid w:val="005762F3"/>
    <w:rsid w:val="00576634"/>
    <w:rsid w:val="005772CC"/>
    <w:rsid w:val="00577E93"/>
    <w:rsid w:val="005805D3"/>
    <w:rsid w:val="00580D61"/>
    <w:rsid w:val="00580ED4"/>
    <w:rsid w:val="00581032"/>
    <w:rsid w:val="0058140E"/>
    <w:rsid w:val="00581697"/>
    <w:rsid w:val="0058170B"/>
    <w:rsid w:val="00582620"/>
    <w:rsid w:val="00582C20"/>
    <w:rsid w:val="00582C79"/>
    <w:rsid w:val="00582CDC"/>
    <w:rsid w:val="00582E9E"/>
    <w:rsid w:val="00582F9A"/>
    <w:rsid w:val="00582FBD"/>
    <w:rsid w:val="0058347D"/>
    <w:rsid w:val="0058429A"/>
    <w:rsid w:val="00584CE1"/>
    <w:rsid w:val="00584D81"/>
    <w:rsid w:val="00584E59"/>
    <w:rsid w:val="00585434"/>
    <w:rsid w:val="0058599D"/>
    <w:rsid w:val="00585F6A"/>
    <w:rsid w:val="00586B52"/>
    <w:rsid w:val="00586B5F"/>
    <w:rsid w:val="00586D42"/>
    <w:rsid w:val="00586E18"/>
    <w:rsid w:val="00587700"/>
    <w:rsid w:val="005902E0"/>
    <w:rsid w:val="00590736"/>
    <w:rsid w:val="00590CB9"/>
    <w:rsid w:val="00590DE9"/>
    <w:rsid w:val="00590F93"/>
    <w:rsid w:val="0059109E"/>
    <w:rsid w:val="005911D8"/>
    <w:rsid w:val="00591FA3"/>
    <w:rsid w:val="005921B2"/>
    <w:rsid w:val="005926C7"/>
    <w:rsid w:val="005938E4"/>
    <w:rsid w:val="00593B52"/>
    <w:rsid w:val="00593CE5"/>
    <w:rsid w:val="0059410F"/>
    <w:rsid w:val="0059465E"/>
    <w:rsid w:val="00595009"/>
    <w:rsid w:val="0059507A"/>
    <w:rsid w:val="005961F4"/>
    <w:rsid w:val="00596575"/>
    <w:rsid w:val="0059718D"/>
    <w:rsid w:val="00597857"/>
    <w:rsid w:val="005979A8"/>
    <w:rsid w:val="00597C2F"/>
    <w:rsid w:val="00597D46"/>
    <w:rsid w:val="00597EA4"/>
    <w:rsid w:val="005A069F"/>
    <w:rsid w:val="005A083C"/>
    <w:rsid w:val="005A0B48"/>
    <w:rsid w:val="005A0D24"/>
    <w:rsid w:val="005A2718"/>
    <w:rsid w:val="005A2BF8"/>
    <w:rsid w:val="005A2E68"/>
    <w:rsid w:val="005A36D9"/>
    <w:rsid w:val="005A3802"/>
    <w:rsid w:val="005A4B1E"/>
    <w:rsid w:val="005A4C5C"/>
    <w:rsid w:val="005A4F51"/>
    <w:rsid w:val="005A4FC6"/>
    <w:rsid w:val="005A5457"/>
    <w:rsid w:val="005A5C47"/>
    <w:rsid w:val="005A5C49"/>
    <w:rsid w:val="005A5DCB"/>
    <w:rsid w:val="005A5F84"/>
    <w:rsid w:val="005A64B2"/>
    <w:rsid w:val="005A65B9"/>
    <w:rsid w:val="005A6F91"/>
    <w:rsid w:val="005A73BF"/>
    <w:rsid w:val="005A74E1"/>
    <w:rsid w:val="005A75D7"/>
    <w:rsid w:val="005A7A23"/>
    <w:rsid w:val="005B00ED"/>
    <w:rsid w:val="005B023A"/>
    <w:rsid w:val="005B05ED"/>
    <w:rsid w:val="005B0790"/>
    <w:rsid w:val="005B0B23"/>
    <w:rsid w:val="005B0E33"/>
    <w:rsid w:val="005B0FD2"/>
    <w:rsid w:val="005B1012"/>
    <w:rsid w:val="005B15CD"/>
    <w:rsid w:val="005B1C72"/>
    <w:rsid w:val="005B1D73"/>
    <w:rsid w:val="005B1F00"/>
    <w:rsid w:val="005B1F6B"/>
    <w:rsid w:val="005B22FE"/>
    <w:rsid w:val="005B243C"/>
    <w:rsid w:val="005B257C"/>
    <w:rsid w:val="005B26CD"/>
    <w:rsid w:val="005B27E6"/>
    <w:rsid w:val="005B285D"/>
    <w:rsid w:val="005B2B92"/>
    <w:rsid w:val="005B2BAA"/>
    <w:rsid w:val="005B2C3B"/>
    <w:rsid w:val="005B2FBF"/>
    <w:rsid w:val="005B302C"/>
    <w:rsid w:val="005B37DC"/>
    <w:rsid w:val="005B595A"/>
    <w:rsid w:val="005B5AED"/>
    <w:rsid w:val="005B64B8"/>
    <w:rsid w:val="005B6A4B"/>
    <w:rsid w:val="005B6AC3"/>
    <w:rsid w:val="005B6F5A"/>
    <w:rsid w:val="005B70D8"/>
    <w:rsid w:val="005B7FE1"/>
    <w:rsid w:val="005C045C"/>
    <w:rsid w:val="005C0BB3"/>
    <w:rsid w:val="005C0BF2"/>
    <w:rsid w:val="005C0E17"/>
    <w:rsid w:val="005C15C5"/>
    <w:rsid w:val="005C171A"/>
    <w:rsid w:val="005C2491"/>
    <w:rsid w:val="005C25B0"/>
    <w:rsid w:val="005C2B60"/>
    <w:rsid w:val="005C2CEB"/>
    <w:rsid w:val="005C300F"/>
    <w:rsid w:val="005C3319"/>
    <w:rsid w:val="005C3349"/>
    <w:rsid w:val="005C34AE"/>
    <w:rsid w:val="005C363D"/>
    <w:rsid w:val="005C3D1E"/>
    <w:rsid w:val="005C3DD3"/>
    <w:rsid w:val="005C3E0A"/>
    <w:rsid w:val="005C5516"/>
    <w:rsid w:val="005C5574"/>
    <w:rsid w:val="005C56CF"/>
    <w:rsid w:val="005C5A6A"/>
    <w:rsid w:val="005C5DB0"/>
    <w:rsid w:val="005C5F9E"/>
    <w:rsid w:val="005C5FD0"/>
    <w:rsid w:val="005C6532"/>
    <w:rsid w:val="005C6EFE"/>
    <w:rsid w:val="005C7299"/>
    <w:rsid w:val="005C7668"/>
    <w:rsid w:val="005C7DAE"/>
    <w:rsid w:val="005C7E6E"/>
    <w:rsid w:val="005C7F3D"/>
    <w:rsid w:val="005D0090"/>
    <w:rsid w:val="005D079C"/>
    <w:rsid w:val="005D0D2D"/>
    <w:rsid w:val="005D12DE"/>
    <w:rsid w:val="005D15C6"/>
    <w:rsid w:val="005D16F5"/>
    <w:rsid w:val="005D1995"/>
    <w:rsid w:val="005D27D4"/>
    <w:rsid w:val="005D285A"/>
    <w:rsid w:val="005D2F2E"/>
    <w:rsid w:val="005D31FA"/>
    <w:rsid w:val="005D36BF"/>
    <w:rsid w:val="005D3886"/>
    <w:rsid w:val="005D3FA5"/>
    <w:rsid w:val="005D402F"/>
    <w:rsid w:val="005D4034"/>
    <w:rsid w:val="005D4795"/>
    <w:rsid w:val="005D47D4"/>
    <w:rsid w:val="005D4E47"/>
    <w:rsid w:val="005D4EB1"/>
    <w:rsid w:val="005D573E"/>
    <w:rsid w:val="005D57E6"/>
    <w:rsid w:val="005D57F2"/>
    <w:rsid w:val="005D5FCB"/>
    <w:rsid w:val="005D61C6"/>
    <w:rsid w:val="005D6327"/>
    <w:rsid w:val="005D6A44"/>
    <w:rsid w:val="005D6D77"/>
    <w:rsid w:val="005D6EA8"/>
    <w:rsid w:val="005D7083"/>
    <w:rsid w:val="005D714D"/>
    <w:rsid w:val="005D727B"/>
    <w:rsid w:val="005D73EE"/>
    <w:rsid w:val="005D7465"/>
    <w:rsid w:val="005D771E"/>
    <w:rsid w:val="005D7755"/>
    <w:rsid w:val="005D7B2E"/>
    <w:rsid w:val="005E089C"/>
    <w:rsid w:val="005E0A58"/>
    <w:rsid w:val="005E0CCB"/>
    <w:rsid w:val="005E0D23"/>
    <w:rsid w:val="005E11A2"/>
    <w:rsid w:val="005E11D5"/>
    <w:rsid w:val="005E12AA"/>
    <w:rsid w:val="005E1AFB"/>
    <w:rsid w:val="005E1D60"/>
    <w:rsid w:val="005E1FB3"/>
    <w:rsid w:val="005E22FE"/>
    <w:rsid w:val="005E2653"/>
    <w:rsid w:val="005E272E"/>
    <w:rsid w:val="005E27D2"/>
    <w:rsid w:val="005E2934"/>
    <w:rsid w:val="005E3402"/>
    <w:rsid w:val="005E36EA"/>
    <w:rsid w:val="005E50ED"/>
    <w:rsid w:val="005E5235"/>
    <w:rsid w:val="005E5BDA"/>
    <w:rsid w:val="005E5C44"/>
    <w:rsid w:val="005E5EA3"/>
    <w:rsid w:val="005E606C"/>
    <w:rsid w:val="005E64F0"/>
    <w:rsid w:val="005E6537"/>
    <w:rsid w:val="005E67CD"/>
    <w:rsid w:val="005E6AC3"/>
    <w:rsid w:val="005E7201"/>
    <w:rsid w:val="005E7275"/>
    <w:rsid w:val="005E73EC"/>
    <w:rsid w:val="005E7A6A"/>
    <w:rsid w:val="005E7BE2"/>
    <w:rsid w:val="005E7DC0"/>
    <w:rsid w:val="005F0525"/>
    <w:rsid w:val="005F0EC6"/>
    <w:rsid w:val="005F12CB"/>
    <w:rsid w:val="005F1376"/>
    <w:rsid w:val="005F13CD"/>
    <w:rsid w:val="005F1408"/>
    <w:rsid w:val="005F1AAF"/>
    <w:rsid w:val="005F1C8D"/>
    <w:rsid w:val="005F206C"/>
    <w:rsid w:val="005F21A4"/>
    <w:rsid w:val="005F2307"/>
    <w:rsid w:val="005F2B81"/>
    <w:rsid w:val="005F2E55"/>
    <w:rsid w:val="005F386F"/>
    <w:rsid w:val="005F3AAD"/>
    <w:rsid w:val="005F3C5A"/>
    <w:rsid w:val="005F3FD9"/>
    <w:rsid w:val="005F4113"/>
    <w:rsid w:val="005F4CA9"/>
    <w:rsid w:val="005F5442"/>
    <w:rsid w:val="005F55FC"/>
    <w:rsid w:val="005F5985"/>
    <w:rsid w:val="005F5F3E"/>
    <w:rsid w:val="005F5FB3"/>
    <w:rsid w:val="005F6BCD"/>
    <w:rsid w:val="005F6C18"/>
    <w:rsid w:val="005F6FD1"/>
    <w:rsid w:val="005F7C60"/>
    <w:rsid w:val="00601C12"/>
    <w:rsid w:val="006025FA"/>
    <w:rsid w:val="0060383A"/>
    <w:rsid w:val="00603A2C"/>
    <w:rsid w:val="00603D71"/>
    <w:rsid w:val="006043B1"/>
    <w:rsid w:val="00604B56"/>
    <w:rsid w:val="00604EFA"/>
    <w:rsid w:val="00605CD9"/>
    <w:rsid w:val="00605D1B"/>
    <w:rsid w:val="006064F2"/>
    <w:rsid w:val="006069D0"/>
    <w:rsid w:val="006076BE"/>
    <w:rsid w:val="006077A5"/>
    <w:rsid w:val="006077A6"/>
    <w:rsid w:val="00607B04"/>
    <w:rsid w:val="00610382"/>
    <w:rsid w:val="00610411"/>
    <w:rsid w:val="0061083A"/>
    <w:rsid w:val="0061098F"/>
    <w:rsid w:val="006117DD"/>
    <w:rsid w:val="00612281"/>
    <w:rsid w:val="006122A3"/>
    <w:rsid w:val="00612385"/>
    <w:rsid w:val="006127A0"/>
    <w:rsid w:val="0061282D"/>
    <w:rsid w:val="00612C7A"/>
    <w:rsid w:val="00612F1D"/>
    <w:rsid w:val="00613EA2"/>
    <w:rsid w:val="00614B9E"/>
    <w:rsid w:val="00615687"/>
    <w:rsid w:val="006157E9"/>
    <w:rsid w:val="00615870"/>
    <w:rsid w:val="00616679"/>
    <w:rsid w:val="00616AEC"/>
    <w:rsid w:val="00616B0E"/>
    <w:rsid w:val="00616B6B"/>
    <w:rsid w:val="00616F36"/>
    <w:rsid w:val="00617C31"/>
    <w:rsid w:val="00617CD9"/>
    <w:rsid w:val="00617E39"/>
    <w:rsid w:val="00617FD7"/>
    <w:rsid w:val="00621069"/>
    <w:rsid w:val="00621568"/>
    <w:rsid w:val="00621838"/>
    <w:rsid w:val="0062220E"/>
    <w:rsid w:val="006223EB"/>
    <w:rsid w:val="00622567"/>
    <w:rsid w:val="00622574"/>
    <w:rsid w:val="006235BD"/>
    <w:rsid w:val="00623652"/>
    <w:rsid w:val="006240F9"/>
    <w:rsid w:val="0062471B"/>
    <w:rsid w:val="00624B8E"/>
    <w:rsid w:val="00624F71"/>
    <w:rsid w:val="00624FCE"/>
    <w:rsid w:val="00625421"/>
    <w:rsid w:val="006254B0"/>
    <w:rsid w:val="00625C39"/>
    <w:rsid w:val="0062607D"/>
    <w:rsid w:val="006260BA"/>
    <w:rsid w:val="00626BEE"/>
    <w:rsid w:val="00626CB4"/>
    <w:rsid w:val="00627268"/>
    <w:rsid w:val="0062764A"/>
    <w:rsid w:val="006276C1"/>
    <w:rsid w:val="00627D90"/>
    <w:rsid w:val="00627FB8"/>
    <w:rsid w:val="0063066F"/>
    <w:rsid w:val="0063095F"/>
    <w:rsid w:val="00630BAC"/>
    <w:rsid w:val="00630EEB"/>
    <w:rsid w:val="006316AF"/>
    <w:rsid w:val="00631C69"/>
    <w:rsid w:val="006332BD"/>
    <w:rsid w:val="006333AF"/>
    <w:rsid w:val="006333D3"/>
    <w:rsid w:val="0063346E"/>
    <w:rsid w:val="0063363F"/>
    <w:rsid w:val="00633924"/>
    <w:rsid w:val="00633EDE"/>
    <w:rsid w:val="00634FD2"/>
    <w:rsid w:val="00635D1C"/>
    <w:rsid w:val="00636B3A"/>
    <w:rsid w:val="00636C2F"/>
    <w:rsid w:val="00636E92"/>
    <w:rsid w:val="0063706A"/>
    <w:rsid w:val="006370EA"/>
    <w:rsid w:val="0063743E"/>
    <w:rsid w:val="00637504"/>
    <w:rsid w:val="00637D5E"/>
    <w:rsid w:val="00637E04"/>
    <w:rsid w:val="00640548"/>
    <w:rsid w:val="00640732"/>
    <w:rsid w:val="00640D58"/>
    <w:rsid w:val="006414B2"/>
    <w:rsid w:val="00641FE9"/>
    <w:rsid w:val="00642146"/>
    <w:rsid w:val="00642514"/>
    <w:rsid w:val="00642845"/>
    <w:rsid w:val="00642A6A"/>
    <w:rsid w:val="00642BD4"/>
    <w:rsid w:val="00642DB1"/>
    <w:rsid w:val="00642E8B"/>
    <w:rsid w:val="00643CAB"/>
    <w:rsid w:val="00643EB3"/>
    <w:rsid w:val="00644070"/>
    <w:rsid w:val="0064425F"/>
    <w:rsid w:val="0064431B"/>
    <w:rsid w:val="00644449"/>
    <w:rsid w:val="006446C5"/>
    <w:rsid w:val="00644842"/>
    <w:rsid w:val="00644857"/>
    <w:rsid w:val="00644C43"/>
    <w:rsid w:val="006453D3"/>
    <w:rsid w:val="006455EE"/>
    <w:rsid w:val="006456F0"/>
    <w:rsid w:val="00645BAC"/>
    <w:rsid w:val="00645FAA"/>
    <w:rsid w:val="00646583"/>
    <w:rsid w:val="006469B6"/>
    <w:rsid w:val="006478A2"/>
    <w:rsid w:val="00647E7C"/>
    <w:rsid w:val="006501C4"/>
    <w:rsid w:val="00650389"/>
    <w:rsid w:val="00650BA8"/>
    <w:rsid w:val="00651812"/>
    <w:rsid w:val="00651C4A"/>
    <w:rsid w:val="00651D2F"/>
    <w:rsid w:val="00651EAE"/>
    <w:rsid w:val="00651F44"/>
    <w:rsid w:val="0065223B"/>
    <w:rsid w:val="00652663"/>
    <w:rsid w:val="00652BD2"/>
    <w:rsid w:val="00652C1E"/>
    <w:rsid w:val="00652D0A"/>
    <w:rsid w:val="0065357B"/>
    <w:rsid w:val="006541BA"/>
    <w:rsid w:val="00654355"/>
    <w:rsid w:val="00654405"/>
    <w:rsid w:val="006546F9"/>
    <w:rsid w:val="00655233"/>
    <w:rsid w:val="00655E27"/>
    <w:rsid w:val="00657126"/>
    <w:rsid w:val="0065748A"/>
    <w:rsid w:val="00657941"/>
    <w:rsid w:val="00657D03"/>
    <w:rsid w:val="00660339"/>
    <w:rsid w:val="00660C9B"/>
    <w:rsid w:val="00661EC2"/>
    <w:rsid w:val="0066217E"/>
    <w:rsid w:val="006621EA"/>
    <w:rsid w:val="006627C9"/>
    <w:rsid w:val="00662FEF"/>
    <w:rsid w:val="0066349B"/>
    <w:rsid w:val="00663501"/>
    <w:rsid w:val="0066373D"/>
    <w:rsid w:val="00663FAA"/>
    <w:rsid w:val="00664A62"/>
    <w:rsid w:val="0066502D"/>
    <w:rsid w:val="006651CB"/>
    <w:rsid w:val="00665A3A"/>
    <w:rsid w:val="00665BE8"/>
    <w:rsid w:val="006661E8"/>
    <w:rsid w:val="00666303"/>
    <w:rsid w:val="0066652D"/>
    <w:rsid w:val="00666688"/>
    <w:rsid w:val="0066668B"/>
    <w:rsid w:val="0066682F"/>
    <w:rsid w:val="0066683F"/>
    <w:rsid w:val="00666DC7"/>
    <w:rsid w:val="00666DD4"/>
    <w:rsid w:val="00667146"/>
    <w:rsid w:val="0066727D"/>
    <w:rsid w:val="006672CB"/>
    <w:rsid w:val="006674B6"/>
    <w:rsid w:val="006675B1"/>
    <w:rsid w:val="00667668"/>
    <w:rsid w:val="006678D0"/>
    <w:rsid w:val="00667C0F"/>
    <w:rsid w:val="00667FA3"/>
    <w:rsid w:val="0067049F"/>
    <w:rsid w:val="006705D4"/>
    <w:rsid w:val="00670AF9"/>
    <w:rsid w:val="00671044"/>
    <w:rsid w:val="006715EB"/>
    <w:rsid w:val="006721AA"/>
    <w:rsid w:val="00672220"/>
    <w:rsid w:val="006722FD"/>
    <w:rsid w:val="006725F7"/>
    <w:rsid w:val="00672626"/>
    <w:rsid w:val="00672A4C"/>
    <w:rsid w:val="0067320A"/>
    <w:rsid w:val="006734F9"/>
    <w:rsid w:val="0067382E"/>
    <w:rsid w:val="006738EF"/>
    <w:rsid w:val="00673AD5"/>
    <w:rsid w:val="00673B31"/>
    <w:rsid w:val="00673CCD"/>
    <w:rsid w:val="00674052"/>
    <w:rsid w:val="00674563"/>
    <w:rsid w:val="006748DE"/>
    <w:rsid w:val="00674A52"/>
    <w:rsid w:val="00674DCD"/>
    <w:rsid w:val="00674EFC"/>
    <w:rsid w:val="00674F18"/>
    <w:rsid w:val="006756C5"/>
    <w:rsid w:val="0067571D"/>
    <w:rsid w:val="00675D61"/>
    <w:rsid w:val="00675F24"/>
    <w:rsid w:val="0067674D"/>
    <w:rsid w:val="00676799"/>
    <w:rsid w:val="006769D2"/>
    <w:rsid w:val="0067745A"/>
    <w:rsid w:val="006776D6"/>
    <w:rsid w:val="006778F8"/>
    <w:rsid w:val="006779B2"/>
    <w:rsid w:val="00677E67"/>
    <w:rsid w:val="006800AE"/>
    <w:rsid w:val="006801A1"/>
    <w:rsid w:val="0068073F"/>
    <w:rsid w:val="00680CF5"/>
    <w:rsid w:val="00680F86"/>
    <w:rsid w:val="006810D3"/>
    <w:rsid w:val="0068118E"/>
    <w:rsid w:val="00681361"/>
    <w:rsid w:val="00681AF9"/>
    <w:rsid w:val="00681C1C"/>
    <w:rsid w:val="00681D14"/>
    <w:rsid w:val="00681F88"/>
    <w:rsid w:val="006821B0"/>
    <w:rsid w:val="00682519"/>
    <w:rsid w:val="00682860"/>
    <w:rsid w:val="006834FF"/>
    <w:rsid w:val="00683914"/>
    <w:rsid w:val="00684527"/>
    <w:rsid w:val="00684B56"/>
    <w:rsid w:val="00684E2D"/>
    <w:rsid w:val="00684E66"/>
    <w:rsid w:val="00684FB9"/>
    <w:rsid w:val="0068558C"/>
    <w:rsid w:val="00685888"/>
    <w:rsid w:val="00686063"/>
    <w:rsid w:val="006869F6"/>
    <w:rsid w:val="00686C2A"/>
    <w:rsid w:val="006878A9"/>
    <w:rsid w:val="00687A66"/>
    <w:rsid w:val="00687B34"/>
    <w:rsid w:val="006904DA"/>
    <w:rsid w:val="006912C4"/>
    <w:rsid w:val="00691638"/>
    <w:rsid w:val="00691BC2"/>
    <w:rsid w:val="00692184"/>
    <w:rsid w:val="006927EB"/>
    <w:rsid w:val="00692824"/>
    <w:rsid w:val="00692A54"/>
    <w:rsid w:val="00692EA5"/>
    <w:rsid w:val="00692ED6"/>
    <w:rsid w:val="00692FA0"/>
    <w:rsid w:val="00693972"/>
    <w:rsid w:val="00693F40"/>
    <w:rsid w:val="0069405D"/>
    <w:rsid w:val="0069544F"/>
    <w:rsid w:val="00695C44"/>
    <w:rsid w:val="00695F78"/>
    <w:rsid w:val="006961EA"/>
    <w:rsid w:val="006963CC"/>
    <w:rsid w:val="00696CFE"/>
    <w:rsid w:val="0069739A"/>
    <w:rsid w:val="00697964"/>
    <w:rsid w:val="00697AD2"/>
    <w:rsid w:val="006A05C7"/>
    <w:rsid w:val="006A0D3C"/>
    <w:rsid w:val="006A0DEA"/>
    <w:rsid w:val="006A0EDD"/>
    <w:rsid w:val="006A10E7"/>
    <w:rsid w:val="006A1A35"/>
    <w:rsid w:val="006A1CA6"/>
    <w:rsid w:val="006A1FE5"/>
    <w:rsid w:val="006A236D"/>
    <w:rsid w:val="006A24D4"/>
    <w:rsid w:val="006A2FBE"/>
    <w:rsid w:val="006A3204"/>
    <w:rsid w:val="006A382D"/>
    <w:rsid w:val="006A3E5C"/>
    <w:rsid w:val="006A3EDD"/>
    <w:rsid w:val="006A4B31"/>
    <w:rsid w:val="006A53E9"/>
    <w:rsid w:val="006A61D2"/>
    <w:rsid w:val="006A61F3"/>
    <w:rsid w:val="006A640A"/>
    <w:rsid w:val="006A660D"/>
    <w:rsid w:val="006A6A95"/>
    <w:rsid w:val="006A6D94"/>
    <w:rsid w:val="006B0236"/>
    <w:rsid w:val="006B0548"/>
    <w:rsid w:val="006B0CE7"/>
    <w:rsid w:val="006B0E47"/>
    <w:rsid w:val="006B15C7"/>
    <w:rsid w:val="006B1C54"/>
    <w:rsid w:val="006B1CB5"/>
    <w:rsid w:val="006B1E19"/>
    <w:rsid w:val="006B1FBA"/>
    <w:rsid w:val="006B2387"/>
    <w:rsid w:val="006B25C4"/>
    <w:rsid w:val="006B2708"/>
    <w:rsid w:val="006B27EA"/>
    <w:rsid w:val="006B3D7A"/>
    <w:rsid w:val="006B3D93"/>
    <w:rsid w:val="006B4425"/>
    <w:rsid w:val="006B4505"/>
    <w:rsid w:val="006B4C1E"/>
    <w:rsid w:val="006B4E9A"/>
    <w:rsid w:val="006B5299"/>
    <w:rsid w:val="006B5845"/>
    <w:rsid w:val="006B5E92"/>
    <w:rsid w:val="006B6253"/>
    <w:rsid w:val="006B6BD4"/>
    <w:rsid w:val="006B6CB7"/>
    <w:rsid w:val="006B6CF3"/>
    <w:rsid w:val="006B7197"/>
    <w:rsid w:val="006B71F0"/>
    <w:rsid w:val="006B77C0"/>
    <w:rsid w:val="006B7F9D"/>
    <w:rsid w:val="006C007D"/>
    <w:rsid w:val="006C01C7"/>
    <w:rsid w:val="006C0B4D"/>
    <w:rsid w:val="006C1499"/>
    <w:rsid w:val="006C157F"/>
    <w:rsid w:val="006C178E"/>
    <w:rsid w:val="006C20CD"/>
    <w:rsid w:val="006C2224"/>
    <w:rsid w:val="006C226A"/>
    <w:rsid w:val="006C273C"/>
    <w:rsid w:val="006C2FC4"/>
    <w:rsid w:val="006C3131"/>
    <w:rsid w:val="006C36AD"/>
    <w:rsid w:val="006C36F6"/>
    <w:rsid w:val="006C3C6F"/>
    <w:rsid w:val="006C49CA"/>
    <w:rsid w:val="006C4AA0"/>
    <w:rsid w:val="006C4E01"/>
    <w:rsid w:val="006C4E41"/>
    <w:rsid w:val="006C50AB"/>
    <w:rsid w:val="006C5427"/>
    <w:rsid w:val="006C5881"/>
    <w:rsid w:val="006C588B"/>
    <w:rsid w:val="006C5F02"/>
    <w:rsid w:val="006C67C5"/>
    <w:rsid w:val="006C6A90"/>
    <w:rsid w:val="006C6B3C"/>
    <w:rsid w:val="006C719B"/>
    <w:rsid w:val="006C77E8"/>
    <w:rsid w:val="006C789F"/>
    <w:rsid w:val="006D0318"/>
    <w:rsid w:val="006D06A9"/>
    <w:rsid w:val="006D072A"/>
    <w:rsid w:val="006D0867"/>
    <w:rsid w:val="006D086B"/>
    <w:rsid w:val="006D091B"/>
    <w:rsid w:val="006D09E5"/>
    <w:rsid w:val="006D10C0"/>
    <w:rsid w:val="006D1539"/>
    <w:rsid w:val="006D1F53"/>
    <w:rsid w:val="006D2722"/>
    <w:rsid w:val="006D335E"/>
    <w:rsid w:val="006D359C"/>
    <w:rsid w:val="006D3992"/>
    <w:rsid w:val="006D3B86"/>
    <w:rsid w:val="006D3D12"/>
    <w:rsid w:val="006D419E"/>
    <w:rsid w:val="006D4394"/>
    <w:rsid w:val="006D48C5"/>
    <w:rsid w:val="006D48E5"/>
    <w:rsid w:val="006D4D74"/>
    <w:rsid w:val="006D50E3"/>
    <w:rsid w:val="006D50EE"/>
    <w:rsid w:val="006D5372"/>
    <w:rsid w:val="006D5717"/>
    <w:rsid w:val="006D5C5A"/>
    <w:rsid w:val="006D661C"/>
    <w:rsid w:val="006D661D"/>
    <w:rsid w:val="006D6B32"/>
    <w:rsid w:val="006D7075"/>
    <w:rsid w:val="006D7200"/>
    <w:rsid w:val="006D7715"/>
    <w:rsid w:val="006D787D"/>
    <w:rsid w:val="006E0D51"/>
    <w:rsid w:val="006E0F2D"/>
    <w:rsid w:val="006E10DF"/>
    <w:rsid w:val="006E1366"/>
    <w:rsid w:val="006E1AD8"/>
    <w:rsid w:val="006E2899"/>
    <w:rsid w:val="006E295E"/>
    <w:rsid w:val="006E2D72"/>
    <w:rsid w:val="006E2E39"/>
    <w:rsid w:val="006E2EFE"/>
    <w:rsid w:val="006E30FB"/>
    <w:rsid w:val="006E3214"/>
    <w:rsid w:val="006E3611"/>
    <w:rsid w:val="006E3E4D"/>
    <w:rsid w:val="006E3EE4"/>
    <w:rsid w:val="006E4C92"/>
    <w:rsid w:val="006E53C8"/>
    <w:rsid w:val="006E5590"/>
    <w:rsid w:val="006E5A43"/>
    <w:rsid w:val="006E5EA5"/>
    <w:rsid w:val="006E6328"/>
    <w:rsid w:val="006E6859"/>
    <w:rsid w:val="006E6A6B"/>
    <w:rsid w:val="006E6DE8"/>
    <w:rsid w:val="006E7582"/>
    <w:rsid w:val="006E7D1D"/>
    <w:rsid w:val="006F0E47"/>
    <w:rsid w:val="006F1370"/>
    <w:rsid w:val="006F14CC"/>
    <w:rsid w:val="006F1F09"/>
    <w:rsid w:val="006F203B"/>
    <w:rsid w:val="006F238D"/>
    <w:rsid w:val="006F2787"/>
    <w:rsid w:val="006F2822"/>
    <w:rsid w:val="006F3160"/>
    <w:rsid w:val="006F322E"/>
    <w:rsid w:val="006F39D2"/>
    <w:rsid w:val="006F3BC9"/>
    <w:rsid w:val="006F3D61"/>
    <w:rsid w:val="006F3DAC"/>
    <w:rsid w:val="006F4B3D"/>
    <w:rsid w:val="006F4E3F"/>
    <w:rsid w:val="006F4E4C"/>
    <w:rsid w:val="006F4FEE"/>
    <w:rsid w:val="006F6180"/>
    <w:rsid w:val="006F6839"/>
    <w:rsid w:val="006F699C"/>
    <w:rsid w:val="006F6A22"/>
    <w:rsid w:val="006F6FBA"/>
    <w:rsid w:val="006F7B64"/>
    <w:rsid w:val="007002AF"/>
    <w:rsid w:val="007002D3"/>
    <w:rsid w:val="007005BC"/>
    <w:rsid w:val="00700954"/>
    <w:rsid w:val="0070130F"/>
    <w:rsid w:val="007017AF"/>
    <w:rsid w:val="00702220"/>
    <w:rsid w:val="00702567"/>
    <w:rsid w:val="007026C5"/>
    <w:rsid w:val="00703072"/>
    <w:rsid w:val="00703201"/>
    <w:rsid w:val="00703642"/>
    <w:rsid w:val="00703811"/>
    <w:rsid w:val="007039DD"/>
    <w:rsid w:val="00703AAD"/>
    <w:rsid w:val="00703B62"/>
    <w:rsid w:val="007047E6"/>
    <w:rsid w:val="0070488C"/>
    <w:rsid w:val="00705399"/>
    <w:rsid w:val="007058AB"/>
    <w:rsid w:val="00706813"/>
    <w:rsid w:val="00706D4A"/>
    <w:rsid w:val="007074D2"/>
    <w:rsid w:val="00707AF0"/>
    <w:rsid w:val="00707CF6"/>
    <w:rsid w:val="0071030F"/>
    <w:rsid w:val="007103D7"/>
    <w:rsid w:val="00710F5F"/>
    <w:rsid w:val="00710FEA"/>
    <w:rsid w:val="007111A9"/>
    <w:rsid w:val="00711232"/>
    <w:rsid w:val="0071131A"/>
    <w:rsid w:val="0071168F"/>
    <w:rsid w:val="00711B7B"/>
    <w:rsid w:val="00711C2D"/>
    <w:rsid w:val="007123A6"/>
    <w:rsid w:val="00712918"/>
    <w:rsid w:val="00712F5D"/>
    <w:rsid w:val="0071329F"/>
    <w:rsid w:val="00713327"/>
    <w:rsid w:val="00713A20"/>
    <w:rsid w:val="00714AF2"/>
    <w:rsid w:val="00714D91"/>
    <w:rsid w:val="007154D7"/>
    <w:rsid w:val="00715531"/>
    <w:rsid w:val="007158EB"/>
    <w:rsid w:val="007159D7"/>
    <w:rsid w:val="007161ED"/>
    <w:rsid w:val="00716C54"/>
    <w:rsid w:val="00717289"/>
    <w:rsid w:val="007175C6"/>
    <w:rsid w:val="00720E3E"/>
    <w:rsid w:val="007217B0"/>
    <w:rsid w:val="007217ED"/>
    <w:rsid w:val="00721FA8"/>
    <w:rsid w:val="007222DD"/>
    <w:rsid w:val="007225C2"/>
    <w:rsid w:val="00722949"/>
    <w:rsid w:val="007229B3"/>
    <w:rsid w:val="00723A42"/>
    <w:rsid w:val="00723AA2"/>
    <w:rsid w:val="007240AB"/>
    <w:rsid w:val="00724427"/>
    <w:rsid w:val="00724645"/>
    <w:rsid w:val="00724A0D"/>
    <w:rsid w:val="007255B3"/>
    <w:rsid w:val="00726872"/>
    <w:rsid w:val="00726963"/>
    <w:rsid w:val="0072732F"/>
    <w:rsid w:val="00727888"/>
    <w:rsid w:val="00727C2D"/>
    <w:rsid w:val="00730BC0"/>
    <w:rsid w:val="007310B7"/>
    <w:rsid w:val="00731224"/>
    <w:rsid w:val="00731BB6"/>
    <w:rsid w:val="00732188"/>
    <w:rsid w:val="007325D3"/>
    <w:rsid w:val="00732ACB"/>
    <w:rsid w:val="007336EE"/>
    <w:rsid w:val="00733861"/>
    <w:rsid w:val="00733AC2"/>
    <w:rsid w:val="00733B35"/>
    <w:rsid w:val="0073431B"/>
    <w:rsid w:val="00734373"/>
    <w:rsid w:val="007347CB"/>
    <w:rsid w:val="00734891"/>
    <w:rsid w:val="00734ADF"/>
    <w:rsid w:val="00734C26"/>
    <w:rsid w:val="007352CB"/>
    <w:rsid w:val="007358AD"/>
    <w:rsid w:val="007359A9"/>
    <w:rsid w:val="00735A89"/>
    <w:rsid w:val="00735D43"/>
    <w:rsid w:val="00736874"/>
    <w:rsid w:val="0073699C"/>
    <w:rsid w:val="0073728E"/>
    <w:rsid w:val="007376F1"/>
    <w:rsid w:val="00737C40"/>
    <w:rsid w:val="00737D54"/>
    <w:rsid w:val="00737FB2"/>
    <w:rsid w:val="00740478"/>
    <w:rsid w:val="00740589"/>
    <w:rsid w:val="00740616"/>
    <w:rsid w:val="00741641"/>
    <w:rsid w:val="0074178F"/>
    <w:rsid w:val="00742582"/>
    <w:rsid w:val="00742970"/>
    <w:rsid w:val="007429DE"/>
    <w:rsid w:val="0074394F"/>
    <w:rsid w:val="00743D37"/>
    <w:rsid w:val="00744175"/>
    <w:rsid w:val="0074497A"/>
    <w:rsid w:val="007449AC"/>
    <w:rsid w:val="00744F44"/>
    <w:rsid w:val="007457F6"/>
    <w:rsid w:val="00745D88"/>
    <w:rsid w:val="00746EB3"/>
    <w:rsid w:val="00746EEB"/>
    <w:rsid w:val="00746FD9"/>
    <w:rsid w:val="00747343"/>
    <w:rsid w:val="007479AA"/>
    <w:rsid w:val="007479D8"/>
    <w:rsid w:val="00747A86"/>
    <w:rsid w:val="00747BAC"/>
    <w:rsid w:val="00747CCF"/>
    <w:rsid w:val="00747F8E"/>
    <w:rsid w:val="007505E6"/>
    <w:rsid w:val="00750658"/>
    <w:rsid w:val="007508BF"/>
    <w:rsid w:val="00750CA7"/>
    <w:rsid w:val="00750F39"/>
    <w:rsid w:val="00750F82"/>
    <w:rsid w:val="00751055"/>
    <w:rsid w:val="007513BD"/>
    <w:rsid w:val="00751534"/>
    <w:rsid w:val="00751553"/>
    <w:rsid w:val="0075187F"/>
    <w:rsid w:val="00752731"/>
    <w:rsid w:val="0075287C"/>
    <w:rsid w:val="007537B8"/>
    <w:rsid w:val="007540CA"/>
    <w:rsid w:val="00754152"/>
    <w:rsid w:val="007541C2"/>
    <w:rsid w:val="00754AD0"/>
    <w:rsid w:val="00755C78"/>
    <w:rsid w:val="007561F8"/>
    <w:rsid w:val="007565BC"/>
    <w:rsid w:val="00756688"/>
    <w:rsid w:val="007568E7"/>
    <w:rsid w:val="00756C22"/>
    <w:rsid w:val="00756CDB"/>
    <w:rsid w:val="00756D2D"/>
    <w:rsid w:val="00756FCC"/>
    <w:rsid w:val="00757A0B"/>
    <w:rsid w:val="0076078B"/>
    <w:rsid w:val="0076095F"/>
    <w:rsid w:val="0076199F"/>
    <w:rsid w:val="007622EA"/>
    <w:rsid w:val="00762A6F"/>
    <w:rsid w:val="00763099"/>
    <w:rsid w:val="00763613"/>
    <w:rsid w:val="00763726"/>
    <w:rsid w:val="00763FA8"/>
    <w:rsid w:val="00764887"/>
    <w:rsid w:val="00764E82"/>
    <w:rsid w:val="00765101"/>
    <w:rsid w:val="007656BE"/>
    <w:rsid w:val="00765A50"/>
    <w:rsid w:val="00765BE0"/>
    <w:rsid w:val="00766229"/>
    <w:rsid w:val="007662E2"/>
    <w:rsid w:val="00766496"/>
    <w:rsid w:val="0076661B"/>
    <w:rsid w:val="007667A7"/>
    <w:rsid w:val="00766E47"/>
    <w:rsid w:val="0076757E"/>
    <w:rsid w:val="00767B73"/>
    <w:rsid w:val="007701FF"/>
    <w:rsid w:val="00771272"/>
    <w:rsid w:val="00772A5A"/>
    <w:rsid w:val="00772A77"/>
    <w:rsid w:val="00773540"/>
    <w:rsid w:val="00774508"/>
    <w:rsid w:val="00774942"/>
    <w:rsid w:val="0077565D"/>
    <w:rsid w:val="007757D8"/>
    <w:rsid w:val="0077658B"/>
    <w:rsid w:val="00776768"/>
    <w:rsid w:val="0077686F"/>
    <w:rsid w:val="00776B8D"/>
    <w:rsid w:val="007770D5"/>
    <w:rsid w:val="00777128"/>
    <w:rsid w:val="00777177"/>
    <w:rsid w:val="00777750"/>
    <w:rsid w:val="00777795"/>
    <w:rsid w:val="00780050"/>
    <w:rsid w:val="007803E5"/>
    <w:rsid w:val="00780935"/>
    <w:rsid w:val="00780D4D"/>
    <w:rsid w:val="00781788"/>
    <w:rsid w:val="00781B13"/>
    <w:rsid w:val="00781F33"/>
    <w:rsid w:val="0078224D"/>
    <w:rsid w:val="0078299B"/>
    <w:rsid w:val="00782E54"/>
    <w:rsid w:val="00782E97"/>
    <w:rsid w:val="00782EF5"/>
    <w:rsid w:val="0078320E"/>
    <w:rsid w:val="00783590"/>
    <w:rsid w:val="007836A3"/>
    <w:rsid w:val="00783738"/>
    <w:rsid w:val="007839B7"/>
    <w:rsid w:val="00784073"/>
    <w:rsid w:val="007840AF"/>
    <w:rsid w:val="00784220"/>
    <w:rsid w:val="00784DC5"/>
    <w:rsid w:val="00784F1A"/>
    <w:rsid w:val="007850A7"/>
    <w:rsid w:val="007857C0"/>
    <w:rsid w:val="00785B26"/>
    <w:rsid w:val="00786024"/>
    <w:rsid w:val="00786116"/>
    <w:rsid w:val="007861D9"/>
    <w:rsid w:val="00786262"/>
    <w:rsid w:val="00786440"/>
    <w:rsid w:val="00786DEF"/>
    <w:rsid w:val="00787E45"/>
    <w:rsid w:val="00787F70"/>
    <w:rsid w:val="00790032"/>
    <w:rsid w:val="0079005A"/>
    <w:rsid w:val="00790167"/>
    <w:rsid w:val="00790C53"/>
    <w:rsid w:val="00790DCE"/>
    <w:rsid w:val="0079170C"/>
    <w:rsid w:val="007918E3"/>
    <w:rsid w:val="00791BB7"/>
    <w:rsid w:val="0079286A"/>
    <w:rsid w:val="00792A64"/>
    <w:rsid w:val="00792ABD"/>
    <w:rsid w:val="00792B73"/>
    <w:rsid w:val="00793478"/>
    <w:rsid w:val="0079387F"/>
    <w:rsid w:val="00793B10"/>
    <w:rsid w:val="00793F49"/>
    <w:rsid w:val="0079405A"/>
    <w:rsid w:val="00794859"/>
    <w:rsid w:val="00794CB1"/>
    <w:rsid w:val="00794DA6"/>
    <w:rsid w:val="00795DF6"/>
    <w:rsid w:val="00796146"/>
    <w:rsid w:val="007961CB"/>
    <w:rsid w:val="00796A1D"/>
    <w:rsid w:val="00796E5C"/>
    <w:rsid w:val="007977D0"/>
    <w:rsid w:val="00797888"/>
    <w:rsid w:val="00797959"/>
    <w:rsid w:val="007A01EB"/>
    <w:rsid w:val="007A0345"/>
    <w:rsid w:val="007A0522"/>
    <w:rsid w:val="007A08B4"/>
    <w:rsid w:val="007A0DD9"/>
    <w:rsid w:val="007A1072"/>
    <w:rsid w:val="007A1087"/>
    <w:rsid w:val="007A11E2"/>
    <w:rsid w:val="007A133D"/>
    <w:rsid w:val="007A142D"/>
    <w:rsid w:val="007A1A49"/>
    <w:rsid w:val="007A1C80"/>
    <w:rsid w:val="007A2612"/>
    <w:rsid w:val="007A284D"/>
    <w:rsid w:val="007A28F9"/>
    <w:rsid w:val="007A305B"/>
    <w:rsid w:val="007A332B"/>
    <w:rsid w:val="007A3959"/>
    <w:rsid w:val="007A3C54"/>
    <w:rsid w:val="007A3C88"/>
    <w:rsid w:val="007A4458"/>
    <w:rsid w:val="007A4520"/>
    <w:rsid w:val="007A4914"/>
    <w:rsid w:val="007A51BB"/>
    <w:rsid w:val="007A5B82"/>
    <w:rsid w:val="007A5BA8"/>
    <w:rsid w:val="007A5D88"/>
    <w:rsid w:val="007A603C"/>
    <w:rsid w:val="007A6436"/>
    <w:rsid w:val="007A6928"/>
    <w:rsid w:val="007A78BE"/>
    <w:rsid w:val="007A7951"/>
    <w:rsid w:val="007A7A40"/>
    <w:rsid w:val="007A7FCA"/>
    <w:rsid w:val="007B012F"/>
    <w:rsid w:val="007B0132"/>
    <w:rsid w:val="007B0ED8"/>
    <w:rsid w:val="007B1421"/>
    <w:rsid w:val="007B1476"/>
    <w:rsid w:val="007B1660"/>
    <w:rsid w:val="007B1737"/>
    <w:rsid w:val="007B1D6C"/>
    <w:rsid w:val="007B1D8D"/>
    <w:rsid w:val="007B1EB0"/>
    <w:rsid w:val="007B2915"/>
    <w:rsid w:val="007B2F16"/>
    <w:rsid w:val="007B3048"/>
    <w:rsid w:val="007B3130"/>
    <w:rsid w:val="007B49B2"/>
    <w:rsid w:val="007B49FA"/>
    <w:rsid w:val="007B5213"/>
    <w:rsid w:val="007B5912"/>
    <w:rsid w:val="007B5BAE"/>
    <w:rsid w:val="007B5EA4"/>
    <w:rsid w:val="007B722A"/>
    <w:rsid w:val="007B775C"/>
    <w:rsid w:val="007C004E"/>
    <w:rsid w:val="007C02B9"/>
    <w:rsid w:val="007C148A"/>
    <w:rsid w:val="007C19DE"/>
    <w:rsid w:val="007C19E2"/>
    <w:rsid w:val="007C23CB"/>
    <w:rsid w:val="007C25A9"/>
    <w:rsid w:val="007C284D"/>
    <w:rsid w:val="007C3641"/>
    <w:rsid w:val="007C39D8"/>
    <w:rsid w:val="007C3AA1"/>
    <w:rsid w:val="007C3C80"/>
    <w:rsid w:val="007C4842"/>
    <w:rsid w:val="007C496C"/>
    <w:rsid w:val="007C576C"/>
    <w:rsid w:val="007C5882"/>
    <w:rsid w:val="007C5C73"/>
    <w:rsid w:val="007C6960"/>
    <w:rsid w:val="007C6CE7"/>
    <w:rsid w:val="007C6E16"/>
    <w:rsid w:val="007C6F15"/>
    <w:rsid w:val="007C735D"/>
    <w:rsid w:val="007C7617"/>
    <w:rsid w:val="007C796B"/>
    <w:rsid w:val="007C7BE0"/>
    <w:rsid w:val="007C7D4E"/>
    <w:rsid w:val="007C7DD0"/>
    <w:rsid w:val="007D022E"/>
    <w:rsid w:val="007D052E"/>
    <w:rsid w:val="007D07A8"/>
    <w:rsid w:val="007D119D"/>
    <w:rsid w:val="007D127C"/>
    <w:rsid w:val="007D16D0"/>
    <w:rsid w:val="007D268D"/>
    <w:rsid w:val="007D28DC"/>
    <w:rsid w:val="007D298C"/>
    <w:rsid w:val="007D2F4F"/>
    <w:rsid w:val="007D3651"/>
    <w:rsid w:val="007D37A8"/>
    <w:rsid w:val="007D383E"/>
    <w:rsid w:val="007D38CA"/>
    <w:rsid w:val="007D3C92"/>
    <w:rsid w:val="007D3E28"/>
    <w:rsid w:val="007D4AE9"/>
    <w:rsid w:val="007D4E6F"/>
    <w:rsid w:val="007D56A6"/>
    <w:rsid w:val="007D5A40"/>
    <w:rsid w:val="007D5C15"/>
    <w:rsid w:val="007D5E89"/>
    <w:rsid w:val="007D6162"/>
    <w:rsid w:val="007D6B79"/>
    <w:rsid w:val="007D6EA6"/>
    <w:rsid w:val="007D70F9"/>
    <w:rsid w:val="007D714E"/>
    <w:rsid w:val="007D78D2"/>
    <w:rsid w:val="007D7BA1"/>
    <w:rsid w:val="007E0744"/>
    <w:rsid w:val="007E07A3"/>
    <w:rsid w:val="007E1198"/>
    <w:rsid w:val="007E1ABC"/>
    <w:rsid w:val="007E230B"/>
    <w:rsid w:val="007E2681"/>
    <w:rsid w:val="007E29AB"/>
    <w:rsid w:val="007E32FF"/>
    <w:rsid w:val="007E39A1"/>
    <w:rsid w:val="007E4677"/>
    <w:rsid w:val="007E495D"/>
    <w:rsid w:val="007E49F5"/>
    <w:rsid w:val="007E4B2D"/>
    <w:rsid w:val="007E507B"/>
    <w:rsid w:val="007E5210"/>
    <w:rsid w:val="007E53F9"/>
    <w:rsid w:val="007E5CEC"/>
    <w:rsid w:val="007E5F20"/>
    <w:rsid w:val="007E624E"/>
    <w:rsid w:val="007E7483"/>
    <w:rsid w:val="007E760E"/>
    <w:rsid w:val="007E7746"/>
    <w:rsid w:val="007E7C4E"/>
    <w:rsid w:val="007F0273"/>
    <w:rsid w:val="007F0E6B"/>
    <w:rsid w:val="007F126A"/>
    <w:rsid w:val="007F13A4"/>
    <w:rsid w:val="007F1AFE"/>
    <w:rsid w:val="007F2AFD"/>
    <w:rsid w:val="007F2DD5"/>
    <w:rsid w:val="007F304C"/>
    <w:rsid w:val="007F37D9"/>
    <w:rsid w:val="007F3A05"/>
    <w:rsid w:val="007F48C4"/>
    <w:rsid w:val="007F4918"/>
    <w:rsid w:val="007F4A1F"/>
    <w:rsid w:val="007F4DB2"/>
    <w:rsid w:val="007F4E59"/>
    <w:rsid w:val="007F4EC0"/>
    <w:rsid w:val="007F50BE"/>
    <w:rsid w:val="007F583C"/>
    <w:rsid w:val="007F627C"/>
    <w:rsid w:val="007F677F"/>
    <w:rsid w:val="007F6824"/>
    <w:rsid w:val="007F69C2"/>
    <w:rsid w:val="007F6EF2"/>
    <w:rsid w:val="007F70B5"/>
    <w:rsid w:val="007F75B8"/>
    <w:rsid w:val="007F7628"/>
    <w:rsid w:val="007F779B"/>
    <w:rsid w:val="007F79F7"/>
    <w:rsid w:val="008001CD"/>
    <w:rsid w:val="008005D5"/>
    <w:rsid w:val="00800797"/>
    <w:rsid w:val="00800EE6"/>
    <w:rsid w:val="008010B5"/>
    <w:rsid w:val="008013E8"/>
    <w:rsid w:val="008015DF"/>
    <w:rsid w:val="008016B9"/>
    <w:rsid w:val="00801C22"/>
    <w:rsid w:val="00801DF4"/>
    <w:rsid w:val="008024C3"/>
    <w:rsid w:val="00802F5F"/>
    <w:rsid w:val="008031F0"/>
    <w:rsid w:val="008036AC"/>
    <w:rsid w:val="0080388D"/>
    <w:rsid w:val="00803C3D"/>
    <w:rsid w:val="00804070"/>
    <w:rsid w:val="008055B4"/>
    <w:rsid w:val="008058B8"/>
    <w:rsid w:val="008058C9"/>
    <w:rsid w:val="00805EF5"/>
    <w:rsid w:val="00806433"/>
    <w:rsid w:val="0080657E"/>
    <w:rsid w:val="008068BD"/>
    <w:rsid w:val="00807253"/>
    <w:rsid w:val="008073A8"/>
    <w:rsid w:val="00807DB0"/>
    <w:rsid w:val="00810161"/>
    <w:rsid w:val="008101F4"/>
    <w:rsid w:val="0081089E"/>
    <w:rsid w:val="00810E4B"/>
    <w:rsid w:val="008110A4"/>
    <w:rsid w:val="008112B1"/>
    <w:rsid w:val="008118B2"/>
    <w:rsid w:val="00811F03"/>
    <w:rsid w:val="008128E2"/>
    <w:rsid w:val="00812C4F"/>
    <w:rsid w:val="00813049"/>
    <w:rsid w:val="0081320E"/>
    <w:rsid w:val="008141EB"/>
    <w:rsid w:val="008142BE"/>
    <w:rsid w:val="00814574"/>
    <w:rsid w:val="00814918"/>
    <w:rsid w:val="00814C41"/>
    <w:rsid w:val="008150D6"/>
    <w:rsid w:val="008155E6"/>
    <w:rsid w:val="00816362"/>
    <w:rsid w:val="00816914"/>
    <w:rsid w:val="00816A4B"/>
    <w:rsid w:val="00816B7C"/>
    <w:rsid w:val="00817CB2"/>
    <w:rsid w:val="008200D0"/>
    <w:rsid w:val="0082023B"/>
    <w:rsid w:val="008205A8"/>
    <w:rsid w:val="00820651"/>
    <w:rsid w:val="00820990"/>
    <w:rsid w:val="00820B7E"/>
    <w:rsid w:val="00820E22"/>
    <w:rsid w:val="0082112D"/>
    <w:rsid w:val="00821D9B"/>
    <w:rsid w:val="00822385"/>
    <w:rsid w:val="00822478"/>
    <w:rsid w:val="008225E2"/>
    <w:rsid w:val="008227CE"/>
    <w:rsid w:val="00822FC5"/>
    <w:rsid w:val="008233A0"/>
    <w:rsid w:val="00823AF4"/>
    <w:rsid w:val="00823DAA"/>
    <w:rsid w:val="0082446F"/>
    <w:rsid w:val="00824615"/>
    <w:rsid w:val="00824D67"/>
    <w:rsid w:val="008251F6"/>
    <w:rsid w:val="00825296"/>
    <w:rsid w:val="00825923"/>
    <w:rsid w:val="00826579"/>
    <w:rsid w:val="00826781"/>
    <w:rsid w:val="00826A25"/>
    <w:rsid w:val="00826D29"/>
    <w:rsid w:val="00826E67"/>
    <w:rsid w:val="00827014"/>
    <w:rsid w:val="00827317"/>
    <w:rsid w:val="00827BBB"/>
    <w:rsid w:val="00827D19"/>
    <w:rsid w:val="008301A8"/>
    <w:rsid w:val="00830D6E"/>
    <w:rsid w:val="00831218"/>
    <w:rsid w:val="008316E0"/>
    <w:rsid w:val="00831755"/>
    <w:rsid w:val="00831A5D"/>
    <w:rsid w:val="00831AC1"/>
    <w:rsid w:val="00831B1C"/>
    <w:rsid w:val="008325D1"/>
    <w:rsid w:val="00832904"/>
    <w:rsid w:val="00833252"/>
    <w:rsid w:val="008332EC"/>
    <w:rsid w:val="008336B8"/>
    <w:rsid w:val="00833C55"/>
    <w:rsid w:val="008341F6"/>
    <w:rsid w:val="00834C2D"/>
    <w:rsid w:val="00835DCE"/>
    <w:rsid w:val="008360CE"/>
    <w:rsid w:val="00836B23"/>
    <w:rsid w:val="00836E8D"/>
    <w:rsid w:val="00837C39"/>
    <w:rsid w:val="00837D86"/>
    <w:rsid w:val="008411E1"/>
    <w:rsid w:val="0084167D"/>
    <w:rsid w:val="008419ED"/>
    <w:rsid w:val="00841F8D"/>
    <w:rsid w:val="008422BF"/>
    <w:rsid w:val="0084247D"/>
    <w:rsid w:val="00842CD5"/>
    <w:rsid w:val="00842D7B"/>
    <w:rsid w:val="00842EB4"/>
    <w:rsid w:val="00843229"/>
    <w:rsid w:val="0084381D"/>
    <w:rsid w:val="0084466B"/>
    <w:rsid w:val="00844785"/>
    <w:rsid w:val="008447B0"/>
    <w:rsid w:val="0084532F"/>
    <w:rsid w:val="008453AD"/>
    <w:rsid w:val="008456EC"/>
    <w:rsid w:val="00845A42"/>
    <w:rsid w:val="00845A82"/>
    <w:rsid w:val="00845D53"/>
    <w:rsid w:val="008475D4"/>
    <w:rsid w:val="00847E27"/>
    <w:rsid w:val="00850452"/>
    <w:rsid w:val="008506C0"/>
    <w:rsid w:val="0085099E"/>
    <w:rsid w:val="00851057"/>
    <w:rsid w:val="00851092"/>
    <w:rsid w:val="00851428"/>
    <w:rsid w:val="0085143A"/>
    <w:rsid w:val="008523CD"/>
    <w:rsid w:val="0085266B"/>
    <w:rsid w:val="00852C9E"/>
    <w:rsid w:val="00853DB1"/>
    <w:rsid w:val="00854097"/>
    <w:rsid w:val="008541AE"/>
    <w:rsid w:val="008544A1"/>
    <w:rsid w:val="00854C81"/>
    <w:rsid w:val="00855294"/>
    <w:rsid w:val="00855939"/>
    <w:rsid w:val="00855CA1"/>
    <w:rsid w:val="00855DA6"/>
    <w:rsid w:val="008561E4"/>
    <w:rsid w:val="00856976"/>
    <w:rsid w:val="00856CCE"/>
    <w:rsid w:val="0085735B"/>
    <w:rsid w:val="00857576"/>
    <w:rsid w:val="008603D9"/>
    <w:rsid w:val="00860491"/>
    <w:rsid w:val="00860A37"/>
    <w:rsid w:val="00860EB0"/>
    <w:rsid w:val="00860ECA"/>
    <w:rsid w:val="00860FC9"/>
    <w:rsid w:val="008616D3"/>
    <w:rsid w:val="008619A5"/>
    <w:rsid w:val="008619B2"/>
    <w:rsid w:val="008619C5"/>
    <w:rsid w:val="00861EFC"/>
    <w:rsid w:val="008634B7"/>
    <w:rsid w:val="008637D2"/>
    <w:rsid w:val="00863872"/>
    <w:rsid w:val="00863EEA"/>
    <w:rsid w:val="00863EF3"/>
    <w:rsid w:val="0086432F"/>
    <w:rsid w:val="00864CBC"/>
    <w:rsid w:val="0086506B"/>
    <w:rsid w:val="0086594C"/>
    <w:rsid w:val="00865CC9"/>
    <w:rsid w:val="00865D79"/>
    <w:rsid w:val="00865EDF"/>
    <w:rsid w:val="008669FE"/>
    <w:rsid w:val="00866ACE"/>
    <w:rsid w:val="00866CCB"/>
    <w:rsid w:val="00867498"/>
    <w:rsid w:val="0086781E"/>
    <w:rsid w:val="00867E4C"/>
    <w:rsid w:val="008705B7"/>
    <w:rsid w:val="00871234"/>
    <w:rsid w:val="008712F1"/>
    <w:rsid w:val="00871760"/>
    <w:rsid w:val="008718D8"/>
    <w:rsid w:val="00871F79"/>
    <w:rsid w:val="008721E1"/>
    <w:rsid w:val="008730FE"/>
    <w:rsid w:val="008732DC"/>
    <w:rsid w:val="00873B1F"/>
    <w:rsid w:val="008747C1"/>
    <w:rsid w:val="00874C4E"/>
    <w:rsid w:val="00874E8F"/>
    <w:rsid w:val="0087506D"/>
    <w:rsid w:val="0087543E"/>
    <w:rsid w:val="00875A15"/>
    <w:rsid w:val="00875AB7"/>
    <w:rsid w:val="00875B12"/>
    <w:rsid w:val="00875B3F"/>
    <w:rsid w:val="008762EC"/>
    <w:rsid w:val="00876394"/>
    <w:rsid w:val="008765E1"/>
    <w:rsid w:val="0087692A"/>
    <w:rsid w:val="00876A3B"/>
    <w:rsid w:val="00876D2F"/>
    <w:rsid w:val="008774FE"/>
    <w:rsid w:val="00877CAF"/>
    <w:rsid w:val="008804DC"/>
    <w:rsid w:val="008805BF"/>
    <w:rsid w:val="008809D3"/>
    <w:rsid w:val="008817E2"/>
    <w:rsid w:val="00881EE0"/>
    <w:rsid w:val="00882107"/>
    <w:rsid w:val="00882232"/>
    <w:rsid w:val="00882C8C"/>
    <w:rsid w:val="0088390B"/>
    <w:rsid w:val="0088413C"/>
    <w:rsid w:val="008845DB"/>
    <w:rsid w:val="00884928"/>
    <w:rsid w:val="0088496C"/>
    <w:rsid w:val="008855BC"/>
    <w:rsid w:val="00885914"/>
    <w:rsid w:val="00886598"/>
    <w:rsid w:val="0088675B"/>
    <w:rsid w:val="008867AB"/>
    <w:rsid w:val="00886ED6"/>
    <w:rsid w:val="00886F70"/>
    <w:rsid w:val="00887544"/>
    <w:rsid w:val="0088776C"/>
    <w:rsid w:val="00887AF8"/>
    <w:rsid w:val="00890527"/>
    <w:rsid w:val="00890D5F"/>
    <w:rsid w:val="00890DF3"/>
    <w:rsid w:val="00890FF1"/>
    <w:rsid w:val="00891D85"/>
    <w:rsid w:val="00891DE9"/>
    <w:rsid w:val="00892200"/>
    <w:rsid w:val="008923B7"/>
    <w:rsid w:val="0089307A"/>
    <w:rsid w:val="00893F4C"/>
    <w:rsid w:val="00894308"/>
    <w:rsid w:val="00894AEF"/>
    <w:rsid w:val="00894DA7"/>
    <w:rsid w:val="00894FD8"/>
    <w:rsid w:val="008950CC"/>
    <w:rsid w:val="00895F96"/>
    <w:rsid w:val="00896145"/>
    <w:rsid w:val="008961FF"/>
    <w:rsid w:val="0089631F"/>
    <w:rsid w:val="00896625"/>
    <w:rsid w:val="0089679B"/>
    <w:rsid w:val="00896822"/>
    <w:rsid w:val="00896BCC"/>
    <w:rsid w:val="0089736B"/>
    <w:rsid w:val="00897805"/>
    <w:rsid w:val="008A0098"/>
    <w:rsid w:val="008A0684"/>
    <w:rsid w:val="008A06CC"/>
    <w:rsid w:val="008A0808"/>
    <w:rsid w:val="008A147B"/>
    <w:rsid w:val="008A183E"/>
    <w:rsid w:val="008A1B41"/>
    <w:rsid w:val="008A1DA1"/>
    <w:rsid w:val="008A237F"/>
    <w:rsid w:val="008A2975"/>
    <w:rsid w:val="008A3034"/>
    <w:rsid w:val="008A306F"/>
    <w:rsid w:val="008A3725"/>
    <w:rsid w:val="008A3FAA"/>
    <w:rsid w:val="008A4D12"/>
    <w:rsid w:val="008A50B6"/>
    <w:rsid w:val="008A5399"/>
    <w:rsid w:val="008A5CEF"/>
    <w:rsid w:val="008A5F2D"/>
    <w:rsid w:val="008A71F2"/>
    <w:rsid w:val="008A7215"/>
    <w:rsid w:val="008A73D6"/>
    <w:rsid w:val="008A753B"/>
    <w:rsid w:val="008B072C"/>
    <w:rsid w:val="008B123C"/>
    <w:rsid w:val="008B1C68"/>
    <w:rsid w:val="008B1F6A"/>
    <w:rsid w:val="008B1FE9"/>
    <w:rsid w:val="008B21E9"/>
    <w:rsid w:val="008B262E"/>
    <w:rsid w:val="008B29DF"/>
    <w:rsid w:val="008B2E3C"/>
    <w:rsid w:val="008B30F2"/>
    <w:rsid w:val="008B31C8"/>
    <w:rsid w:val="008B3433"/>
    <w:rsid w:val="008B3CB0"/>
    <w:rsid w:val="008B40D3"/>
    <w:rsid w:val="008B41B9"/>
    <w:rsid w:val="008B479C"/>
    <w:rsid w:val="008B7464"/>
    <w:rsid w:val="008B7745"/>
    <w:rsid w:val="008B7BAD"/>
    <w:rsid w:val="008C198C"/>
    <w:rsid w:val="008C1E34"/>
    <w:rsid w:val="008C24B3"/>
    <w:rsid w:val="008C257A"/>
    <w:rsid w:val="008C3427"/>
    <w:rsid w:val="008C35F5"/>
    <w:rsid w:val="008C3864"/>
    <w:rsid w:val="008C4174"/>
    <w:rsid w:val="008C43A0"/>
    <w:rsid w:val="008C4EBD"/>
    <w:rsid w:val="008C5509"/>
    <w:rsid w:val="008C59EE"/>
    <w:rsid w:val="008C5F06"/>
    <w:rsid w:val="008C6086"/>
    <w:rsid w:val="008C65A5"/>
    <w:rsid w:val="008C6D64"/>
    <w:rsid w:val="008C766E"/>
    <w:rsid w:val="008C78A5"/>
    <w:rsid w:val="008D0425"/>
    <w:rsid w:val="008D16CB"/>
    <w:rsid w:val="008D1A96"/>
    <w:rsid w:val="008D2AF2"/>
    <w:rsid w:val="008D3117"/>
    <w:rsid w:val="008D3A97"/>
    <w:rsid w:val="008D3EB6"/>
    <w:rsid w:val="008D459A"/>
    <w:rsid w:val="008D47EC"/>
    <w:rsid w:val="008D4843"/>
    <w:rsid w:val="008D4C5C"/>
    <w:rsid w:val="008D4E3A"/>
    <w:rsid w:val="008D623F"/>
    <w:rsid w:val="008D6FA5"/>
    <w:rsid w:val="008D7096"/>
    <w:rsid w:val="008D74FA"/>
    <w:rsid w:val="008D78D9"/>
    <w:rsid w:val="008E0710"/>
    <w:rsid w:val="008E0C06"/>
    <w:rsid w:val="008E1527"/>
    <w:rsid w:val="008E1E7B"/>
    <w:rsid w:val="008E4171"/>
    <w:rsid w:val="008E4261"/>
    <w:rsid w:val="008E42EB"/>
    <w:rsid w:val="008E441D"/>
    <w:rsid w:val="008E44BC"/>
    <w:rsid w:val="008E4724"/>
    <w:rsid w:val="008E63AE"/>
    <w:rsid w:val="008E6512"/>
    <w:rsid w:val="008E69F6"/>
    <w:rsid w:val="008E6D8B"/>
    <w:rsid w:val="008E700E"/>
    <w:rsid w:val="008E701C"/>
    <w:rsid w:val="008E7951"/>
    <w:rsid w:val="008E7B30"/>
    <w:rsid w:val="008E7DB6"/>
    <w:rsid w:val="008E7F3E"/>
    <w:rsid w:val="008F0491"/>
    <w:rsid w:val="008F0592"/>
    <w:rsid w:val="008F05B3"/>
    <w:rsid w:val="008F0BEC"/>
    <w:rsid w:val="008F0F2A"/>
    <w:rsid w:val="008F1147"/>
    <w:rsid w:val="008F1718"/>
    <w:rsid w:val="008F185F"/>
    <w:rsid w:val="008F2E7A"/>
    <w:rsid w:val="008F30E6"/>
    <w:rsid w:val="008F3504"/>
    <w:rsid w:val="008F3AAC"/>
    <w:rsid w:val="008F3CCB"/>
    <w:rsid w:val="008F3E38"/>
    <w:rsid w:val="008F4292"/>
    <w:rsid w:val="008F4755"/>
    <w:rsid w:val="008F4A13"/>
    <w:rsid w:val="008F4A72"/>
    <w:rsid w:val="008F51C2"/>
    <w:rsid w:val="008F5703"/>
    <w:rsid w:val="008F5721"/>
    <w:rsid w:val="008F5891"/>
    <w:rsid w:val="008F5ADC"/>
    <w:rsid w:val="008F5B96"/>
    <w:rsid w:val="008F5DD1"/>
    <w:rsid w:val="008F5FA7"/>
    <w:rsid w:val="008F6432"/>
    <w:rsid w:val="008F6460"/>
    <w:rsid w:val="008F706A"/>
    <w:rsid w:val="008F72C1"/>
    <w:rsid w:val="008F7883"/>
    <w:rsid w:val="008F7FD3"/>
    <w:rsid w:val="00900AC8"/>
    <w:rsid w:val="0090137D"/>
    <w:rsid w:val="00901739"/>
    <w:rsid w:val="009018AD"/>
    <w:rsid w:val="00902410"/>
    <w:rsid w:val="00902817"/>
    <w:rsid w:val="00902BBF"/>
    <w:rsid w:val="0090315B"/>
    <w:rsid w:val="00903195"/>
    <w:rsid w:val="00903CA3"/>
    <w:rsid w:val="009040E9"/>
    <w:rsid w:val="00904296"/>
    <w:rsid w:val="00904376"/>
    <w:rsid w:val="009049EC"/>
    <w:rsid w:val="00904DE6"/>
    <w:rsid w:val="00904E3E"/>
    <w:rsid w:val="00904EEF"/>
    <w:rsid w:val="00904F8C"/>
    <w:rsid w:val="00905242"/>
    <w:rsid w:val="00905440"/>
    <w:rsid w:val="00905608"/>
    <w:rsid w:val="009062BF"/>
    <w:rsid w:val="009063ED"/>
    <w:rsid w:val="009064E9"/>
    <w:rsid w:val="009069A4"/>
    <w:rsid w:val="0090763B"/>
    <w:rsid w:val="009078C9"/>
    <w:rsid w:val="00907C6C"/>
    <w:rsid w:val="00907FFE"/>
    <w:rsid w:val="00910240"/>
    <w:rsid w:val="0091090D"/>
    <w:rsid w:val="00910934"/>
    <w:rsid w:val="00910BD6"/>
    <w:rsid w:val="00910D8F"/>
    <w:rsid w:val="00910D97"/>
    <w:rsid w:val="00910FB9"/>
    <w:rsid w:val="00911676"/>
    <w:rsid w:val="00911726"/>
    <w:rsid w:val="00912D87"/>
    <w:rsid w:val="009133A7"/>
    <w:rsid w:val="00913899"/>
    <w:rsid w:val="009145F5"/>
    <w:rsid w:val="009147A6"/>
    <w:rsid w:val="00914CB0"/>
    <w:rsid w:val="0091530E"/>
    <w:rsid w:val="009153EA"/>
    <w:rsid w:val="00916223"/>
    <w:rsid w:val="009165D8"/>
    <w:rsid w:val="0091682F"/>
    <w:rsid w:val="0091694D"/>
    <w:rsid w:val="00916C6C"/>
    <w:rsid w:val="00916F9C"/>
    <w:rsid w:val="00917893"/>
    <w:rsid w:val="00917B53"/>
    <w:rsid w:val="00917DDB"/>
    <w:rsid w:val="009203C8"/>
    <w:rsid w:val="00920504"/>
    <w:rsid w:val="00920777"/>
    <w:rsid w:val="0092077D"/>
    <w:rsid w:val="00920EC5"/>
    <w:rsid w:val="00920ED9"/>
    <w:rsid w:val="00921778"/>
    <w:rsid w:val="0092187E"/>
    <w:rsid w:val="009218B3"/>
    <w:rsid w:val="0092191E"/>
    <w:rsid w:val="00921A60"/>
    <w:rsid w:val="00921F60"/>
    <w:rsid w:val="0092228D"/>
    <w:rsid w:val="00922764"/>
    <w:rsid w:val="0092299B"/>
    <w:rsid w:val="00922A4C"/>
    <w:rsid w:val="00922C7E"/>
    <w:rsid w:val="00922D9F"/>
    <w:rsid w:val="0092355D"/>
    <w:rsid w:val="009235DC"/>
    <w:rsid w:val="00923820"/>
    <w:rsid w:val="0092389C"/>
    <w:rsid w:val="00924130"/>
    <w:rsid w:val="009247F7"/>
    <w:rsid w:val="00924CBA"/>
    <w:rsid w:val="00925049"/>
    <w:rsid w:val="0092512A"/>
    <w:rsid w:val="00925490"/>
    <w:rsid w:val="00926163"/>
    <w:rsid w:val="00926A86"/>
    <w:rsid w:val="00926E42"/>
    <w:rsid w:val="009271E3"/>
    <w:rsid w:val="00927349"/>
    <w:rsid w:val="009276DE"/>
    <w:rsid w:val="00927959"/>
    <w:rsid w:val="00927C28"/>
    <w:rsid w:val="00927F8A"/>
    <w:rsid w:val="009301B6"/>
    <w:rsid w:val="009301E4"/>
    <w:rsid w:val="00930742"/>
    <w:rsid w:val="00930BCF"/>
    <w:rsid w:val="00930F5E"/>
    <w:rsid w:val="009313FA"/>
    <w:rsid w:val="00931D72"/>
    <w:rsid w:val="0093216A"/>
    <w:rsid w:val="0093237D"/>
    <w:rsid w:val="009327C7"/>
    <w:rsid w:val="00932C18"/>
    <w:rsid w:val="009333E9"/>
    <w:rsid w:val="009337AF"/>
    <w:rsid w:val="00933CAD"/>
    <w:rsid w:val="009342C1"/>
    <w:rsid w:val="00935104"/>
    <w:rsid w:val="0093584A"/>
    <w:rsid w:val="00935B57"/>
    <w:rsid w:val="00936B77"/>
    <w:rsid w:val="00936D2B"/>
    <w:rsid w:val="00936EA9"/>
    <w:rsid w:val="00936FF1"/>
    <w:rsid w:val="0093762B"/>
    <w:rsid w:val="009401D4"/>
    <w:rsid w:val="00940BE4"/>
    <w:rsid w:val="0094123F"/>
    <w:rsid w:val="0094179C"/>
    <w:rsid w:val="00941EB4"/>
    <w:rsid w:val="00941FAD"/>
    <w:rsid w:val="0094217A"/>
    <w:rsid w:val="00942DB5"/>
    <w:rsid w:val="0094323B"/>
    <w:rsid w:val="00943D9D"/>
    <w:rsid w:val="00943F62"/>
    <w:rsid w:val="00943FF8"/>
    <w:rsid w:val="009441A9"/>
    <w:rsid w:val="00944429"/>
    <w:rsid w:val="00944A1C"/>
    <w:rsid w:val="00944CE4"/>
    <w:rsid w:val="009451C7"/>
    <w:rsid w:val="009452F1"/>
    <w:rsid w:val="009454D9"/>
    <w:rsid w:val="00945D6C"/>
    <w:rsid w:val="00946106"/>
    <w:rsid w:val="00946BF0"/>
    <w:rsid w:val="009470F8"/>
    <w:rsid w:val="0094728C"/>
    <w:rsid w:val="00947831"/>
    <w:rsid w:val="009478D8"/>
    <w:rsid w:val="009479EA"/>
    <w:rsid w:val="00947AF5"/>
    <w:rsid w:val="00947C46"/>
    <w:rsid w:val="00950E02"/>
    <w:rsid w:val="009515A6"/>
    <w:rsid w:val="00951F84"/>
    <w:rsid w:val="00953372"/>
    <w:rsid w:val="00953ECC"/>
    <w:rsid w:val="00954343"/>
    <w:rsid w:val="0095453D"/>
    <w:rsid w:val="00955662"/>
    <w:rsid w:val="00955C13"/>
    <w:rsid w:val="00956346"/>
    <w:rsid w:val="00956602"/>
    <w:rsid w:val="00956793"/>
    <w:rsid w:val="009571E8"/>
    <w:rsid w:val="009578B0"/>
    <w:rsid w:val="0095796C"/>
    <w:rsid w:val="00957D17"/>
    <w:rsid w:val="00960570"/>
    <w:rsid w:val="009605AB"/>
    <w:rsid w:val="009609C9"/>
    <w:rsid w:val="00961B99"/>
    <w:rsid w:val="00962365"/>
    <w:rsid w:val="00962609"/>
    <w:rsid w:val="0096283A"/>
    <w:rsid w:val="00962F55"/>
    <w:rsid w:val="009635F4"/>
    <w:rsid w:val="00964629"/>
    <w:rsid w:val="009649CE"/>
    <w:rsid w:val="00964CA5"/>
    <w:rsid w:val="009652F3"/>
    <w:rsid w:val="00965865"/>
    <w:rsid w:val="00965911"/>
    <w:rsid w:val="009664E0"/>
    <w:rsid w:val="0096794A"/>
    <w:rsid w:val="009703E4"/>
    <w:rsid w:val="009705E6"/>
    <w:rsid w:val="00970EA8"/>
    <w:rsid w:val="00970F60"/>
    <w:rsid w:val="00971385"/>
    <w:rsid w:val="009714EC"/>
    <w:rsid w:val="00971F3A"/>
    <w:rsid w:val="009721CB"/>
    <w:rsid w:val="00972344"/>
    <w:rsid w:val="00972D38"/>
    <w:rsid w:val="0097313E"/>
    <w:rsid w:val="00973582"/>
    <w:rsid w:val="00974946"/>
    <w:rsid w:val="009749AB"/>
    <w:rsid w:val="00974A19"/>
    <w:rsid w:val="00974ABB"/>
    <w:rsid w:val="009750C8"/>
    <w:rsid w:val="00975125"/>
    <w:rsid w:val="0097537F"/>
    <w:rsid w:val="00975603"/>
    <w:rsid w:val="00975A34"/>
    <w:rsid w:val="00976831"/>
    <w:rsid w:val="00976B95"/>
    <w:rsid w:val="00976CC2"/>
    <w:rsid w:val="00977307"/>
    <w:rsid w:val="0097741A"/>
    <w:rsid w:val="0097784E"/>
    <w:rsid w:val="00977AD1"/>
    <w:rsid w:val="00977B51"/>
    <w:rsid w:val="00977D93"/>
    <w:rsid w:val="00977DA4"/>
    <w:rsid w:val="009800E5"/>
    <w:rsid w:val="009800F2"/>
    <w:rsid w:val="00980277"/>
    <w:rsid w:val="00980858"/>
    <w:rsid w:val="00980F2C"/>
    <w:rsid w:val="0098109C"/>
    <w:rsid w:val="009815A0"/>
    <w:rsid w:val="009816CB"/>
    <w:rsid w:val="00981A71"/>
    <w:rsid w:val="00981B10"/>
    <w:rsid w:val="00981C06"/>
    <w:rsid w:val="009826C0"/>
    <w:rsid w:val="009826C2"/>
    <w:rsid w:val="0098304C"/>
    <w:rsid w:val="00983335"/>
    <w:rsid w:val="009834EB"/>
    <w:rsid w:val="00983969"/>
    <w:rsid w:val="00983CF2"/>
    <w:rsid w:val="00983D71"/>
    <w:rsid w:val="00983E38"/>
    <w:rsid w:val="009840E1"/>
    <w:rsid w:val="00984E5F"/>
    <w:rsid w:val="00984EAB"/>
    <w:rsid w:val="009856AD"/>
    <w:rsid w:val="009857DA"/>
    <w:rsid w:val="00985957"/>
    <w:rsid w:val="0098600A"/>
    <w:rsid w:val="00987F3E"/>
    <w:rsid w:val="00990251"/>
    <w:rsid w:val="009906EF"/>
    <w:rsid w:val="009912AA"/>
    <w:rsid w:val="00991724"/>
    <w:rsid w:val="00992353"/>
    <w:rsid w:val="0099373D"/>
    <w:rsid w:val="0099374D"/>
    <w:rsid w:val="009937DF"/>
    <w:rsid w:val="00994058"/>
    <w:rsid w:val="00994098"/>
    <w:rsid w:val="00994709"/>
    <w:rsid w:val="00994A9D"/>
    <w:rsid w:val="00995B50"/>
    <w:rsid w:val="00995E1B"/>
    <w:rsid w:val="00996032"/>
    <w:rsid w:val="009979E3"/>
    <w:rsid w:val="00997B3F"/>
    <w:rsid w:val="00997C0C"/>
    <w:rsid w:val="00997C4C"/>
    <w:rsid w:val="00997E85"/>
    <w:rsid w:val="009A0443"/>
    <w:rsid w:val="009A044C"/>
    <w:rsid w:val="009A0ABC"/>
    <w:rsid w:val="009A1232"/>
    <w:rsid w:val="009A20A2"/>
    <w:rsid w:val="009A2510"/>
    <w:rsid w:val="009A27CC"/>
    <w:rsid w:val="009A2879"/>
    <w:rsid w:val="009A31E9"/>
    <w:rsid w:val="009A398F"/>
    <w:rsid w:val="009A46DC"/>
    <w:rsid w:val="009A4AD2"/>
    <w:rsid w:val="009A4D59"/>
    <w:rsid w:val="009A4F02"/>
    <w:rsid w:val="009A5277"/>
    <w:rsid w:val="009A7134"/>
    <w:rsid w:val="009A7951"/>
    <w:rsid w:val="009A7A2A"/>
    <w:rsid w:val="009A7C94"/>
    <w:rsid w:val="009A7E05"/>
    <w:rsid w:val="009B022E"/>
    <w:rsid w:val="009B0955"/>
    <w:rsid w:val="009B0B49"/>
    <w:rsid w:val="009B0C7A"/>
    <w:rsid w:val="009B0E26"/>
    <w:rsid w:val="009B0F25"/>
    <w:rsid w:val="009B11D8"/>
    <w:rsid w:val="009B12E4"/>
    <w:rsid w:val="009B1385"/>
    <w:rsid w:val="009B1647"/>
    <w:rsid w:val="009B21F9"/>
    <w:rsid w:val="009B2563"/>
    <w:rsid w:val="009B313F"/>
    <w:rsid w:val="009B3476"/>
    <w:rsid w:val="009B3536"/>
    <w:rsid w:val="009B3A36"/>
    <w:rsid w:val="009B3DAC"/>
    <w:rsid w:val="009B4B66"/>
    <w:rsid w:val="009B4D14"/>
    <w:rsid w:val="009B51B5"/>
    <w:rsid w:val="009B527D"/>
    <w:rsid w:val="009B5404"/>
    <w:rsid w:val="009B5716"/>
    <w:rsid w:val="009B5C2B"/>
    <w:rsid w:val="009B5ED1"/>
    <w:rsid w:val="009B6203"/>
    <w:rsid w:val="009B62A2"/>
    <w:rsid w:val="009B6F9B"/>
    <w:rsid w:val="009B7C9E"/>
    <w:rsid w:val="009C00A5"/>
    <w:rsid w:val="009C0258"/>
    <w:rsid w:val="009C0E81"/>
    <w:rsid w:val="009C0F5B"/>
    <w:rsid w:val="009C1F27"/>
    <w:rsid w:val="009C2095"/>
    <w:rsid w:val="009C2288"/>
    <w:rsid w:val="009C22C5"/>
    <w:rsid w:val="009C2342"/>
    <w:rsid w:val="009C2522"/>
    <w:rsid w:val="009C25B4"/>
    <w:rsid w:val="009C2A3F"/>
    <w:rsid w:val="009C379D"/>
    <w:rsid w:val="009C37AD"/>
    <w:rsid w:val="009C38E9"/>
    <w:rsid w:val="009C3F9C"/>
    <w:rsid w:val="009C45C8"/>
    <w:rsid w:val="009C4722"/>
    <w:rsid w:val="009C49D2"/>
    <w:rsid w:val="009C50C2"/>
    <w:rsid w:val="009C5634"/>
    <w:rsid w:val="009C613E"/>
    <w:rsid w:val="009C6263"/>
    <w:rsid w:val="009C6473"/>
    <w:rsid w:val="009C6659"/>
    <w:rsid w:val="009C69B0"/>
    <w:rsid w:val="009C6A9B"/>
    <w:rsid w:val="009C70FE"/>
    <w:rsid w:val="009C7FB5"/>
    <w:rsid w:val="009D02D3"/>
    <w:rsid w:val="009D059B"/>
    <w:rsid w:val="009D071A"/>
    <w:rsid w:val="009D088C"/>
    <w:rsid w:val="009D0E71"/>
    <w:rsid w:val="009D1E5F"/>
    <w:rsid w:val="009D20AF"/>
    <w:rsid w:val="009D23D9"/>
    <w:rsid w:val="009D2649"/>
    <w:rsid w:val="009D2AF8"/>
    <w:rsid w:val="009D2C03"/>
    <w:rsid w:val="009D313B"/>
    <w:rsid w:val="009D3180"/>
    <w:rsid w:val="009D39E7"/>
    <w:rsid w:val="009D40B5"/>
    <w:rsid w:val="009D449B"/>
    <w:rsid w:val="009D4939"/>
    <w:rsid w:val="009D51FB"/>
    <w:rsid w:val="009D597E"/>
    <w:rsid w:val="009D59B9"/>
    <w:rsid w:val="009D5C7E"/>
    <w:rsid w:val="009D6107"/>
    <w:rsid w:val="009D6624"/>
    <w:rsid w:val="009D6870"/>
    <w:rsid w:val="009D6DA2"/>
    <w:rsid w:val="009D7150"/>
    <w:rsid w:val="009D74E2"/>
    <w:rsid w:val="009D76D6"/>
    <w:rsid w:val="009D7E61"/>
    <w:rsid w:val="009E0763"/>
    <w:rsid w:val="009E0E69"/>
    <w:rsid w:val="009E0F20"/>
    <w:rsid w:val="009E1035"/>
    <w:rsid w:val="009E1514"/>
    <w:rsid w:val="009E1910"/>
    <w:rsid w:val="009E1A90"/>
    <w:rsid w:val="009E1BDD"/>
    <w:rsid w:val="009E20C3"/>
    <w:rsid w:val="009E21C6"/>
    <w:rsid w:val="009E280A"/>
    <w:rsid w:val="009E29C7"/>
    <w:rsid w:val="009E2D69"/>
    <w:rsid w:val="009E3360"/>
    <w:rsid w:val="009E3C56"/>
    <w:rsid w:val="009E3D5C"/>
    <w:rsid w:val="009E4223"/>
    <w:rsid w:val="009E4553"/>
    <w:rsid w:val="009E466F"/>
    <w:rsid w:val="009E4A37"/>
    <w:rsid w:val="009E4BA6"/>
    <w:rsid w:val="009E51B3"/>
    <w:rsid w:val="009E54E3"/>
    <w:rsid w:val="009E5844"/>
    <w:rsid w:val="009E595F"/>
    <w:rsid w:val="009E7225"/>
    <w:rsid w:val="009E76EB"/>
    <w:rsid w:val="009E7764"/>
    <w:rsid w:val="009E77CD"/>
    <w:rsid w:val="009E7936"/>
    <w:rsid w:val="009E7AF6"/>
    <w:rsid w:val="009E7D04"/>
    <w:rsid w:val="009E7E6F"/>
    <w:rsid w:val="009F0151"/>
    <w:rsid w:val="009F020E"/>
    <w:rsid w:val="009F05D1"/>
    <w:rsid w:val="009F14E0"/>
    <w:rsid w:val="009F15D2"/>
    <w:rsid w:val="009F1683"/>
    <w:rsid w:val="009F1C81"/>
    <w:rsid w:val="009F1D4E"/>
    <w:rsid w:val="009F1EC7"/>
    <w:rsid w:val="009F1F15"/>
    <w:rsid w:val="009F26DD"/>
    <w:rsid w:val="009F319E"/>
    <w:rsid w:val="009F3399"/>
    <w:rsid w:val="009F3A5C"/>
    <w:rsid w:val="009F3F68"/>
    <w:rsid w:val="009F43C4"/>
    <w:rsid w:val="009F46CA"/>
    <w:rsid w:val="009F46D4"/>
    <w:rsid w:val="009F4A1C"/>
    <w:rsid w:val="009F4B9D"/>
    <w:rsid w:val="009F4EA1"/>
    <w:rsid w:val="009F5081"/>
    <w:rsid w:val="009F52C1"/>
    <w:rsid w:val="009F5321"/>
    <w:rsid w:val="009F558F"/>
    <w:rsid w:val="009F5F09"/>
    <w:rsid w:val="009F6137"/>
    <w:rsid w:val="009F67AD"/>
    <w:rsid w:val="009F68BF"/>
    <w:rsid w:val="009F68F9"/>
    <w:rsid w:val="009F69D1"/>
    <w:rsid w:val="009F6BDE"/>
    <w:rsid w:val="009F6D22"/>
    <w:rsid w:val="009F6FF6"/>
    <w:rsid w:val="009F70B9"/>
    <w:rsid w:val="009F72D0"/>
    <w:rsid w:val="009F7990"/>
    <w:rsid w:val="009F7A99"/>
    <w:rsid w:val="00A000CB"/>
    <w:rsid w:val="00A0036B"/>
    <w:rsid w:val="00A00373"/>
    <w:rsid w:val="00A00571"/>
    <w:rsid w:val="00A0085E"/>
    <w:rsid w:val="00A01700"/>
    <w:rsid w:val="00A01A55"/>
    <w:rsid w:val="00A01E6A"/>
    <w:rsid w:val="00A01F81"/>
    <w:rsid w:val="00A023CF"/>
    <w:rsid w:val="00A02464"/>
    <w:rsid w:val="00A02729"/>
    <w:rsid w:val="00A02E0D"/>
    <w:rsid w:val="00A02E15"/>
    <w:rsid w:val="00A0305B"/>
    <w:rsid w:val="00A03AD7"/>
    <w:rsid w:val="00A03B99"/>
    <w:rsid w:val="00A03EC9"/>
    <w:rsid w:val="00A04255"/>
    <w:rsid w:val="00A0428C"/>
    <w:rsid w:val="00A0431E"/>
    <w:rsid w:val="00A0470B"/>
    <w:rsid w:val="00A04D4A"/>
    <w:rsid w:val="00A05149"/>
    <w:rsid w:val="00A052CF"/>
    <w:rsid w:val="00A0666A"/>
    <w:rsid w:val="00A06DA3"/>
    <w:rsid w:val="00A06E88"/>
    <w:rsid w:val="00A0749D"/>
    <w:rsid w:val="00A07813"/>
    <w:rsid w:val="00A07CCD"/>
    <w:rsid w:val="00A100E5"/>
    <w:rsid w:val="00A10351"/>
    <w:rsid w:val="00A11A76"/>
    <w:rsid w:val="00A1229A"/>
    <w:rsid w:val="00A12394"/>
    <w:rsid w:val="00A125A1"/>
    <w:rsid w:val="00A12602"/>
    <w:rsid w:val="00A12B1E"/>
    <w:rsid w:val="00A14548"/>
    <w:rsid w:val="00A146B5"/>
    <w:rsid w:val="00A147CD"/>
    <w:rsid w:val="00A1483B"/>
    <w:rsid w:val="00A14A86"/>
    <w:rsid w:val="00A14D31"/>
    <w:rsid w:val="00A16061"/>
    <w:rsid w:val="00A160F9"/>
    <w:rsid w:val="00A1619F"/>
    <w:rsid w:val="00A167C2"/>
    <w:rsid w:val="00A1684F"/>
    <w:rsid w:val="00A168BB"/>
    <w:rsid w:val="00A16B1D"/>
    <w:rsid w:val="00A17C11"/>
    <w:rsid w:val="00A2035F"/>
    <w:rsid w:val="00A20686"/>
    <w:rsid w:val="00A206F6"/>
    <w:rsid w:val="00A20A55"/>
    <w:rsid w:val="00A20B53"/>
    <w:rsid w:val="00A21379"/>
    <w:rsid w:val="00A21541"/>
    <w:rsid w:val="00A21688"/>
    <w:rsid w:val="00A21A0A"/>
    <w:rsid w:val="00A21CE4"/>
    <w:rsid w:val="00A22360"/>
    <w:rsid w:val="00A2240A"/>
    <w:rsid w:val="00A2290B"/>
    <w:rsid w:val="00A22BC1"/>
    <w:rsid w:val="00A22DEB"/>
    <w:rsid w:val="00A2342A"/>
    <w:rsid w:val="00A23A29"/>
    <w:rsid w:val="00A23DEB"/>
    <w:rsid w:val="00A24335"/>
    <w:rsid w:val="00A25146"/>
    <w:rsid w:val="00A257E9"/>
    <w:rsid w:val="00A25812"/>
    <w:rsid w:val="00A2596A"/>
    <w:rsid w:val="00A25B6F"/>
    <w:rsid w:val="00A25E25"/>
    <w:rsid w:val="00A26533"/>
    <w:rsid w:val="00A27072"/>
    <w:rsid w:val="00A277E8"/>
    <w:rsid w:val="00A27D1A"/>
    <w:rsid w:val="00A30180"/>
    <w:rsid w:val="00A301BC"/>
    <w:rsid w:val="00A30412"/>
    <w:rsid w:val="00A3073B"/>
    <w:rsid w:val="00A309A1"/>
    <w:rsid w:val="00A30A64"/>
    <w:rsid w:val="00A30E0D"/>
    <w:rsid w:val="00A3123F"/>
    <w:rsid w:val="00A3199A"/>
    <w:rsid w:val="00A31B38"/>
    <w:rsid w:val="00A31E28"/>
    <w:rsid w:val="00A31EA7"/>
    <w:rsid w:val="00A321C7"/>
    <w:rsid w:val="00A32466"/>
    <w:rsid w:val="00A3251C"/>
    <w:rsid w:val="00A32721"/>
    <w:rsid w:val="00A32FD7"/>
    <w:rsid w:val="00A335EF"/>
    <w:rsid w:val="00A34161"/>
    <w:rsid w:val="00A34835"/>
    <w:rsid w:val="00A34CD8"/>
    <w:rsid w:val="00A35224"/>
    <w:rsid w:val="00A35244"/>
    <w:rsid w:val="00A3526F"/>
    <w:rsid w:val="00A356D5"/>
    <w:rsid w:val="00A35897"/>
    <w:rsid w:val="00A35976"/>
    <w:rsid w:val="00A36A67"/>
    <w:rsid w:val="00A36D7B"/>
    <w:rsid w:val="00A36E79"/>
    <w:rsid w:val="00A374D1"/>
    <w:rsid w:val="00A3783D"/>
    <w:rsid w:val="00A4003D"/>
    <w:rsid w:val="00A40611"/>
    <w:rsid w:val="00A40B2C"/>
    <w:rsid w:val="00A414C0"/>
    <w:rsid w:val="00A416AA"/>
    <w:rsid w:val="00A416DC"/>
    <w:rsid w:val="00A4176F"/>
    <w:rsid w:val="00A41970"/>
    <w:rsid w:val="00A419B2"/>
    <w:rsid w:val="00A41B0B"/>
    <w:rsid w:val="00A42C8E"/>
    <w:rsid w:val="00A42E86"/>
    <w:rsid w:val="00A43054"/>
    <w:rsid w:val="00A43144"/>
    <w:rsid w:val="00A43392"/>
    <w:rsid w:val="00A43977"/>
    <w:rsid w:val="00A43BEA"/>
    <w:rsid w:val="00A43C0A"/>
    <w:rsid w:val="00A43D72"/>
    <w:rsid w:val="00A442AB"/>
    <w:rsid w:val="00A449E1"/>
    <w:rsid w:val="00A452D4"/>
    <w:rsid w:val="00A4592A"/>
    <w:rsid w:val="00A46C06"/>
    <w:rsid w:val="00A4735D"/>
    <w:rsid w:val="00A4758F"/>
    <w:rsid w:val="00A47758"/>
    <w:rsid w:val="00A4786A"/>
    <w:rsid w:val="00A47952"/>
    <w:rsid w:val="00A4797C"/>
    <w:rsid w:val="00A479DA"/>
    <w:rsid w:val="00A47CD2"/>
    <w:rsid w:val="00A502E5"/>
    <w:rsid w:val="00A50717"/>
    <w:rsid w:val="00A50D06"/>
    <w:rsid w:val="00A50E88"/>
    <w:rsid w:val="00A5110E"/>
    <w:rsid w:val="00A51739"/>
    <w:rsid w:val="00A51B06"/>
    <w:rsid w:val="00A52115"/>
    <w:rsid w:val="00A52201"/>
    <w:rsid w:val="00A522DB"/>
    <w:rsid w:val="00A5287C"/>
    <w:rsid w:val="00A52FFE"/>
    <w:rsid w:val="00A544C0"/>
    <w:rsid w:val="00A5464E"/>
    <w:rsid w:val="00A548B5"/>
    <w:rsid w:val="00A55456"/>
    <w:rsid w:val="00A55DC7"/>
    <w:rsid w:val="00A5668A"/>
    <w:rsid w:val="00A56A73"/>
    <w:rsid w:val="00A56C81"/>
    <w:rsid w:val="00A56CE6"/>
    <w:rsid w:val="00A57322"/>
    <w:rsid w:val="00A60340"/>
    <w:rsid w:val="00A60421"/>
    <w:rsid w:val="00A60471"/>
    <w:rsid w:val="00A60A99"/>
    <w:rsid w:val="00A60CDA"/>
    <w:rsid w:val="00A60E49"/>
    <w:rsid w:val="00A60F87"/>
    <w:rsid w:val="00A6113B"/>
    <w:rsid w:val="00A61A62"/>
    <w:rsid w:val="00A61FB1"/>
    <w:rsid w:val="00A6221B"/>
    <w:rsid w:val="00A62328"/>
    <w:rsid w:val="00A628A0"/>
    <w:rsid w:val="00A62BC8"/>
    <w:rsid w:val="00A6340B"/>
    <w:rsid w:val="00A63F68"/>
    <w:rsid w:val="00A64436"/>
    <w:rsid w:val="00A64D4A"/>
    <w:rsid w:val="00A65256"/>
    <w:rsid w:val="00A65831"/>
    <w:rsid w:val="00A65F21"/>
    <w:rsid w:val="00A6690B"/>
    <w:rsid w:val="00A66947"/>
    <w:rsid w:val="00A66979"/>
    <w:rsid w:val="00A66A2E"/>
    <w:rsid w:val="00A66C89"/>
    <w:rsid w:val="00A67920"/>
    <w:rsid w:val="00A67FC1"/>
    <w:rsid w:val="00A705E5"/>
    <w:rsid w:val="00A70E76"/>
    <w:rsid w:val="00A70F44"/>
    <w:rsid w:val="00A719C0"/>
    <w:rsid w:val="00A72637"/>
    <w:rsid w:val="00A72A16"/>
    <w:rsid w:val="00A72ADE"/>
    <w:rsid w:val="00A72B06"/>
    <w:rsid w:val="00A72C25"/>
    <w:rsid w:val="00A72C60"/>
    <w:rsid w:val="00A72F05"/>
    <w:rsid w:val="00A7307E"/>
    <w:rsid w:val="00A7339A"/>
    <w:rsid w:val="00A73FD6"/>
    <w:rsid w:val="00A743D8"/>
    <w:rsid w:val="00A7446E"/>
    <w:rsid w:val="00A74D31"/>
    <w:rsid w:val="00A752DF"/>
    <w:rsid w:val="00A7548D"/>
    <w:rsid w:val="00A75BC6"/>
    <w:rsid w:val="00A76115"/>
    <w:rsid w:val="00A7642B"/>
    <w:rsid w:val="00A76621"/>
    <w:rsid w:val="00A76694"/>
    <w:rsid w:val="00A767FA"/>
    <w:rsid w:val="00A76A52"/>
    <w:rsid w:val="00A774D3"/>
    <w:rsid w:val="00A77B64"/>
    <w:rsid w:val="00A77FE7"/>
    <w:rsid w:val="00A80199"/>
    <w:rsid w:val="00A80CEC"/>
    <w:rsid w:val="00A80E49"/>
    <w:rsid w:val="00A8109C"/>
    <w:rsid w:val="00A81C9B"/>
    <w:rsid w:val="00A81D78"/>
    <w:rsid w:val="00A82165"/>
    <w:rsid w:val="00A82851"/>
    <w:rsid w:val="00A83127"/>
    <w:rsid w:val="00A83215"/>
    <w:rsid w:val="00A83503"/>
    <w:rsid w:val="00A83FF5"/>
    <w:rsid w:val="00A84858"/>
    <w:rsid w:val="00A8494A"/>
    <w:rsid w:val="00A84B5F"/>
    <w:rsid w:val="00A85C49"/>
    <w:rsid w:val="00A86184"/>
    <w:rsid w:val="00A86A98"/>
    <w:rsid w:val="00A86F75"/>
    <w:rsid w:val="00A871AF"/>
    <w:rsid w:val="00A876D8"/>
    <w:rsid w:val="00A90252"/>
    <w:rsid w:val="00A9099C"/>
    <w:rsid w:val="00A912FB"/>
    <w:rsid w:val="00A91436"/>
    <w:rsid w:val="00A916C5"/>
    <w:rsid w:val="00A916D5"/>
    <w:rsid w:val="00A91F1A"/>
    <w:rsid w:val="00A92833"/>
    <w:rsid w:val="00A92A28"/>
    <w:rsid w:val="00A92DF3"/>
    <w:rsid w:val="00A9302E"/>
    <w:rsid w:val="00A93173"/>
    <w:rsid w:val="00A93521"/>
    <w:rsid w:val="00A936B6"/>
    <w:rsid w:val="00A9373E"/>
    <w:rsid w:val="00A937C8"/>
    <w:rsid w:val="00A93950"/>
    <w:rsid w:val="00A93D8D"/>
    <w:rsid w:val="00A9466C"/>
    <w:rsid w:val="00A94962"/>
    <w:rsid w:val="00A94B78"/>
    <w:rsid w:val="00A96BDB"/>
    <w:rsid w:val="00A96C07"/>
    <w:rsid w:val="00A97414"/>
    <w:rsid w:val="00A97433"/>
    <w:rsid w:val="00A97C9A"/>
    <w:rsid w:val="00A97F99"/>
    <w:rsid w:val="00AA0060"/>
    <w:rsid w:val="00AA058A"/>
    <w:rsid w:val="00AA064B"/>
    <w:rsid w:val="00AA0936"/>
    <w:rsid w:val="00AA0F82"/>
    <w:rsid w:val="00AA1256"/>
    <w:rsid w:val="00AA1A24"/>
    <w:rsid w:val="00AA1EFE"/>
    <w:rsid w:val="00AA2027"/>
    <w:rsid w:val="00AA2155"/>
    <w:rsid w:val="00AA2E7C"/>
    <w:rsid w:val="00AA2F03"/>
    <w:rsid w:val="00AA34C5"/>
    <w:rsid w:val="00AA365B"/>
    <w:rsid w:val="00AA386B"/>
    <w:rsid w:val="00AA3934"/>
    <w:rsid w:val="00AA3C84"/>
    <w:rsid w:val="00AA3D29"/>
    <w:rsid w:val="00AA3E83"/>
    <w:rsid w:val="00AA44B6"/>
    <w:rsid w:val="00AA4610"/>
    <w:rsid w:val="00AA544A"/>
    <w:rsid w:val="00AA5748"/>
    <w:rsid w:val="00AA5868"/>
    <w:rsid w:val="00AA6801"/>
    <w:rsid w:val="00AA6887"/>
    <w:rsid w:val="00AA6940"/>
    <w:rsid w:val="00AA6959"/>
    <w:rsid w:val="00AA6A45"/>
    <w:rsid w:val="00AA7033"/>
    <w:rsid w:val="00AA74D1"/>
    <w:rsid w:val="00AA7812"/>
    <w:rsid w:val="00AB006B"/>
    <w:rsid w:val="00AB00BC"/>
    <w:rsid w:val="00AB04E1"/>
    <w:rsid w:val="00AB0B57"/>
    <w:rsid w:val="00AB11A0"/>
    <w:rsid w:val="00AB134E"/>
    <w:rsid w:val="00AB18DF"/>
    <w:rsid w:val="00AB1E5E"/>
    <w:rsid w:val="00AB21AE"/>
    <w:rsid w:val="00AB2313"/>
    <w:rsid w:val="00AB233D"/>
    <w:rsid w:val="00AB268F"/>
    <w:rsid w:val="00AB2B6C"/>
    <w:rsid w:val="00AB2BA0"/>
    <w:rsid w:val="00AB2F4A"/>
    <w:rsid w:val="00AB3E83"/>
    <w:rsid w:val="00AB4366"/>
    <w:rsid w:val="00AB47F3"/>
    <w:rsid w:val="00AB49CF"/>
    <w:rsid w:val="00AB51AE"/>
    <w:rsid w:val="00AB54C8"/>
    <w:rsid w:val="00AB577A"/>
    <w:rsid w:val="00AB5C4D"/>
    <w:rsid w:val="00AB621D"/>
    <w:rsid w:val="00AB62C5"/>
    <w:rsid w:val="00AB640B"/>
    <w:rsid w:val="00AB6AA1"/>
    <w:rsid w:val="00AB6CF9"/>
    <w:rsid w:val="00AB77EE"/>
    <w:rsid w:val="00AB79BA"/>
    <w:rsid w:val="00AB7EA5"/>
    <w:rsid w:val="00AC06B8"/>
    <w:rsid w:val="00AC0AB1"/>
    <w:rsid w:val="00AC0D4B"/>
    <w:rsid w:val="00AC0F7D"/>
    <w:rsid w:val="00AC148F"/>
    <w:rsid w:val="00AC1A66"/>
    <w:rsid w:val="00AC1AD6"/>
    <w:rsid w:val="00AC1DE8"/>
    <w:rsid w:val="00AC202D"/>
    <w:rsid w:val="00AC260F"/>
    <w:rsid w:val="00AC2662"/>
    <w:rsid w:val="00AC2771"/>
    <w:rsid w:val="00AC280D"/>
    <w:rsid w:val="00AC29B5"/>
    <w:rsid w:val="00AC321F"/>
    <w:rsid w:val="00AC348A"/>
    <w:rsid w:val="00AC3657"/>
    <w:rsid w:val="00AC3841"/>
    <w:rsid w:val="00AC4DE3"/>
    <w:rsid w:val="00AC51A9"/>
    <w:rsid w:val="00AC5652"/>
    <w:rsid w:val="00AC587F"/>
    <w:rsid w:val="00AC5B73"/>
    <w:rsid w:val="00AC5BDD"/>
    <w:rsid w:val="00AC5C67"/>
    <w:rsid w:val="00AC5FDB"/>
    <w:rsid w:val="00AC62FB"/>
    <w:rsid w:val="00AC7554"/>
    <w:rsid w:val="00AC7576"/>
    <w:rsid w:val="00AC79C2"/>
    <w:rsid w:val="00AD0815"/>
    <w:rsid w:val="00AD0EEF"/>
    <w:rsid w:val="00AD1B66"/>
    <w:rsid w:val="00AD1C46"/>
    <w:rsid w:val="00AD2077"/>
    <w:rsid w:val="00AD20FF"/>
    <w:rsid w:val="00AD227F"/>
    <w:rsid w:val="00AD258D"/>
    <w:rsid w:val="00AD28FE"/>
    <w:rsid w:val="00AD31FE"/>
    <w:rsid w:val="00AD3400"/>
    <w:rsid w:val="00AD3777"/>
    <w:rsid w:val="00AD394E"/>
    <w:rsid w:val="00AD39BE"/>
    <w:rsid w:val="00AD430A"/>
    <w:rsid w:val="00AD488C"/>
    <w:rsid w:val="00AD5261"/>
    <w:rsid w:val="00AD52BF"/>
    <w:rsid w:val="00AD5F43"/>
    <w:rsid w:val="00AD621C"/>
    <w:rsid w:val="00AD644F"/>
    <w:rsid w:val="00AD672B"/>
    <w:rsid w:val="00AD6E75"/>
    <w:rsid w:val="00AD6FB1"/>
    <w:rsid w:val="00AD749D"/>
    <w:rsid w:val="00AE0AC5"/>
    <w:rsid w:val="00AE10FF"/>
    <w:rsid w:val="00AE1D17"/>
    <w:rsid w:val="00AE29E5"/>
    <w:rsid w:val="00AE2E08"/>
    <w:rsid w:val="00AE3FED"/>
    <w:rsid w:val="00AE4174"/>
    <w:rsid w:val="00AE42EB"/>
    <w:rsid w:val="00AE4917"/>
    <w:rsid w:val="00AE4B72"/>
    <w:rsid w:val="00AE4C46"/>
    <w:rsid w:val="00AE4DF7"/>
    <w:rsid w:val="00AE500D"/>
    <w:rsid w:val="00AE52DE"/>
    <w:rsid w:val="00AE53EC"/>
    <w:rsid w:val="00AE53F1"/>
    <w:rsid w:val="00AE620A"/>
    <w:rsid w:val="00AE6A65"/>
    <w:rsid w:val="00AE6D0E"/>
    <w:rsid w:val="00AE6FB1"/>
    <w:rsid w:val="00AE735D"/>
    <w:rsid w:val="00AE7509"/>
    <w:rsid w:val="00AE7EE5"/>
    <w:rsid w:val="00AF1072"/>
    <w:rsid w:val="00AF1BAD"/>
    <w:rsid w:val="00AF1D40"/>
    <w:rsid w:val="00AF2176"/>
    <w:rsid w:val="00AF219A"/>
    <w:rsid w:val="00AF23F4"/>
    <w:rsid w:val="00AF287A"/>
    <w:rsid w:val="00AF2A0A"/>
    <w:rsid w:val="00AF2A84"/>
    <w:rsid w:val="00AF2C05"/>
    <w:rsid w:val="00AF340D"/>
    <w:rsid w:val="00AF3423"/>
    <w:rsid w:val="00AF3BFE"/>
    <w:rsid w:val="00AF3F32"/>
    <w:rsid w:val="00AF43E5"/>
    <w:rsid w:val="00AF49C7"/>
    <w:rsid w:val="00AF4D7A"/>
    <w:rsid w:val="00AF5379"/>
    <w:rsid w:val="00AF54F4"/>
    <w:rsid w:val="00AF5982"/>
    <w:rsid w:val="00AF5B83"/>
    <w:rsid w:val="00AF5D3E"/>
    <w:rsid w:val="00AF6729"/>
    <w:rsid w:val="00AF6801"/>
    <w:rsid w:val="00AF727D"/>
    <w:rsid w:val="00AF7478"/>
    <w:rsid w:val="00AF7492"/>
    <w:rsid w:val="00AF77B8"/>
    <w:rsid w:val="00AF7B3D"/>
    <w:rsid w:val="00AF7D4E"/>
    <w:rsid w:val="00B00F4B"/>
    <w:rsid w:val="00B0155F"/>
    <w:rsid w:val="00B01F46"/>
    <w:rsid w:val="00B020AE"/>
    <w:rsid w:val="00B027B4"/>
    <w:rsid w:val="00B027E5"/>
    <w:rsid w:val="00B0286A"/>
    <w:rsid w:val="00B02B62"/>
    <w:rsid w:val="00B03429"/>
    <w:rsid w:val="00B03835"/>
    <w:rsid w:val="00B03CB4"/>
    <w:rsid w:val="00B0407B"/>
    <w:rsid w:val="00B044A5"/>
    <w:rsid w:val="00B04B86"/>
    <w:rsid w:val="00B05094"/>
    <w:rsid w:val="00B053E8"/>
    <w:rsid w:val="00B054F0"/>
    <w:rsid w:val="00B05607"/>
    <w:rsid w:val="00B057C0"/>
    <w:rsid w:val="00B0612B"/>
    <w:rsid w:val="00B061FF"/>
    <w:rsid w:val="00B063FF"/>
    <w:rsid w:val="00B0675A"/>
    <w:rsid w:val="00B075C4"/>
    <w:rsid w:val="00B07949"/>
    <w:rsid w:val="00B102BB"/>
    <w:rsid w:val="00B10644"/>
    <w:rsid w:val="00B10731"/>
    <w:rsid w:val="00B1077F"/>
    <w:rsid w:val="00B107E0"/>
    <w:rsid w:val="00B1130C"/>
    <w:rsid w:val="00B1166A"/>
    <w:rsid w:val="00B11986"/>
    <w:rsid w:val="00B11ED9"/>
    <w:rsid w:val="00B1211B"/>
    <w:rsid w:val="00B122B8"/>
    <w:rsid w:val="00B12348"/>
    <w:rsid w:val="00B124A6"/>
    <w:rsid w:val="00B12A29"/>
    <w:rsid w:val="00B12BFA"/>
    <w:rsid w:val="00B12F12"/>
    <w:rsid w:val="00B135A0"/>
    <w:rsid w:val="00B13671"/>
    <w:rsid w:val="00B13753"/>
    <w:rsid w:val="00B13DBD"/>
    <w:rsid w:val="00B1449E"/>
    <w:rsid w:val="00B14DA8"/>
    <w:rsid w:val="00B151DA"/>
    <w:rsid w:val="00B1541E"/>
    <w:rsid w:val="00B1569B"/>
    <w:rsid w:val="00B15C32"/>
    <w:rsid w:val="00B16011"/>
    <w:rsid w:val="00B16A64"/>
    <w:rsid w:val="00B16CCE"/>
    <w:rsid w:val="00B16F9D"/>
    <w:rsid w:val="00B1735E"/>
    <w:rsid w:val="00B17769"/>
    <w:rsid w:val="00B201AA"/>
    <w:rsid w:val="00B20635"/>
    <w:rsid w:val="00B20BCB"/>
    <w:rsid w:val="00B20FCD"/>
    <w:rsid w:val="00B21450"/>
    <w:rsid w:val="00B220E6"/>
    <w:rsid w:val="00B226DD"/>
    <w:rsid w:val="00B22923"/>
    <w:rsid w:val="00B22C90"/>
    <w:rsid w:val="00B22F1E"/>
    <w:rsid w:val="00B22FF7"/>
    <w:rsid w:val="00B23C6F"/>
    <w:rsid w:val="00B23CD9"/>
    <w:rsid w:val="00B23D01"/>
    <w:rsid w:val="00B23D0A"/>
    <w:rsid w:val="00B2452E"/>
    <w:rsid w:val="00B253BC"/>
    <w:rsid w:val="00B260FB"/>
    <w:rsid w:val="00B26C5B"/>
    <w:rsid w:val="00B26F43"/>
    <w:rsid w:val="00B2703D"/>
    <w:rsid w:val="00B2730E"/>
    <w:rsid w:val="00B27D65"/>
    <w:rsid w:val="00B30015"/>
    <w:rsid w:val="00B3021B"/>
    <w:rsid w:val="00B3024D"/>
    <w:rsid w:val="00B30336"/>
    <w:rsid w:val="00B30D60"/>
    <w:rsid w:val="00B30EC1"/>
    <w:rsid w:val="00B3139E"/>
    <w:rsid w:val="00B31412"/>
    <w:rsid w:val="00B31470"/>
    <w:rsid w:val="00B315E5"/>
    <w:rsid w:val="00B31605"/>
    <w:rsid w:val="00B316B8"/>
    <w:rsid w:val="00B318E1"/>
    <w:rsid w:val="00B32963"/>
    <w:rsid w:val="00B32A75"/>
    <w:rsid w:val="00B33236"/>
    <w:rsid w:val="00B33370"/>
    <w:rsid w:val="00B3452B"/>
    <w:rsid w:val="00B348CF"/>
    <w:rsid w:val="00B34BE7"/>
    <w:rsid w:val="00B34D89"/>
    <w:rsid w:val="00B35B53"/>
    <w:rsid w:val="00B35E5B"/>
    <w:rsid w:val="00B3610D"/>
    <w:rsid w:val="00B364D0"/>
    <w:rsid w:val="00B374CC"/>
    <w:rsid w:val="00B37C70"/>
    <w:rsid w:val="00B40094"/>
    <w:rsid w:val="00B402C0"/>
    <w:rsid w:val="00B41017"/>
    <w:rsid w:val="00B417D5"/>
    <w:rsid w:val="00B419C8"/>
    <w:rsid w:val="00B429C8"/>
    <w:rsid w:val="00B4364F"/>
    <w:rsid w:val="00B43960"/>
    <w:rsid w:val="00B43D15"/>
    <w:rsid w:val="00B440A0"/>
    <w:rsid w:val="00B44173"/>
    <w:rsid w:val="00B4434E"/>
    <w:rsid w:val="00B4445B"/>
    <w:rsid w:val="00B4587B"/>
    <w:rsid w:val="00B45B46"/>
    <w:rsid w:val="00B46202"/>
    <w:rsid w:val="00B4641C"/>
    <w:rsid w:val="00B46476"/>
    <w:rsid w:val="00B46AC1"/>
    <w:rsid w:val="00B46B87"/>
    <w:rsid w:val="00B46EF6"/>
    <w:rsid w:val="00B47C00"/>
    <w:rsid w:val="00B500D2"/>
    <w:rsid w:val="00B5144D"/>
    <w:rsid w:val="00B520EB"/>
    <w:rsid w:val="00B52C15"/>
    <w:rsid w:val="00B52C3D"/>
    <w:rsid w:val="00B53289"/>
    <w:rsid w:val="00B53909"/>
    <w:rsid w:val="00B53C94"/>
    <w:rsid w:val="00B5413B"/>
    <w:rsid w:val="00B542EA"/>
    <w:rsid w:val="00B54457"/>
    <w:rsid w:val="00B5467B"/>
    <w:rsid w:val="00B546F2"/>
    <w:rsid w:val="00B549CB"/>
    <w:rsid w:val="00B54B20"/>
    <w:rsid w:val="00B54EAA"/>
    <w:rsid w:val="00B5574B"/>
    <w:rsid w:val="00B55885"/>
    <w:rsid w:val="00B55AA1"/>
    <w:rsid w:val="00B55EEB"/>
    <w:rsid w:val="00B562A1"/>
    <w:rsid w:val="00B56A4C"/>
    <w:rsid w:val="00B56A5B"/>
    <w:rsid w:val="00B56E4E"/>
    <w:rsid w:val="00B571BC"/>
    <w:rsid w:val="00B57243"/>
    <w:rsid w:val="00B57353"/>
    <w:rsid w:val="00B57957"/>
    <w:rsid w:val="00B57AAF"/>
    <w:rsid w:val="00B606F2"/>
    <w:rsid w:val="00B6079F"/>
    <w:rsid w:val="00B60B6C"/>
    <w:rsid w:val="00B60C11"/>
    <w:rsid w:val="00B60E27"/>
    <w:rsid w:val="00B60EFF"/>
    <w:rsid w:val="00B61781"/>
    <w:rsid w:val="00B61B4D"/>
    <w:rsid w:val="00B624B7"/>
    <w:rsid w:val="00B628E5"/>
    <w:rsid w:val="00B632AC"/>
    <w:rsid w:val="00B63CA3"/>
    <w:rsid w:val="00B642F3"/>
    <w:rsid w:val="00B6498D"/>
    <w:rsid w:val="00B64A75"/>
    <w:rsid w:val="00B64ABC"/>
    <w:rsid w:val="00B66426"/>
    <w:rsid w:val="00B6684E"/>
    <w:rsid w:val="00B66BD4"/>
    <w:rsid w:val="00B66BD7"/>
    <w:rsid w:val="00B66D95"/>
    <w:rsid w:val="00B66E99"/>
    <w:rsid w:val="00B66FFB"/>
    <w:rsid w:val="00B67750"/>
    <w:rsid w:val="00B67A22"/>
    <w:rsid w:val="00B67A69"/>
    <w:rsid w:val="00B67C0B"/>
    <w:rsid w:val="00B67F0E"/>
    <w:rsid w:val="00B710E7"/>
    <w:rsid w:val="00B717BC"/>
    <w:rsid w:val="00B72233"/>
    <w:rsid w:val="00B72310"/>
    <w:rsid w:val="00B72A61"/>
    <w:rsid w:val="00B734A5"/>
    <w:rsid w:val="00B7370E"/>
    <w:rsid w:val="00B73EEB"/>
    <w:rsid w:val="00B7486F"/>
    <w:rsid w:val="00B74A7A"/>
    <w:rsid w:val="00B74BC3"/>
    <w:rsid w:val="00B74CB4"/>
    <w:rsid w:val="00B74DE7"/>
    <w:rsid w:val="00B74FE0"/>
    <w:rsid w:val="00B757B2"/>
    <w:rsid w:val="00B7580D"/>
    <w:rsid w:val="00B76025"/>
    <w:rsid w:val="00B76685"/>
    <w:rsid w:val="00B7698D"/>
    <w:rsid w:val="00B77FAE"/>
    <w:rsid w:val="00B800DB"/>
    <w:rsid w:val="00B80638"/>
    <w:rsid w:val="00B80B5B"/>
    <w:rsid w:val="00B810A7"/>
    <w:rsid w:val="00B812FB"/>
    <w:rsid w:val="00B81429"/>
    <w:rsid w:val="00B81E83"/>
    <w:rsid w:val="00B81FCC"/>
    <w:rsid w:val="00B82463"/>
    <w:rsid w:val="00B827E1"/>
    <w:rsid w:val="00B82B86"/>
    <w:rsid w:val="00B8368E"/>
    <w:rsid w:val="00B83765"/>
    <w:rsid w:val="00B83F38"/>
    <w:rsid w:val="00B84648"/>
    <w:rsid w:val="00B84C4E"/>
    <w:rsid w:val="00B84C98"/>
    <w:rsid w:val="00B851D1"/>
    <w:rsid w:val="00B85FF7"/>
    <w:rsid w:val="00B86758"/>
    <w:rsid w:val="00B8741F"/>
    <w:rsid w:val="00B875A9"/>
    <w:rsid w:val="00B87A59"/>
    <w:rsid w:val="00B87A63"/>
    <w:rsid w:val="00B87BB1"/>
    <w:rsid w:val="00B90631"/>
    <w:rsid w:val="00B9065D"/>
    <w:rsid w:val="00B915D2"/>
    <w:rsid w:val="00B91EDB"/>
    <w:rsid w:val="00B92707"/>
    <w:rsid w:val="00B92C49"/>
    <w:rsid w:val="00B92F90"/>
    <w:rsid w:val="00B92FB1"/>
    <w:rsid w:val="00B93BDC"/>
    <w:rsid w:val="00B93E82"/>
    <w:rsid w:val="00B943C6"/>
    <w:rsid w:val="00B95070"/>
    <w:rsid w:val="00B95C16"/>
    <w:rsid w:val="00B95C3C"/>
    <w:rsid w:val="00B9667A"/>
    <w:rsid w:val="00B97033"/>
    <w:rsid w:val="00B97C71"/>
    <w:rsid w:val="00B97D03"/>
    <w:rsid w:val="00BA0018"/>
    <w:rsid w:val="00BA0D1A"/>
    <w:rsid w:val="00BA0FC4"/>
    <w:rsid w:val="00BA138A"/>
    <w:rsid w:val="00BA1E40"/>
    <w:rsid w:val="00BA2A6D"/>
    <w:rsid w:val="00BA2BB8"/>
    <w:rsid w:val="00BA2DAB"/>
    <w:rsid w:val="00BA2E3C"/>
    <w:rsid w:val="00BA38CD"/>
    <w:rsid w:val="00BA412B"/>
    <w:rsid w:val="00BA4193"/>
    <w:rsid w:val="00BA4461"/>
    <w:rsid w:val="00BA44F1"/>
    <w:rsid w:val="00BA459E"/>
    <w:rsid w:val="00BA45AD"/>
    <w:rsid w:val="00BA45F1"/>
    <w:rsid w:val="00BA46D1"/>
    <w:rsid w:val="00BA4773"/>
    <w:rsid w:val="00BA4995"/>
    <w:rsid w:val="00BA4DFB"/>
    <w:rsid w:val="00BA4E05"/>
    <w:rsid w:val="00BA619C"/>
    <w:rsid w:val="00BA62CA"/>
    <w:rsid w:val="00BA6C2F"/>
    <w:rsid w:val="00BA73E2"/>
    <w:rsid w:val="00BA74E0"/>
    <w:rsid w:val="00BA74F5"/>
    <w:rsid w:val="00BA786C"/>
    <w:rsid w:val="00BA7B17"/>
    <w:rsid w:val="00BB003B"/>
    <w:rsid w:val="00BB0610"/>
    <w:rsid w:val="00BB0741"/>
    <w:rsid w:val="00BB0789"/>
    <w:rsid w:val="00BB0C8D"/>
    <w:rsid w:val="00BB0CEF"/>
    <w:rsid w:val="00BB0CFC"/>
    <w:rsid w:val="00BB0ED2"/>
    <w:rsid w:val="00BB12E4"/>
    <w:rsid w:val="00BB1913"/>
    <w:rsid w:val="00BB1EC8"/>
    <w:rsid w:val="00BB1EF5"/>
    <w:rsid w:val="00BB250E"/>
    <w:rsid w:val="00BB2FEC"/>
    <w:rsid w:val="00BB3497"/>
    <w:rsid w:val="00BB3E7B"/>
    <w:rsid w:val="00BB4677"/>
    <w:rsid w:val="00BB4F5D"/>
    <w:rsid w:val="00BB5A64"/>
    <w:rsid w:val="00BB63AB"/>
    <w:rsid w:val="00BB6F34"/>
    <w:rsid w:val="00BB7C83"/>
    <w:rsid w:val="00BC0AD2"/>
    <w:rsid w:val="00BC0F61"/>
    <w:rsid w:val="00BC1243"/>
    <w:rsid w:val="00BC1562"/>
    <w:rsid w:val="00BC1708"/>
    <w:rsid w:val="00BC23FF"/>
    <w:rsid w:val="00BC26C7"/>
    <w:rsid w:val="00BC2E03"/>
    <w:rsid w:val="00BC32CF"/>
    <w:rsid w:val="00BC41DF"/>
    <w:rsid w:val="00BC4414"/>
    <w:rsid w:val="00BC470C"/>
    <w:rsid w:val="00BC54C2"/>
    <w:rsid w:val="00BC57DB"/>
    <w:rsid w:val="00BC5AF8"/>
    <w:rsid w:val="00BC5D77"/>
    <w:rsid w:val="00BC5E91"/>
    <w:rsid w:val="00BC605C"/>
    <w:rsid w:val="00BC6100"/>
    <w:rsid w:val="00BC62DF"/>
    <w:rsid w:val="00BC6D60"/>
    <w:rsid w:val="00BC7D05"/>
    <w:rsid w:val="00BD043E"/>
    <w:rsid w:val="00BD0AC3"/>
    <w:rsid w:val="00BD1189"/>
    <w:rsid w:val="00BD14B0"/>
    <w:rsid w:val="00BD20B1"/>
    <w:rsid w:val="00BD2ADB"/>
    <w:rsid w:val="00BD2B85"/>
    <w:rsid w:val="00BD2BF4"/>
    <w:rsid w:val="00BD3946"/>
    <w:rsid w:val="00BD3979"/>
    <w:rsid w:val="00BD3EB7"/>
    <w:rsid w:val="00BD3F70"/>
    <w:rsid w:val="00BD41DE"/>
    <w:rsid w:val="00BD4A94"/>
    <w:rsid w:val="00BD5C47"/>
    <w:rsid w:val="00BD5DB5"/>
    <w:rsid w:val="00BD6A6A"/>
    <w:rsid w:val="00BD70F1"/>
    <w:rsid w:val="00BD7263"/>
    <w:rsid w:val="00BD7306"/>
    <w:rsid w:val="00BD7483"/>
    <w:rsid w:val="00BD787E"/>
    <w:rsid w:val="00BD7B51"/>
    <w:rsid w:val="00BD7C0B"/>
    <w:rsid w:val="00BE043F"/>
    <w:rsid w:val="00BE05B7"/>
    <w:rsid w:val="00BE07D5"/>
    <w:rsid w:val="00BE0AE0"/>
    <w:rsid w:val="00BE0C96"/>
    <w:rsid w:val="00BE0D9C"/>
    <w:rsid w:val="00BE0FC4"/>
    <w:rsid w:val="00BE1376"/>
    <w:rsid w:val="00BE1A7A"/>
    <w:rsid w:val="00BE329A"/>
    <w:rsid w:val="00BE3455"/>
    <w:rsid w:val="00BE3463"/>
    <w:rsid w:val="00BE3A95"/>
    <w:rsid w:val="00BE3BFE"/>
    <w:rsid w:val="00BE46CE"/>
    <w:rsid w:val="00BE49CE"/>
    <w:rsid w:val="00BE4A2A"/>
    <w:rsid w:val="00BE5E22"/>
    <w:rsid w:val="00BE5E3D"/>
    <w:rsid w:val="00BE68B3"/>
    <w:rsid w:val="00BE6990"/>
    <w:rsid w:val="00BE6C3D"/>
    <w:rsid w:val="00BE6F7B"/>
    <w:rsid w:val="00BE769B"/>
    <w:rsid w:val="00BF166D"/>
    <w:rsid w:val="00BF1AF1"/>
    <w:rsid w:val="00BF2AED"/>
    <w:rsid w:val="00BF2B17"/>
    <w:rsid w:val="00BF37F9"/>
    <w:rsid w:val="00BF3BCF"/>
    <w:rsid w:val="00BF3E09"/>
    <w:rsid w:val="00BF42CB"/>
    <w:rsid w:val="00BF485B"/>
    <w:rsid w:val="00BF4C35"/>
    <w:rsid w:val="00BF5050"/>
    <w:rsid w:val="00BF5428"/>
    <w:rsid w:val="00BF559C"/>
    <w:rsid w:val="00BF55E8"/>
    <w:rsid w:val="00BF603C"/>
    <w:rsid w:val="00C0006A"/>
    <w:rsid w:val="00C01841"/>
    <w:rsid w:val="00C01CFA"/>
    <w:rsid w:val="00C01D27"/>
    <w:rsid w:val="00C01F7B"/>
    <w:rsid w:val="00C02186"/>
    <w:rsid w:val="00C02DAA"/>
    <w:rsid w:val="00C032FF"/>
    <w:rsid w:val="00C0336C"/>
    <w:rsid w:val="00C034A7"/>
    <w:rsid w:val="00C03588"/>
    <w:rsid w:val="00C04A20"/>
    <w:rsid w:val="00C051E5"/>
    <w:rsid w:val="00C05C19"/>
    <w:rsid w:val="00C05DAC"/>
    <w:rsid w:val="00C06450"/>
    <w:rsid w:val="00C06513"/>
    <w:rsid w:val="00C06CCD"/>
    <w:rsid w:val="00C06F8B"/>
    <w:rsid w:val="00C0701D"/>
    <w:rsid w:val="00C0764C"/>
    <w:rsid w:val="00C079BD"/>
    <w:rsid w:val="00C07BEB"/>
    <w:rsid w:val="00C07EBB"/>
    <w:rsid w:val="00C1035A"/>
    <w:rsid w:val="00C107C3"/>
    <w:rsid w:val="00C10991"/>
    <w:rsid w:val="00C10B02"/>
    <w:rsid w:val="00C112E8"/>
    <w:rsid w:val="00C11510"/>
    <w:rsid w:val="00C11B66"/>
    <w:rsid w:val="00C1237F"/>
    <w:rsid w:val="00C12745"/>
    <w:rsid w:val="00C13251"/>
    <w:rsid w:val="00C13333"/>
    <w:rsid w:val="00C133D7"/>
    <w:rsid w:val="00C1415F"/>
    <w:rsid w:val="00C1446A"/>
    <w:rsid w:val="00C14AA3"/>
    <w:rsid w:val="00C14F54"/>
    <w:rsid w:val="00C154C6"/>
    <w:rsid w:val="00C1589C"/>
    <w:rsid w:val="00C16F07"/>
    <w:rsid w:val="00C1734B"/>
    <w:rsid w:val="00C173A5"/>
    <w:rsid w:val="00C173BF"/>
    <w:rsid w:val="00C1740D"/>
    <w:rsid w:val="00C178AB"/>
    <w:rsid w:val="00C17CC7"/>
    <w:rsid w:val="00C20874"/>
    <w:rsid w:val="00C209EA"/>
    <w:rsid w:val="00C213C0"/>
    <w:rsid w:val="00C21540"/>
    <w:rsid w:val="00C21683"/>
    <w:rsid w:val="00C21D30"/>
    <w:rsid w:val="00C22CCC"/>
    <w:rsid w:val="00C22DC1"/>
    <w:rsid w:val="00C2324F"/>
    <w:rsid w:val="00C2414C"/>
    <w:rsid w:val="00C24287"/>
    <w:rsid w:val="00C24B9C"/>
    <w:rsid w:val="00C24D2B"/>
    <w:rsid w:val="00C26076"/>
    <w:rsid w:val="00C266DC"/>
    <w:rsid w:val="00C267A9"/>
    <w:rsid w:val="00C273E4"/>
    <w:rsid w:val="00C30386"/>
    <w:rsid w:val="00C30423"/>
    <w:rsid w:val="00C306AE"/>
    <w:rsid w:val="00C308BD"/>
    <w:rsid w:val="00C30FB6"/>
    <w:rsid w:val="00C31A26"/>
    <w:rsid w:val="00C31FC1"/>
    <w:rsid w:val="00C3215E"/>
    <w:rsid w:val="00C32335"/>
    <w:rsid w:val="00C32477"/>
    <w:rsid w:val="00C32929"/>
    <w:rsid w:val="00C3307F"/>
    <w:rsid w:val="00C330C2"/>
    <w:rsid w:val="00C3381D"/>
    <w:rsid w:val="00C33870"/>
    <w:rsid w:val="00C34206"/>
    <w:rsid w:val="00C3429D"/>
    <w:rsid w:val="00C34820"/>
    <w:rsid w:val="00C34E8D"/>
    <w:rsid w:val="00C354A5"/>
    <w:rsid w:val="00C35AE8"/>
    <w:rsid w:val="00C35EB1"/>
    <w:rsid w:val="00C3606D"/>
    <w:rsid w:val="00C36088"/>
    <w:rsid w:val="00C36418"/>
    <w:rsid w:val="00C365B9"/>
    <w:rsid w:val="00C36791"/>
    <w:rsid w:val="00C36B9B"/>
    <w:rsid w:val="00C36D8F"/>
    <w:rsid w:val="00C36E46"/>
    <w:rsid w:val="00C37B22"/>
    <w:rsid w:val="00C37FCA"/>
    <w:rsid w:val="00C40789"/>
    <w:rsid w:val="00C40D57"/>
    <w:rsid w:val="00C40DFB"/>
    <w:rsid w:val="00C4108F"/>
    <w:rsid w:val="00C41369"/>
    <w:rsid w:val="00C41AFE"/>
    <w:rsid w:val="00C41FFF"/>
    <w:rsid w:val="00C42293"/>
    <w:rsid w:val="00C42373"/>
    <w:rsid w:val="00C42843"/>
    <w:rsid w:val="00C42D92"/>
    <w:rsid w:val="00C4362E"/>
    <w:rsid w:val="00C43A93"/>
    <w:rsid w:val="00C443ED"/>
    <w:rsid w:val="00C44D57"/>
    <w:rsid w:val="00C44F8C"/>
    <w:rsid w:val="00C44FED"/>
    <w:rsid w:val="00C4507E"/>
    <w:rsid w:val="00C4550F"/>
    <w:rsid w:val="00C456C6"/>
    <w:rsid w:val="00C45861"/>
    <w:rsid w:val="00C459A7"/>
    <w:rsid w:val="00C45FFE"/>
    <w:rsid w:val="00C468DA"/>
    <w:rsid w:val="00C469CB"/>
    <w:rsid w:val="00C46C30"/>
    <w:rsid w:val="00C47374"/>
    <w:rsid w:val="00C4741F"/>
    <w:rsid w:val="00C474D6"/>
    <w:rsid w:val="00C4776F"/>
    <w:rsid w:val="00C477E2"/>
    <w:rsid w:val="00C479CD"/>
    <w:rsid w:val="00C47D31"/>
    <w:rsid w:val="00C47E97"/>
    <w:rsid w:val="00C501BB"/>
    <w:rsid w:val="00C50380"/>
    <w:rsid w:val="00C50895"/>
    <w:rsid w:val="00C508EE"/>
    <w:rsid w:val="00C511BF"/>
    <w:rsid w:val="00C51446"/>
    <w:rsid w:val="00C52760"/>
    <w:rsid w:val="00C52774"/>
    <w:rsid w:val="00C52DEA"/>
    <w:rsid w:val="00C5306F"/>
    <w:rsid w:val="00C5332C"/>
    <w:rsid w:val="00C535B0"/>
    <w:rsid w:val="00C53710"/>
    <w:rsid w:val="00C53956"/>
    <w:rsid w:val="00C53D59"/>
    <w:rsid w:val="00C54D8F"/>
    <w:rsid w:val="00C553A0"/>
    <w:rsid w:val="00C5565A"/>
    <w:rsid w:val="00C55CC4"/>
    <w:rsid w:val="00C55EC5"/>
    <w:rsid w:val="00C568FF"/>
    <w:rsid w:val="00C56AC3"/>
    <w:rsid w:val="00C56F9A"/>
    <w:rsid w:val="00C5765C"/>
    <w:rsid w:val="00C578C0"/>
    <w:rsid w:val="00C57BA3"/>
    <w:rsid w:val="00C609B8"/>
    <w:rsid w:val="00C609D5"/>
    <w:rsid w:val="00C60B3F"/>
    <w:rsid w:val="00C61CA8"/>
    <w:rsid w:val="00C62214"/>
    <w:rsid w:val="00C625D2"/>
    <w:rsid w:val="00C62AA4"/>
    <w:rsid w:val="00C62D3E"/>
    <w:rsid w:val="00C62DB0"/>
    <w:rsid w:val="00C62F50"/>
    <w:rsid w:val="00C635BA"/>
    <w:rsid w:val="00C63B28"/>
    <w:rsid w:val="00C64768"/>
    <w:rsid w:val="00C64C65"/>
    <w:rsid w:val="00C64F2D"/>
    <w:rsid w:val="00C658F5"/>
    <w:rsid w:val="00C65A9C"/>
    <w:rsid w:val="00C65F05"/>
    <w:rsid w:val="00C67770"/>
    <w:rsid w:val="00C67A0A"/>
    <w:rsid w:val="00C70381"/>
    <w:rsid w:val="00C710F2"/>
    <w:rsid w:val="00C71349"/>
    <w:rsid w:val="00C71C4E"/>
    <w:rsid w:val="00C71DDC"/>
    <w:rsid w:val="00C71F95"/>
    <w:rsid w:val="00C71FC9"/>
    <w:rsid w:val="00C7206A"/>
    <w:rsid w:val="00C72276"/>
    <w:rsid w:val="00C72494"/>
    <w:rsid w:val="00C7269D"/>
    <w:rsid w:val="00C72F55"/>
    <w:rsid w:val="00C730F9"/>
    <w:rsid w:val="00C73122"/>
    <w:rsid w:val="00C731B3"/>
    <w:rsid w:val="00C738F1"/>
    <w:rsid w:val="00C73ABC"/>
    <w:rsid w:val="00C740A3"/>
    <w:rsid w:val="00C74AB1"/>
    <w:rsid w:val="00C74CD6"/>
    <w:rsid w:val="00C74D85"/>
    <w:rsid w:val="00C752CF"/>
    <w:rsid w:val="00C7536C"/>
    <w:rsid w:val="00C758F1"/>
    <w:rsid w:val="00C7604B"/>
    <w:rsid w:val="00C7633C"/>
    <w:rsid w:val="00C7636E"/>
    <w:rsid w:val="00C76765"/>
    <w:rsid w:val="00C76D3A"/>
    <w:rsid w:val="00C7769A"/>
    <w:rsid w:val="00C77FBF"/>
    <w:rsid w:val="00C8024D"/>
    <w:rsid w:val="00C80984"/>
    <w:rsid w:val="00C80DB7"/>
    <w:rsid w:val="00C80DC6"/>
    <w:rsid w:val="00C81B99"/>
    <w:rsid w:val="00C81CF0"/>
    <w:rsid w:val="00C81DFC"/>
    <w:rsid w:val="00C81FA4"/>
    <w:rsid w:val="00C82443"/>
    <w:rsid w:val="00C827A9"/>
    <w:rsid w:val="00C827DB"/>
    <w:rsid w:val="00C82DA0"/>
    <w:rsid w:val="00C8398F"/>
    <w:rsid w:val="00C83D52"/>
    <w:rsid w:val="00C849BF"/>
    <w:rsid w:val="00C84A31"/>
    <w:rsid w:val="00C85556"/>
    <w:rsid w:val="00C863CD"/>
    <w:rsid w:val="00C86527"/>
    <w:rsid w:val="00C8712B"/>
    <w:rsid w:val="00C87552"/>
    <w:rsid w:val="00C875C4"/>
    <w:rsid w:val="00C901DF"/>
    <w:rsid w:val="00C90419"/>
    <w:rsid w:val="00C907E6"/>
    <w:rsid w:val="00C90EC7"/>
    <w:rsid w:val="00C9133E"/>
    <w:rsid w:val="00C915F6"/>
    <w:rsid w:val="00C916B6"/>
    <w:rsid w:val="00C91EDF"/>
    <w:rsid w:val="00C92087"/>
    <w:rsid w:val="00C924FA"/>
    <w:rsid w:val="00C92C60"/>
    <w:rsid w:val="00C92D74"/>
    <w:rsid w:val="00C92EED"/>
    <w:rsid w:val="00C93446"/>
    <w:rsid w:val="00C93BA6"/>
    <w:rsid w:val="00C93CB2"/>
    <w:rsid w:val="00C93E79"/>
    <w:rsid w:val="00C94304"/>
    <w:rsid w:val="00C944C4"/>
    <w:rsid w:val="00C94AB7"/>
    <w:rsid w:val="00C94C75"/>
    <w:rsid w:val="00C95346"/>
    <w:rsid w:val="00C968FE"/>
    <w:rsid w:val="00C969BC"/>
    <w:rsid w:val="00C96DDF"/>
    <w:rsid w:val="00C974EF"/>
    <w:rsid w:val="00C97A03"/>
    <w:rsid w:val="00C97B08"/>
    <w:rsid w:val="00CA0164"/>
    <w:rsid w:val="00CA02DC"/>
    <w:rsid w:val="00CA0D4C"/>
    <w:rsid w:val="00CA0F41"/>
    <w:rsid w:val="00CA1320"/>
    <w:rsid w:val="00CA151D"/>
    <w:rsid w:val="00CA1E97"/>
    <w:rsid w:val="00CA2169"/>
    <w:rsid w:val="00CA298C"/>
    <w:rsid w:val="00CA2DB4"/>
    <w:rsid w:val="00CA3ECE"/>
    <w:rsid w:val="00CA3F78"/>
    <w:rsid w:val="00CA3FC4"/>
    <w:rsid w:val="00CA4BE2"/>
    <w:rsid w:val="00CA4F7B"/>
    <w:rsid w:val="00CA536A"/>
    <w:rsid w:val="00CA5757"/>
    <w:rsid w:val="00CA589D"/>
    <w:rsid w:val="00CA58E6"/>
    <w:rsid w:val="00CA5FE5"/>
    <w:rsid w:val="00CA6082"/>
    <w:rsid w:val="00CA6112"/>
    <w:rsid w:val="00CA6713"/>
    <w:rsid w:val="00CA6C14"/>
    <w:rsid w:val="00CA6FB6"/>
    <w:rsid w:val="00CA70F7"/>
    <w:rsid w:val="00CA766C"/>
    <w:rsid w:val="00CA7ADB"/>
    <w:rsid w:val="00CA7B12"/>
    <w:rsid w:val="00CA7E25"/>
    <w:rsid w:val="00CA7F90"/>
    <w:rsid w:val="00CB0072"/>
    <w:rsid w:val="00CB1154"/>
    <w:rsid w:val="00CB1681"/>
    <w:rsid w:val="00CB1E7F"/>
    <w:rsid w:val="00CB21B9"/>
    <w:rsid w:val="00CB295D"/>
    <w:rsid w:val="00CB32A6"/>
    <w:rsid w:val="00CB3474"/>
    <w:rsid w:val="00CB3571"/>
    <w:rsid w:val="00CB3B69"/>
    <w:rsid w:val="00CB3B6A"/>
    <w:rsid w:val="00CB4503"/>
    <w:rsid w:val="00CB4D7E"/>
    <w:rsid w:val="00CB5687"/>
    <w:rsid w:val="00CB572C"/>
    <w:rsid w:val="00CB58E7"/>
    <w:rsid w:val="00CB5E4B"/>
    <w:rsid w:val="00CB64E3"/>
    <w:rsid w:val="00CB6A0B"/>
    <w:rsid w:val="00CB6D54"/>
    <w:rsid w:val="00CB6D9E"/>
    <w:rsid w:val="00CB7297"/>
    <w:rsid w:val="00CB7318"/>
    <w:rsid w:val="00CB7603"/>
    <w:rsid w:val="00CB7B7A"/>
    <w:rsid w:val="00CC06E1"/>
    <w:rsid w:val="00CC0A90"/>
    <w:rsid w:val="00CC0C4F"/>
    <w:rsid w:val="00CC135E"/>
    <w:rsid w:val="00CC148D"/>
    <w:rsid w:val="00CC1643"/>
    <w:rsid w:val="00CC2130"/>
    <w:rsid w:val="00CC2BE2"/>
    <w:rsid w:val="00CC34A5"/>
    <w:rsid w:val="00CC34B7"/>
    <w:rsid w:val="00CC4547"/>
    <w:rsid w:val="00CC4574"/>
    <w:rsid w:val="00CC4933"/>
    <w:rsid w:val="00CC4DB1"/>
    <w:rsid w:val="00CC5767"/>
    <w:rsid w:val="00CC63B2"/>
    <w:rsid w:val="00CC6BE0"/>
    <w:rsid w:val="00CC6D4F"/>
    <w:rsid w:val="00CC7B98"/>
    <w:rsid w:val="00CC7E45"/>
    <w:rsid w:val="00CC7FB2"/>
    <w:rsid w:val="00CD0123"/>
    <w:rsid w:val="00CD0189"/>
    <w:rsid w:val="00CD0F0E"/>
    <w:rsid w:val="00CD146A"/>
    <w:rsid w:val="00CD1843"/>
    <w:rsid w:val="00CD18E3"/>
    <w:rsid w:val="00CD1944"/>
    <w:rsid w:val="00CD19C0"/>
    <w:rsid w:val="00CD1AB6"/>
    <w:rsid w:val="00CD1E2F"/>
    <w:rsid w:val="00CD1EDB"/>
    <w:rsid w:val="00CD2118"/>
    <w:rsid w:val="00CD2476"/>
    <w:rsid w:val="00CD2660"/>
    <w:rsid w:val="00CD2951"/>
    <w:rsid w:val="00CD29FC"/>
    <w:rsid w:val="00CD2C39"/>
    <w:rsid w:val="00CD3248"/>
    <w:rsid w:val="00CD3761"/>
    <w:rsid w:val="00CD49FF"/>
    <w:rsid w:val="00CD5984"/>
    <w:rsid w:val="00CD60CC"/>
    <w:rsid w:val="00CD676A"/>
    <w:rsid w:val="00CD6E14"/>
    <w:rsid w:val="00CD6E4F"/>
    <w:rsid w:val="00CD6EC2"/>
    <w:rsid w:val="00CD70DD"/>
    <w:rsid w:val="00CD72A9"/>
    <w:rsid w:val="00CE0255"/>
    <w:rsid w:val="00CE04AC"/>
    <w:rsid w:val="00CE08D7"/>
    <w:rsid w:val="00CE09E1"/>
    <w:rsid w:val="00CE0DDB"/>
    <w:rsid w:val="00CE1621"/>
    <w:rsid w:val="00CE1F10"/>
    <w:rsid w:val="00CE1F1D"/>
    <w:rsid w:val="00CE2B17"/>
    <w:rsid w:val="00CE2B81"/>
    <w:rsid w:val="00CE2E60"/>
    <w:rsid w:val="00CE32D4"/>
    <w:rsid w:val="00CE3A2E"/>
    <w:rsid w:val="00CE4021"/>
    <w:rsid w:val="00CE4298"/>
    <w:rsid w:val="00CE4305"/>
    <w:rsid w:val="00CE4B05"/>
    <w:rsid w:val="00CE5B6D"/>
    <w:rsid w:val="00CE5CC5"/>
    <w:rsid w:val="00CE65B7"/>
    <w:rsid w:val="00CE6832"/>
    <w:rsid w:val="00CE6EE0"/>
    <w:rsid w:val="00CE774A"/>
    <w:rsid w:val="00CF0091"/>
    <w:rsid w:val="00CF02EE"/>
    <w:rsid w:val="00CF034D"/>
    <w:rsid w:val="00CF03BE"/>
    <w:rsid w:val="00CF0A91"/>
    <w:rsid w:val="00CF1A05"/>
    <w:rsid w:val="00CF1C6F"/>
    <w:rsid w:val="00CF22DC"/>
    <w:rsid w:val="00CF2580"/>
    <w:rsid w:val="00CF25B7"/>
    <w:rsid w:val="00CF273B"/>
    <w:rsid w:val="00CF2A6D"/>
    <w:rsid w:val="00CF2D7E"/>
    <w:rsid w:val="00CF3FAA"/>
    <w:rsid w:val="00CF405E"/>
    <w:rsid w:val="00CF419C"/>
    <w:rsid w:val="00CF4DDC"/>
    <w:rsid w:val="00CF573E"/>
    <w:rsid w:val="00CF5B48"/>
    <w:rsid w:val="00CF5B85"/>
    <w:rsid w:val="00CF6A42"/>
    <w:rsid w:val="00CF6D8D"/>
    <w:rsid w:val="00CF73D2"/>
    <w:rsid w:val="00CF7655"/>
    <w:rsid w:val="00D003D0"/>
    <w:rsid w:val="00D00AE3"/>
    <w:rsid w:val="00D00BEF"/>
    <w:rsid w:val="00D014FC"/>
    <w:rsid w:val="00D016A0"/>
    <w:rsid w:val="00D025F0"/>
    <w:rsid w:val="00D04084"/>
    <w:rsid w:val="00D043D7"/>
    <w:rsid w:val="00D047F4"/>
    <w:rsid w:val="00D0496B"/>
    <w:rsid w:val="00D04991"/>
    <w:rsid w:val="00D05194"/>
    <w:rsid w:val="00D05E42"/>
    <w:rsid w:val="00D05E79"/>
    <w:rsid w:val="00D0606B"/>
    <w:rsid w:val="00D0624E"/>
    <w:rsid w:val="00D063B8"/>
    <w:rsid w:val="00D06AE0"/>
    <w:rsid w:val="00D06CCC"/>
    <w:rsid w:val="00D06DD8"/>
    <w:rsid w:val="00D06F12"/>
    <w:rsid w:val="00D072CD"/>
    <w:rsid w:val="00D07618"/>
    <w:rsid w:val="00D0783B"/>
    <w:rsid w:val="00D0787B"/>
    <w:rsid w:val="00D07901"/>
    <w:rsid w:val="00D07A86"/>
    <w:rsid w:val="00D10265"/>
    <w:rsid w:val="00D106D8"/>
    <w:rsid w:val="00D10E6A"/>
    <w:rsid w:val="00D1193E"/>
    <w:rsid w:val="00D11ABA"/>
    <w:rsid w:val="00D11AC8"/>
    <w:rsid w:val="00D12060"/>
    <w:rsid w:val="00D121A3"/>
    <w:rsid w:val="00D12A15"/>
    <w:rsid w:val="00D12CCE"/>
    <w:rsid w:val="00D12E65"/>
    <w:rsid w:val="00D1335B"/>
    <w:rsid w:val="00D13649"/>
    <w:rsid w:val="00D13889"/>
    <w:rsid w:val="00D14113"/>
    <w:rsid w:val="00D14141"/>
    <w:rsid w:val="00D14AC5"/>
    <w:rsid w:val="00D14ACF"/>
    <w:rsid w:val="00D14B8F"/>
    <w:rsid w:val="00D14E5A"/>
    <w:rsid w:val="00D14F36"/>
    <w:rsid w:val="00D1595D"/>
    <w:rsid w:val="00D159F6"/>
    <w:rsid w:val="00D1643C"/>
    <w:rsid w:val="00D1653B"/>
    <w:rsid w:val="00D1757A"/>
    <w:rsid w:val="00D175CE"/>
    <w:rsid w:val="00D17B85"/>
    <w:rsid w:val="00D17D37"/>
    <w:rsid w:val="00D20515"/>
    <w:rsid w:val="00D2082F"/>
    <w:rsid w:val="00D20A83"/>
    <w:rsid w:val="00D21140"/>
    <w:rsid w:val="00D214D2"/>
    <w:rsid w:val="00D22737"/>
    <w:rsid w:val="00D22AB6"/>
    <w:rsid w:val="00D22DD6"/>
    <w:rsid w:val="00D22F5E"/>
    <w:rsid w:val="00D234DA"/>
    <w:rsid w:val="00D24A27"/>
    <w:rsid w:val="00D24B9B"/>
    <w:rsid w:val="00D251CA"/>
    <w:rsid w:val="00D25601"/>
    <w:rsid w:val="00D25955"/>
    <w:rsid w:val="00D261A4"/>
    <w:rsid w:val="00D268C2"/>
    <w:rsid w:val="00D26BA9"/>
    <w:rsid w:val="00D2724B"/>
    <w:rsid w:val="00D279E9"/>
    <w:rsid w:val="00D30162"/>
    <w:rsid w:val="00D30DE1"/>
    <w:rsid w:val="00D30ED8"/>
    <w:rsid w:val="00D3174A"/>
    <w:rsid w:val="00D31802"/>
    <w:rsid w:val="00D31B46"/>
    <w:rsid w:val="00D32246"/>
    <w:rsid w:val="00D32371"/>
    <w:rsid w:val="00D3265A"/>
    <w:rsid w:val="00D32B15"/>
    <w:rsid w:val="00D32E28"/>
    <w:rsid w:val="00D334FE"/>
    <w:rsid w:val="00D33B86"/>
    <w:rsid w:val="00D33D2A"/>
    <w:rsid w:val="00D33E54"/>
    <w:rsid w:val="00D34C8B"/>
    <w:rsid w:val="00D353A2"/>
    <w:rsid w:val="00D356D1"/>
    <w:rsid w:val="00D35CEB"/>
    <w:rsid w:val="00D35DBA"/>
    <w:rsid w:val="00D3617B"/>
    <w:rsid w:val="00D368B5"/>
    <w:rsid w:val="00D36DC8"/>
    <w:rsid w:val="00D36F18"/>
    <w:rsid w:val="00D37707"/>
    <w:rsid w:val="00D377D3"/>
    <w:rsid w:val="00D37A71"/>
    <w:rsid w:val="00D40215"/>
    <w:rsid w:val="00D40A32"/>
    <w:rsid w:val="00D411EB"/>
    <w:rsid w:val="00D413AA"/>
    <w:rsid w:val="00D4153C"/>
    <w:rsid w:val="00D41A66"/>
    <w:rsid w:val="00D41D02"/>
    <w:rsid w:val="00D41E7C"/>
    <w:rsid w:val="00D422BD"/>
    <w:rsid w:val="00D4372F"/>
    <w:rsid w:val="00D43BD2"/>
    <w:rsid w:val="00D43FD4"/>
    <w:rsid w:val="00D44371"/>
    <w:rsid w:val="00D445A7"/>
    <w:rsid w:val="00D4529C"/>
    <w:rsid w:val="00D4582D"/>
    <w:rsid w:val="00D4593B"/>
    <w:rsid w:val="00D45BC7"/>
    <w:rsid w:val="00D45C6D"/>
    <w:rsid w:val="00D45C93"/>
    <w:rsid w:val="00D45D2A"/>
    <w:rsid w:val="00D45E93"/>
    <w:rsid w:val="00D45EB5"/>
    <w:rsid w:val="00D45F66"/>
    <w:rsid w:val="00D46B53"/>
    <w:rsid w:val="00D4727E"/>
    <w:rsid w:val="00D50ACE"/>
    <w:rsid w:val="00D515C0"/>
    <w:rsid w:val="00D518C0"/>
    <w:rsid w:val="00D51984"/>
    <w:rsid w:val="00D519B5"/>
    <w:rsid w:val="00D519BB"/>
    <w:rsid w:val="00D51DDA"/>
    <w:rsid w:val="00D52050"/>
    <w:rsid w:val="00D52382"/>
    <w:rsid w:val="00D523C1"/>
    <w:rsid w:val="00D52821"/>
    <w:rsid w:val="00D53932"/>
    <w:rsid w:val="00D53960"/>
    <w:rsid w:val="00D546AC"/>
    <w:rsid w:val="00D54978"/>
    <w:rsid w:val="00D54B55"/>
    <w:rsid w:val="00D559F1"/>
    <w:rsid w:val="00D564B5"/>
    <w:rsid w:val="00D568A2"/>
    <w:rsid w:val="00D56F51"/>
    <w:rsid w:val="00D57562"/>
    <w:rsid w:val="00D5760E"/>
    <w:rsid w:val="00D57B47"/>
    <w:rsid w:val="00D60031"/>
    <w:rsid w:val="00D603A7"/>
    <w:rsid w:val="00D6050E"/>
    <w:rsid w:val="00D60ADF"/>
    <w:rsid w:val="00D61324"/>
    <w:rsid w:val="00D61962"/>
    <w:rsid w:val="00D621DE"/>
    <w:rsid w:val="00D62800"/>
    <w:rsid w:val="00D6290D"/>
    <w:rsid w:val="00D634AF"/>
    <w:rsid w:val="00D634BA"/>
    <w:rsid w:val="00D6357E"/>
    <w:rsid w:val="00D63EFB"/>
    <w:rsid w:val="00D64340"/>
    <w:rsid w:val="00D648FB"/>
    <w:rsid w:val="00D64ED0"/>
    <w:rsid w:val="00D6516C"/>
    <w:rsid w:val="00D65370"/>
    <w:rsid w:val="00D6615B"/>
    <w:rsid w:val="00D6695C"/>
    <w:rsid w:val="00D669A7"/>
    <w:rsid w:val="00D66EC5"/>
    <w:rsid w:val="00D66F23"/>
    <w:rsid w:val="00D6757B"/>
    <w:rsid w:val="00D6782D"/>
    <w:rsid w:val="00D67F9D"/>
    <w:rsid w:val="00D71732"/>
    <w:rsid w:val="00D71864"/>
    <w:rsid w:val="00D71A2D"/>
    <w:rsid w:val="00D71DA6"/>
    <w:rsid w:val="00D71EB6"/>
    <w:rsid w:val="00D720D7"/>
    <w:rsid w:val="00D72576"/>
    <w:rsid w:val="00D72580"/>
    <w:rsid w:val="00D725ED"/>
    <w:rsid w:val="00D728C7"/>
    <w:rsid w:val="00D728F0"/>
    <w:rsid w:val="00D73E35"/>
    <w:rsid w:val="00D73F93"/>
    <w:rsid w:val="00D7414A"/>
    <w:rsid w:val="00D7423A"/>
    <w:rsid w:val="00D74856"/>
    <w:rsid w:val="00D7493B"/>
    <w:rsid w:val="00D74D4F"/>
    <w:rsid w:val="00D74DFD"/>
    <w:rsid w:val="00D74E3B"/>
    <w:rsid w:val="00D74F66"/>
    <w:rsid w:val="00D74F9D"/>
    <w:rsid w:val="00D750ED"/>
    <w:rsid w:val="00D7541D"/>
    <w:rsid w:val="00D75605"/>
    <w:rsid w:val="00D75B36"/>
    <w:rsid w:val="00D75C06"/>
    <w:rsid w:val="00D7624E"/>
    <w:rsid w:val="00D76256"/>
    <w:rsid w:val="00D7629E"/>
    <w:rsid w:val="00D76A97"/>
    <w:rsid w:val="00D76F1C"/>
    <w:rsid w:val="00D77364"/>
    <w:rsid w:val="00D77439"/>
    <w:rsid w:val="00D77471"/>
    <w:rsid w:val="00D77E6A"/>
    <w:rsid w:val="00D80165"/>
    <w:rsid w:val="00D803C4"/>
    <w:rsid w:val="00D80AF7"/>
    <w:rsid w:val="00D80B1F"/>
    <w:rsid w:val="00D81237"/>
    <w:rsid w:val="00D81596"/>
    <w:rsid w:val="00D81A35"/>
    <w:rsid w:val="00D81EE1"/>
    <w:rsid w:val="00D8213F"/>
    <w:rsid w:val="00D8233B"/>
    <w:rsid w:val="00D82446"/>
    <w:rsid w:val="00D826C9"/>
    <w:rsid w:val="00D826D6"/>
    <w:rsid w:val="00D83378"/>
    <w:rsid w:val="00D833B9"/>
    <w:rsid w:val="00D83747"/>
    <w:rsid w:val="00D84212"/>
    <w:rsid w:val="00D84394"/>
    <w:rsid w:val="00D84A3D"/>
    <w:rsid w:val="00D84EC5"/>
    <w:rsid w:val="00D85273"/>
    <w:rsid w:val="00D854F3"/>
    <w:rsid w:val="00D85DDE"/>
    <w:rsid w:val="00D86238"/>
    <w:rsid w:val="00D86486"/>
    <w:rsid w:val="00D86CF2"/>
    <w:rsid w:val="00D876ED"/>
    <w:rsid w:val="00D87A20"/>
    <w:rsid w:val="00D87AB8"/>
    <w:rsid w:val="00D9020C"/>
    <w:rsid w:val="00D905E6"/>
    <w:rsid w:val="00D90C6B"/>
    <w:rsid w:val="00D911E3"/>
    <w:rsid w:val="00D91667"/>
    <w:rsid w:val="00D918FB"/>
    <w:rsid w:val="00D920D8"/>
    <w:rsid w:val="00D92362"/>
    <w:rsid w:val="00D92B38"/>
    <w:rsid w:val="00D93F99"/>
    <w:rsid w:val="00D947B7"/>
    <w:rsid w:val="00D94BF4"/>
    <w:rsid w:val="00D94CAB"/>
    <w:rsid w:val="00D94F71"/>
    <w:rsid w:val="00D95243"/>
    <w:rsid w:val="00D95670"/>
    <w:rsid w:val="00D956BE"/>
    <w:rsid w:val="00D956BF"/>
    <w:rsid w:val="00D95CB4"/>
    <w:rsid w:val="00D95EA9"/>
    <w:rsid w:val="00D96383"/>
    <w:rsid w:val="00D9643D"/>
    <w:rsid w:val="00D97180"/>
    <w:rsid w:val="00D974C8"/>
    <w:rsid w:val="00D97FE4"/>
    <w:rsid w:val="00DA00FA"/>
    <w:rsid w:val="00DA0C1E"/>
    <w:rsid w:val="00DA119E"/>
    <w:rsid w:val="00DA13D8"/>
    <w:rsid w:val="00DA1502"/>
    <w:rsid w:val="00DA1C62"/>
    <w:rsid w:val="00DA1D50"/>
    <w:rsid w:val="00DA1E01"/>
    <w:rsid w:val="00DA2161"/>
    <w:rsid w:val="00DA234E"/>
    <w:rsid w:val="00DA2856"/>
    <w:rsid w:val="00DA2A9F"/>
    <w:rsid w:val="00DA2C43"/>
    <w:rsid w:val="00DA30C7"/>
    <w:rsid w:val="00DA3BF4"/>
    <w:rsid w:val="00DA3CC0"/>
    <w:rsid w:val="00DA3D28"/>
    <w:rsid w:val="00DA40F2"/>
    <w:rsid w:val="00DA437B"/>
    <w:rsid w:val="00DA499B"/>
    <w:rsid w:val="00DA4C7A"/>
    <w:rsid w:val="00DA5427"/>
    <w:rsid w:val="00DA55C4"/>
    <w:rsid w:val="00DA5F4B"/>
    <w:rsid w:val="00DA625C"/>
    <w:rsid w:val="00DA6594"/>
    <w:rsid w:val="00DA65B2"/>
    <w:rsid w:val="00DA6F17"/>
    <w:rsid w:val="00DA710C"/>
    <w:rsid w:val="00DA7680"/>
    <w:rsid w:val="00DA77C9"/>
    <w:rsid w:val="00DA77FD"/>
    <w:rsid w:val="00DA7DB1"/>
    <w:rsid w:val="00DB0505"/>
    <w:rsid w:val="00DB08EE"/>
    <w:rsid w:val="00DB0B93"/>
    <w:rsid w:val="00DB0BD1"/>
    <w:rsid w:val="00DB12DB"/>
    <w:rsid w:val="00DB1C3F"/>
    <w:rsid w:val="00DB2FB0"/>
    <w:rsid w:val="00DB300F"/>
    <w:rsid w:val="00DB3100"/>
    <w:rsid w:val="00DB3395"/>
    <w:rsid w:val="00DB40C2"/>
    <w:rsid w:val="00DB459B"/>
    <w:rsid w:val="00DB5513"/>
    <w:rsid w:val="00DB5559"/>
    <w:rsid w:val="00DB5761"/>
    <w:rsid w:val="00DB5FAE"/>
    <w:rsid w:val="00DB6CAB"/>
    <w:rsid w:val="00DB742D"/>
    <w:rsid w:val="00DB7529"/>
    <w:rsid w:val="00DB7585"/>
    <w:rsid w:val="00DB795A"/>
    <w:rsid w:val="00DB7B66"/>
    <w:rsid w:val="00DB7C17"/>
    <w:rsid w:val="00DB7DDB"/>
    <w:rsid w:val="00DC0CD7"/>
    <w:rsid w:val="00DC0F8A"/>
    <w:rsid w:val="00DC0F94"/>
    <w:rsid w:val="00DC1B23"/>
    <w:rsid w:val="00DC2560"/>
    <w:rsid w:val="00DC2DC3"/>
    <w:rsid w:val="00DC3253"/>
    <w:rsid w:val="00DC34CA"/>
    <w:rsid w:val="00DC34F8"/>
    <w:rsid w:val="00DC3545"/>
    <w:rsid w:val="00DC36BB"/>
    <w:rsid w:val="00DC3C68"/>
    <w:rsid w:val="00DC3D72"/>
    <w:rsid w:val="00DC3E62"/>
    <w:rsid w:val="00DC490E"/>
    <w:rsid w:val="00DC4995"/>
    <w:rsid w:val="00DC4BE5"/>
    <w:rsid w:val="00DC52E4"/>
    <w:rsid w:val="00DC5632"/>
    <w:rsid w:val="00DC58F4"/>
    <w:rsid w:val="00DC5D59"/>
    <w:rsid w:val="00DC64E1"/>
    <w:rsid w:val="00DC65DE"/>
    <w:rsid w:val="00DC66F2"/>
    <w:rsid w:val="00DC69E2"/>
    <w:rsid w:val="00DC6D0C"/>
    <w:rsid w:val="00DC6D3A"/>
    <w:rsid w:val="00DC73A3"/>
    <w:rsid w:val="00DD0AF6"/>
    <w:rsid w:val="00DD106B"/>
    <w:rsid w:val="00DD1D37"/>
    <w:rsid w:val="00DD2846"/>
    <w:rsid w:val="00DD28F1"/>
    <w:rsid w:val="00DD2AC3"/>
    <w:rsid w:val="00DD2D5F"/>
    <w:rsid w:val="00DD2DB1"/>
    <w:rsid w:val="00DD3B0B"/>
    <w:rsid w:val="00DD3DF0"/>
    <w:rsid w:val="00DD42FC"/>
    <w:rsid w:val="00DD4B99"/>
    <w:rsid w:val="00DD5193"/>
    <w:rsid w:val="00DD5B67"/>
    <w:rsid w:val="00DD5E58"/>
    <w:rsid w:val="00DD665A"/>
    <w:rsid w:val="00DD6876"/>
    <w:rsid w:val="00DD69AA"/>
    <w:rsid w:val="00DD6CC5"/>
    <w:rsid w:val="00DD6DAA"/>
    <w:rsid w:val="00DD7480"/>
    <w:rsid w:val="00DD7E22"/>
    <w:rsid w:val="00DE063E"/>
    <w:rsid w:val="00DE0997"/>
    <w:rsid w:val="00DE0AE7"/>
    <w:rsid w:val="00DE0F2D"/>
    <w:rsid w:val="00DE109C"/>
    <w:rsid w:val="00DE1497"/>
    <w:rsid w:val="00DE19E3"/>
    <w:rsid w:val="00DE1E49"/>
    <w:rsid w:val="00DE220F"/>
    <w:rsid w:val="00DE2630"/>
    <w:rsid w:val="00DE2A36"/>
    <w:rsid w:val="00DE368A"/>
    <w:rsid w:val="00DE40E6"/>
    <w:rsid w:val="00DE4467"/>
    <w:rsid w:val="00DE4743"/>
    <w:rsid w:val="00DE4C55"/>
    <w:rsid w:val="00DE4DFB"/>
    <w:rsid w:val="00DE5065"/>
    <w:rsid w:val="00DE518F"/>
    <w:rsid w:val="00DE532A"/>
    <w:rsid w:val="00DE5A51"/>
    <w:rsid w:val="00DE5E46"/>
    <w:rsid w:val="00DE6062"/>
    <w:rsid w:val="00DE6389"/>
    <w:rsid w:val="00DE66B0"/>
    <w:rsid w:val="00DE68CC"/>
    <w:rsid w:val="00DE76C8"/>
    <w:rsid w:val="00DE7AA8"/>
    <w:rsid w:val="00DE7ADB"/>
    <w:rsid w:val="00DE7B31"/>
    <w:rsid w:val="00DE7CFC"/>
    <w:rsid w:val="00DF075B"/>
    <w:rsid w:val="00DF0A83"/>
    <w:rsid w:val="00DF0DC6"/>
    <w:rsid w:val="00DF1B99"/>
    <w:rsid w:val="00DF1D78"/>
    <w:rsid w:val="00DF21BD"/>
    <w:rsid w:val="00DF2534"/>
    <w:rsid w:val="00DF33EF"/>
    <w:rsid w:val="00DF349A"/>
    <w:rsid w:val="00DF35EE"/>
    <w:rsid w:val="00DF38D9"/>
    <w:rsid w:val="00DF3C09"/>
    <w:rsid w:val="00DF4223"/>
    <w:rsid w:val="00DF4449"/>
    <w:rsid w:val="00DF457B"/>
    <w:rsid w:val="00DF4F24"/>
    <w:rsid w:val="00DF4F80"/>
    <w:rsid w:val="00DF4FB2"/>
    <w:rsid w:val="00DF63CC"/>
    <w:rsid w:val="00DF68E4"/>
    <w:rsid w:val="00DF6975"/>
    <w:rsid w:val="00DF6D61"/>
    <w:rsid w:val="00DF72DA"/>
    <w:rsid w:val="00E00742"/>
    <w:rsid w:val="00E009B1"/>
    <w:rsid w:val="00E00CAD"/>
    <w:rsid w:val="00E014D3"/>
    <w:rsid w:val="00E0238D"/>
    <w:rsid w:val="00E02C15"/>
    <w:rsid w:val="00E02D31"/>
    <w:rsid w:val="00E034AD"/>
    <w:rsid w:val="00E03DA1"/>
    <w:rsid w:val="00E0400B"/>
    <w:rsid w:val="00E04280"/>
    <w:rsid w:val="00E049EF"/>
    <w:rsid w:val="00E04A35"/>
    <w:rsid w:val="00E04A5E"/>
    <w:rsid w:val="00E050E6"/>
    <w:rsid w:val="00E055C4"/>
    <w:rsid w:val="00E0562F"/>
    <w:rsid w:val="00E05B2B"/>
    <w:rsid w:val="00E06916"/>
    <w:rsid w:val="00E07FAE"/>
    <w:rsid w:val="00E10609"/>
    <w:rsid w:val="00E10626"/>
    <w:rsid w:val="00E107AB"/>
    <w:rsid w:val="00E108BE"/>
    <w:rsid w:val="00E10BDD"/>
    <w:rsid w:val="00E1102F"/>
    <w:rsid w:val="00E117CD"/>
    <w:rsid w:val="00E123F0"/>
    <w:rsid w:val="00E12401"/>
    <w:rsid w:val="00E12F9B"/>
    <w:rsid w:val="00E13164"/>
    <w:rsid w:val="00E1337D"/>
    <w:rsid w:val="00E135B1"/>
    <w:rsid w:val="00E13E69"/>
    <w:rsid w:val="00E14140"/>
    <w:rsid w:val="00E1466E"/>
    <w:rsid w:val="00E14AA9"/>
    <w:rsid w:val="00E14D03"/>
    <w:rsid w:val="00E156AF"/>
    <w:rsid w:val="00E164D7"/>
    <w:rsid w:val="00E16E89"/>
    <w:rsid w:val="00E17309"/>
    <w:rsid w:val="00E1751F"/>
    <w:rsid w:val="00E1755A"/>
    <w:rsid w:val="00E17675"/>
    <w:rsid w:val="00E17B95"/>
    <w:rsid w:val="00E20077"/>
    <w:rsid w:val="00E201C9"/>
    <w:rsid w:val="00E20257"/>
    <w:rsid w:val="00E2123C"/>
    <w:rsid w:val="00E212A5"/>
    <w:rsid w:val="00E22234"/>
    <w:rsid w:val="00E22374"/>
    <w:rsid w:val="00E22DCE"/>
    <w:rsid w:val="00E23974"/>
    <w:rsid w:val="00E23C99"/>
    <w:rsid w:val="00E242C7"/>
    <w:rsid w:val="00E24406"/>
    <w:rsid w:val="00E2498A"/>
    <w:rsid w:val="00E24BF2"/>
    <w:rsid w:val="00E24E9C"/>
    <w:rsid w:val="00E24F86"/>
    <w:rsid w:val="00E25401"/>
    <w:rsid w:val="00E256DB"/>
    <w:rsid w:val="00E25977"/>
    <w:rsid w:val="00E25A8D"/>
    <w:rsid w:val="00E25AE2"/>
    <w:rsid w:val="00E26390"/>
    <w:rsid w:val="00E265E6"/>
    <w:rsid w:val="00E26652"/>
    <w:rsid w:val="00E269B0"/>
    <w:rsid w:val="00E26B0F"/>
    <w:rsid w:val="00E26BF1"/>
    <w:rsid w:val="00E26D6C"/>
    <w:rsid w:val="00E26FC9"/>
    <w:rsid w:val="00E278EF"/>
    <w:rsid w:val="00E27996"/>
    <w:rsid w:val="00E305E4"/>
    <w:rsid w:val="00E30954"/>
    <w:rsid w:val="00E30D2A"/>
    <w:rsid w:val="00E30DBB"/>
    <w:rsid w:val="00E3117A"/>
    <w:rsid w:val="00E313C2"/>
    <w:rsid w:val="00E3170F"/>
    <w:rsid w:val="00E318BE"/>
    <w:rsid w:val="00E31A0B"/>
    <w:rsid w:val="00E31FC4"/>
    <w:rsid w:val="00E32511"/>
    <w:rsid w:val="00E325AB"/>
    <w:rsid w:val="00E32663"/>
    <w:rsid w:val="00E32899"/>
    <w:rsid w:val="00E32B44"/>
    <w:rsid w:val="00E33A92"/>
    <w:rsid w:val="00E33A9A"/>
    <w:rsid w:val="00E33D40"/>
    <w:rsid w:val="00E33EE5"/>
    <w:rsid w:val="00E33F00"/>
    <w:rsid w:val="00E33F19"/>
    <w:rsid w:val="00E34375"/>
    <w:rsid w:val="00E343E1"/>
    <w:rsid w:val="00E34917"/>
    <w:rsid w:val="00E3496E"/>
    <w:rsid w:val="00E34A68"/>
    <w:rsid w:val="00E34B4D"/>
    <w:rsid w:val="00E3502B"/>
    <w:rsid w:val="00E35139"/>
    <w:rsid w:val="00E35FF8"/>
    <w:rsid w:val="00E37A97"/>
    <w:rsid w:val="00E37D9D"/>
    <w:rsid w:val="00E37DCF"/>
    <w:rsid w:val="00E40BC5"/>
    <w:rsid w:val="00E40BD4"/>
    <w:rsid w:val="00E4105D"/>
    <w:rsid w:val="00E4140D"/>
    <w:rsid w:val="00E416B5"/>
    <w:rsid w:val="00E41752"/>
    <w:rsid w:val="00E41BA2"/>
    <w:rsid w:val="00E4210C"/>
    <w:rsid w:val="00E421B9"/>
    <w:rsid w:val="00E42510"/>
    <w:rsid w:val="00E42528"/>
    <w:rsid w:val="00E425B5"/>
    <w:rsid w:val="00E42F19"/>
    <w:rsid w:val="00E4313F"/>
    <w:rsid w:val="00E4351D"/>
    <w:rsid w:val="00E43AAF"/>
    <w:rsid w:val="00E44368"/>
    <w:rsid w:val="00E44857"/>
    <w:rsid w:val="00E45553"/>
    <w:rsid w:val="00E457D0"/>
    <w:rsid w:val="00E458B9"/>
    <w:rsid w:val="00E45BD8"/>
    <w:rsid w:val="00E46168"/>
    <w:rsid w:val="00E46A56"/>
    <w:rsid w:val="00E470A7"/>
    <w:rsid w:val="00E47421"/>
    <w:rsid w:val="00E4743F"/>
    <w:rsid w:val="00E47DF0"/>
    <w:rsid w:val="00E501B8"/>
    <w:rsid w:val="00E50CF7"/>
    <w:rsid w:val="00E515DA"/>
    <w:rsid w:val="00E516D3"/>
    <w:rsid w:val="00E5187C"/>
    <w:rsid w:val="00E51AC1"/>
    <w:rsid w:val="00E520B5"/>
    <w:rsid w:val="00E5214B"/>
    <w:rsid w:val="00E52A92"/>
    <w:rsid w:val="00E52E0E"/>
    <w:rsid w:val="00E52EF5"/>
    <w:rsid w:val="00E532C5"/>
    <w:rsid w:val="00E5380B"/>
    <w:rsid w:val="00E54177"/>
    <w:rsid w:val="00E546D8"/>
    <w:rsid w:val="00E54868"/>
    <w:rsid w:val="00E54990"/>
    <w:rsid w:val="00E54D21"/>
    <w:rsid w:val="00E5570F"/>
    <w:rsid w:val="00E56108"/>
    <w:rsid w:val="00E562D5"/>
    <w:rsid w:val="00E56438"/>
    <w:rsid w:val="00E56A50"/>
    <w:rsid w:val="00E573DF"/>
    <w:rsid w:val="00E57564"/>
    <w:rsid w:val="00E575BA"/>
    <w:rsid w:val="00E60871"/>
    <w:rsid w:val="00E60A14"/>
    <w:rsid w:val="00E60D28"/>
    <w:rsid w:val="00E61C11"/>
    <w:rsid w:val="00E6209A"/>
    <w:rsid w:val="00E62B2C"/>
    <w:rsid w:val="00E62ECD"/>
    <w:rsid w:val="00E62EF4"/>
    <w:rsid w:val="00E63177"/>
    <w:rsid w:val="00E6337D"/>
    <w:rsid w:val="00E63828"/>
    <w:rsid w:val="00E63F6A"/>
    <w:rsid w:val="00E644BE"/>
    <w:rsid w:val="00E649E6"/>
    <w:rsid w:val="00E64DB9"/>
    <w:rsid w:val="00E65C6E"/>
    <w:rsid w:val="00E66653"/>
    <w:rsid w:val="00E66D82"/>
    <w:rsid w:val="00E676E9"/>
    <w:rsid w:val="00E67A38"/>
    <w:rsid w:val="00E70716"/>
    <w:rsid w:val="00E707FE"/>
    <w:rsid w:val="00E70FA9"/>
    <w:rsid w:val="00E71070"/>
    <w:rsid w:val="00E71318"/>
    <w:rsid w:val="00E71DE6"/>
    <w:rsid w:val="00E7209F"/>
    <w:rsid w:val="00E72143"/>
    <w:rsid w:val="00E72240"/>
    <w:rsid w:val="00E724F7"/>
    <w:rsid w:val="00E725D1"/>
    <w:rsid w:val="00E72C7D"/>
    <w:rsid w:val="00E73235"/>
    <w:rsid w:val="00E74185"/>
    <w:rsid w:val="00E74F07"/>
    <w:rsid w:val="00E75123"/>
    <w:rsid w:val="00E75CA1"/>
    <w:rsid w:val="00E75D90"/>
    <w:rsid w:val="00E767B6"/>
    <w:rsid w:val="00E774F0"/>
    <w:rsid w:val="00E7753F"/>
    <w:rsid w:val="00E77565"/>
    <w:rsid w:val="00E77850"/>
    <w:rsid w:val="00E77940"/>
    <w:rsid w:val="00E77A60"/>
    <w:rsid w:val="00E801B6"/>
    <w:rsid w:val="00E8029F"/>
    <w:rsid w:val="00E80CEE"/>
    <w:rsid w:val="00E810B1"/>
    <w:rsid w:val="00E81193"/>
    <w:rsid w:val="00E8126B"/>
    <w:rsid w:val="00E813E2"/>
    <w:rsid w:val="00E8142E"/>
    <w:rsid w:val="00E81F35"/>
    <w:rsid w:val="00E8207D"/>
    <w:rsid w:val="00E82860"/>
    <w:rsid w:val="00E82E49"/>
    <w:rsid w:val="00E82FEB"/>
    <w:rsid w:val="00E83D0C"/>
    <w:rsid w:val="00E848F6"/>
    <w:rsid w:val="00E84A1F"/>
    <w:rsid w:val="00E85C48"/>
    <w:rsid w:val="00E860DA"/>
    <w:rsid w:val="00E860E2"/>
    <w:rsid w:val="00E86F79"/>
    <w:rsid w:val="00E87719"/>
    <w:rsid w:val="00E878CA"/>
    <w:rsid w:val="00E87991"/>
    <w:rsid w:val="00E87BB6"/>
    <w:rsid w:val="00E87BF3"/>
    <w:rsid w:val="00E87E36"/>
    <w:rsid w:val="00E90131"/>
    <w:rsid w:val="00E906A5"/>
    <w:rsid w:val="00E916F7"/>
    <w:rsid w:val="00E91D85"/>
    <w:rsid w:val="00E928D0"/>
    <w:rsid w:val="00E92C8D"/>
    <w:rsid w:val="00E93227"/>
    <w:rsid w:val="00E932A3"/>
    <w:rsid w:val="00E93835"/>
    <w:rsid w:val="00E94254"/>
    <w:rsid w:val="00E9476E"/>
    <w:rsid w:val="00E94A12"/>
    <w:rsid w:val="00E957DE"/>
    <w:rsid w:val="00E959C5"/>
    <w:rsid w:val="00E95A17"/>
    <w:rsid w:val="00E96947"/>
    <w:rsid w:val="00E9733B"/>
    <w:rsid w:val="00E978C5"/>
    <w:rsid w:val="00E97CF5"/>
    <w:rsid w:val="00E97E58"/>
    <w:rsid w:val="00EA02E9"/>
    <w:rsid w:val="00EA0A6A"/>
    <w:rsid w:val="00EA1141"/>
    <w:rsid w:val="00EA1525"/>
    <w:rsid w:val="00EA17A8"/>
    <w:rsid w:val="00EA24F8"/>
    <w:rsid w:val="00EA2BE1"/>
    <w:rsid w:val="00EA2C1D"/>
    <w:rsid w:val="00EA2C2A"/>
    <w:rsid w:val="00EA2C60"/>
    <w:rsid w:val="00EA31F2"/>
    <w:rsid w:val="00EA3678"/>
    <w:rsid w:val="00EA39D0"/>
    <w:rsid w:val="00EA3BD9"/>
    <w:rsid w:val="00EA411A"/>
    <w:rsid w:val="00EA451C"/>
    <w:rsid w:val="00EA4D92"/>
    <w:rsid w:val="00EA4E0E"/>
    <w:rsid w:val="00EA50B5"/>
    <w:rsid w:val="00EA5307"/>
    <w:rsid w:val="00EA5FB7"/>
    <w:rsid w:val="00EA6FB8"/>
    <w:rsid w:val="00EA719C"/>
    <w:rsid w:val="00EA72AD"/>
    <w:rsid w:val="00EA7CB7"/>
    <w:rsid w:val="00EA7E37"/>
    <w:rsid w:val="00EA7FA7"/>
    <w:rsid w:val="00EA7FDD"/>
    <w:rsid w:val="00EB028B"/>
    <w:rsid w:val="00EB15D9"/>
    <w:rsid w:val="00EB16E4"/>
    <w:rsid w:val="00EB1853"/>
    <w:rsid w:val="00EB1C76"/>
    <w:rsid w:val="00EB23C8"/>
    <w:rsid w:val="00EB2E15"/>
    <w:rsid w:val="00EB2FD2"/>
    <w:rsid w:val="00EB3378"/>
    <w:rsid w:val="00EB34FC"/>
    <w:rsid w:val="00EB35F2"/>
    <w:rsid w:val="00EB37A9"/>
    <w:rsid w:val="00EB405E"/>
    <w:rsid w:val="00EB45BE"/>
    <w:rsid w:val="00EB4CD5"/>
    <w:rsid w:val="00EB4FCF"/>
    <w:rsid w:val="00EB5219"/>
    <w:rsid w:val="00EB52EC"/>
    <w:rsid w:val="00EB54B2"/>
    <w:rsid w:val="00EB5546"/>
    <w:rsid w:val="00EB56AE"/>
    <w:rsid w:val="00EB56E0"/>
    <w:rsid w:val="00EB5F2B"/>
    <w:rsid w:val="00EB609F"/>
    <w:rsid w:val="00EB67D7"/>
    <w:rsid w:val="00EB6C6B"/>
    <w:rsid w:val="00EB6D69"/>
    <w:rsid w:val="00EC0259"/>
    <w:rsid w:val="00EC0837"/>
    <w:rsid w:val="00EC0E59"/>
    <w:rsid w:val="00EC13D1"/>
    <w:rsid w:val="00EC141C"/>
    <w:rsid w:val="00EC1585"/>
    <w:rsid w:val="00EC15C5"/>
    <w:rsid w:val="00EC1A4D"/>
    <w:rsid w:val="00EC1AF7"/>
    <w:rsid w:val="00EC1C0D"/>
    <w:rsid w:val="00EC1C1B"/>
    <w:rsid w:val="00EC2162"/>
    <w:rsid w:val="00EC23CB"/>
    <w:rsid w:val="00EC2487"/>
    <w:rsid w:val="00EC295B"/>
    <w:rsid w:val="00EC2C55"/>
    <w:rsid w:val="00EC3416"/>
    <w:rsid w:val="00EC444A"/>
    <w:rsid w:val="00EC4F33"/>
    <w:rsid w:val="00EC5799"/>
    <w:rsid w:val="00EC5D01"/>
    <w:rsid w:val="00EC5EFC"/>
    <w:rsid w:val="00EC603E"/>
    <w:rsid w:val="00EC61B9"/>
    <w:rsid w:val="00EC6913"/>
    <w:rsid w:val="00EC69DB"/>
    <w:rsid w:val="00EC6EEC"/>
    <w:rsid w:val="00EC6F11"/>
    <w:rsid w:val="00EC743B"/>
    <w:rsid w:val="00EC74EA"/>
    <w:rsid w:val="00EC7829"/>
    <w:rsid w:val="00EC7A73"/>
    <w:rsid w:val="00EC7A8B"/>
    <w:rsid w:val="00EC7B87"/>
    <w:rsid w:val="00EC7BA7"/>
    <w:rsid w:val="00EC7DDB"/>
    <w:rsid w:val="00EC7EC8"/>
    <w:rsid w:val="00ED073F"/>
    <w:rsid w:val="00ED09B5"/>
    <w:rsid w:val="00ED0EB0"/>
    <w:rsid w:val="00ED0F4B"/>
    <w:rsid w:val="00ED140B"/>
    <w:rsid w:val="00ED1714"/>
    <w:rsid w:val="00ED307A"/>
    <w:rsid w:val="00ED3F45"/>
    <w:rsid w:val="00ED4B0A"/>
    <w:rsid w:val="00ED4B66"/>
    <w:rsid w:val="00ED5E4E"/>
    <w:rsid w:val="00ED63F5"/>
    <w:rsid w:val="00ED6B52"/>
    <w:rsid w:val="00ED6C30"/>
    <w:rsid w:val="00ED6D2E"/>
    <w:rsid w:val="00ED71A8"/>
    <w:rsid w:val="00ED74CE"/>
    <w:rsid w:val="00ED77BC"/>
    <w:rsid w:val="00ED7A5B"/>
    <w:rsid w:val="00ED7B53"/>
    <w:rsid w:val="00ED7DE2"/>
    <w:rsid w:val="00EE24E9"/>
    <w:rsid w:val="00EE254A"/>
    <w:rsid w:val="00EE2F92"/>
    <w:rsid w:val="00EE2FD9"/>
    <w:rsid w:val="00EE345F"/>
    <w:rsid w:val="00EE366E"/>
    <w:rsid w:val="00EE410D"/>
    <w:rsid w:val="00EE4322"/>
    <w:rsid w:val="00EE441D"/>
    <w:rsid w:val="00EE52D8"/>
    <w:rsid w:val="00EE5736"/>
    <w:rsid w:val="00EE58ED"/>
    <w:rsid w:val="00EE5AF1"/>
    <w:rsid w:val="00EE5B23"/>
    <w:rsid w:val="00EE5DEB"/>
    <w:rsid w:val="00EE5F72"/>
    <w:rsid w:val="00EE6868"/>
    <w:rsid w:val="00EE6B4A"/>
    <w:rsid w:val="00EE6CA8"/>
    <w:rsid w:val="00EE742D"/>
    <w:rsid w:val="00EE783B"/>
    <w:rsid w:val="00EE79B1"/>
    <w:rsid w:val="00EF021B"/>
    <w:rsid w:val="00EF0CBA"/>
    <w:rsid w:val="00EF1298"/>
    <w:rsid w:val="00EF1524"/>
    <w:rsid w:val="00EF174F"/>
    <w:rsid w:val="00EF18E2"/>
    <w:rsid w:val="00EF1AA7"/>
    <w:rsid w:val="00EF1B49"/>
    <w:rsid w:val="00EF1FDC"/>
    <w:rsid w:val="00EF250A"/>
    <w:rsid w:val="00EF25C7"/>
    <w:rsid w:val="00EF3C60"/>
    <w:rsid w:val="00EF3F12"/>
    <w:rsid w:val="00EF4881"/>
    <w:rsid w:val="00EF5B2D"/>
    <w:rsid w:val="00EF5C7D"/>
    <w:rsid w:val="00EF5E36"/>
    <w:rsid w:val="00EF5E8C"/>
    <w:rsid w:val="00EF607E"/>
    <w:rsid w:val="00EF60B1"/>
    <w:rsid w:val="00EF69D1"/>
    <w:rsid w:val="00EF6B4C"/>
    <w:rsid w:val="00EF6D44"/>
    <w:rsid w:val="00EF7467"/>
    <w:rsid w:val="00F00ACF"/>
    <w:rsid w:val="00F0179E"/>
    <w:rsid w:val="00F01AB3"/>
    <w:rsid w:val="00F020B9"/>
    <w:rsid w:val="00F0305C"/>
    <w:rsid w:val="00F04A10"/>
    <w:rsid w:val="00F04C8E"/>
    <w:rsid w:val="00F04D24"/>
    <w:rsid w:val="00F04D3A"/>
    <w:rsid w:val="00F057F7"/>
    <w:rsid w:val="00F05C0F"/>
    <w:rsid w:val="00F06268"/>
    <w:rsid w:val="00F0649F"/>
    <w:rsid w:val="00F066E0"/>
    <w:rsid w:val="00F06AE7"/>
    <w:rsid w:val="00F07397"/>
    <w:rsid w:val="00F074B6"/>
    <w:rsid w:val="00F0767F"/>
    <w:rsid w:val="00F07B0D"/>
    <w:rsid w:val="00F07CE1"/>
    <w:rsid w:val="00F07D06"/>
    <w:rsid w:val="00F07F25"/>
    <w:rsid w:val="00F07F27"/>
    <w:rsid w:val="00F115B8"/>
    <w:rsid w:val="00F116F8"/>
    <w:rsid w:val="00F11B79"/>
    <w:rsid w:val="00F11D01"/>
    <w:rsid w:val="00F12D91"/>
    <w:rsid w:val="00F12FD9"/>
    <w:rsid w:val="00F1303C"/>
    <w:rsid w:val="00F13681"/>
    <w:rsid w:val="00F13B33"/>
    <w:rsid w:val="00F13DDC"/>
    <w:rsid w:val="00F146BF"/>
    <w:rsid w:val="00F14E81"/>
    <w:rsid w:val="00F150CE"/>
    <w:rsid w:val="00F1569A"/>
    <w:rsid w:val="00F158C0"/>
    <w:rsid w:val="00F15B75"/>
    <w:rsid w:val="00F16033"/>
    <w:rsid w:val="00F16303"/>
    <w:rsid w:val="00F16681"/>
    <w:rsid w:val="00F16A44"/>
    <w:rsid w:val="00F16D47"/>
    <w:rsid w:val="00F16FAD"/>
    <w:rsid w:val="00F17264"/>
    <w:rsid w:val="00F172FC"/>
    <w:rsid w:val="00F17440"/>
    <w:rsid w:val="00F17452"/>
    <w:rsid w:val="00F177F2"/>
    <w:rsid w:val="00F17930"/>
    <w:rsid w:val="00F17D14"/>
    <w:rsid w:val="00F2040D"/>
    <w:rsid w:val="00F2077C"/>
    <w:rsid w:val="00F21697"/>
    <w:rsid w:val="00F21C78"/>
    <w:rsid w:val="00F21EB9"/>
    <w:rsid w:val="00F225B4"/>
    <w:rsid w:val="00F22890"/>
    <w:rsid w:val="00F22B3B"/>
    <w:rsid w:val="00F22BE7"/>
    <w:rsid w:val="00F22C45"/>
    <w:rsid w:val="00F22D00"/>
    <w:rsid w:val="00F22EFD"/>
    <w:rsid w:val="00F23BEE"/>
    <w:rsid w:val="00F24085"/>
    <w:rsid w:val="00F242E8"/>
    <w:rsid w:val="00F243CE"/>
    <w:rsid w:val="00F2486E"/>
    <w:rsid w:val="00F24900"/>
    <w:rsid w:val="00F24988"/>
    <w:rsid w:val="00F24D59"/>
    <w:rsid w:val="00F25459"/>
    <w:rsid w:val="00F25A11"/>
    <w:rsid w:val="00F25A71"/>
    <w:rsid w:val="00F262A7"/>
    <w:rsid w:val="00F2669A"/>
    <w:rsid w:val="00F26EFF"/>
    <w:rsid w:val="00F26F51"/>
    <w:rsid w:val="00F27036"/>
    <w:rsid w:val="00F27DF7"/>
    <w:rsid w:val="00F30406"/>
    <w:rsid w:val="00F30412"/>
    <w:rsid w:val="00F304F6"/>
    <w:rsid w:val="00F308FB"/>
    <w:rsid w:val="00F30D3C"/>
    <w:rsid w:val="00F32CD4"/>
    <w:rsid w:val="00F33072"/>
    <w:rsid w:val="00F33340"/>
    <w:rsid w:val="00F33574"/>
    <w:rsid w:val="00F33E66"/>
    <w:rsid w:val="00F340CC"/>
    <w:rsid w:val="00F34317"/>
    <w:rsid w:val="00F3456B"/>
    <w:rsid w:val="00F3469F"/>
    <w:rsid w:val="00F34803"/>
    <w:rsid w:val="00F348B9"/>
    <w:rsid w:val="00F34D29"/>
    <w:rsid w:val="00F3578B"/>
    <w:rsid w:val="00F3640F"/>
    <w:rsid w:val="00F36601"/>
    <w:rsid w:val="00F376DC"/>
    <w:rsid w:val="00F404DC"/>
    <w:rsid w:val="00F40821"/>
    <w:rsid w:val="00F40AB6"/>
    <w:rsid w:val="00F41029"/>
    <w:rsid w:val="00F410F7"/>
    <w:rsid w:val="00F4188D"/>
    <w:rsid w:val="00F420AF"/>
    <w:rsid w:val="00F4231D"/>
    <w:rsid w:val="00F424FD"/>
    <w:rsid w:val="00F4292C"/>
    <w:rsid w:val="00F43C59"/>
    <w:rsid w:val="00F43DE7"/>
    <w:rsid w:val="00F43FDA"/>
    <w:rsid w:val="00F445A2"/>
    <w:rsid w:val="00F44E07"/>
    <w:rsid w:val="00F450D8"/>
    <w:rsid w:val="00F4516D"/>
    <w:rsid w:val="00F45426"/>
    <w:rsid w:val="00F45550"/>
    <w:rsid w:val="00F459A9"/>
    <w:rsid w:val="00F45ADC"/>
    <w:rsid w:val="00F466F5"/>
    <w:rsid w:val="00F46973"/>
    <w:rsid w:val="00F46AD7"/>
    <w:rsid w:val="00F47678"/>
    <w:rsid w:val="00F476F5"/>
    <w:rsid w:val="00F47FAB"/>
    <w:rsid w:val="00F502ED"/>
    <w:rsid w:val="00F50559"/>
    <w:rsid w:val="00F507B3"/>
    <w:rsid w:val="00F5094A"/>
    <w:rsid w:val="00F510A3"/>
    <w:rsid w:val="00F51287"/>
    <w:rsid w:val="00F52427"/>
    <w:rsid w:val="00F534AC"/>
    <w:rsid w:val="00F535D9"/>
    <w:rsid w:val="00F540A6"/>
    <w:rsid w:val="00F545FB"/>
    <w:rsid w:val="00F54DC8"/>
    <w:rsid w:val="00F54F6F"/>
    <w:rsid w:val="00F553C0"/>
    <w:rsid w:val="00F553E9"/>
    <w:rsid w:val="00F55815"/>
    <w:rsid w:val="00F55AEA"/>
    <w:rsid w:val="00F55F56"/>
    <w:rsid w:val="00F55FD3"/>
    <w:rsid w:val="00F56066"/>
    <w:rsid w:val="00F56AC2"/>
    <w:rsid w:val="00F56DF5"/>
    <w:rsid w:val="00F57038"/>
    <w:rsid w:val="00F57651"/>
    <w:rsid w:val="00F60132"/>
    <w:rsid w:val="00F60A66"/>
    <w:rsid w:val="00F619C7"/>
    <w:rsid w:val="00F61EEC"/>
    <w:rsid w:val="00F62349"/>
    <w:rsid w:val="00F629E8"/>
    <w:rsid w:val="00F62B8F"/>
    <w:rsid w:val="00F62F2C"/>
    <w:rsid w:val="00F631D7"/>
    <w:rsid w:val="00F635B9"/>
    <w:rsid w:val="00F63870"/>
    <w:rsid w:val="00F63930"/>
    <w:rsid w:val="00F63A33"/>
    <w:rsid w:val="00F63ADB"/>
    <w:rsid w:val="00F63ADC"/>
    <w:rsid w:val="00F64A8E"/>
    <w:rsid w:val="00F64B81"/>
    <w:rsid w:val="00F653CD"/>
    <w:rsid w:val="00F65858"/>
    <w:rsid w:val="00F658CA"/>
    <w:rsid w:val="00F660A6"/>
    <w:rsid w:val="00F66709"/>
    <w:rsid w:val="00F6724C"/>
    <w:rsid w:val="00F675EE"/>
    <w:rsid w:val="00F675F1"/>
    <w:rsid w:val="00F67C01"/>
    <w:rsid w:val="00F67EEE"/>
    <w:rsid w:val="00F7094D"/>
    <w:rsid w:val="00F716FA"/>
    <w:rsid w:val="00F72E36"/>
    <w:rsid w:val="00F731F8"/>
    <w:rsid w:val="00F73F9D"/>
    <w:rsid w:val="00F74152"/>
    <w:rsid w:val="00F74A60"/>
    <w:rsid w:val="00F74D7B"/>
    <w:rsid w:val="00F75286"/>
    <w:rsid w:val="00F752F1"/>
    <w:rsid w:val="00F75306"/>
    <w:rsid w:val="00F754F8"/>
    <w:rsid w:val="00F7611F"/>
    <w:rsid w:val="00F766E1"/>
    <w:rsid w:val="00F76B26"/>
    <w:rsid w:val="00F76DE9"/>
    <w:rsid w:val="00F7773E"/>
    <w:rsid w:val="00F77E43"/>
    <w:rsid w:val="00F77F85"/>
    <w:rsid w:val="00F80576"/>
    <w:rsid w:val="00F80A9C"/>
    <w:rsid w:val="00F80EC5"/>
    <w:rsid w:val="00F80F84"/>
    <w:rsid w:val="00F80FBD"/>
    <w:rsid w:val="00F8103A"/>
    <w:rsid w:val="00F8127A"/>
    <w:rsid w:val="00F81383"/>
    <w:rsid w:val="00F8156E"/>
    <w:rsid w:val="00F8165A"/>
    <w:rsid w:val="00F81E0A"/>
    <w:rsid w:val="00F81F49"/>
    <w:rsid w:val="00F824B6"/>
    <w:rsid w:val="00F827C4"/>
    <w:rsid w:val="00F82B11"/>
    <w:rsid w:val="00F82DC0"/>
    <w:rsid w:val="00F830CF"/>
    <w:rsid w:val="00F83C04"/>
    <w:rsid w:val="00F83C0E"/>
    <w:rsid w:val="00F83D8A"/>
    <w:rsid w:val="00F842CE"/>
    <w:rsid w:val="00F84795"/>
    <w:rsid w:val="00F84C89"/>
    <w:rsid w:val="00F85376"/>
    <w:rsid w:val="00F857D2"/>
    <w:rsid w:val="00F858AB"/>
    <w:rsid w:val="00F8592A"/>
    <w:rsid w:val="00F86EF8"/>
    <w:rsid w:val="00F87E03"/>
    <w:rsid w:val="00F9026E"/>
    <w:rsid w:val="00F90757"/>
    <w:rsid w:val="00F91834"/>
    <w:rsid w:val="00F91905"/>
    <w:rsid w:val="00F91922"/>
    <w:rsid w:val="00F91ABA"/>
    <w:rsid w:val="00F923E2"/>
    <w:rsid w:val="00F924F5"/>
    <w:rsid w:val="00F928F1"/>
    <w:rsid w:val="00F92E2B"/>
    <w:rsid w:val="00F942EC"/>
    <w:rsid w:val="00F9475C"/>
    <w:rsid w:val="00F94805"/>
    <w:rsid w:val="00F94CA3"/>
    <w:rsid w:val="00F95362"/>
    <w:rsid w:val="00F956AC"/>
    <w:rsid w:val="00F96F1F"/>
    <w:rsid w:val="00F971CF"/>
    <w:rsid w:val="00F9744E"/>
    <w:rsid w:val="00F977AC"/>
    <w:rsid w:val="00F97D20"/>
    <w:rsid w:val="00F97EED"/>
    <w:rsid w:val="00FA09B2"/>
    <w:rsid w:val="00FA0D6A"/>
    <w:rsid w:val="00FA2255"/>
    <w:rsid w:val="00FA2659"/>
    <w:rsid w:val="00FA2ACA"/>
    <w:rsid w:val="00FA2C02"/>
    <w:rsid w:val="00FA2F1B"/>
    <w:rsid w:val="00FA2FF9"/>
    <w:rsid w:val="00FA301F"/>
    <w:rsid w:val="00FA3096"/>
    <w:rsid w:val="00FA3207"/>
    <w:rsid w:val="00FA372D"/>
    <w:rsid w:val="00FA3C14"/>
    <w:rsid w:val="00FA4CF1"/>
    <w:rsid w:val="00FA547A"/>
    <w:rsid w:val="00FA5CC1"/>
    <w:rsid w:val="00FA5DA4"/>
    <w:rsid w:val="00FA6673"/>
    <w:rsid w:val="00FA6881"/>
    <w:rsid w:val="00FA6CD9"/>
    <w:rsid w:val="00FA704A"/>
    <w:rsid w:val="00FA76AD"/>
    <w:rsid w:val="00FA7E9F"/>
    <w:rsid w:val="00FB0648"/>
    <w:rsid w:val="00FB0715"/>
    <w:rsid w:val="00FB07A1"/>
    <w:rsid w:val="00FB0921"/>
    <w:rsid w:val="00FB0CF1"/>
    <w:rsid w:val="00FB23F1"/>
    <w:rsid w:val="00FB2C39"/>
    <w:rsid w:val="00FB3425"/>
    <w:rsid w:val="00FB3636"/>
    <w:rsid w:val="00FB4442"/>
    <w:rsid w:val="00FB478D"/>
    <w:rsid w:val="00FB4893"/>
    <w:rsid w:val="00FB5139"/>
    <w:rsid w:val="00FB5618"/>
    <w:rsid w:val="00FB56E6"/>
    <w:rsid w:val="00FB574F"/>
    <w:rsid w:val="00FB6257"/>
    <w:rsid w:val="00FB6573"/>
    <w:rsid w:val="00FB66D4"/>
    <w:rsid w:val="00FB6779"/>
    <w:rsid w:val="00FB7173"/>
    <w:rsid w:val="00FB7279"/>
    <w:rsid w:val="00FB744A"/>
    <w:rsid w:val="00FB79FD"/>
    <w:rsid w:val="00FC06D2"/>
    <w:rsid w:val="00FC0A76"/>
    <w:rsid w:val="00FC0E3F"/>
    <w:rsid w:val="00FC1502"/>
    <w:rsid w:val="00FC1915"/>
    <w:rsid w:val="00FC2357"/>
    <w:rsid w:val="00FC241A"/>
    <w:rsid w:val="00FC2607"/>
    <w:rsid w:val="00FC30CB"/>
    <w:rsid w:val="00FC457B"/>
    <w:rsid w:val="00FC4E3A"/>
    <w:rsid w:val="00FC520C"/>
    <w:rsid w:val="00FC6092"/>
    <w:rsid w:val="00FC6199"/>
    <w:rsid w:val="00FC6A6A"/>
    <w:rsid w:val="00FC6CF4"/>
    <w:rsid w:val="00FC75EE"/>
    <w:rsid w:val="00FC7707"/>
    <w:rsid w:val="00FC7C73"/>
    <w:rsid w:val="00FD0AEB"/>
    <w:rsid w:val="00FD16C3"/>
    <w:rsid w:val="00FD1C36"/>
    <w:rsid w:val="00FD3042"/>
    <w:rsid w:val="00FD3362"/>
    <w:rsid w:val="00FD3628"/>
    <w:rsid w:val="00FD377F"/>
    <w:rsid w:val="00FD3CBF"/>
    <w:rsid w:val="00FD45A6"/>
    <w:rsid w:val="00FD4AC0"/>
    <w:rsid w:val="00FD4B07"/>
    <w:rsid w:val="00FD4F29"/>
    <w:rsid w:val="00FD55A4"/>
    <w:rsid w:val="00FD5ABD"/>
    <w:rsid w:val="00FD62DF"/>
    <w:rsid w:val="00FD6879"/>
    <w:rsid w:val="00FD6898"/>
    <w:rsid w:val="00FD6D33"/>
    <w:rsid w:val="00FD6FC5"/>
    <w:rsid w:val="00FD7726"/>
    <w:rsid w:val="00FD7D3B"/>
    <w:rsid w:val="00FE01A8"/>
    <w:rsid w:val="00FE01E0"/>
    <w:rsid w:val="00FE0204"/>
    <w:rsid w:val="00FE02A1"/>
    <w:rsid w:val="00FE0AE3"/>
    <w:rsid w:val="00FE0F64"/>
    <w:rsid w:val="00FE152E"/>
    <w:rsid w:val="00FE2690"/>
    <w:rsid w:val="00FE2F8A"/>
    <w:rsid w:val="00FE3E70"/>
    <w:rsid w:val="00FE47D5"/>
    <w:rsid w:val="00FE4BAF"/>
    <w:rsid w:val="00FE56DF"/>
    <w:rsid w:val="00FE590F"/>
    <w:rsid w:val="00FE69F3"/>
    <w:rsid w:val="00FE6BA5"/>
    <w:rsid w:val="00FE6E45"/>
    <w:rsid w:val="00FE6F8C"/>
    <w:rsid w:val="00FE733E"/>
    <w:rsid w:val="00FE7C5D"/>
    <w:rsid w:val="00FF00FD"/>
    <w:rsid w:val="00FF0B10"/>
    <w:rsid w:val="00FF127E"/>
    <w:rsid w:val="00FF1438"/>
    <w:rsid w:val="00FF1B83"/>
    <w:rsid w:val="00FF1CB6"/>
    <w:rsid w:val="00FF2884"/>
    <w:rsid w:val="00FF37B6"/>
    <w:rsid w:val="00FF420C"/>
    <w:rsid w:val="00FF495D"/>
    <w:rsid w:val="00FF4A96"/>
    <w:rsid w:val="00FF4ABC"/>
    <w:rsid w:val="00FF540B"/>
    <w:rsid w:val="00FF5687"/>
    <w:rsid w:val="00FF5797"/>
    <w:rsid w:val="00FF59AD"/>
    <w:rsid w:val="00FF681F"/>
    <w:rsid w:val="00FF6AD6"/>
    <w:rsid w:val="00FF7333"/>
    <w:rsid w:val="00FF7738"/>
    <w:rsid w:val="00FF79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C6401B"/>
  <w15:chartTrackingRefBased/>
  <w15:docId w15:val="{2351DF6E-E99E-4CB6-B61A-DEA8104D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Block Text" w:uiPriority="99"/>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C58F4"/>
    <w:rPr>
      <w:sz w:val="24"/>
      <w:szCs w:val="24"/>
    </w:rPr>
  </w:style>
  <w:style w:type="paragraph" w:styleId="Ttulo1">
    <w:name w:val="heading 1"/>
    <w:basedOn w:val="Normal"/>
    <w:next w:val="Normal"/>
    <w:qFormat/>
    <w:rsid w:val="00DC58F4"/>
    <w:pPr>
      <w:keepNext/>
      <w:tabs>
        <w:tab w:val="left" w:pos="1418"/>
      </w:tabs>
      <w:ind w:right="-143"/>
      <w:jc w:val="center"/>
      <w:outlineLvl w:val="0"/>
    </w:pPr>
    <w:rPr>
      <w:rFonts w:ascii="Tahoma" w:hAnsi="Tahoma"/>
      <w:b/>
      <w:sz w:val="22"/>
      <w:szCs w:val="20"/>
    </w:rPr>
  </w:style>
  <w:style w:type="paragraph" w:styleId="Ttulo2">
    <w:name w:val="heading 2"/>
    <w:basedOn w:val="Normal"/>
    <w:next w:val="Normal"/>
    <w:qFormat/>
    <w:rsid w:val="00DC58F4"/>
    <w:pPr>
      <w:keepNext/>
      <w:spacing w:line="312" w:lineRule="auto"/>
      <w:ind w:right="-142"/>
      <w:outlineLvl w:val="1"/>
    </w:pPr>
    <w:rPr>
      <w:rFonts w:ascii="Arial" w:hAnsi="Arial" w:cs="Arial"/>
      <w:b/>
      <w:bCs/>
      <w:sz w:val="20"/>
    </w:rPr>
  </w:style>
  <w:style w:type="paragraph" w:styleId="Ttulo3">
    <w:name w:val="heading 3"/>
    <w:basedOn w:val="Normal"/>
    <w:next w:val="Normal"/>
    <w:qFormat/>
    <w:rsid w:val="00DC58F4"/>
    <w:pPr>
      <w:keepNext/>
      <w:spacing w:line="312" w:lineRule="auto"/>
      <w:ind w:right="-142"/>
      <w:jc w:val="both"/>
      <w:outlineLvl w:val="2"/>
    </w:pPr>
    <w:rPr>
      <w:b/>
      <w:bCs/>
    </w:rPr>
  </w:style>
  <w:style w:type="paragraph" w:styleId="Ttulo4">
    <w:name w:val="heading 4"/>
    <w:basedOn w:val="Normal"/>
    <w:next w:val="Normal"/>
    <w:qFormat/>
    <w:rsid w:val="00DC58F4"/>
    <w:pPr>
      <w:keepNext/>
      <w:spacing w:line="312" w:lineRule="auto"/>
      <w:ind w:right="-142"/>
      <w:jc w:val="both"/>
      <w:outlineLvl w:val="3"/>
    </w:pPr>
    <w:rPr>
      <w:rFonts w:ascii="Tahoma" w:hAnsi="Tahoma"/>
      <w:b/>
      <w:bCs/>
      <w:sz w:val="20"/>
      <w:szCs w:val="20"/>
    </w:rPr>
  </w:style>
  <w:style w:type="paragraph" w:styleId="Ttulo5">
    <w:name w:val="heading 5"/>
    <w:basedOn w:val="Normal"/>
    <w:next w:val="Normal"/>
    <w:qFormat/>
    <w:rsid w:val="00DC58F4"/>
    <w:pPr>
      <w:keepNext/>
      <w:spacing w:line="312" w:lineRule="auto"/>
      <w:ind w:right="-142"/>
      <w:jc w:val="center"/>
      <w:outlineLvl w:val="4"/>
    </w:pPr>
    <w:rPr>
      <w:rFonts w:ascii="Arial" w:hAnsi="Arial"/>
      <w:b/>
      <w:sz w:val="20"/>
      <w:u w:val="single"/>
    </w:rPr>
  </w:style>
  <w:style w:type="paragraph" w:styleId="Ttulo6">
    <w:name w:val="heading 6"/>
    <w:basedOn w:val="Normal"/>
    <w:next w:val="Normal"/>
    <w:qFormat/>
    <w:rsid w:val="00DC58F4"/>
    <w:pPr>
      <w:keepNext/>
      <w:spacing w:line="312" w:lineRule="auto"/>
      <w:ind w:right="-5747"/>
      <w:jc w:val="both"/>
      <w:outlineLvl w:val="5"/>
    </w:pPr>
    <w:rPr>
      <w:rFonts w:ascii="Tahoma" w:hAnsi="Tahoma"/>
      <w:b/>
      <w:bCs/>
      <w:sz w:val="20"/>
      <w:szCs w:val="20"/>
    </w:rPr>
  </w:style>
  <w:style w:type="paragraph" w:styleId="Ttulo7">
    <w:name w:val="heading 7"/>
    <w:basedOn w:val="Normal"/>
    <w:next w:val="Normal"/>
    <w:qFormat/>
    <w:rsid w:val="00DC58F4"/>
    <w:pPr>
      <w:keepNext/>
      <w:spacing w:line="312" w:lineRule="auto"/>
      <w:ind w:right="-142"/>
      <w:jc w:val="center"/>
      <w:outlineLvl w:val="6"/>
    </w:pPr>
    <w:rPr>
      <w:rFonts w:ascii="Tahoma" w:hAnsi="Tahoma"/>
      <w:b/>
      <w:bCs/>
      <w:sz w:val="20"/>
      <w:szCs w:val="20"/>
    </w:rPr>
  </w:style>
  <w:style w:type="paragraph" w:styleId="Ttulo8">
    <w:name w:val="heading 8"/>
    <w:basedOn w:val="Normal"/>
    <w:next w:val="Normal"/>
    <w:qFormat/>
    <w:rsid w:val="00DC58F4"/>
    <w:pPr>
      <w:keepNext/>
      <w:outlineLvl w:val="7"/>
    </w:pPr>
    <w:rPr>
      <w:rFonts w:ascii="Arial" w:hAnsi="Arial" w:cs="Arial"/>
      <w:b/>
      <w:sz w:val="32"/>
    </w:rPr>
  </w:style>
  <w:style w:type="paragraph" w:styleId="Ttulo9">
    <w:name w:val="heading 9"/>
    <w:basedOn w:val="Normal"/>
    <w:next w:val="Normal"/>
    <w:qFormat/>
    <w:rsid w:val="00DC58F4"/>
    <w:pPr>
      <w:keepNext/>
      <w:spacing w:before="100" w:beforeAutospacing="1" w:after="100" w:afterAutospacing="1"/>
      <w:ind w:right="-143"/>
      <w:outlineLvl w:val="8"/>
    </w:pPr>
    <w:rPr>
      <w:rFonts w:ascii="Arial" w:hAnsi="Arial" w:cs="Arial"/>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embloco">
    <w:name w:val="Block Text"/>
    <w:basedOn w:val="Normal"/>
    <w:uiPriority w:val="99"/>
    <w:rsid w:val="00DC58F4"/>
    <w:pPr>
      <w:tabs>
        <w:tab w:val="left" w:pos="0"/>
      </w:tabs>
      <w:spacing w:line="312" w:lineRule="auto"/>
      <w:ind w:left="705" w:right="-142"/>
      <w:jc w:val="both"/>
    </w:pPr>
    <w:rPr>
      <w:rFonts w:ascii="Arial" w:hAnsi="Arial"/>
      <w:bCs/>
      <w:sz w:val="20"/>
      <w:szCs w:val="20"/>
    </w:rPr>
  </w:style>
  <w:style w:type="paragraph" w:styleId="Cabealho">
    <w:name w:val="header"/>
    <w:basedOn w:val="Normal"/>
    <w:link w:val="CabealhoChar"/>
    <w:uiPriority w:val="99"/>
    <w:rsid w:val="00DC58F4"/>
    <w:pPr>
      <w:tabs>
        <w:tab w:val="center" w:pos="4419"/>
        <w:tab w:val="right" w:pos="8838"/>
      </w:tabs>
    </w:pPr>
    <w:rPr>
      <w:sz w:val="20"/>
      <w:szCs w:val="20"/>
    </w:rPr>
  </w:style>
  <w:style w:type="paragraph" w:styleId="Corpodetexto">
    <w:name w:val="Body Text"/>
    <w:basedOn w:val="Normal"/>
    <w:rsid w:val="00DC58F4"/>
    <w:pPr>
      <w:spacing w:line="312" w:lineRule="auto"/>
      <w:ind w:right="-142"/>
      <w:jc w:val="both"/>
    </w:pPr>
    <w:rPr>
      <w:rFonts w:ascii="Arial" w:hAnsi="Arial" w:cs="Arial"/>
      <w:sz w:val="20"/>
    </w:rPr>
  </w:style>
  <w:style w:type="paragraph" w:styleId="Rodap">
    <w:name w:val="footer"/>
    <w:basedOn w:val="Normal"/>
    <w:link w:val="RodapChar"/>
    <w:uiPriority w:val="99"/>
    <w:rsid w:val="00DC58F4"/>
    <w:pPr>
      <w:tabs>
        <w:tab w:val="center" w:pos="4419"/>
        <w:tab w:val="right" w:pos="8838"/>
      </w:tabs>
    </w:pPr>
    <w:rPr>
      <w:lang w:val="x-none" w:eastAsia="x-none"/>
    </w:rPr>
  </w:style>
  <w:style w:type="character" w:styleId="Nmerodepgina">
    <w:name w:val="page number"/>
    <w:basedOn w:val="Fontepargpadro"/>
    <w:rsid w:val="00DC58F4"/>
  </w:style>
  <w:style w:type="paragraph" w:customStyle="1" w:styleId="-PGINA-">
    <w:name w:val="- PÁGINA -"/>
    <w:rsid w:val="00DC58F4"/>
    <w:rPr>
      <w:sz w:val="24"/>
      <w:szCs w:val="24"/>
    </w:rPr>
  </w:style>
  <w:style w:type="paragraph" w:styleId="Ttulo">
    <w:name w:val="Title"/>
    <w:basedOn w:val="Normal"/>
    <w:qFormat/>
    <w:rsid w:val="00DC58F4"/>
    <w:pPr>
      <w:jc w:val="center"/>
    </w:pPr>
    <w:rPr>
      <w:rFonts w:ascii="Arial" w:hAnsi="Arial"/>
      <w:b/>
      <w:i/>
      <w:sz w:val="16"/>
      <w:szCs w:val="20"/>
    </w:rPr>
  </w:style>
  <w:style w:type="paragraph" w:styleId="Corpodetexto2">
    <w:name w:val="Body Text 2"/>
    <w:basedOn w:val="Normal"/>
    <w:rsid w:val="00DC58F4"/>
    <w:pPr>
      <w:spacing w:before="60"/>
      <w:jc w:val="both"/>
    </w:pPr>
    <w:rPr>
      <w:rFonts w:ascii="Arial" w:hAnsi="Arial" w:cs="Arial"/>
      <w:sz w:val="20"/>
    </w:rPr>
  </w:style>
  <w:style w:type="paragraph" w:styleId="Corpodetexto3">
    <w:name w:val="Body Text 3"/>
    <w:basedOn w:val="Normal"/>
    <w:rsid w:val="00DC58F4"/>
    <w:pPr>
      <w:jc w:val="right"/>
    </w:pPr>
    <w:rPr>
      <w:rFonts w:ascii="Arial" w:hAnsi="Arial" w:cs="Arial"/>
      <w:sz w:val="20"/>
    </w:rPr>
  </w:style>
  <w:style w:type="paragraph" w:styleId="Recuodecorpodetexto">
    <w:name w:val="Body Text Indent"/>
    <w:basedOn w:val="Normal"/>
    <w:rsid w:val="00AA7812"/>
    <w:pPr>
      <w:spacing w:after="120"/>
      <w:ind w:left="283"/>
    </w:pPr>
  </w:style>
  <w:style w:type="paragraph" w:styleId="Recuodecorpodetexto2">
    <w:name w:val="Body Text Indent 2"/>
    <w:basedOn w:val="Normal"/>
    <w:rsid w:val="00AA7812"/>
    <w:pPr>
      <w:spacing w:after="120" w:line="480" w:lineRule="auto"/>
      <w:ind w:left="283"/>
    </w:pPr>
    <w:rPr>
      <w:rFonts w:ascii="Arial" w:hAnsi="Arial"/>
    </w:rPr>
  </w:style>
  <w:style w:type="paragraph" w:styleId="Recuodecorpodetexto3">
    <w:name w:val="Body Text Indent 3"/>
    <w:basedOn w:val="Normal"/>
    <w:rsid w:val="00AA7812"/>
    <w:pPr>
      <w:spacing w:after="120"/>
      <w:ind w:left="283"/>
    </w:pPr>
    <w:rPr>
      <w:rFonts w:ascii="Arial" w:hAnsi="Arial"/>
      <w:sz w:val="16"/>
      <w:szCs w:val="16"/>
    </w:rPr>
  </w:style>
  <w:style w:type="table" w:styleId="Tabelacomgrade">
    <w:name w:val="Table Grid"/>
    <w:basedOn w:val="Tabelanormal"/>
    <w:uiPriority w:val="39"/>
    <w:rsid w:val="002A2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rsid w:val="00A43977"/>
    <w:rPr>
      <w:rFonts w:ascii="Tahoma" w:hAnsi="Tahoma" w:cs="Tahoma"/>
      <w:sz w:val="16"/>
      <w:szCs w:val="16"/>
    </w:rPr>
  </w:style>
  <w:style w:type="paragraph" w:styleId="NormalWeb">
    <w:name w:val="Normal (Web)"/>
    <w:basedOn w:val="Normal"/>
    <w:uiPriority w:val="99"/>
    <w:unhideWhenUsed/>
    <w:rsid w:val="004C6E14"/>
    <w:pPr>
      <w:spacing w:before="100" w:beforeAutospacing="1" w:after="100" w:afterAutospacing="1"/>
    </w:pPr>
  </w:style>
  <w:style w:type="character" w:customStyle="1" w:styleId="RodapChar">
    <w:name w:val="Rodapé Char"/>
    <w:link w:val="Rodap"/>
    <w:uiPriority w:val="99"/>
    <w:rsid w:val="00910D8F"/>
    <w:rPr>
      <w:sz w:val="24"/>
      <w:szCs w:val="24"/>
    </w:rPr>
  </w:style>
  <w:style w:type="character" w:customStyle="1" w:styleId="CabealhoChar">
    <w:name w:val="Cabeçalho Char"/>
    <w:link w:val="Cabealho"/>
    <w:uiPriority w:val="99"/>
    <w:rsid w:val="00910D8F"/>
  </w:style>
  <w:style w:type="paragraph" w:styleId="PargrafodaLista">
    <w:name w:val="List Paragraph"/>
    <w:aliases w:val="Título Médio"/>
    <w:basedOn w:val="Normal"/>
    <w:link w:val="PargrafodaListaChar"/>
    <w:uiPriority w:val="34"/>
    <w:qFormat/>
    <w:rsid w:val="00377FE8"/>
    <w:pPr>
      <w:ind w:left="708"/>
    </w:pPr>
  </w:style>
  <w:style w:type="character" w:styleId="Forte">
    <w:name w:val="Strong"/>
    <w:uiPriority w:val="22"/>
    <w:qFormat/>
    <w:rsid w:val="003772E3"/>
    <w:rPr>
      <w:b/>
      <w:bCs/>
    </w:rPr>
  </w:style>
  <w:style w:type="table" w:styleId="Tabelacomgrade1">
    <w:name w:val="Table Grid 1"/>
    <w:basedOn w:val="Tabelanormal"/>
    <w:rsid w:val="005D73E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efdecomentrio">
    <w:name w:val="annotation reference"/>
    <w:rsid w:val="007C3C80"/>
    <w:rPr>
      <w:sz w:val="16"/>
      <w:szCs w:val="16"/>
    </w:rPr>
  </w:style>
  <w:style w:type="paragraph" w:styleId="Textodecomentrio">
    <w:name w:val="annotation text"/>
    <w:basedOn w:val="Normal"/>
    <w:link w:val="TextodecomentrioChar"/>
    <w:rsid w:val="007C3C80"/>
    <w:rPr>
      <w:sz w:val="20"/>
      <w:szCs w:val="20"/>
    </w:rPr>
  </w:style>
  <w:style w:type="character" w:customStyle="1" w:styleId="TextodecomentrioChar">
    <w:name w:val="Texto de comentário Char"/>
    <w:basedOn w:val="Fontepargpadro"/>
    <w:link w:val="Textodecomentrio"/>
    <w:rsid w:val="007C3C80"/>
  </w:style>
  <w:style w:type="paragraph" w:styleId="Assuntodocomentrio">
    <w:name w:val="annotation subject"/>
    <w:basedOn w:val="Textodecomentrio"/>
    <w:next w:val="Textodecomentrio"/>
    <w:link w:val="AssuntodocomentrioChar"/>
    <w:rsid w:val="007C3C80"/>
    <w:rPr>
      <w:b/>
      <w:bCs/>
      <w:lang w:val="x-none" w:eastAsia="x-none"/>
    </w:rPr>
  </w:style>
  <w:style w:type="character" w:customStyle="1" w:styleId="AssuntodocomentrioChar">
    <w:name w:val="Assunto do comentário Char"/>
    <w:link w:val="Assuntodocomentrio"/>
    <w:rsid w:val="007C3C80"/>
    <w:rPr>
      <w:b/>
      <w:bCs/>
    </w:rPr>
  </w:style>
  <w:style w:type="table" w:styleId="Tabelacomgrade2">
    <w:name w:val="Table Grid 2"/>
    <w:basedOn w:val="Tabelanormal"/>
    <w:rsid w:val="004D317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Reviso">
    <w:name w:val="Revision"/>
    <w:hidden/>
    <w:uiPriority w:val="99"/>
    <w:semiHidden/>
    <w:rsid w:val="00296D1E"/>
    <w:rPr>
      <w:sz w:val="24"/>
      <w:szCs w:val="24"/>
    </w:rPr>
  </w:style>
  <w:style w:type="paragraph" w:customStyle="1" w:styleId="full">
    <w:name w:val="full"/>
    <w:basedOn w:val="Normal"/>
    <w:rsid w:val="0049122B"/>
    <w:pPr>
      <w:spacing w:before="100" w:beforeAutospacing="1" w:after="100" w:afterAutospacing="1"/>
    </w:pPr>
  </w:style>
  <w:style w:type="paragraph" w:customStyle="1" w:styleId="Default">
    <w:name w:val="Default"/>
    <w:rsid w:val="00A03EC9"/>
    <w:pPr>
      <w:autoSpaceDE w:val="0"/>
      <w:autoSpaceDN w:val="0"/>
      <w:adjustRightInd w:val="0"/>
    </w:pPr>
    <w:rPr>
      <w:rFonts w:ascii="Verdana" w:hAnsi="Verdana" w:cs="Verdana"/>
      <w:color w:val="000000"/>
      <w:sz w:val="24"/>
      <w:szCs w:val="24"/>
    </w:rPr>
  </w:style>
  <w:style w:type="character" w:customStyle="1" w:styleId="PargrafodaListaChar">
    <w:name w:val="Parágrafo da Lista Char"/>
    <w:aliases w:val="Título Médio Char"/>
    <w:link w:val="PargrafodaLista"/>
    <w:uiPriority w:val="34"/>
    <w:rsid w:val="00CC7FB2"/>
    <w:rPr>
      <w:sz w:val="24"/>
      <w:szCs w:val="24"/>
    </w:rPr>
  </w:style>
  <w:style w:type="paragraph" w:customStyle="1" w:styleId="textojustificadorecuoprimeiralinha">
    <w:name w:val="texto_justificado_recuo_primeira_linha"/>
    <w:basedOn w:val="Normal"/>
    <w:rsid w:val="00B7580D"/>
    <w:pPr>
      <w:spacing w:before="100" w:beforeAutospacing="1" w:after="100" w:afterAutospacing="1"/>
    </w:pPr>
  </w:style>
  <w:style w:type="paragraph" w:customStyle="1" w:styleId="paragrafonumeradonivel3">
    <w:name w:val="paragrafo_numerado_nivel3"/>
    <w:basedOn w:val="Normal"/>
    <w:rsid w:val="00337667"/>
    <w:pPr>
      <w:spacing w:before="100" w:beforeAutospacing="1" w:after="100" w:afterAutospacing="1"/>
    </w:pPr>
  </w:style>
  <w:style w:type="character" w:styleId="nfase">
    <w:name w:val="Emphasis"/>
    <w:uiPriority w:val="20"/>
    <w:qFormat/>
    <w:rsid w:val="00337667"/>
    <w:rPr>
      <w:i/>
      <w:iCs/>
    </w:rPr>
  </w:style>
  <w:style w:type="paragraph" w:customStyle="1" w:styleId="paragrafonumeradonivel1">
    <w:name w:val="paragrafo_numerado_nivel1"/>
    <w:basedOn w:val="Normal"/>
    <w:rsid w:val="005D7B2E"/>
    <w:pPr>
      <w:spacing w:before="100" w:beforeAutospacing="1" w:after="100" w:afterAutospacing="1"/>
    </w:pPr>
  </w:style>
  <w:style w:type="paragraph" w:customStyle="1" w:styleId="Pa0">
    <w:name w:val="Pa0"/>
    <w:basedOn w:val="Normal"/>
    <w:next w:val="Normal"/>
    <w:uiPriority w:val="99"/>
    <w:rsid w:val="00F75286"/>
    <w:pPr>
      <w:autoSpaceDE w:val="0"/>
      <w:autoSpaceDN w:val="0"/>
      <w:adjustRightInd w:val="0"/>
      <w:spacing w:line="241" w:lineRule="atLeast"/>
      <w:jc w:val="both"/>
    </w:pPr>
    <w:rPr>
      <w:rFonts w:ascii="Gotham Light" w:eastAsia="Calibri" w:hAnsi="Gotham Light"/>
      <w:lang w:eastAsia="en-US"/>
    </w:rPr>
  </w:style>
  <w:style w:type="paragraph" w:customStyle="1" w:styleId="itemnivel2">
    <w:name w:val="item_nivel2"/>
    <w:basedOn w:val="Normal"/>
    <w:rsid w:val="00114E9F"/>
    <w:pPr>
      <w:spacing w:before="100" w:beforeAutospacing="1" w:after="100" w:afterAutospacing="1"/>
    </w:pPr>
  </w:style>
  <w:style w:type="paragraph" w:customStyle="1" w:styleId="itemincisoromano">
    <w:name w:val="item_inciso_romano"/>
    <w:basedOn w:val="Normal"/>
    <w:rsid w:val="00114E9F"/>
    <w:pPr>
      <w:spacing w:before="100" w:beforeAutospacing="1" w:after="100" w:afterAutospacing="1"/>
    </w:pPr>
  </w:style>
  <w:style w:type="paragraph" w:customStyle="1" w:styleId="tabelatextoalinhadoesquerda">
    <w:name w:val="tabela_texto_alinhado_esquerda"/>
    <w:basedOn w:val="Normal"/>
    <w:rsid w:val="00114E9F"/>
    <w:pPr>
      <w:spacing w:before="100" w:beforeAutospacing="1" w:after="100" w:afterAutospacing="1"/>
    </w:pPr>
  </w:style>
  <w:style w:type="character" w:styleId="Hyperlink">
    <w:name w:val="Hyperlink"/>
    <w:uiPriority w:val="99"/>
    <w:unhideWhenUsed/>
    <w:rsid w:val="00F91905"/>
    <w:rPr>
      <w:color w:val="0000FF"/>
      <w:u w:val="single"/>
    </w:rPr>
  </w:style>
  <w:style w:type="paragraph" w:customStyle="1" w:styleId="textoalinhadoesquerda">
    <w:name w:val="texto_alinhado_esquerda"/>
    <w:basedOn w:val="Normal"/>
    <w:rsid w:val="00F91905"/>
    <w:pPr>
      <w:spacing w:before="100" w:beforeAutospacing="1" w:after="100" w:afterAutospacing="1"/>
    </w:pPr>
  </w:style>
  <w:style w:type="character" w:customStyle="1" w:styleId="TextodebaloChar">
    <w:name w:val="Texto de balão Char"/>
    <w:basedOn w:val="Fontepargpadro"/>
    <w:link w:val="Textodebalo"/>
    <w:uiPriority w:val="99"/>
    <w:semiHidden/>
    <w:rsid w:val="00272E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1778">
      <w:bodyDiv w:val="1"/>
      <w:marLeft w:val="0"/>
      <w:marRight w:val="0"/>
      <w:marTop w:val="0"/>
      <w:marBottom w:val="0"/>
      <w:divBdr>
        <w:top w:val="none" w:sz="0" w:space="0" w:color="auto"/>
        <w:left w:val="none" w:sz="0" w:space="0" w:color="auto"/>
        <w:bottom w:val="none" w:sz="0" w:space="0" w:color="auto"/>
        <w:right w:val="none" w:sz="0" w:space="0" w:color="auto"/>
      </w:divBdr>
    </w:div>
    <w:div w:id="4283694">
      <w:bodyDiv w:val="1"/>
      <w:marLeft w:val="0"/>
      <w:marRight w:val="0"/>
      <w:marTop w:val="0"/>
      <w:marBottom w:val="0"/>
      <w:divBdr>
        <w:top w:val="none" w:sz="0" w:space="0" w:color="auto"/>
        <w:left w:val="none" w:sz="0" w:space="0" w:color="auto"/>
        <w:bottom w:val="none" w:sz="0" w:space="0" w:color="auto"/>
        <w:right w:val="none" w:sz="0" w:space="0" w:color="auto"/>
      </w:divBdr>
    </w:div>
    <w:div w:id="6909315">
      <w:bodyDiv w:val="1"/>
      <w:marLeft w:val="0"/>
      <w:marRight w:val="0"/>
      <w:marTop w:val="0"/>
      <w:marBottom w:val="0"/>
      <w:divBdr>
        <w:top w:val="none" w:sz="0" w:space="0" w:color="auto"/>
        <w:left w:val="none" w:sz="0" w:space="0" w:color="auto"/>
        <w:bottom w:val="none" w:sz="0" w:space="0" w:color="auto"/>
        <w:right w:val="none" w:sz="0" w:space="0" w:color="auto"/>
      </w:divBdr>
    </w:div>
    <w:div w:id="9069859">
      <w:bodyDiv w:val="1"/>
      <w:marLeft w:val="0"/>
      <w:marRight w:val="0"/>
      <w:marTop w:val="0"/>
      <w:marBottom w:val="0"/>
      <w:divBdr>
        <w:top w:val="none" w:sz="0" w:space="0" w:color="auto"/>
        <w:left w:val="none" w:sz="0" w:space="0" w:color="auto"/>
        <w:bottom w:val="none" w:sz="0" w:space="0" w:color="auto"/>
        <w:right w:val="none" w:sz="0" w:space="0" w:color="auto"/>
      </w:divBdr>
    </w:div>
    <w:div w:id="15008068">
      <w:bodyDiv w:val="1"/>
      <w:marLeft w:val="0"/>
      <w:marRight w:val="0"/>
      <w:marTop w:val="0"/>
      <w:marBottom w:val="0"/>
      <w:divBdr>
        <w:top w:val="none" w:sz="0" w:space="0" w:color="auto"/>
        <w:left w:val="none" w:sz="0" w:space="0" w:color="auto"/>
        <w:bottom w:val="none" w:sz="0" w:space="0" w:color="auto"/>
        <w:right w:val="none" w:sz="0" w:space="0" w:color="auto"/>
      </w:divBdr>
    </w:div>
    <w:div w:id="15008259">
      <w:bodyDiv w:val="1"/>
      <w:marLeft w:val="0"/>
      <w:marRight w:val="0"/>
      <w:marTop w:val="0"/>
      <w:marBottom w:val="0"/>
      <w:divBdr>
        <w:top w:val="none" w:sz="0" w:space="0" w:color="auto"/>
        <w:left w:val="none" w:sz="0" w:space="0" w:color="auto"/>
        <w:bottom w:val="none" w:sz="0" w:space="0" w:color="auto"/>
        <w:right w:val="none" w:sz="0" w:space="0" w:color="auto"/>
      </w:divBdr>
    </w:div>
    <w:div w:id="15279478">
      <w:bodyDiv w:val="1"/>
      <w:marLeft w:val="0"/>
      <w:marRight w:val="0"/>
      <w:marTop w:val="0"/>
      <w:marBottom w:val="0"/>
      <w:divBdr>
        <w:top w:val="none" w:sz="0" w:space="0" w:color="auto"/>
        <w:left w:val="none" w:sz="0" w:space="0" w:color="auto"/>
        <w:bottom w:val="none" w:sz="0" w:space="0" w:color="auto"/>
        <w:right w:val="none" w:sz="0" w:space="0" w:color="auto"/>
      </w:divBdr>
    </w:div>
    <w:div w:id="15817100">
      <w:bodyDiv w:val="1"/>
      <w:marLeft w:val="0"/>
      <w:marRight w:val="0"/>
      <w:marTop w:val="0"/>
      <w:marBottom w:val="0"/>
      <w:divBdr>
        <w:top w:val="none" w:sz="0" w:space="0" w:color="auto"/>
        <w:left w:val="none" w:sz="0" w:space="0" w:color="auto"/>
        <w:bottom w:val="none" w:sz="0" w:space="0" w:color="auto"/>
        <w:right w:val="none" w:sz="0" w:space="0" w:color="auto"/>
      </w:divBdr>
    </w:div>
    <w:div w:id="16197002">
      <w:bodyDiv w:val="1"/>
      <w:marLeft w:val="0"/>
      <w:marRight w:val="0"/>
      <w:marTop w:val="0"/>
      <w:marBottom w:val="0"/>
      <w:divBdr>
        <w:top w:val="none" w:sz="0" w:space="0" w:color="auto"/>
        <w:left w:val="none" w:sz="0" w:space="0" w:color="auto"/>
        <w:bottom w:val="none" w:sz="0" w:space="0" w:color="auto"/>
        <w:right w:val="none" w:sz="0" w:space="0" w:color="auto"/>
      </w:divBdr>
    </w:div>
    <w:div w:id="18164600">
      <w:bodyDiv w:val="1"/>
      <w:marLeft w:val="0"/>
      <w:marRight w:val="0"/>
      <w:marTop w:val="0"/>
      <w:marBottom w:val="0"/>
      <w:divBdr>
        <w:top w:val="none" w:sz="0" w:space="0" w:color="auto"/>
        <w:left w:val="none" w:sz="0" w:space="0" w:color="auto"/>
        <w:bottom w:val="none" w:sz="0" w:space="0" w:color="auto"/>
        <w:right w:val="none" w:sz="0" w:space="0" w:color="auto"/>
      </w:divBdr>
    </w:div>
    <w:div w:id="21711347">
      <w:bodyDiv w:val="1"/>
      <w:marLeft w:val="0"/>
      <w:marRight w:val="0"/>
      <w:marTop w:val="0"/>
      <w:marBottom w:val="0"/>
      <w:divBdr>
        <w:top w:val="none" w:sz="0" w:space="0" w:color="auto"/>
        <w:left w:val="none" w:sz="0" w:space="0" w:color="auto"/>
        <w:bottom w:val="none" w:sz="0" w:space="0" w:color="auto"/>
        <w:right w:val="none" w:sz="0" w:space="0" w:color="auto"/>
      </w:divBdr>
    </w:div>
    <w:div w:id="23596824">
      <w:bodyDiv w:val="1"/>
      <w:marLeft w:val="0"/>
      <w:marRight w:val="0"/>
      <w:marTop w:val="0"/>
      <w:marBottom w:val="0"/>
      <w:divBdr>
        <w:top w:val="none" w:sz="0" w:space="0" w:color="auto"/>
        <w:left w:val="none" w:sz="0" w:space="0" w:color="auto"/>
        <w:bottom w:val="none" w:sz="0" w:space="0" w:color="auto"/>
        <w:right w:val="none" w:sz="0" w:space="0" w:color="auto"/>
      </w:divBdr>
    </w:div>
    <w:div w:id="24644205">
      <w:bodyDiv w:val="1"/>
      <w:marLeft w:val="0"/>
      <w:marRight w:val="0"/>
      <w:marTop w:val="0"/>
      <w:marBottom w:val="0"/>
      <w:divBdr>
        <w:top w:val="none" w:sz="0" w:space="0" w:color="auto"/>
        <w:left w:val="none" w:sz="0" w:space="0" w:color="auto"/>
        <w:bottom w:val="none" w:sz="0" w:space="0" w:color="auto"/>
        <w:right w:val="none" w:sz="0" w:space="0" w:color="auto"/>
      </w:divBdr>
    </w:div>
    <w:div w:id="35735907">
      <w:bodyDiv w:val="1"/>
      <w:marLeft w:val="0"/>
      <w:marRight w:val="0"/>
      <w:marTop w:val="0"/>
      <w:marBottom w:val="0"/>
      <w:divBdr>
        <w:top w:val="none" w:sz="0" w:space="0" w:color="auto"/>
        <w:left w:val="none" w:sz="0" w:space="0" w:color="auto"/>
        <w:bottom w:val="none" w:sz="0" w:space="0" w:color="auto"/>
        <w:right w:val="none" w:sz="0" w:space="0" w:color="auto"/>
      </w:divBdr>
    </w:div>
    <w:div w:id="37702384">
      <w:bodyDiv w:val="1"/>
      <w:marLeft w:val="0"/>
      <w:marRight w:val="0"/>
      <w:marTop w:val="0"/>
      <w:marBottom w:val="0"/>
      <w:divBdr>
        <w:top w:val="none" w:sz="0" w:space="0" w:color="auto"/>
        <w:left w:val="none" w:sz="0" w:space="0" w:color="auto"/>
        <w:bottom w:val="none" w:sz="0" w:space="0" w:color="auto"/>
        <w:right w:val="none" w:sz="0" w:space="0" w:color="auto"/>
      </w:divBdr>
    </w:div>
    <w:div w:id="37824912">
      <w:bodyDiv w:val="1"/>
      <w:marLeft w:val="0"/>
      <w:marRight w:val="0"/>
      <w:marTop w:val="0"/>
      <w:marBottom w:val="0"/>
      <w:divBdr>
        <w:top w:val="none" w:sz="0" w:space="0" w:color="auto"/>
        <w:left w:val="none" w:sz="0" w:space="0" w:color="auto"/>
        <w:bottom w:val="none" w:sz="0" w:space="0" w:color="auto"/>
        <w:right w:val="none" w:sz="0" w:space="0" w:color="auto"/>
      </w:divBdr>
    </w:div>
    <w:div w:id="38361789">
      <w:bodyDiv w:val="1"/>
      <w:marLeft w:val="0"/>
      <w:marRight w:val="0"/>
      <w:marTop w:val="0"/>
      <w:marBottom w:val="0"/>
      <w:divBdr>
        <w:top w:val="none" w:sz="0" w:space="0" w:color="auto"/>
        <w:left w:val="none" w:sz="0" w:space="0" w:color="auto"/>
        <w:bottom w:val="none" w:sz="0" w:space="0" w:color="auto"/>
        <w:right w:val="none" w:sz="0" w:space="0" w:color="auto"/>
      </w:divBdr>
    </w:div>
    <w:div w:id="42413398">
      <w:bodyDiv w:val="1"/>
      <w:marLeft w:val="0"/>
      <w:marRight w:val="0"/>
      <w:marTop w:val="0"/>
      <w:marBottom w:val="0"/>
      <w:divBdr>
        <w:top w:val="none" w:sz="0" w:space="0" w:color="auto"/>
        <w:left w:val="none" w:sz="0" w:space="0" w:color="auto"/>
        <w:bottom w:val="none" w:sz="0" w:space="0" w:color="auto"/>
        <w:right w:val="none" w:sz="0" w:space="0" w:color="auto"/>
      </w:divBdr>
    </w:div>
    <w:div w:id="43725322">
      <w:bodyDiv w:val="1"/>
      <w:marLeft w:val="0"/>
      <w:marRight w:val="0"/>
      <w:marTop w:val="0"/>
      <w:marBottom w:val="0"/>
      <w:divBdr>
        <w:top w:val="none" w:sz="0" w:space="0" w:color="auto"/>
        <w:left w:val="none" w:sz="0" w:space="0" w:color="auto"/>
        <w:bottom w:val="none" w:sz="0" w:space="0" w:color="auto"/>
        <w:right w:val="none" w:sz="0" w:space="0" w:color="auto"/>
      </w:divBdr>
    </w:div>
    <w:div w:id="43801783">
      <w:bodyDiv w:val="1"/>
      <w:marLeft w:val="0"/>
      <w:marRight w:val="0"/>
      <w:marTop w:val="0"/>
      <w:marBottom w:val="0"/>
      <w:divBdr>
        <w:top w:val="none" w:sz="0" w:space="0" w:color="auto"/>
        <w:left w:val="none" w:sz="0" w:space="0" w:color="auto"/>
        <w:bottom w:val="none" w:sz="0" w:space="0" w:color="auto"/>
        <w:right w:val="none" w:sz="0" w:space="0" w:color="auto"/>
      </w:divBdr>
    </w:div>
    <w:div w:id="45493811">
      <w:bodyDiv w:val="1"/>
      <w:marLeft w:val="0"/>
      <w:marRight w:val="0"/>
      <w:marTop w:val="0"/>
      <w:marBottom w:val="0"/>
      <w:divBdr>
        <w:top w:val="none" w:sz="0" w:space="0" w:color="auto"/>
        <w:left w:val="none" w:sz="0" w:space="0" w:color="auto"/>
        <w:bottom w:val="none" w:sz="0" w:space="0" w:color="auto"/>
        <w:right w:val="none" w:sz="0" w:space="0" w:color="auto"/>
      </w:divBdr>
    </w:div>
    <w:div w:id="46493597">
      <w:bodyDiv w:val="1"/>
      <w:marLeft w:val="0"/>
      <w:marRight w:val="0"/>
      <w:marTop w:val="0"/>
      <w:marBottom w:val="0"/>
      <w:divBdr>
        <w:top w:val="none" w:sz="0" w:space="0" w:color="auto"/>
        <w:left w:val="none" w:sz="0" w:space="0" w:color="auto"/>
        <w:bottom w:val="none" w:sz="0" w:space="0" w:color="auto"/>
        <w:right w:val="none" w:sz="0" w:space="0" w:color="auto"/>
      </w:divBdr>
    </w:div>
    <w:div w:id="50158611">
      <w:bodyDiv w:val="1"/>
      <w:marLeft w:val="0"/>
      <w:marRight w:val="0"/>
      <w:marTop w:val="0"/>
      <w:marBottom w:val="0"/>
      <w:divBdr>
        <w:top w:val="none" w:sz="0" w:space="0" w:color="auto"/>
        <w:left w:val="none" w:sz="0" w:space="0" w:color="auto"/>
        <w:bottom w:val="none" w:sz="0" w:space="0" w:color="auto"/>
        <w:right w:val="none" w:sz="0" w:space="0" w:color="auto"/>
      </w:divBdr>
    </w:div>
    <w:div w:id="54209687">
      <w:bodyDiv w:val="1"/>
      <w:marLeft w:val="0"/>
      <w:marRight w:val="0"/>
      <w:marTop w:val="0"/>
      <w:marBottom w:val="0"/>
      <w:divBdr>
        <w:top w:val="none" w:sz="0" w:space="0" w:color="auto"/>
        <w:left w:val="none" w:sz="0" w:space="0" w:color="auto"/>
        <w:bottom w:val="none" w:sz="0" w:space="0" w:color="auto"/>
        <w:right w:val="none" w:sz="0" w:space="0" w:color="auto"/>
      </w:divBdr>
    </w:div>
    <w:div w:id="56906339">
      <w:bodyDiv w:val="1"/>
      <w:marLeft w:val="0"/>
      <w:marRight w:val="0"/>
      <w:marTop w:val="0"/>
      <w:marBottom w:val="0"/>
      <w:divBdr>
        <w:top w:val="none" w:sz="0" w:space="0" w:color="auto"/>
        <w:left w:val="none" w:sz="0" w:space="0" w:color="auto"/>
        <w:bottom w:val="none" w:sz="0" w:space="0" w:color="auto"/>
        <w:right w:val="none" w:sz="0" w:space="0" w:color="auto"/>
      </w:divBdr>
    </w:div>
    <w:div w:id="59984088">
      <w:bodyDiv w:val="1"/>
      <w:marLeft w:val="0"/>
      <w:marRight w:val="0"/>
      <w:marTop w:val="0"/>
      <w:marBottom w:val="0"/>
      <w:divBdr>
        <w:top w:val="none" w:sz="0" w:space="0" w:color="auto"/>
        <w:left w:val="none" w:sz="0" w:space="0" w:color="auto"/>
        <w:bottom w:val="none" w:sz="0" w:space="0" w:color="auto"/>
        <w:right w:val="none" w:sz="0" w:space="0" w:color="auto"/>
      </w:divBdr>
    </w:div>
    <w:div w:id="60754224">
      <w:bodyDiv w:val="1"/>
      <w:marLeft w:val="0"/>
      <w:marRight w:val="0"/>
      <w:marTop w:val="0"/>
      <w:marBottom w:val="0"/>
      <w:divBdr>
        <w:top w:val="none" w:sz="0" w:space="0" w:color="auto"/>
        <w:left w:val="none" w:sz="0" w:space="0" w:color="auto"/>
        <w:bottom w:val="none" w:sz="0" w:space="0" w:color="auto"/>
        <w:right w:val="none" w:sz="0" w:space="0" w:color="auto"/>
      </w:divBdr>
    </w:div>
    <w:div w:id="61028545">
      <w:bodyDiv w:val="1"/>
      <w:marLeft w:val="0"/>
      <w:marRight w:val="0"/>
      <w:marTop w:val="0"/>
      <w:marBottom w:val="0"/>
      <w:divBdr>
        <w:top w:val="none" w:sz="0" w:space="0" w:color="auto"/>
        <w:left w:val="none" w:sz="0" w:space="0" w:color="auto"/>
        <w:bottom w:val="none" w:sz="0" w:space="0" w:color="auto"/>
        <w:right w:val="none" w:sz="0" w:space="0" w:color="auto"/>
      </w:divBdr>
    </w:div>
    <w:div w:id="66852842">
      <w:bodyDiv w:val="1"/>
      <w:marLeft w:val="0"/>
      <w:marRight w:val="0"/>
      <w:marTop w:val="0"/>
      <w:marBottom w:val="0"/>
      <w:divBdr>
        <w:top w:val="none" w:sz="0" w:space="0" w:color="auto"/>
        <w:left w:val="none" w:sz="0" w:space="0" w:color="auto"/>
        <w:bottom w:val="none" w:sz="0" w:space="0" w:color="auto"/>
        <w:right w:val="none" w:sz="0" w:space="0" w:color="auto"/>
      </w:divBdr>
    </w:div>
    <w:div w:id="69036995">
      <w:bodyDiv w:val="1"/>
      <w:marLeft w:val="0"/>
      <w:marRight w:val="0"/>
      <w:marTop w:val="0"/>
      <w:marBottom w:val="0"/>
      <w:divBdr>
        <w:top w:val="none" w:sz="0" w:space="0" w:color="auto"/>
        <w:left w:val="none" w:sz="0" w:space="0" w:color="auto"/>
        <w:bottom w:val="none" w:sz="0" w:space="0" w:color="auto"/>
        <w:right w:val="none" w:sz="0" w:space="0" w:color="auto"/>
      </w:divBdr>
    </w:div>
    <w:div w:id="69934741">
      <w:bodyDiv w:val="1"/>
      <w:marLeft w:val="0"/>
      <w:marRight w:val="0"/>
      <w:marTop w:val="0"/>
      <w:marBottom w:val="0"/>
      <w:divBdr>
        <w:top w:val="none" w:sz="0" w:space="0" w:color="auto"/>
        <w:left w:val="none" w:sz="0" w:space="0" w:color="auto"/>
        <w:bottom w:val="none" w:sz="0" w:space="0" w:color="auto"/>
        <w:right w:val="none" w:sz="0" w:space="0" w:color="auto"/>
      </w:divBdr>
    </w:div>
    <w:div w:id="70587782">
      <w:bodyDiv w:val="1"/>
      <w:marLeft w:val="0"/>
      <w:marRight w:val="0"/>
      <w:marTop w:val="0"/>
      <w:marBottom w:val="0"/>
      <w:divBdr>
        <w:top w:val="none" w:sz="0" w:space="0" w:color="auto"/>
        <w:left w:val="none" w:sz="0" w:space="0" w:color="auto"/>
        <w:bottom w:val="none" w:sz="0" w:space="0" w:color="auto"/>
        <w:right w:val="none" w:sz="0" w:space="0" w:color="auto"/>
      </w:divBdr>
    </w:div>
    <w:div w:id="71856878">
      <w:bodyDiv w:val="1"/>
      <w:marLeft w:val="0"/>
      <w:marRight w:val="0"/>
      <w:marTop w:val="0"/>
      <w:marBottom w:val="0"/>
      <w:divBdr>
        <w:top w:val="none" w:sz="0" w:space="0" w:color="auto"/>
        <w:left w:val="none" w:sz="0" w:space="0" w:color="auto"/>
        <w:bottom w:val="none" w:sz="0" w:space="0" w:color="auto"/>
        <w:right w:val="none" w:sz="0" w:space="0" w:color="auto"/>
      </w:divBdr>
    </w:div>
    <w:div w:id="76829017">
      <w:bodyDiv w:val="1"/>
      <w:marLeft w:val="0"/>
      <w:marRight w:val="0"/>
      <w:marTop w:val="0"/>
      <w:marBottom w:val="0"/>
      <w:divBdr>
        <w:top w:val="none" w:sz="0" w:space="0" w:color="auto"/>
        <w:left w:val="none" w:sz="0" w:space="0" w:color="auto"/>
        <w:bottom w:val="none" w:sz="0" w:space="0" w:color="auto"/>
        <w:right w:val="none" w:sz="0" w:space="0" w:color="auto"/>
      </w:divBdr>
    </w:div>
    <w:div w:id="77757200">
      <w:bodyDiv w:val="1"/>
      <w:marLeft w:val="0"/>
      <w:marRight w:val="0"/>
      <w:marTop w:val="0"/>
      <w:marBottom w:val="0"/>
      <w:divBdr>
        <w:top w:val="none" w:sz="0" w:space="0" w:color="auto"/>
        <w:left w:val="none" w:sz="0" w:space="0" w:color="auto"/>
        <w:bottom w:val="none" w:sz="0" w:space="0" w:color="auto"/>
        <w:right w:val="none" w:sz="0" w:space="0" w:color="auto"/>
      </w:divBdr>
    </w:div>
    <w:div w:id="78135860">
      <w:bodyDiv w:val="1"/>
      <w:marLeft w:val="0"/>
      <w:marRight w:val="0"/>
      <w:marTop w:val="0"/>
      <w:marBottom w:val="0"/>
      <w:divBdr>
        <w:top w:val="none" w:sz="0" w:space="0" w:color="auto"/>
        <w:left w:val="none" w:sz="0" w:space="0" w:color="auto"/>
        <w:bottom w:val="none" w:sz="0" w:space="0" w:color="auto"/>
        <w:right w:val="none" w:sz="0" w:space="0" w:color="auto"/>
      </w:divBdr>
    </w:div>
    <w:div w:id="80955644">
      <w:bodyDiv w:val="1"/>
      <w:marLeft w:val="0"/>
      <w:marRight w:val="0"/>
      <w:marTop w:val="0"/>
      <w:marBottom w:val="0"/>
      <w:divBdr>
        <w:top w:val="none" w:sz="0" w:space="0" w:color="auto"/>
        <w:left w:val="none" w:sz="0" w:space="0" w:color="auto"/>
        <w:bottom w:val="none" w:sz="0" w:space="0" w:color="auto"/>
        <w:right w:val="none" w:sz="0" w:space="0" w:color="auto"/>
      </w:divBdr>
    </w:div>
    <w:div w:id="82723716">
      <w:bodyDiv w:val="1"/>
      <w:marLeft w:val="0"/>
      <w:marRight w:val="0"/>
      <w:marTop w:val="0"/>
      <w:marBottom w:val="0"/>
      <w:divBdr>
        <w:top w:val="none" w:sz="0" w:space="0" w:color="auto"/>
        <w:left w:val="none" w:sz="0" w:space="0" w:color="auto"/>
        <w:bottom w:val="none" w:sz="0" w:space="0" w:color="auto"/>
        <w:right w:val="none" w:sz="0" w:space="0" w:color="auto"/>
      </w:divBdr>
    </w:div>
    <w:div w:id="84305717">
      <w:bodyDiv w:val="1"/>
      <w:marLeft w:val="0"/>
      <w:marRight w:val="0"/>
      <w:marTop w:val="0"/>
      <w:marBottom w:val="0"/>
      <w:divBdr>
        <w:top w:val="none" w:sz="0" w:space="0" w:color="auto"/>
        <w:left w:val="none" w:sz="0" w:space="0" w:color="auto"/>
        <w:bottom w:val="none" w:sz="0" w:space="0" w:color="auto"/>
        <w:right w:val="none" w:sz="0" w:space="0" w:color="auto"/>
      </w:divBdr>
    </w:div>
    <w:div w:id="85225327">
      <w:bodyDiv w:val="1"/>
      <w:marLeft w:val="0"/>
      <w:marRight w:val="0"/>
      <w:marTop w:val="0"/>
      <w:marBottom w:val="0"/>
      <w:divBdr>
        <w:top w:val="none" w:sz="0" w:space="0" w:color="auto"/>
        <w:left w:val="none" w:sz="0" w:space="0" w:color="auto"/>
        <w:bottom w:val="none" w:sz="0" w:space="0" w:color="auto"/>
        <w:right w:val="none" w:sz="0" w:space="0" w:color="auto"/>
      </w:divBdr>
    </w:div>
    <w:div w:id="87311751">
      <w:bodyDiv w:val="1"/>
      <w:marLeft w:val="0"/>
      <w:marRight w:val="0"/>
      <w:marTop w:val="0"/>
      <w:marBottom w:val="0"/>
      <w:divBdr>
        <w:top w:val="none" w:sz="0" w:space="0" w:color="auto"/>
        <w:left w:val="none" w:sz="0" w:space="0" w:color="auto"/>
        <w:bottom w:val="none" w:sz="0" w:space="0" w:color="auto"/>
        <w:right w:val="none" w:sz="0" w:space="0" w:color="auto"/>
      </w:divBdr>
    </w:div>
    <w:div w:id="89352366">
      <w:bodyDiv w:val="1"/>
      <w:marLeft w:val="0"/>
      <w:marRight w:val="0"/>
      <w:marTop w:val="0"/>
      <w:marBottom w:val="0"/>
      <w:divBdr>
        <w:top w:val="none" w:sz="0" w:space="0" w:color="auto"/>
        <w:left w:val="none" w:sz="0" w:space="0" w:color="auto"/>
        <w:bottom w:val="none" w:sz="0" w:space="0" w:color="auto"/>
        <w:right w:val="none" w:sz="0" w:space="0" w:color="auto"/>
      </w:divBdr>
    </w:div>
    <w:div w:id="92091426">
      <w:bodyDiv w:val="1"/>
      <w:marLeft w:val="0"/>
      <w:marRight w:val="0"/>
      <w:marTop w:val="0"/>
      <w:marBottom w:val="0"/>
      <w:divBdr>
        <w:top w:val="none" w:sz="0" w:space="0" w:color="auto"/>
        <w:left w:val="none" w:sz="0" w:space="0" w:color="auto"/>
        <w:bottom w:val="none" w:sz="0" w:space="0" w:color="auto"/>
        <w:right w:val="none" w:sz="0" w:space="0" w:color="auto"/>
      </w:divBdr>
    </w:div>
    <w:div w:id="96565751">
      <w:bodyDiv w:val="1"/>
      <w:marLeft w:val="0"/>
      <w:marRight w:val="0"/>
      <w:marTop w:val="0"/>
      <w:marBottom w:val="0"/>
      <w:divBdr>
        <w:top w:val="none" w:sz="0" w:space="0" w:color="auto"/>
        <w:left w:val="none" w:sz="0" w:space="0" w:color="auto"/>
        <w:bottom w:val="none" w:sz="0" w:space="0" w:color="auto"/>
        <w:right w:val="none" w:sz="0" w:space="0" w:color="auto"/>
      </w:divBdr>
    </w:div>
    <w:div w:id="99301331">
      <w:bodyDiv w:val="1"/>
      <w:marLeft w:val="0"/>
      <w:marRight w:val="0"/>
      <w:marTop w:val="0"/>
      <w:marBottom w:val="0"/>
      <w:divBdr>
        <w:top w:val="none" w:sz="0" w:space="0" w:color="auto"/>
        <w:left w:val="none" w:sz="0" w:space="0" w:color="auto"/>
        <w:bottom w:val="none" w:sz="0" w:space="0" w:color="auto"/>
        <w:right w:val="none" w:sz="0" w:space="0" w:color="auto"/>
      </w:divBdr>
    </w:div>
    <w:div w:id="104429875">
      <w:bodyDiv w:val="1"/>
      <w:marLeft w:val="0"/>
      <w:marRight w:val="0"/>
      <w:marTop w:val="0"/>
      <w:marBottom w:val="0"/>
      <w:divBdr>
        <w:top w:val="none" w:sz="0" w:space="0" w:color="auto"/>
        <w:left w:val="none" w:sz="0" w:space="0" w:color="auto"/>
        <w:bottom w:val="none" w:sz="0" w:space="0" w:color="auto"/>
        <w:right w:val="none" w:sz="0" w:space="0" w:color="auto"/>
      </w:divBdr>
    </w:div>
    <w:div w:id="106393598">
      <w:bodyDiv w:val="1"/>
      <w:marLeft w:val="0"/>
      <w:marRight w:val="0"/>
      <w:marTop w:val="0"/>
      <w:marBottom w:val="0"/>
      <w:divBdr>
        <w:top w:val="none" w:sz="0" w:space="0" w:color="auto"/>
        <w:left w:val="none" w:sz="0" w:space="0" w:color="auto"/>
        <w:bottom w:val="none" w:sz="0" w:space="0" w:color="auto"/>
        <w:right w:val="none" w:sz="0" w:space="0" w:color="auto"/>
      </w:divBdr>
    </w:div>
    <w:div w:id="107551756">
      <w:bodyDiv w:val="1"/>
      <w:marLeft w:val="0"/>
      <w:marRight w:val="0"/>
      <w:marTop w:val="0"/>
      <w:marBottom w:val="0"/>
      <w:divBdr>
        <w:top w:val="none" w:sz="0" w:space="0" w:color="auto"/>
        <w:left w:val="none" w:sz="0" w:space="0" w:color="auto"/>
        <w:bottom w:val="none" w:sz="0" w:space="0" w:color="auto"/>
        <w:right w:val="none" w:sz="0" w:space="0" w:color="auto"/>
      </w:divBdr>
    </w:div>
    <w:div w:id="110706772">
      <w:bodyDiv w:val="1"/>
      <w:marLeft w:val="0"/>
      <w:marRight w:val="0"/>
      <w:marTop w:val="0"/>
      <w:marBottom w:val="0"/>
      <w:divBdr>
        <w:top w:val="none" w:sz="0" w:space="0" w:color="auto"/>
        <w:left w:val="none" w:sz="0" w:space="0" w:color="auto"/>
        <w:bottom w:val="none" w:sz="0" w:space="0" w:color="auto"/>
        <w:right w:val="none" w:sz="0" w:space="0" w:color="auto"/>
      </w:divBdr>
    </w:div>
    <w:div w:id="114833042">
      <w:bodyDiv w:val="1"/>
      <w:marLeft w:val="0"/>
      <w:marRight w:val="0"/>
      <w:marTop w:val="0"/>
      <w:marBottom w:val="0"/>
      <w:divBdr>
        <w:top w:val="none" w:sz="0" w:space="0" w:color="auto"/>
        <w:left w:val="none" w:sz="0" w:space="0" w:color="auto"/>
        <w:bottom w:val="none" w:sz="0" w:space="0" w:color="auto"/>
        <w:right w:val="none" w:sz="0" w:space="0" w:color="auto"/>
      </w:divBdr>
    </w:div>
    <w:div w:id="115178995">
      <w:bodyDiv w:val="1"/>
      <w:marLeft w:val="0"/>
      <w:marRight w:val="0"/>
      <w:marTop w:val="0"/>
      <w:marBottom w:val="0"/>
      <w:divBdr>
        <w:top w:val="none" w:sz="0" w:space="0" w:color="auto"/>
        <w:left w:val="none" w:sz="0" w:space="0" w:color="auto"/>
        <w:bottom w:val="none" w:sz="0" w:space="0" w:color="auto"/>
        <w:right w:val="none" w:sz="0" w:space="0" w:color="auto"/>
      </w:divBdr>
    </w:div>
    <w:div w:id="120156841">
      <w:bodyDiv w:val="1"/>
      <w:marLeft w:val="0"/>
      <w:marRight w:val="0"/>
      <w:marTop w:val="0"/>
      <w:marBottom w:val="0"/>
      <w:divBdr>
        <w:top w:val="none" w:sz="0" w:space="0" w:color="auto"/>
        <w:left w:val="none" w:sz="0" w:space="0" w:color="auto"/>
        <w:bottom w:val="none" w:sz="0" w:space="0" w:color="auto"/>
        <w:right w:val="none" w:sz="0" w:space="0" w:color="auto"/>
      </w:divBdr>
    </w:div>
    <w:div w:id="121655441">
      <w:bodyDiv w:val="1"/>
      <w:marLeft w:val="0"/>
      <w:marRight w:val="0"/>
      <w:marTop w:val="0"/>
      <w:marBottom w:val="0"/>
      <w:divBdr>
        <w:top w:val="none" w:sz="0" w:space="0" w:color="auto"/>
        <w:left w:val="none" w:sz="0" w:space="0" w:color="auto"/>
        <w:bottom w:val="none" w:sz="0" w:space="0" w:color="auto"/>
        <w:right w:val="none" w:sz="0" w:space="0" w:color="auto"/>
      </w:divBdr>
    </w:div>
    <w:div w:id="123619131">
      <w:bodyDiv w:val="1"/>
      <w:marLeft w:val="0"/>
      <w:marRight w:val="0"/>
      <w:marTop w:val="0"/>
      <w:marBottom w:val="0"/>
      <w:divBdr>
        <w:top w:val="none" w:sz="0" w:space="0" w:color="auto"/>
        <w:left w:val="none" w:sz="0" w:space="0" w:color="auto"/>
        <w:bottom w:val="none" w:sz="0" w:space="0" w:color="auto"/>
        <w:right w:val="none" w:sz="0" w:space="0" w:color="auto"/>
      </w:divBdr>
    </w:div>
    <w:div w:id="124087420">
      <w:bodyDiv w:val="1"/>
      <w:marLeft w:val="0"/>
      <w:marRight w:val="0"/>
      <w:marTop w:val="0"/>
      <w:marBottom w:val="0"/>
      <w:divBdr>
        <w:top w:val="none" w:sz="0" w:space="0" w:color="auto"/>
        <w:left w:val="none" w:sz="0" w:space="0" w:color="auto"/>
        <w:bottom w:val="none" w:sz="0" w:space="0" w:color="auto"/>
        <w:right w:val="none" w:sz="0" w:space="0" w:color="auto"/>
      </w:divBdr>
    </w:div>
    <w:div w:id="128403254">
      <w:bodyDiv w:val="1"/>
      <w:marLeft w:val="0"/>
      <w:marRight w:val="0"/>
      <w:marTop w:val="0"/>
      <w:marBottom w:val="0"/>
      <w:divBdr>
        <w:top w:val="none" w:sz="0" w:space="0" w:color="auto"/>
        <w:left w:val="none" w:sz="0" w:space="0" w:color="auto"/>
        <w:bottom w:val="none" w:sz="0" w:space="0" w:color="auto"/>
        <w:right w:val="none" w:sz="0" w:space="0" w:color="auto"/>
      </w:divBdr>
    </w:div>
    <w:div w:id="131411280">
      <w:bodyDiv w:val="1"/>
      <w:marLeft w:val="0"/>
      <w:marRight w:val="0"/>
      <w:marTop w:val="0"/>
      <w:marBottom w:val="0"/>
      <w:divBdr>
        <w:top w:val="none" w:sz="0" w:space="0" w:color="auto"/>
        <w:left w:val="none" w:sz="0" w:space="0" w:color="auto"/>
        <w:bottom w:val="none" w:sz="0" w:space="0" w:color="auto"/>
        <w:right w:val="none" w:sz="0" w:space="0" w:color="auto"/>
      </w:divBdr>
    </w:div>
    <w:div w:id="131557522">
      <w:bodyDiv w:val="1"/>
      <w:marLeft w:val="0"/>
      <w:marRight w:val="0"/>
      <w:marTop w:val="0"/>
      <w:marBottom w:val="0"/>
      <w:divBdr>
        <w:top w:val="none" w:sz="0" w:space="0" w:color="auto"/>
        <w:left w:val="none" w:sz="0" w:space="0" w:color="auto"/>
        <w:bottom w:val="none" w:sz="0" w:space="0" w:color="auto"/>
        <w:right w:val="none" w:sz="0" w:space="0" w:color="auto"/>
      </w:divBdr>
    </w:div>
    <w:div w:id="132211917">
      <w:bodyDiv w:val="1"/>
      <w:marLeft w:val="0"/>
      <w:marRight w:val="0"/>
      <w:marTop w:val="0"/>
      <w:marBottom w:val="0"/>
      <w:divBdr>
        <w:top w:val="none" w:sz="0" w:space="0" w:color="auto"/>
        <w:left w:val="none" w:sz="0" w:space="0" w:color="auto"/>
        <w:bottom w:val="none" w:sz="0" w:space="0" w:color="auto"/>
        <w:right w:val="none" w:sz="0" w:space="0" w:color="auto"/>
      </w:divBdr>
    </w:div>
    <w:div w:id="132719323">
      <w:bodyDiv w:val="1"/>
      <w:marLeft w:val="0"/>
      <w:marRight w:val="0"/>
      <w:marTop w:val="0"/>
      <w:marBottom w:val="0"/>
      <w:divBdr>
        <w:top w:val="none" w:sz="0" w:space="0" w:color="auto"/>
        <w:left w:val="none" w:sz="0" w:space="0" w:color="auto"/>
        <w:bottom w:val="none" w:sz="0" w:space="0" w:color="auto"/>
        <w:right w:val="none" w:sz="0" w:space="0" w:color="auto"/>
      </w:divBdr>
    </w:div>
    <w:div w:id="133834575">
      <w:bodyDiv w:val="1"/>
      <w:marLeft w:val="0"/>
      <w:marRight w:val="0"/>
      <w:marTop w:val="0"/>
      <w:marBottom w:val="0"/>
      <w:divBdr>
        <w:top w:val="none" w:sz="0" w:space="0" w:color="auto"/>
        <w:left w:val="none" w:sz="0" w:space="0" w:color="auto"/>
        <w:bottom w:val="none" w:sz="0" w:space="0" w:color="auto"/>
        <w:right w:val="none" w:sz="0" w:space="0" w:color="auto"/>
      </w:divBdr>
    </w:div>
    <w:div w:id="139612156">
      <w:bodyDiv w:val="1"/>
      <w:marLeft w:val="0"/>
      <w:marRight w:val="0"/>
      <w:marTop w:val="0"/>
      <w:marBottom w:val="0"/>
      <w:divBdr>
        <w:top w:val="none" w:sz="0" w:space="0" w:color="auto"/>
        <w:left w:val="none" w:sz="0" w:space="0" w:color="auto"/>
        <w:bottom w:val="none" w:sz="0" w:space="0" w:color="auto"/>
        <w:right w:val="none" w:sz="0" w:space="0" w:color="auto"/>
      </w:divBdr>
    </w:div>
    <w:div w:id="142893239">
      <w:bodyDiv w:val="1"/>
      <w:marLeft w:val="0"/>
      <w:marRight w:val="0"/>
      <w:marTop w:val="0"/>
      <w:marBottom w:val="0"/>
      <w:divBdr>
        <w:top w:val="none" w:sz="0" w:space="0" w:color="auto"/>
        <w:left w:val="none" w:sz="0" w:space="0" w:color="auto"/>
        <w:bottom w:val="none" w:sz="0" w:space="0" w:color="auto"/>
        <w:right w:val="none" w:sz="0" w:space="0" w:color="auto"/>
      </w:divBdr>
    </w:div>
    <w:div w:id="155389918">
      <w:bodyDiv w:val="1"/>
      <w:marLeft w:val="0"/>
      <w:marRight w:val="0"/>
      <w:marTop w:val="0"/>
      <w:marBottom w:val="0"/>
      <w:divBdr>
        <w:top w:val="none" w:sz="0" w:space="0" w:color="auto"/>
        <w:left w:val="none" w:sz="0" w:space="0" w:color="auto"/>
        <w:bottom w:val="none" w:sz="0" w:space="0" w:color="auto"/>
        <w:right w:val="none" w:sz="0" w:space="0" w:color="auto"/>
      </w:divBdr>
    </w:div>
    <w:div w:id="156043675">
      <w:bodyDiv w:val="1"/>
      <w:marLeft w:val="0"/>
      <w:marRight w:val="0"/>
      <w:marTop w:val="0"/>
      <w:marBottom w:val="0"/>
      <w:divBdr>
        <w:top w:val="none" w:sz="0" w:space="0" w:color="auto"/>
        <w:left w:val="none" w:sz="0" w:space="0" w:color="auto"/>
        <w:bottom w:val="none" w:sz="0" w:space="0" w:color="auto"/>
        <w:right w:val="none" w:sz="0" w:space="0" w:color="auto"/>
      </w:divBdr>
    </w:div>
    <w:div w:id="159152523">
      <w:bodyDiv w:val="1"/>
      <w:marLeft w:val="0"/>
      <w:marRight w:val="0"/>
      <w:marTop w:val="0"/>
      <w:marBottom w:val="0"/>
      <w:divBdr>
        <w:top w:val="none" w:sz="0" w:space="0" w:color="auto"/>
        <w:left w:val="none" w:sz="0" w:space="0" w:color="auto"/>
        <w:bottom w:val="none" w:sz="0" w:space="0" w:color="auto"/>
        <w:right w:val="none" w:sz="0" w:space="0" w:color="auto"/>
      </w:divBdr>
    </w:div>
    <w:div w:id="159735202">
      <w:bodyDiv w:val="1"/>
      <w:marLeft w:val="0"/>
      <w:marRight w:val="0"/>
      <w:marTop w:val="0"/>
      <w:marBottom w:val="0"/>
      <w:divBdr>
        <w:top w:val="none" w:sz="0" w:space="0" w:color="auto"/>
        <w:left w:val="none" w:sz="0" w:space="0" w:color="auto"/>
        <w:bottom w:val="none" w:sz="0" w:space="0" w:color="auto"/>
        <w:right w:val="none" w:sz="0" w:space="0" w:color="auto"/>
      </w:divBdr>
    </w:div>
    <w:div w:id="160507668">
      <w:bodyDiv w:val="1"/>
      <w:marLeft w:val="0"/>
      <w:marRight w:val="0"/>
      <w:marTop w:val="0"/>
      <w:marBottom w:val="0"/>
      <w:divBdr>
        <w:top w:val="none" w:sz="0" w:space="0" w:color="auto"/>
        <w:left w:val="none" w:sz="0" w:space="0" w:color="auto"/>
        <w:bottom w:val="none" w:sz="0" w:space="0" w:color="auto"/>
        <w:right w:val="none" w:sz="0" w:space="0" w:color="auto"/>
      </w:divBdr>
    </w:div>
    <w:div w:id="171339332">
      <w:bodyDiv w:val="1"/>
      <w:marLeft w:val="0"/>
      <w:marRight w:val="0"/>
      <w:marTop w:val="0"/>
      <w:marBottom w:val="0"/>
      <w:divBdr>
        <w:top w:val="none" w:sz="0" w:space="0" w:color="auto"/>
        <w:left w:val="none" w:sz="0" w:space="0" w:color="auto"/>
        <w:bottom w:val="none" w:sz="0" w:space="0" w:color="auto"/>
        <w:right w:val="none" w:sz="0" w:space="0" w:color="auto"/>
      </w:divBdr>
    </w:div>
    <w:div w:id="173499311">
      <w:bodyDiv w:val="1"/>
      <w:marLeft w:val="0"/>
      <w:marRight w:val="0"/>
      <w:marTop w:val="0"/>
      <w:marBottom w:val="0"/>
      <w:divBdr>
        <w:top w:val="none" w:sz="0" w:space="0" w:color="auto"/>
        <w:left w:val="none" w:sz="0" w:space="0" w:color="auto"/>
        <w:bottom w:val="none" w:sz="0" w:space="0" w:color="auto"/>
        <w:right w:val="none" w:sz="0" w:space="0" w:color="auto"/>
      </w:divBdr>
    </w:div>
    <w:div w:id="177699900">
      <w:bodyDiv w:val="1"/>
      <w:marLeft w:val="0"/>
      <w:marRight w:val="0"/>
      <w:marTop w:val="0"/>
      <w:marBottom w:val="0"/>
      <w:divBdr>
        <w:top w:val="none" w:sz="0" w:space="0" w:color="auto"/>
        <w:left w:val="none" w:sz="0" w:space="0" w:color="auto"/>
        <w:bottom w:val="none" w:sz="0" w:space="0" w:color="auto"/>
        <w:right w:val="none" w:sz="0" w:space="0" w:color="auto"/>
      </w:divBdr>
    </w:div>
    <w:div w:id="186676965">
      <w:bodyDiv w:val="1"/>
      <w:marLeft w:val="0"/>
      <w:marRight w:val="0"/>
      <w:marTop w:val="0"/>
      <w:marBottom w:val="0"/>
      <w:divBdr>
        <w:top w:val="none" w:sz="0" w:space="0" w:color="auto"/>
        <w:left w:val="none" w:sz="0" w:space="0" w:color="auto"/>
        <w:bottom w:val="none" w:sz="0" w:space="0" w:color="auto"/>
        <w:right w:val="none" w:sz="0" w:space="0" w:color="auto"/>
      </w:divBdr>
    </w:div>
    <w:div w:id="191263924">
      <w:bodyDiv w:val="1"/>
      <w:marLeft w:val="0"/>
      <w:marRight w:val="0"/>
      <w:marTop w:val="0"/>
      <w:marBottom w:val="0"/>
      <w:divBdr>
        <w:top w:val="none" w:sz="0" w:space="0" w:color="auto"/>
        <w:left w:val="none" w:sz="0" w:space="0" w:color="auto"/>
        <w:bottom w:val="none" w:sz="0" w:space="0" w:color="auto"/>
        <w:right w:val="none" w:sz="0" w:space="0" w:color="auto"/>
      </w:divBdr>
    </w:div>
    <w:div w:id="194083316">
      <w:bodyDiv w:val="1"/>
      <w:marLeft w:val="0"/>
      <w:marRight w:val="0"/>
      <w:marTop w:val="0"/>
      <w:marBottom w:val="0"/>
      <w:divBdr>
        <w:top w:val="none" w:sz="0" w:space="0" w:color="auto"/>
        <w:left w:val="none" w:sz="0" w:space="0" w:color="auto"/>
        <w:bottom w:val="none" w:sz="0" w:space="0" w:color="auto"/>
        <w:right w:val="none" w:sz="0" w:space="0" w:color="auto"/>
      </w:divBdr>
    </w:div>
    <w:div w:id="194975526">
      <w:bodyDiv w:val="1"/>
      <w:marLeft w:val="0"/>
      <w:marRight w:val="0"/>
      <w:marTop w:val="0"/>
      <w:marBottom w:val="0"/>
      <w:divBdr>
        <w:top w:val="none" w:sz="0" w:space="0" w:color="auto"/>
        <w:left w:val="none" w:sz="0" w:space="0" w:color="auto"/>
        <w:bottom w:val="none" w:sz="0" w:space="0" w:color="auto"/>
        <w:right w:val="none" w:sz="0" w:space="0" w:color="auto"/>
      </w:divBdr>
    </w:div>
    <w:div w:id="196745479">
      <w:bodyDiv w:val="1"/>
      <w:marLeft w:val="0"/>
      <w:marRight w:val="0"/>
      <w:marTop w:val="0"/>
      <w:marBottom w:val="0"/>
      <w:divBdr>
        <w:top w:val="none" w:sz="0" w:space="0" w:color="auto"/>
        <w:left w:val="none" w:sz="0" w:space="0" w:color="auto"/>
        <w:bottom w:val="none" w:sz="0" w:space="0" w:color="auto"/>
        <w:right w:val="none" w:sz="0" w:space="0" w:color="auto"/>
      </w:divBdr>
    </w:div>
    <w:div w:id="199634224">
      <w:bodyDiv w:val="1"/>
      <w:marLeft w:val="0"/>
      <w:marRight w:val="0"/>
      <w:marTop w:val="0"/>
      <w:marBottom w:val="0"/>
      <w:divBdr>
        <w:top w:val="none" w:sz="0" w:space="0" w:color="auto"/>
        <w:left w:val="none" w:sz="0" w:space="0" w:color="auto"/>
        <w:bottom w:val="none" w:sz="0" w:space="0" w:color="auto"/>
        <w:right w:val="none" w:sz="0" w:space="0" w:color="auto"/>
      </w:divBdr>
    </w:div>
    <w:div w:id="202182930">
      <w:bodyDiv w:val="1"/>
      <w:marLeft w:val="0"/>
      <w:marRight w:val="0"/>
      <w:marTop w:val="0"/>
      <w:marBottom w:val="0"/>
      <w:divBdr>
        <w:top w:val="none" w:sz="0" w:space="0" w:color="auto"/>
        <w:left w:val="none" w:sz="0" w:space="0" w:color="auto"/>
        <w:bottom w:val="none" w:sz="0" w:space="0" w:color="auto"/>
        <w:right w:val="none" w:sz="0" w:space="0" w:color="auto"/>
      </w:divBdr>
    </w:div>
    <w:div w:id="208493699">
      <w:bodyDiv w:val="1"/>
      <w:marLeft w:val="0"/>
      <w:marRight w:val="0"/>
      <w:marTop w:val="0"/>
      <w:marBottom w:val="0"/>
      <w:divBdr>
        <w:top w:val="none" w:sz="0" w:space="0" w:color="auto"/>
        <w:left w:val="none" w:sz="0" w:space="0" w:color="auto"/>
        <w:bottom w:val="none" w:sz="0" w:space="0" w:color="auto"/>
        <w:right w:val="none" w:sz="0" w:space="0" w:color="auto"/>
      </w:divBdr>
    </w:div>
    <w:div w:id="209541943">
      <w:bodyDiv w:val="1"/>
      <w:marLeft w:val="0"/>
      <w:marRight w:val="0"/>
      <w:marTop w:val="0"/>
      <w:marBottom w:val="0"/>
      <w:divBdr>
        <w:top w:val="none" w:sz="0" w:space="0" w:color="auto"/>
        <w:left w:val="none" w:sz="0" w:space="0" w:color="auto"/>
        <w:bottom w:val="none" w:sz="0" w:space="0" w:color="auto"/>
        <w:right w:val="none" w:sz="0" w:space="0" w:color="auto"/>
      </w:divBdr>
    </w:div>
    <w:div w:id="211308709">
      <w:bodyDiv w:val="1"/>
      <w:marLeft w:val="0"/>
      <w:marRight w:val="0"/>
      <w:marTop w:val="0"/>
      <w:marBottom w:val="0"/>
      <w:divBdr>
        <w:top w:val="none" w:sz="0" w:space="0" w:color="auto"/>
        <w:left w:val="none" w:sz="0" w:space="0" w:color="auto"/>
        <w:bottom w:val="none" w:sz="0" w:space="0" w:color="auto"/>
        <w:right w:val="none" w:sz="0" w:space="0" w:color="auto"/>
      </w:divBdr>
    </w:div>
    <w:div w:id="213154954">
      <w:bodyDiv w:val="1"/>
      <w:marLeft w:val="0"/>
      <w:marRight w:val="0"/>
      <w:marTop w:val="0"/>
      <w:marBottom w:val="0"/>
      <w:divBdr>
        <w:top w:val="none" w:sz="0" w:space="0" w:color="auto"/>
        <w:left w:val="none" w:sz="0" w:space="0" w:color="auto"/>
        <w:bottom w:val="none" w:sz="0" w:space="0" w:color="auto"/>
        <w:right w:val="none" w:sz="0" w:space="0" w:color="auto"/>
      </w:divBdr>
    </w:div>
    <w:div w:id="215699159">
      <w:bodyDiv w:val="1"/>
      <w:marLeft w:val="0"/>
      <w:marRight w:val="0"/>
      <w:marTop w:val="0"/>
      <w:marBottom w:val="0"/>
      <w:divBdr>
        <w:top w:val="none" w:sz="0" w:space="0" w:color="auto"/>
        <w:left w:val="none" w:sz="0" w:space="0" w:color="auto"/>
        <w:bottom w:val="none" w:sz="0" w:space="0" w:color="auto"/>
        <w:right w:val="none" w:sz="0" w:space="0" w:color="auto"/>
      </w:divBdr>
    </w:div>
    <w:div w:id="216745225">
      <w:bodyDiv w:val="1"/>
      <w:marLeft w:val="0"/>
      <w:marRight w:val="0"/>
      <w:marTop w:val="0"/>
      <w:marBottom w:val="0"/>
      <w:divBdr>
        <w:top w:val="none" w:sz="0" w:space="0" w:color="auto"/>
        <w:left w:val="none" w:sz="0" w:space="0" w:color="auto"/>
        <w:bottom w:val="none" w:sz="0" w:space="0" w:color="auto"/>
        <w:right w:val="none" w:sz="0" w:space="0" w:color="auto"/>
      </w:divBdr>
    </w:div>
    <w:div w:id="217859131">
      <w:bodyDiv w:val="1"/>
      <w:marLeft w:val="0"/>
      <w:marRight w:val="0"/>
      <w:marTop w:val="0"/>
      <w:marBottom w:val="0"/>
      <w:divBdr>
        <w:top w:val="none" w:sz="0" w:space="0" w:color="auto"/>
        <w:left w:val="none" w:sz="0" w:space="0" w:color="auto"/>
        <w:bottom w:val="none" w:sz="0" w:space="0" w:color="auto"/>
        <w:right w:val="none" w:sz="0" w:space="0" w:color="auto"/>
      </w:divBdr>
    </w:div>
    <w:div w:id="218634960">
      <w:bodyDiv w:val="1"/>
      <w:marLeft w:val="0"/>
      <w:marRight w:val="0"/>
      <w:marTop w:val="0"/>
      <w:marBottom w:val="0"/>
      <w:divBdr>
        <w:top w:val="none" w:sz="0" w:space="0" w:color="auto"/>
        <w:left w:val="none" w:sz="0" w:space="0" w:color="auto"/>
        <w:bottom w:val="none" w:sz="0" w:space="0" w:color="auto"/>
        <w:right w:val="none" w:sz="0" w:space="0" w:color="auto"/>
      </w:divBdr>
    </w:div>
    <w:div w:id="220488338">
      <w:bodyDiv w:val="1"/>
      <w:marLeft w:val="0"/>
      <w:marRight w:val="0"/>
      <w:marTop w:val="0"/>
      <w:marBottom w:val="0"/>
      <w:divBdr>
        <w:top w:val="none" w:sz="0" w:space="0" w:color="auto"/>
        <w:left w:val="none" w:sz="0" w:space="0" w:color="auto"/>
        <w:bottom w:val="none" w:sz="0" w:space="0" w:color="auto"/>
        <w:right w:val="none" w:sz="0" w:space="0" w:color="auto"/>
      </w:divBdr>
    </w:div>
    <w:div w:id="222955218">
      <w:bodyDiv w:val="1"/>
      <w:marLeft w:val="0"/>
      <w:marRight w:val="0"/>
      <w:marTop w:val="0"/>
      <w:marBottom w:val="0"/>
      <w:divBdr>
        <w:top w:val="none" w:sz="0" w:space="0" w:color="auto"/>
        <w:left w:val="none" w:sz="0" w:space="0" w:color="auto"/>
        <w:bottom w:val="none" w:sz="0" w:space="0" w:color="auto"/>
        <w:right w:val="none" w:sz="0" w:space="0" w:color="auto"/>
      </w:divBdr>
    </w:div>
    <w:div w:id="225652628">
      <w:bodyDiv w:val="1"/>
      <w:marLeft w:val="0"/>
      <w:marRight w:val="0"/>
      <w:marTop w:val="0"/>
      <w:marBottom w:val="0"/>
      <w:divBdr>
        <w:top w:val="none" w:sz="0" w:space="0" w:color="auto"/>
        <w:left w:val="none" w:sz="0" w:space="0" w:color="auto"/>
        <w:bottom w:val="none" w:sz="0" w:space="0" w:color="auto"/>
        <w:right w:val="none" w:sz="0" w:space="0" w:color="auto"/>
      </w:divBdr>
    </w:div>
    <w:div w:id="227301924">
      <w:bodyDiv w:val="1"/>
      <w:marLeft w:val="0"/>
      <w:marRight w:val="0"/>
      <w:marTop w:val="0"/>
      <w:marBottom w:val="0"/>
      <w:divBdr>
        <w:top w:val="none" w:sz="0" w:space="0" w:color="auto"/>
        <w:left w:val="none" w:sz="0" w:space="0" w:color="auto"/>
        <w:bottom w:val="none" w:sz="0" w:space="0" w:color="auto"/>
        <w:right w:val="none" w:sz="0" w:space="0" w:color="auto"/>
      </w:divBdr>
    </w:div>
    <w:div w:id="240456655">
      <w:bodyDiv w:val="1"/>
      <w:marLeft w:val="0"/>
      <w:marRight w:val="0"/>
      <w:marTop w:val="0"/>
      <w:marBottom w:val="0"/>
      <w:divBdr>
        <w:top w:val="none" w:sz="0" w:space="0" w:color="auto"/>
        <w:left w:val="none" w:sz="0" w:space="0" w:color="auto"/>
        <w:bottom w:val="none" w:sz="0" w:space="0" w:color="auto"/>
        <w:right w:val="none" w:sz="0" w:space="0" w:color="auto"/>
      </w:divBdr>
    </w:div>
    <w:div w:id="245454329">
      <w:bodyDiv w:val="1"/>
      <w:marLeft w:val="0"/>
      <w:marRight w:val="0"/>
      <w:marTop w:val="0"/>
      <w:marBottom w:val="0"/>
      <w:divBdr>
        <w:top w:val="none" w:sz="0" w:space="0" w:color="auto"/>
        <w:left w:val="none" w:sz="0" w:space="0" w:color="auto"/>
        <w:bottom w:val="none" w:sz="0" w:space="0" w:color="auto"/>
        <w:right w:val="none" w:sz="0" w:space="0" w:color="auto"/>
      </w:divBdr>
    </w:div>
    <w:div w:id="250162018">
      <w:bodyDiv w:val="1"/>
      <w:marLeft w:val="0"/>
      <w:marRight w:val="0"/>
      <w:marTop w:val="0"/>
      <w:marBottom w:val="0"/>
      <w:divBdr>
        <w:top w:val="none" w:sz="0" w:space="0" w:color="auto"/>
        <w:left w:val="none" w:sz="0" w:space="0" w:color="auto"/>
        <w:bottom w:val="none" w:sz="0" w:space="0" w:color="auto"/>
        <w:right w:val="none" w:sz="0" w:space="0" w:color="auto"/>
      </w:divBdr>
    </w:div>
    <w:div w:id="252054185">
      <w:bodyDiv w:val="1"/>
      <w:marLeft w:val="0"/>
      <w:marRight w:val="0"/>
      <w:marTop w:val="0"/>
      <w:marBottom w:val="0"/>
      <w:divBdr>
        <w:top w:val="none" w:sz="0" w:space="0" w:color="auto"/>
        <w:left w:val="none" w:sz="0" w:space="0" w:color="auto"/>
        <w:bottom w:val="none" w:sz="0" w:space="0" w:color="auto"/>
        <w:right w:val="none" w:sz="0" w:space="0" w:color="auto"/>
      </w:divBdr>
    </w:div>
    <w:div w:id="255751190">
      <w:bodyDiv w:val="1"/>
      <w:marLeft w:val="0"/>
      <w:marRight w:val="0"/>
      <w:marTop w:val="0"/>
      <w:marBottom w:val="0"/>
      <w:divBdr>
        <w:top w:val="none" w:sz="0" w:space="0" w:color="auto"/>
        <w:left w:val="none" w:sz="0" w:space="0" w:color="auto"/>
        <w:bottom w:val="none" w:sz="0" w:space="0" w:color="auto"/>
        <w:right w:val="none" w:sz="0" w:space="0" w:color="auto"/>
      </w:divBdr>
    </w:div>
    <w:div w:id="256524395">
      <w:bodyDiv w:val="1"/>
      <w:marLeft w:val="0"/>
      <w:marRight w:val="0"/>
      <w:marTop w:val="0"/>
      <w:marBottom w:val="0"/>
      <w:divBdr>
        <w:top w:val="none" w:sz="0" w:space="0" w:color="auto"/>
        <w:left w:val="none" w:sz="0" w:space="0" w:color="auto"/>
        <w:bottom w:val="none" w:sz="0" w:space="0" w:color="auto"/>
        <w:right w:val="none" w:sz="0" w:space="0" w:color="auto"/>
      </w:divBdr>
    </w:div>
    <w:div w:id="257829136">
      <w:bodyDiv w:val="1"/>
      <w:marLeft w:val="0"/>
      <w:marRight w:val="0"/>
      <w:marTop w:val="0"/>
      <w:marBottom w:val="0"/>
      <w:divBdr>
        <w:top w:val="none" w:sz="0" w:space="0" w:color="auto"/>
        <w:left w:val="none" w:sz="0" w:space="0" w:color="auto"/>
        <w:bottom w:val="none" w:sz="0" w:space="0" w:color="auto"/>
        <w:right w:val="none" w:sz="0" w:space="0" w:color="auto"/>
      </w:divBdr>
    </w:div>
    <w:div w:id="260912588">
      <w:bodyDiv w:val="1"/>
      <w:marLeft w:val="0"/>
      <w:marRight w:val="0"/>
      <w:marTop w:val="0"/>
      <w:marBottom w:val="0"/>
      <w:divBdr>
        <w:top w:val="none" w:sz="0" w:space="0" w:color="auto"/>
        <w:left w:val="none" w:sz="0" w:space="0" w:color="auto"/>
        <w:bottom w:val="none" w:sz="0" w:space="0" w:color="auto"/>
        <w:right w:val="none" w:sz="0" w:space="0" w:color="auto"/>
      </w:divBdr>
    </w:div>
    <w:div w:id="264656641">
      <w:bodyDiv w:val="1"/>
      <w:marLeft w:val="0"/>
      <w:marRight w:val="0"/>
      <w:marTop w:val="0"/>
      <w:marBottom w:val="0"/>
      <w:divBdr>
        <w:top w:val="none" w:sz="0" w:space="0" w:color="auto"/>
        <w:left w:val="none" w:sz="0" w:space="0" w:color="auto"/>
        <w:bottom w:val="none" w:sz="0" w:space="0" w:color="auto"/>
        <w:right w:val="none" w:sz="0" w:space="0" w:color="auto"/>
      </w:divBdr>
    </w:div>
    <w:div w:id="266930786">
      <w:bodyDiv w:val="1"/>
      <w:marLeft w:val="0"/>
      <w:marRight w:val="0"/>
      <w:marTop w:val="0"/>
      <w:marBottom w:val="0"/>
      <w:divBdr>
        <w:top w:val="none" w:sz="0" w:space="0" w:color="auto"/>
        <w:left w:val="none" w:sz="0" w:space="0" w:color="auto"/>
        <w:bottom w:val="none" w:sz="0" w:space="0" w:color="auto"/>
        <w:right w:val="none" w:sz="0" w:space="0" w:color="auto"/>
      </w:divBdr>
    </w:div>
    <w:div w:id="268129881">
      <w:bodyDiv w:val="1"/>
      <w:marLeft w:val="0"/>
      <w:marRight w:val="0"/>
      <w:marTop w:val="0"/>
      <w:marBottom w:val="0"/>
      <w:divBdr>
        <w:top w:val="none" w:sz="0" w:space="0" w:color="auto"/>
        <w:left w:val="none" w:sz="0" w:space="0" w:color="auto"/>
        <w:bottom w:val="none" w:sz="0" w:space="0" w:color="auto"/>
        <w:right w:val="none" w:sz="0" w:space="0" w:color="auto"/>
      </w:divBdr>
    </w:div>
    <w:div w:id="273638098">
      <w:bodyDiv w:val="1"/>
      <w:marLeft w:val="0"/>
      <w:marRight w:val="0"/>
      <w:marTop w:val="0"/>
      <w:marBottom w:val="0"/>
      <w:divBdr>
        <w:top w:val="none" w:sz="0" w:space="0" w:color="auto"/>
        <w:left w:val="none" w:sz="0" w:space="0" w:color="auto"/>
        <w:bottom w:val="none" w:sz="0" w:space="0" w:color="auto"/>
        <w:right w:val="none" w:sz="0" w:space="0" w:color="auto"/>
      </w:divBdr>
    </w:div>
    <w:div w:id="273905152">
      <w:bodyDiv w:val="1"/>
      <w:marLeft w:val="0"/>
      <w:marRight w:val="0"/>
      <w:marTop w:val="0"/>
      <w:marBottom w:val="0"/>
      <w:divBdr>
        <w:top w:val="none" w:sz="0" w:space="0" w:color="auto"/>
        <w:left w:val="none" w:sz="0" w:space="0" w:color="auto"/>
        <w:bottom w:val="none" w:sz="0" w:space="0" w:color="auto"/>
        <w:right w:val="none" w:sz="0" w:space="0" w:color="auto"/>
      </w:divBdr>
    </w:div>
    <w:div w:id="274873861">
      <w:bodyDiv w:val="1"/>
      <w:marLeft w:val="0"/>
      <w:marRight w:val="0"/>
      <w:marTop w:val="0"/>
      <w:marBottom w:val="0"/>
      <w:divBdr>
        <w:top w:val="none" w:sz="0" w:space="0" w:color="auto"/>
        <w:left w:val="none" w:sz="0" w:space="0" w:color="auto"/>
        <w:bottom w:val="none" w:sz="0" w:space="0" w:color="auto"/>
        <w:right w:val="none" w:sz="0" w:space="0" w:color="auto"/>
      </w:divBdr>
    </w:div>
    <w:div w:id="276059076">
      <w:bodyDiv w:val="1"/>
      <w:marLeft w:val="0"/>
      <w:marRight w:val="0"/>
      <w:marTop w:val="0"/>
      <w:marBottom w:val="0"/>
      <w:divBdr>
        <w:top w:val="none" w:sz="0" w:space="0" w:color="auto"/>
        <w:left w:val="none" w:sz="0" w:space="0" w:color="auto"/>
        <w:bottom w:val="none" w:sz="0" w:space="0" w:color="auto"/>
        <w:right w:val="none" w:sz="0" w:space="0" w:color="auto"/>
      </w:divBdr>
    </w:div>
    <w:div w:id="280113203">
      <w:bodyDiv w:val="1"/>
      <w:marLeft w:val="0"/>
      <w:marRight w:val="0"/>
      <w:marTop w:val="0"/>
      <w:marBottom w:val="0"/>
      <w:divBdr>
        <w:top w:val="none" w:sz="0" w:space="0" w:color="auto"/>
        <w:left w:val="none" w:sz="0" w:space="0" w:color="auto"/>
        <w:bottom w:val="none" w:sz="0" w:space="0" w:color="auto"/>
        <w:right w:val="none" w:sz="0" w:space="0" w:color="auto"/>
      </w:divBdr>
    </w:div>
    <w:div w:id="282001647">
      <w:bodyDiv w:val="1"/>
      <w:marLeft w:val="0"/>
      <w:marRight w:val="0"/>
      <w:marTop w:val="0"/>
      <w:marBottom w:val="0"/>
      <w:divBdr>
        <w:top w:val="none" w:sz="0" w:space="0" w:color="auto"/>
        <w:left w:val="none" w:sz="0" w:space="0" w:color="auto"/>
        <w:bottom w:val="none" w:sz="0" w:space="0" w:color="auto"/>
        <w:right w:val="none" w:sz="0" w:space="0" w:color="auto"/>
      </w:divBdr>
    </w:div>
    <w:div w:id="284849421">
      <w:bodyDiv w:val="1"/>
      <w:marLeft w:val="0"/>
      <w:marRight w:val="0"/>
      <w:marTop w:val="0"/>
      <w:marBottom w:val="0"/>
      <w:divBdr>
        <w:top w:val="none" w:sz="0" w:space="0" w:color="auto"/>
        <w:left w:val="none" w:sz="0" w:space="0" w:color="auto"/>
        <w:bottom w:val="none" w:sz="0" w:space="0" w:color="auto"/>
        <w:right w:val="none" w:sz="0" w:space="0" w:color="auto"/>
      </w:divBdr>
    </w:div>
    <w:div w:id="286618683">
      <w:bodyDiv w:val="1"/>
      <w:marLeft w:val="0"/>
      <w:marRight w:val="0"/>
      <w:marTop w:val="0"/>
      <w:marBottom w:val="0"/>
      <w:divBdr>
        <w:top w:val="none" w:sz="0" w:space="0" w:color="auto"/>
        <w:left w:val="none" w:sz="0" w:space="0" w:color="auto"/>
        <w:bottom w:val="none" w:sz="0" w:space="0" w:color="auto"/>
        <w:right w:val="none" w:sz="0" w:space="0" w:color="auto"/>
      </w:divBdr>
    </w:div>
    <w:div w:id="289211937">
      <w:bodyDiv w:val="1"/>
      <w:marLeft w:val="0"/>
      <w:marRight w:val="0"/>
      <w:marTop w:val="0"/>
      <w:marBottom w:val="0"/>
      <w:divBdr>
        <w:top w:val="none" w:sz="0" w:space="0" w:color="auto"/>
        <w:left w:val="none" w:sz="0" w:space="0" w:color="auto"/>
        <w:bottom w:val="none" w:sz="0" w:space="0" w:color="auto"/>
        <w:right w:val="none" w:sz="0" w:space="0" w:color="auto"/>
      </w:divBdr>
    </w:div>
    <w:div w:id="293172123">
      <w:bodyDiv w:val="1"/>
      <w:marLeft w:val="0"/>
      <w:marRight w:val="0"/>
      <w:marTop w:val="0"/>
      <w:marBottom w:val="0"/>
      <w:divBdr>
        <w:top w:val="none" w:sz="0" w:space="0" w:color="auto"/>
        <w:left w:val="none" w:sz="0" w:space="0" w:color="auto"/>
        <w:bottom w:val="none" w:sz="0" w:space="0" w:color="auto"/>
        <w:right w:val="none" w:sz="0" w:space="0" w:color="auto"/>
      </w:divBdr>
    </w:div>
    <w:div w:id="294064335">
      <w:bodyDiv w:val="1"/>
      <w:marLeft w:val="0"/>
      <w:marRight w:val="0"/>
      <w:marTop w:val="0"/>
      <w:marBottom w:val="0"/>
      <w:divBdr>
        <w:top w:val="none" w:sz="0" w:space="0" w:color="auto"/>
        <w:left w:val="none" w:sz="0" w:space="0" w:color="auto"/>
        <w:bottom w:val="none" w:sz="0" w:space="0" w:color="auto"/>
        <w:right w:val="none" w:sz="0" w:space="0" w:color="auto"/>
      </w:divBdr>
    </w:div>
    <w:div w:id="304630654">
      <w:bodyDiv w:val="1"/>
      <w:marLeft w:val="0"/>
      <w:marRight w:val="0"/>
      <w:marTop w:val="0"/>
      <w:marBottom w:val="0"/>
      <w:divBdr>
        <w:top w:val="none" w:sz="0" w:space="0" w:color="auto"/>
        <w:left w:val="none" w:sz="0" w:space="0" w:color="auto"/>
        <w:bottom w:val="none" w:sz="0" w:space="0" w:color="auto"/>
        <w:right w:val="none" w:sz="0" w:space="0" w:color="auto"/>
      </w:divBdr>
    </w:div>
    <w:div w:id="306083663">
      <w:bodyDiv w:val="1"/>
      <w:marLeft w:val="0"/>
      <w:marRight w:val="0"/>
      <w:marTop w:val="0"/>
      <w:marBottom w:val="0"/>
      <w:divBdr>
        <w:top w:val="none" w:sz="0" w:space="0" w:color="auto"/>
        <w:left w:val="none" w:sz="0" w:space="0" w:color="auto"/>
        <w:bottom w:val="none" w:sz="0" w:space="0" w:color="auto"/>
        <w:right w:val="none" w:sz="0" w:space="0" w:color="auto"/>
      </w:divBdr>
    </w:div>
    <w:div w:id="306276415">
      <w:bodyDiv w:val="1"/>
      <w:marLeft w:val="0"/>
      <w:marRight w:val="0"/>
      <w:marTop w:val="0"/>
      <w:marBottom w:val="0"/>
      <w:divBdr>
        <w:top w:val="none" w:sz="0" w:space="0" w:color="auto"/>
        <w:left w:val="none" w:sz="0" w:space="0" w:color="auto"/>
        <w:bottom w:val="none" w:sz="0" w:space="0" w:color="auto"/>
        <w:right w:val="none" w:sz="0" w:space="0" w:color="auto"/>
      </w:divBdr>
    </w:div>
    <w:div w:id="307055766">
      <w:bodyDiv w:val="1"/>
      <w:marLeft w:val="0"/>
      <w:marRight w:val="0"/>
      <w:marTop w:val="0"/>
      <w:marBottom w:val="0"/>
      <w:divBdr>
        <w:top w:val="none" w:sz="0" w:space="0" w:color="auto"/>
        <w:left w:val="none" w:sz="0" w:space="0" w:color="auto"/>
        <w:bottom w:val="none" w:sz="0" w:space="0" w:color="auto"/>
        <w:right w:val="none" w:sz="0" w:space="0" w:color="auto"/>
      </w:divBdr>
    </w:div>
    <w:div w:id="309138719">
      <w:bodyDiv w:val="1"/>
      <w:marLeft w:val="0"/>
      <w:marRight w:val="0"/>
      <w:marTop w:val="0"/>
      <w:marBottom w:val="0"/>
      <w:divBdr>
        <w:top w:val="none" w:sz="0" w:space="0" w:color="auto"/>
        <w:left w:val="none" w:sz="0" w:space="0" w:color="auto"/>
        <w:bottom w:val="none" w:sz="0" w:space="0" w:color="auto"/>
        <w:right w:val="none" w:sz="0" w:space="0" w:color="auto"/>
      </w:divBdr>
    </w:div>
    <w:div w:id="309479771">
      <w:bodyDiv w:val="1"/>
      <w:marLeft w:val="0"/>
      <w:marRight w:val="0"/>
      <w:marTop w:val="0"/>
      <w:marBottom w:val="0"/>
      <w:divBdr>
        <w:top w:val="none" w:sz="0" w:space="0" w:color="auto"/>
        <w:left w:val="none" w:sz="0" w:space="0" w:color="auto"/>
        <w:bottom w:val="none" w:sz="0" w:space="0" w:color="auto"/>
        <w:right w:val="none" w:sz="0" w:space="0" w:color="auto"/>
      </w:divBdr>
    </w:div>
    <w:div w:id="310520107">
      <w:bodyDiv w:val="1"/>
      <w:marLeft w:val="0"/>
      <w:marRight w:val="0"/>
      <w:marTop w:val="0"/>
      <w:marBottom w:val="0"/>
      <w:divBdr>
        <w:top w:val="none" w:sz="0" w:space="0" w:color="auto"/>
        <w:left w:val="none" w:sz="0" w:space="0" w:color="auto"/>
        <w:bottom w:val="none" w:sz="0" w:space="0" w:color="auto"/>
        <w:right w:val="none" w:sz="0" w:space="0" w:color="auto"/>
      </w:divBdr>
    </w:div>
    <w:div w:id="310869762">
      <w:bodyDiv w:val="1"/>
      <w:marLeft w:val="0"/>
      <w:marRight w:val="0"/>
      <w:marTop w:val="0"/>
      <w:marBottom w:val="0"/>
      <w:divBdr>
        <w:top w:val="none" w:sz="0" w:space="0" w:color="auto"/>
        <w:left w:val="none" w:sz="0" w:space="0" w:color="auto"/>
        <w:bottom w:val="none" w:sz="0" w:space="0" w:color="auto"/>
        <w:right w:val="none" w:sz="0" w:space="0" w:color="auto"/>
      </w:divBdr>
    </w:div>
    <w:div w:id="314724743">
      <w:bodyDiv w:val="1"/>
      <w:marLeft w:val="0"/>
      <w:marRight w:val="0"/>
      <w:marTop w:val="0"/>
      <w:marBottom w:val="0"/>
      <w:divBdr>
        <w:top w:val="none" w:sz="0" w:space="0" w:color="auto"/>
        <w:left w:val="none" w:sz="0" w:space="0" w:color="auto"/>
        <w:bottom w:val="none" w:sz="0" w:space="0" w:color="auto"/>
        <w:right w:val="none" w:sz="0" w:space="0" w:color="auto"/>
      </w:divBdr>
    </w:div>
    <w:div w:id="318583883">
      <w:bodyDiv w:val="1"/>
      <w:marLeft w:val="0"/>
      <w:marRight w:val="0"/>
      <w:marTop w:val="0"/>
      <w:marBottom w:val="0"/>
      <w:divBdr>
        <w:top w:val="none" w:sz="0" w:space="0" w:color="auto"/>
        <w:left w:val="none" w:sz="0" w:space="0" w:color="auto"/>
        <w:bottom w:val="none" w:sz="0" w:space="0" w:color="auto"/>
        <w:right w:val="none" w:sz="0" w:space="0" w:color="auto"/>
      </w:divBdr>
    </w:div>
    <w:div w:id="324750389">
      <w:bodyDiv w:val="1"/>
      <w:marLeft w:val="0"/>
      <w:marRight w:val="0"/>
      <w:marTop w:val="0"/>
      <w:marBottom w:val="0"/>
      <w:divBdr>
        <w:top w:val="none" w:sz="0" w:space="0" w:color="auto"/>
        <w:left w:val="none" w:sz="0" w:space="0" w:color="auto"/>
        <w:bottom w:val="none" w:sz="0" w:space="0" w:color="auto"/>
        <w:right w:val="none" w:sz="0" w:space="0" w:color="auto"/>
      </w:divBdr>
    </w:div>
    <w:div w:id="328336076">
      <w:bodyDiv w:val="1"/>
      <w:marLeft w:val="0"/>
      <w:marRight w:val="0"/>
      <w:marTop w:val="0"/>
      <w:marBottom w:val="0"/>
      <w:divBdr>
        <w:top w:val="none" w:sz="0" w:space="0" w:color="auto"/>
        <w:left w:val="none" w:sz="0" w:space="0" w:color="auto"/>
        <w:bottom w:val="none" w:sz="0" w:space="0" w:color="auto"/>
        <w:right w:val="none" w:sz="0" w:space="0" w:color="auto"/>
      </w:divBdr>
    </w:div>
    <w:div w:id="331613349">
      <w:bodyDiv w:val="1"/>
      <w:marLeft w:val="0"/>
      <w:marRight w:val="0"/>
      <w:marTop w:val="0"/>
      <w:marBottom w:val="0"/>
      <w:divBdr>
        <w:top w:val="none" w:sz="0" w:space="0" w:color="auto"/>
        <w:left w:val="none" w:sz="0" w:space="0" w:color="auto"/>
        <w:bottom w:val="none" w:sz="0" w:space="0" w:color="auto"/>
        <w:right w:val="none" w:sz="0" w:space="0" w:color="auto"/>
      </w:divBdr>
    </w:div>
    <w:div w:id="335379389">
      <w:bodyDiv w:val="1"/>
      <w:marLeft w:val="0"/>
      <w:marRight w:val="0"/>
      <w:marTop w:val="0"/>
      <w:marBottom w:val="0"/>
      <w:divBdr>
        <w:top w:val="none" w:sz="0" w:space="0" w:color="auto"/>
        <w:left w:val="none" w:sz="0" w:space="0" w:color="auto"/>
        <w:bottom w:val="none" w:sz="0" w:space="0" w:color="auto"/>
        <w:right w:val="none" w:sz="0" w:space="0" w:color="auto"/>
      </w:divBdr>
    </w:div>
    <w:div w:id="337654304">
      <w:bodyDiv w:val="1"/>
      <w:marLeft w:val="0"/>
      <w:marRight w:val="0"/>
      <w:marTop w:val="0"/>
      <w:marBottom w:val="0"/>
      <w:divBdr>
        <w:top w:val="none" w:sz="0" w:space="0" w:color="auto"/>
        <w:left w:val="none" w:sz="0" w:space="0" w:color="auto"/>
        <w:bottom w:val="none" w:sz="0" w:space="0" w:color="auto"/>
        <w:right w:val="none" w:sz="0" w:space="0" w:color="auto"/>
      </w:divBdr>
    </w:div>
    <w:div w:id="338655531">
      <w:bodyDiv w:val="1"/>
      <w:marLeft w:val="0"/>
      <w:marRight w:val="0"/>
      <w:marTop w:val="0"/>
      <w:marBottom w:val="0"/>
      <w:divBdr>
        <w:top w:val="none" w:sz="0" w:space="0" w:color="auto"/>
        <w:left w:val="none" w:sz="0" w:space="0" w:color="auto"/>
        <w:bottom w:val="none" w:sz="0" w:space="0" w:color="auto"/>
        <w:right w:val="none" w:sz="0" w:space="0" w:color="auto"/>
      </w:divBdr>
    </w:div>
    <w:div w:id="340931304">
      <w:bodyDiv w:val="1"/>
      <w:marLeft w:val="0"/>
      <w:marRight w:val="0"/>
      <w:marTop w:val="0"/>
      <w:marBottom w:val="0"/>
      <w:divBdr>
        <w:top w:val="none" w:sz="0" w:space="0" w:color="auto"/>
        <w:left w:val="none" w:sz="0" w:space="0" w:color="auto"/>
        <w:bottom w:val="none" w:sz="0" w:space="0" w:color="auto"/>
        <w:right w:val="none" w:sz="0" w:space="0" w:color="auto"/>
      </w:divBdr>
    </w:div>
    <w:div w:id="342978556">
      <w:bodyDiv w:val="1"/>
      <w:marLeft w:val="0"/>
      <w:marRight w:val="0"/>
      <w:marTop w:val="0"/>
      <w:marBottom w:val="0"/>
      <w:divBdr>
        <w:top w:val="none" w:sz="0" w:space="0" w:color="auto"/>
        <w:left w:val="none" w:sz="0" w:space="0" w:color="auto"/>
        <w:bottom w:val="none" w:sz="0" w:space="0" w:color="auto"/>
        <w:right w:val="none" w:sz="0" w:space="0" w:color="auto"/>
      </w:divBdr>
    </w:div>
    <w:div w:id="347754020">
      <w:bodyDiv w:val="1"/>
      <w:marLeft w:val="0"/>
      <w:marRight w:val="0"/>
      <w:marTop w:val="0"/>
      <w:marBottom w:val="0"/>
      <w:divBdr>
        <w:top w:val="none" w:sz="0" w:space="0" w:color="auto"/>
        <w:left w:val="none" w:sz="0" w:space="0" w:color="auto"/>
        <w:bottom w:val="none" w:sz="0" w:space="0" w:color="auto"/>
        <w:right w:val="none" w:sz="0" w:space="0" w:color="auto"/>
      </w:divBdr>
    </w:div>
    <w:div w:id="350184348">
      <w:bodyDiv w:val="1"/>
      <w:marLeft w:val="0"/>
      <w:marRight w:val="0"/>
      <w:marTop w:val="0"/>
      <w:marBottom w:val="0"/>
      <w:divBdr>
        <w:top w:val="none" w:sz="0" w:space="0" w:color="auto"/>
        <w:left w:val="none" w:sz="0" w:space="0" w:color="auto"/>
        <w:bottom w:val="none" w:sz="0" w:space="0" w:color="auto"/>
        <w:right w:val="none" w:sz="0" w:space="0" w:color="auto"/>
      </w:divBdr>
    </w:div>
    <w:div w:id="355037164">
      <w:bodyDiv w:val="1"/>
      <w:marLeft w:val="0"/>
      <w:marRight w:val="0"/>
      <w:marTop w:val="0"/>
      <w:marBottom w:val="0"/>
      <w:divBdr>
        <w:top w:val="none" w:sz="0" w:space="0" w:color="auto"/>
        <w:left w:val="none" w:sz="0" w:space="0" w:color="auto"/>
        <w:bottom w:val="none" w:sz="0" w:space="0" w:color="auto"/>
        <w:right w:val="none" w:sz="0" w:space="0" w:color="auto"/>
      </w:divBdr>
    </w:div>
    <w:div w:id="357120471">
      <w:bodyDiv w:val="1"/>
      <w:marLeft w:val="0"/>
      <w:marRight w:val="0"/>
      <w:marTop w:val="0"/>
      <w:marBottom w:val="0"/>
      <w:divBdr>
        <w:top w:val="none" w:sz="0" w:space="0" w:color="auto"/>
        <w:left w:val="none" w:sz="0" w:space="0" w:color="auto"/>
        <w:bottom w:val="none" w:sz="0" w:space="0" w:color="auto"/>
        <w:right w:val="none" w:sz="0" w:space="0" w:color="auto"/>
      </w:divBdr>
    </w:div>
    <w:div w:id="359554770">
      <w:bodyDiv w:val="1"/>
      <w:marLeft w:val="0"/>
      <w:marRight w:val="0"/>
      <w:marTop w:val="0"/>
      <w:marBottom w:val="0"/>
      <w:divBdr>
        <w:top w:val="none" w:sz="0" w:space="0" w:color="auto"/>
        <w:left w:val="none" w:sz="0" w:space="0" w:color="auto"/>
        <w:bottom w:val="none" w:sz="0" w:space="0" w:color="auto"/>
        <w:right w:val="none" w:sz="0" w:space="0" w:color="auto"/>
      </w:divBdr>
    </w:div>
    <w:div w:id="366878000">
      <w:bodyDiv w:val="1"/>
      <w:marLeft w:val="0"/>
      <w:marRight w:val="0"/>
      <w:marTop w:val="0"/>
      <w:marBottom w:val="0"/>
      <w:divBdr>
        <w:top w:val="none" w:sz="0" w:space="0" w:color="auto"/>
        <w:left w:val="none" w:sz="0" w:space="0" w:color="auto"/>
        <w:bottom w:val="none" w:sz="0" w:space="0" w:color="auto"/>
        <w:right w:val="none" w:sz="0" w:space="0" w:color="auto"/>
      </w:divBdr>
    </w:div>
    <w:div w:id="370692436">
      <w:bodyDiv w:val="1"/>
      <w:marLeft w:val="0"/>
      <w:marRight w:val="0"/>
      <w:marTop w:val="0"/>
      <w:marBottom w:val="0"/>
      <w:divBdr>
        <w:top w:val="none" w:sz="0" w:space="0" w:color="auto"/>
        <w:left w:val="none" w:sz="0" w:space="0" w:color="auto"/>
        <w:bottom w:val="none" w:sz="0" w:space="0" w:color="auto"/>
        <w:right w:val="none" w:sz="0" w:space="0" w:color="auto"/>
      </w:divBdr>
    </w:div>
    <w:div w:id="377321949">
      <w:bodyDiv w:val="1"/>
      <w:marLeft w:val="0"/>
      <w:marRight w:val="0"/>
      <w:marTop w:val="0"/>
      <w:marBottom w:val="0"/>
      <w:divBdr>
        <w:top w:val="none" w:sz="0" w:space="0" w:color="auto"/>
        <w:left w:val="none" w:sz="0" w:space="0" w:color="auto"/>
        <w:bottom w:val="none" w:sz="0" w:space="0" w:color="auto"/>
        <w:right w:val="none" w:sz="0" w:space="0" w:color="auto"/>
      </w:divBdr>
    </w:div>
    <w:div w:id="378823679">
      <w:bodyDiv w:val="1"/>
      <w:marLeft w:val="0"/>
      <w:marRight w:val="0"/>
      <w:marTop w:val="0"/>
      <w:marBottom w:val="0"/>
      <w:divBdr>
        <w:top w:val="none" w:sz="0" w:space="0" w:color="auto"/>
        <w:left w:val="none" w:sz="0" w:space="0" w:color="auto"/>
        <w:bottom w:val="none" w:sz="0" w:space="0" w:color="auto"/>
        <w:right w:val="none" w:sz="0" w:space="0" w:color="auto"/>
      </w:divBdr>
    </w:div>
    <w:div w:id="379324093">
      <w:bodyDiv w:val="1"/>
      <w:marLeft w:val="0"/>
      <w:marRight w:val="0"/>
      <w:marTop w:val="0"/>
      <w:marBottom w:val="0"/>
      <w:divBdr>
        <w:top w:val="none" w:sz="0" w:space="0" w:color="auto"/>
        <w:left w:val="none" w:sz="0" w:space="0" w:color="auto"/>
        <w:bottom w:val="none" w:sz="0" w:space="0" w:color="auto"/>
        <w:right w:val="none" w:sz="0" w:space="0" w:color="auto"/>
      </w:divBdr>
    </w:div>
    <w:div w:id="383137106">
      <w:bodyDiv w:val="1"/>
      <w:marLeft w:val="0"/>
      <w:marRight w:val="0"/>
      <w:marTop w:val="0"/>
      <w:marBottom w:val="0"/>
      <w:divBdr>
        <w:top w:val="none" w:sz="0" w:space="0" w:color="auto"/>
        <w:left w:val="none" w:sz="0" w:space="0" w:color="auto"/>
        <w:bottom w:val="none" w:sz="0" w:space="0" w:color="auto"/>
        <w:right w:val="none" w:sz="0" w:space="0" w:color="auto"/>
      </w:divBdr>
    </w:div>
    <w:div w:id="385643731">
      <w:bodyDiv w:val="1"/>
      <w:marLeft w:val="0"/>
      <w:marRight w:val="0"/>
      <w:marTop w:val="0"/>
      <w:marBottom w:val="0"/>
      <w:divBdr>
        <w:top w:val="none" w:sz="0" w:space="0" w:color="auto"/>
        <w:left w:val="none" w:sz="0" w:space="0" w:color="auto"/>
        <w:bottom w:val="none" w:sz="0" w:space="0" w:color="auto"/>
        <w:right w:val="none" w:sz="0" w:space="0" w:color="auto"/>
      </w:divBdr>
    </w:div>
    <w:div w:id="389109427">
      <w:bodyDiv w:val="1"/>
      <w:marLeft w:val="0"/>
      <w:marRight w:val="0"/>
      <w:marTop w:val="0"/>
      <w:marBottom w:val="0"/>
      <w:divBdr>
        <w:top w:val="none" w:sz="0" w:space="0" w:color="auto"/>
        <w:left w:val="none" w:sz="0" w:space="0" w:color="auto"/>
        <w:bottom w:val="none" w:sz="0" w:space="0" w:color="auto"/>
        <w:right w:val="none" w:sz="0" w:space="0" w:color="auto"/>
      </w:divBdr>
    </w:div>
    <w:div w:id="395980750">
      <w:bodyDiv w:val="1"/>
      <w:marLeft w:val="0"/>
      <w:marRight w:val="0"/>
      <w:marTop w:val="0"/>
      <w:marBottom w:val="0"/>
      <w:divBdr>
        <w:top w:val="none" w:sz="0" w:space="0" w:color="auto"/>
        <w:left w:val="none" w:sz="0" w:space="0" w:color="auto"/>
        <w:bottom w:val="none" w:sz="0" w:space="0" w:color="auto"/>
        <w:right w:val="none" w:sz="0" w:space="0" w:color="auto"/>
      </w:divBdr>
    </w:div>
    <w:div w:id="398089907">
      <w:bodyDiv w:val="1"/>
      <w:marLeft w:val="0"/>
      <w:marRight w:val="0"/>
      <w:marTop w:val="0"/>
      <w:marBottom w:val="0"/>
      <w:divBdr>
        <w:top w:val="none" w:sz="0" w:space="0" w:color="auto"/>
        <w:left w:val="none" w:sz="0" w:space="0" w:color="auto"/>
        <w:bottom w:val="none" w:sz="0" w:space="0" w:color="auto"/>
        <w:right w:val="none" w:sz="0" w:space="0" w:color="auto"/>
      </w:divBdr>
    </w:div>
    <w:div w:id="400449963">
      <w:bodyDiv w:val="1"/>
      <w:marLeft w:val="0"/>
      <w:marRight w:val="0"/>
      <w:marTop w:val="0"/>
      <w:marBottom w:val="0"/>
      <w:divBdr>
        <w:top w:val="none" w:sz="0" w:space="0" w:color="auto"/>
        <w:left w:val="none" w:sz="0" w:space="0" w:color="auto"/>
        <w:bottom w:val="none" w:sz="0" w:space="0" w:color="auto"/>
        <w:right w:val="none" w:sz="0" w:space="0" w:color="auto"/>
      </w:divBdr>
    </w:div>
    <w:div w:id="401291136">
      <w:bodyDiv w:val="1"/>
      <w:marLeft w:val="0"/>
      <w:marRight w:val="0"/>
      <w:marTop w:val="0"/>
      <w:marBottom w:val="0"/>
      <w:divBdr>
        <w:top w:val="none" w:sz="0" w:space="0" w:color="auto"/>
        <w:left w:val="none" w:sz="0" w:space="0" w:color="auto"/>
        <w:bottom w:val="none" w:sz="0" w:space="0" w:color="auto"/>
        <w:right w:val="none" w:sz="0" w:space="0" w:color="auto"/>
      </w:divBdr>
    </w:div>
    <w:div w:id="402610504">
      <w:bodyDiv w:val="1"/>
      <w:marLeft w:val="0"/>
      <w:marRight w:val="0"/>
      <w:marTop w:val="0"/>
      <w:marBottom w:val="0"/>
      <w:divBdr>
        <w:top w:val="none" w:sz="0" w:space="0" w:color="auto"/>
        <w:left w:val="none" w:sz="0" w:space="0" w:color="auto"/>
        <w:bottom w:val="none" w:sz="0" w:space="0" w:color="auto"/>
        <w:right w:val="none" w:sz="0" w:space="0" w:color="auto"/>
      </w:divBdr>
    </w:div>
    <w:div w:id="405690923">
      <w:bodyDiv w:val="1"/>
      <w:marLeft w:val="0"/>
      <w:marRight w:val="0"/>
      <w:marTop w:val="0"/>
      <w:marBottom w:val="0"/>
      <w:divBdr>
        <w:top w:val="none" w:sz="0" w:space="0" w:color="auto"/>
        <w:left w:val="none" w:sz="0" w:space="0" w:color="auto"/>
        <w:bottom w:val="none" w:sz="0" w:space="0" w:color="auto"/>
        <w:right w:val="none" w:sz="0" w:space="0" w:color="auto"/>
      </w:divBdr>
    </w:div>
    <w:div w:id="411122963">
      <w:bodyDiv w:val="1"/>
      <w:marLeft w:val="0"/>
      <w:marRight w:val="0"/>
      <w:marTop w:val="0"/>
      <w:marBottom w:val="0"/>
      <w:divBdr>
        <w:top w:val="none" w:sz="0" w:space="0" w:color="auto"/>
        <w:left w:val="none" w:sz="0" w:space="0" w:color="auto"/>
        <w:bottom w:val="none" w:sz="0" w:space="0" w:color="auto"/>
        <w:right w:val="none" w:sz="0" w:space="0" w:color="auto"/>
      </w:divBdr>
    </w:div>
    <w:div w:id="413665240">
      <w:bodyDiv w:val="1"/>
      <w:marLeft w:val="0"/>
      <w:marRight w:val="0"/>
      <w:marTop w:val="0"/>
      <w:marBottom w:val="0"/>
      <w:divBdr>
        <w:top w:val="none" w:sz="0" w:space="0" w:color="auto"/>
        <w:left w:val="none" w:sz="0" w:space="0" w:color="auto"/>
        <w:bottom w:val="none" w:sz="0" w:space="0" w:color="auto"/>
        <w:right w:val="none" w:sz="0" w:space="0" w:color="auto"/>
      </w:divBdr>
    </w:div>
    <w:div w:id="417555833">
      <w:bodyDiv w:val="1"/>
      <w:marLeft w:val="0"/>
      <w:marRight w:val="0"/>
      <w:marTop w:val="0"/>
      <w:marBottom w:val="0"/>
      <w:divBdr>
        <w:top w:val="none" w:sz="0" w:space="0" w:color="auto"/>
        <w:left w:val="none" w:sz="0" w:space="0" w:color="auto"/>
        <w:bottom w:val="none" w:sz="0" w:space="0" w:color="auto"/>
        <w:right w:val="none" w:sz="0" w:space="0" w:color="auto"/>
      </w:divBdr>
      <w:divsChild>
        <w:div w:id="878005398">
          <w:marLeft w:val="0"/>
          <w:marRight w:val="0"/>
          <w:marTop w:val="0"/>
          <w:marBottom w:val="0"/>
          <w:divBdr>
            <w:top w:val="none" w:sz="0" w:space="0" w:color="auto"/>
            <w:left w:val="none" w:sz="0" w:space="0" w:color="auto"/>
            <w:bottom w:val="none" w:sz="0" w:space="0" w:color="auto"/>
            <w:right w:val="none" w:sz="0" w:space="0" w:color="auto"/>
          </w:divBdr>
        </w:div>
      </w:divsChild>
    </w:div>
    <w:div w:id="418412289">
      <w:bodyDiv w:val="1"/>
      <w:marLeft w:val="0"/>
      <w:marRight w:val="0"/>
      <w:marTop w:val="0"/>
      <w:marBottom w:val="0"/>
      <w:divBdr>
        <w:top w:val="none" w:sz="0" w:space="0" w:color="auto"/>
        <w:left w:val="none" w:sz="0" w:space="0" w:color="auto"/>
        <w:bottom w:val="none" w:sz="0" w:space="0" w:color="auto"/>
        <w:right w:val="none" w:sz="0" w:space="0" w:color="auto"/>
      </w:divBdr>
    </w:div>
    <w:div w:id="419717657">
      <w:bodyDiv w:val="1"/>
      <w:marLeft w:val="0"/>
      <w:marRight w:val="0"/>
      <w:marTop w:val="0"/>
      <w:marBottom w:val="0"/>
      <w:divBdr>
        <w:top w:val="none" w:sz="0" w:space="0" w:color="auto"/>
        <w:left w:val="none" w:sz="0" w:space="0" w:color="auto"/>
        <w:bottom w:val="none" w:sz="0" w:space="0" w:color="auto"/>
        <w:right w:val="none" w:sz="0" w:space="0" w:color="auto"/>
      </w:divBdr>
    </w:div>
    <w:div w:id="419840527">
      <w:bodyDiv w:val="1"/>
      <w:marLeft w:val="0"/>
      <w:marRight w:val="0"/>
      <w:marTop w:val="0"/>
      <w:marBottom w:val="0"/>
      <w:divBdr>
        <w:top w:val="none" w:sz="0" w:space="0" w:color="auto"/>
        <w:left w:val="none" w:sz="0" w:space="0" w:color="auto"/>
        <w:bottom w:val="none" w:sz="0" w:space="0" w:color="auto"/>
        <w:right w:val="none" w:sz="0" w:space="0" w:color="auto"/>
      </w:divBdr>
    </w:div>
    <w:div w:id="420220798">
      <w:bodyDiv w:val="1"/>
      <w:marLeft w:val="0"/>
      <w:marRight w:val="0"/>
      <w:marTop w:val="0"/>
      <w:marBottom w:val="0"/>
      <w:divBdr>
        <w:top w:val="none" w:sz="0" w:space="0" w:color="auto"/>
        <w:left w:val="none" w:sz="0" w:space="0" w:color="auto"/>
        <w:bottom w:val="none" w:sz="0" w:space="0" w:color="auto"/>
        <w:right w:val="none" w:sz="0" w:space="0" w:color="auto"/>
      </w:divBdr>
    </w:div>
    <w:div w:id="420493407">
      <w:bodyDiv w:val="1"/>
      <w:marLeft w:val="0"/>
      <w:marRight w:val="0"/>
      <w:marTop w:val="0"/>
      <w:marBottom w:val="0"/>
      <w:divBdr>
        <w:top w:val="none" w:sz="0" w:space="0" w:color="auto"/>
        <w:left w:val="none" w:sz="0" w:space="0" w:color="auto"/>
        <w:bottom w:val="none" w:sz="0" w:space="0" w:color="auto"/>
        <w:right w:val="none" w:sz="0" w:space="0" w:color="auto"/>
      </w:divBdr>
    </w:div>
    <w:div w:id="421343996">
      <w:bodyDiv w:val="1"/>
      <w:marLeft w:val="0"/>
      <w:marRight w:val="0"/>
      <w:marTop w:val="0"/>
      <w:marBottom w:val="0"/>
      <w:divBdr>
        <w:top w:val="none" w:sz="0" w:space="0" w:color="auto"/>
        <w:left w:val="none" w:sz="0" w:space="0" w:color="auto"/>
        <w:bottom w:val="none" w:sz="0" w:space="0" w:color="auto"/>
        <w:right w:val="none" w:sz="0" w:space="0" w:color="auto"/>
      </w:divBdr>
    </w:div>
    <w:div w:id="422068895">
      <w:bodyDiv w:val="1"/>
      <w:marLeft w:val="0"/>
      <w:marRight w:val="0"/>
      <w:marTop w:val="0"/>
      <w:marBottom w:val="0"/>
      <w:divBdr>
        <w:top w:val="none" w:sz="0" w:space="0" w:color="auto"/>
        <w:left w:val="none" w:sz="0" w:space="0" w:color="auto"/>
        <w:bottom w:val="none" w:sz="0" w:space="0" w:color="auto"/>
        <w:right w:val="none" w:sz="0" w:space="0" w:color="auto"/>
      </w:divBdr>
    </w:div>
    <w:div w:id="422730262">
      <w:bodyDiv w:val="1"/>
      <w:marLeft w:val="0"/>
      <w:marRight w:val="0"/>
      <w:marTop w:val="0"/>
      <w:marBottom w:val="0"/>
      <w:divBdr>
        <w:top w:val="none" w:sz="0" w:space="0" w:color="auto"/>
        <w:left w:val="none" w:sz="0" w:space="0" w:color="auto"/>
        <w:bottom w:val="none" w:sz="0" w:space="0" w:color="auto"/>
        <w:right w:val="none" w:sz="0" w:space="0" w:color="auto"/>
      </w:divBdr>
    </w:div>
    <w:div w:id="425930567">
      <w:bodyDiv w:val="1"/>
      <w:marLeft w:val="0"/>
      <w:marRight w:val="0"/>
      <w:marTop w:val="0"/>
      <w:marBottom w:val="0"/>
      <w:divBdr>
        <w:top w:val="none" w:sz="0" w:space="0" w:color="auto"/>
        <w:left w:val="none" w:sz="0" w:space="0" w:color="auto"/>
        <w:bottom w:val="none" w:sz="0" w:space="0" w:color="auto"/>
        <w:right w:val="none" w:sz="0" w:space="0" w:color="auto"/>
      </w:divBdr>
    </w:div>
    <w:div w:id="431586778">
      <w:bodyDiv w:val="1"/>
      <w:marLeft w:val="0"/>
      <w:marRight w:val="0"/>
      <w:marTop w:val="0"/>
      <w:marBottom w:val="0"/>
      <w:divBdr>
        <w:top w:val="none" w:sz="0" w:space="0" w:color="auto"/>
        <w:left w:val="none" w:sz="0" w:space="0" w:color="auto"/>
        <w:bottom w:val="none" w:sz="0" w:space="0" w:color="auto"/>
        <w:right w:val="none" w:sz="0" w:space="0" w:color="auto"/>
      </w:divBdr>
    </w:div>
    <w:div w:id="433669276">
      <w:bodyDiv w:val="1"/>
      <w:marLeft w:val="0"/>
      <w:marRight w:val="0"/>
      <w:marTop w:val="0"/>
      <w:marBottom w:val="0"/>
      <w:divBdr>
        <w:top w:val="none" w:sz="0" w:space="0" w:color="auto"/>
        <w:left w:val="none" w:sz="0" w:space="0" w:color="auto"/>
        <w:bottom w:val="none" w:sz="0" w:space="0" w:color="auto"/>
        <w:right w:val="none" w:sz="0" w:space="0" w:color="auto"/>
      </w:divBdr>
    </w:div>
    <w:div w:id="442456571">
      <w:bodyDiv w:val="1"/>
      <w:marLeft w:val="0"/>
      <w:marRight w:val="0"/>
      <w:marTop w:val="0"/>
      <w:marBottom w:val="0"/>
      <w:divBdr>
        <w:top w:val="none" w:sz="0" w:space="0" w:color="auto"/>
        <w:left w:val="none" w:sz="0" w:space="0" w:color="auto"/>
        <w:bottom w:val="none" w:sz="0" w:space="0" w:color="auto"/>
        <w:right w:val="none" w:sz="0" w:space="0" w:color="auto"/>
      </w:divBdr>
    </w:div>
    <w:div w:id="442848333">
      <w:bodyDiv w:val="1"/>
      <w:marLeft w:val="0"/>
      <w:marRight w:val="0"/>
      <w:marTop w:val="0"/>
      <w:marBottom w:val="0"/>
      <w:divBdr>
        <w:top w:val="none" w:sz="0" w:space="0" w:color="auto"/>
        <w:left w:val="none" w:sz="0" w:space="0" w:color="auto"/>
        <w:bottom w:val="none" w:sz="0" w:space="0" w:color="auto"/>
        <w:right w:val="none" w:sz="0" w:space="0" w:color="auto"/>
      </w:divBdr>
    </w:div>
    <w:div w:id="445586963">
      <w:bodyDiv w:val="1"/>
      <w:marLeft w:val="0"/>
      <w:marRight w:val="0"/>
      <w:marTop w:val="0"/>
      <w:marBottom w:val="0"/>
      <w:divBdr>
        <w:top w:val="none" w:sz="0" w:space="0" w:color="auto"/>
        <w:left w:val="none" w:sz="0" w:space="0" w:color="auto"/>
        <w:bottom w:val="none" w:sz="0" w:space="0" w:color="auto"/>
        <w:right w:val="none" w:sz="0" w:space="0" w:color="auto"/>
      </w:divBdr>
    </w:div>
    <w:div w:id="446631347">
      <w:bodyDiv w:val="1"/>
      <w:marLeft w:val="0"/>
      <w:marRight w:val="0"/>
      <w:marTop w:val="0"/>
      <w:marBottom w:val="0"/>
      <w:divBdr>
        <w:top w:val="none" w:sz="0" w:space="0" w:color="auto"/>
        <w:left w:val="none" w:sz="0" w:space="0" w:color="auto"/>
        <w:bottom w:val="none" w:sz="0" w:space="0" w:color="auto"/>
        <w:right w:val="none" w:sz="0" w:space="0" w:color="auto"/>
      </w:divBdr>
    </w:div>
    <w:div w:id="448086246">
      <w:bodyDiv w:val="1"/>
      <w:marLeft w:val="0"/>
      <w:marRight w:val="0"/>
      <w:marTop w:val="0"/>
      <w:marBottom w:val="0"/>
      <w:divBdr>
        <w:top w:val="none" w:sz="0" w:space="0" w:color="auto"/>
        <w:left w:val="none" w:sz="0" w:space="0" w:color="auto"/>
        <w:bottom w:val="none" w:sz="0" w:space="0" w:color="auto"/>
        <w:right w:val="none" w:sz="0" w:space="0" w:color="auto"/>
      </w:divBdr>
    </w:div>
    <w:div w:id="448160472">
      <w:bodyDiv w:val="1"/>
      <w:marLeft w:val="0"/>
      <w:marRight w:val="0"/>
      <w:marTop w:val="0"/>
      <w:marBottom w:val="0"/>
      <w:divBdr>
        <w:top w:val="none" w:sz="0" w:space="0" w:color="auto"/>
        <w:left w:val="none" w:sz="0" w:space="0" w:color="auto"/>
        <w:bottom w:val="none" w:sz="0" w:space="0" w:color="auto"/>
        <w:right w:val="none" w:sz="0" w:space="0" w:color="auto"/>
      </w:divBdr>
    </w:div>
    <w:div w:id="450823155">
      <w:bodyDiv w:val="1"/>
      <w:marLeft w:val="0"/>
      <w:marRight w:val="0"/>
      <w:marTop w:val="0"/>
      <w:marBottom w:val="0"/>
      <w:divBdr>
        <w:top w:val="none" w:sz="0" w:space="0" w:color="auto"/>
        <w:left w:val="none" w:sz="0" w:space="0" w:color="auto"/>
        <w:bottom w:val="none" w:sz="0" w:space="0" w:color="auto"/>
        <w:right w:val="none" w:sz="0" w:space="0" w:color="auto"/>
      </w:divBdr>
    </w:div>
    <w:div w:id="451095862">
      <w:bodyDiv w:val="1"/>
      <w:marLeft w:val="0"/>
      <w:marRight w:val="0"/>
      <w:marTop w:val="0"/>
      <w:marBottom w:val="0"/>
      <w:divBdr>
        <w:top w:val="none" w:sz="0" w:space="0" w:color="auto"/>
        <w:left w:val="none" w:sz="0" w:space="0" w:color="auto"/>
        <w:bottom w:val="none" w:sz="0" w:space="0" w:color="auto"/>
        <w:right w:val="none" w:sz="0" w:space="0" w:color="auto"/>
      </w:divBdr>
    </w:div>
    <w:div w:id="455024311">
      <w:bodyDiv w:val="1"/>
      <w:marLeft w:val="0"/>
      <w:marRight w:val="0"/>
      <w:marTop w:val="0"/>
      <w:marBottom w:val="0"/>
      <w:divBdr>
        <w:top w:val="none" w:sz="0" w:space="0" w:color="auto"/>
        <w:left w:val="none" w:sz="0" w:space="0" w:color="auto"/>
        <w:bottom w:val="none" w:sz="0" w:space="0" w:color="auto"/>
        <w:right w:val="none" w:sz="0" w:space="0" w:color="auto"/>
      </w:divBdr>
    </w:div>
    <w:div w:id="465702630">
      <w:bodyDiv w:val="1"/>
      <w:marLeft w:val="0"/>
      <w:marRight w:val="0"/>
      <w:marTop w:val="0"/>
      <w:marBottom w:val="0"/>
      <w:divBdr>
        <w:top w:val="none" w:sz="0" w:space="0" w:color="auto"/>
        <w:left w:val="none" w:sz="0" w:space="0" w:color="auto"/>
        <w:bottom w:val="none" w:sz="0" w:space="0" w:color="auto"/>
        <w:right w:val="none" w:sz="0" w:space="0" w:color="auto"/>
      </w:divBdr>
    </w:div>
    <w:div w:id="465859293">
      <w:bodyDiv w:val="1"/>
      <w:marLeft w:val="0"/>
      <w:marRight w:val="0"/>
      <w:marTop w:val="0"/>
      <w:marBottom w:val="0"/>
      <w:divBdr>
        <w:top w:val="none" w:sz="0" w:space="0" w:color="auto"/>
        <w:left w:val="none" w:sz="0" w:space="0" w:color="auto"/>
        <w:bottom w:val="none" w:sz="0" w:space="0" w:color="auto"/>
        <w:right w:val="none" w:sz="0" w:space="0" w:color="auto"/>
      </w:divBdr>
    </w:div>
    <w:div w:id="470170215">
      <w:bodyDiv w:val="1"/>
      <w:marLeft w:val="0"/>
      <w:marRight w:val="0"/>
      <w:marTop w:val="0"/>
      <w:marBottom w:val="0"/>
      <w:divBdr>
        <w:top w:val="none" w:sz="0" w:space="0" w:color="auto"/>
        <w:left w:val="none" w:sz="0" w:space="0" w:color="auto"/>
        <w:bottom w:val="none" w:sz="0" w:space="0" w:color="auto"/>
        <w:right w:val="none" w:sz="0" w:space="0" w:color="auto"/>
      </w:divBdr>
    </w:div>
    <w:div w:id="472257939">
      <w:bodyDiv w:val="1"/>
      <w:marLeft w:val="0"/>
      <w:marRight w:val="0"/>
      <w:marTop w:val="0"/>
      <w:marBottom w:val="0"/>
      <w:divBdr>
        <w:top w:val="none" w:sz="0" w:space="0" w:color="auto"/>
        <w:left w:val="none" w:sz="0" w:space="0" w:color="auto"/>
        <w:bottom w:val="none" w:sz="0" w:space="0" w:color="auto"/>
        <w:right w:val="none" w:sz="0" w:space="0" w:color="auto"/>
      </w:divBdr>
    </w:div>
    <w:div w:id="473528815">
      <w:bodyDiv w:val="1"/>
      <w:marLeft w:val="0"/>
      <w:marRight w:val="0"/>
      <w:marTop w:val="0"/>
      <w:marBottom w:val="0"/>
      <w:divBdr>
        <w:top w:val="none" w:sz="0" w:space="0" w:color="auto"/>
        <w:left w:val="none" w:sz="0" w:space="0" w:color="auto"/>
        <w:bottom w:val="none" w:sz="0" w:space="0" w:color="auto"/>
        <w:right w:val="none" w:sz="0" w:space="0" w:color="auto"/>
      </w:divBdr>
    </w:div>
    <w:div w:id="478881296">
      <w:bodyDiv w:val="1"/>
      <w:marLeft w:val="0"/>
      <w:marRight w:val="0"/>
      <w:marTop w:val="0"/>
      <w:marBottom w:val="0"/>
      <w:divBdr>
        <w:top w:val="none" w:sz="0" w:space="0" w:color="auto"/>
        <w:left w:val="none" w:sz="0" w:space="0" w:color="auto"/>
        <w:bottom w:val="none" w:sz="0" w:space="0" w:color="auto"/>
        <w:right w:val="none" w:sz="0" w:space="0" w:color="auto"/>
      </w:divBdr>
    </w:div>
    <w:div w:id="486095617">
      <w:bodyDiv w:val="1"/>
      <w:marLeft w:val="0"/>
      <w:marRight w:val="0"/>
      <w:marTop w:val="0"/>
      <w:marBottom w:val="0"/>
      <w:divBdr>
        <w:top w:val="none" w:sz="0" w:space="0" w:color="auto"/>
        <w:left w:val="none" w:sz="0" w:space="0" w:color="auto"/>
        <w:bottom w:val="none" w:sz="0" w:space="0" w:color="auto"/>
        <w:right w:val="none" w:sz="0" w:space="0" w:color="auto"/>
      </w:divBdr>
    </w:div>
    <w:div w:id="494495758">
      <w:bodyDiv w:val="1"/>
      <w:marLeft w:val="0"/>
      <w:marRight w:val="0"/>
      <w:marTop w:val="0"/>
      <w:marBottom w:val="0"/>
      <w:divBdr>
        <w:top w:val="none" w:sz="0" w:space="0" w:color="auto"/>
        <w:left w:val="none" w:sz="0" w:space="0" w:color="auto"/>
        <w:bottom w:val="none" w:sz="0" w:space="0" w:color="auto"/>
        <w:right w:val="none" w:sz="0" w:space="0" w:color="auto"/>
      </w:divBdr>
    </w:div>
    <w:div w:id="497228406">
      <w:bodyDiv w:val="1"/>
      <w:marLeft w:val="0"/>
      <w:marRight w:val="0"/>
      <w:marTop w:val="0"/>
      <w:marBottom w:val="0"/>
      <w:divBdr>
        <w:top w:val="none" w:sz="0" w:space="0" w:color="auto"/>
        <w:left w:val="none" w:sz="0" w:space="0" w:color="auto"/>
        <w:bottom w:val="none" w:sz="0" w:space="0" w:color="auto"/>
        <w:right w:val="none" w:sz="0" w:space="0" w:color="auto"/>
      </w:divBdr>
    </w:div>
    <w:div w:id="501051663">
      <w:bodyDiv w:val="1"/>
      <w:marLeft w:val="0"/>
      <w:marRight w:val="0"/>
      <w:marTop w:val="0"/>
      <w:marBottom w:val="0"/>
      <w:divBdr>
        <w:top w:val="none" w:sz="0" w:space="0" w:color="auto"/>
        <w:left w:val="none" w:sz="0" w:space="0" w:color="auto"/>
        <w:bottom w:val="none" w:sz="0" w:space="0" w:color="auto"/>
        <w:right w:val="none" w:sz="0" w:space="0" w:color="auto"/>
      </w:divBdr>
    </w:div>
    <w:div w:id="501169332">
      <w:bodyDiv w:val="1"/>
      <w:marLeft w:val="0"/>
      <w:marRight w:val="0"/>
      <w:marTop w:val="0"/>
      <w:marBottom w:val="0"/>
      <w:divBdr>
        <w:top w:val="none" w:sz="0" w:space="0" w:color="auto"/>
        <w:left w:val="none" w:sz="0" w:space="0" w:color="auto"/>
        <w:bottom w:val="none" w:sz="0" w:space="0" w:color="auto"/>
        <w:right w:val="none" w:sz="0" w:space="0" w:color="auto"/>
      </w:divBdr>
    </w:div>
    <w:div w:id="502209945">
      <w:bodyDiv w:val="1"/>
      <w:marLeft w:val="0"/>
      <w:marRight w:val="0"/>
      <w:marTop w:val="0"/>
      <w:marBottom w:val="0"/>
      <w:divBdr>
        <w:top w:val="none" w:sz="0" w:space="0" w:color="auto"/>
        <w:left w:val="none" w:sz="0" w:space="0" w:color="auto"/>
        <w:bottom w:val="none" w:sz="0" w:space="0" w:color="auto"/>
        <w:right w:val="none" w:sz="0" w:space="0" w:color="auto"/>
      </w:divBdr>
    </w:div>
    <w:div w:id="508833463">
      <w:bodyDiv w:val="1"/>
      <w:marLeft w:val="0"/>
      <w:marRight w:val="0"/>
      <w:marTop w:val="0"/>
      <w:marBottom w:val="0"/>
      <w:divBdr>
        <w:top w:val="none" w:sz="0" w:space="0" w:color="auto"/>
        <w:left w:val="none" w:sz="0" w:space="0" w:color="auto"/>
        <w:bottom w:val="none" w:sz="0" w:space="0" w:color="auto"/>
        <w:right w:val="none" w:sz="0" w:space="0" w:color="auto"/>
      </w:divBdr>
    </w:div>
    <w:div w:id="511258570">
      <w:bodyDiv w:val="1"/>
      <w:marLeft w:val="0"/>
      <w:marRight w:val="0"/>
      <w:marTop w:val="0"/>
      <w:marBottom w:val="0"/>
      <w:divBdr>
        <w:top w:val="none" w:sz="0" w:space="0" w:color="auto"/>
        <w:left w:val="none" w:sz="0" w:space="0" w:color="auto"/>
        <w:bottom w:val="none" w:sz="0" w:space="0" w:color="auto"/>
        <w:right w:val="none" w:sz="0" w:space="0" w:color="auto"/>
      </w:divBdr>
    </w:div>
    <w:div w:id="517352061">
      <w:bodyDiv w:val="1"/>
      <w:marLeft w:val="0"/>
      <w:marRight w:val="0"/>
      <w:marTop w:val="0"/>
      <w:marBottom w:val="0"/>
      <w:divBdr>
        <w:top w:val="none" w:sz="0" w:space="0" w:color="auto"/>
        <w:left w:val="none" w:sz="0" w:space="0" w:color="auto"/>
        <w:bottom w:val="none" w:sz="0" w:space="0" w:color="auto"/>
        <w:right w:val="none" w:sz="0" w:space="0" w:color="auto"/>
      </w:divBdr>
    </w:div>
    <w:div w:id="517504278">
      <w:bodyDiv w:val="1"/>
      <w:marLeft w:val="0"/>
      <w:marRight w:val="0"/>
      <w:marTop w:val="0"/>
      <w:marBottom w:val="0"/>
      <w:divBdr>
        <w:top w:val="none" w:sz="0" w:space="0" w:color="auto"/>
        <w:left w:val="none" w:sz="0" w:space="0" w:color="auto"/>
        <w:bottom w:val="none" w:sz="0" w:space="0" w:color="auto"/>
        <w:right w:val="none" w:sz="0" w:space="0" w:color="auto"/>
      </w:divBdr>
    </w:div>
    <w:div w:id="521672019">
      <w:bodyDiv w:val="1"/>
      <w:marLeft w:val="0"/>
      <w:marRight w:val="0"/>
      <w:marTop w:val="0"/>
      <w:marBottom w:val="0"/>
      <w:divBdr>
        <w:top w:val="none" w:sz="0" w:space="0" w:color="auto"/>
        <w:left w:val="none" w:sz="0" w:space="0" w:color="auto"/>
        <w:bottom w:val="none" w:sz="0" w:space="0" w:color="auto"/>
        <w:right w:val="none" w:sz="0" w:space="0" w:color="auto"/>
      </w:divBdr>
    </w:div>
    <w:div w:id="528686122">
      <w:bodyDiv w:val="1"/>
      <w:marLeft w:val="0"/>
      <w:marRight w:val="0"/>
      <w:marTop w:val="0"/>
      <w:marBottom w:val="0"/>
      <w:divBdr>
        <w:top w:val="none" w:sz="0" w:space="0" w:color="auto"/>
        <w:left w:val="none" w:sz="0" w:space="0" w:color="auto"/>
        <w:bottom w:val="none" w:sz="0" w:space="0" w:color="auto"/>
        <w:right w:val="none" w:sz="0" w:space="0" w:color="auto"/>
      </w:divBdr>
    </w:div>
    <w:div w:id="536433026">
      <w:bodyDiv w:val="1"/>
      <w:marLeft w:val="0"/>
      <w:marRight w:val="0"/>
      <w:marTop w:val="0"/>
      <w:marBottom w:val="0"/>
      <w:divBdr>
        <w:top w:val="none" w:sz="0" w:space="0" w:color="auto"/>
        <w:left w:val="none" w:sz="0" w:space="0" w:color="auto"/>
        <w:bottom w:val="none" w:sz="0" w:space="0" w:color="auto"/>
        <w:right w:val="none" w:sz="0" w:space="0" w:color="auto"/>
      </w:divBdr>
    </w:div>
    <w:div w:id="539512450">
      <w:bodyDiv w:val="1"/>
      <w:marLeft w:val="0"/>
      <w:marRight w:val="0"/>
      <w:marTop w:val="0"/>
      <w:marBottom w:val="0"/>
      <w:divBdr>
        <w:top w:val="none" w:sz="0" w:space="0" w:color="auto"/>
        <w:left w:val="none" w:sz="0" w:space="0" w:color="auto"/>
        <w:bottom w:val="none" w:sz="0" w:space="0" w:color="auto"/>
        <w:right w:val="none" w:sz="0" w:space="0" w:color="auto"/>
      </w:divBdr>
    </w:div>
    <w:div w:id="542406590">
      <w:bodyDiv w:val="1"/>
      <w:marLeft w:val="0"/>
      <w:marRight w:val="0"/>
      <w:marTop w:val="0"/>
      <w:marBottom w:val="0"/>
      <w:divBdr>
        <w:top w:val="none" w:sz="0" w:space="0" w:color="auto"/>
        <w:left w:val="none" w:sz="0" w:space="0" w:color="auto"/>
        <w:bottom w:val="none" w:sz="0" w:space="0" w:color="auto"/>
        <w:right w:val="none" w:sz="0" w:space="0" w:color="auto"/>
      </w:divBdr>
    </w:div>
    <w:div w:id="550967143">
      <w:bodyDiv w:val="1"/>
      <w:marLeft w:val="0"/>
      <w:marRight w:val="0"/>
      <w:marTop w:val="0"/>
      <w:marBottom w:val="0"/>
      <w:divBdr>
        <w:top w:val="none" w:sz="0" w:space="0" w:color="auto"/>
        <w:left w:val="none" w:sz="0" w:space="0" w:color="auto"/>
        <w:bottom w:val="none" w:sz="0" w:space="0" w:color="auto"/>
        <w:right w:val="none" w:sz="0" w:space="0" w:color="auto"/>
      </w:divBdr>
    </w:div>
    <w:div w:id="552738246">
      <w:bodyDiv w:val="1"/>
      <w:marLeft w:val="0"/>
      <w:marRight w:val="0"/>
      <w:marTop w:val="0"/>
      <w:marBottom w:val="0"/>
      <w:divBdr>
        <w:top w:val="none" w:sz="0" w:space="0" w:color="auto"/>
        <w:left w:val="none" w:sz="0" w:space="0" w:color="auto"/>
        <w:bottom w:val="none" w:sz="0" w:space="0" w:color="auto"/>
        <w:right w:val="none" w:sz="0" w:space="0" w:color="auto"/>
      </w:divBdr>
    </w:div>
    <w:div w:id="552741321">
      <w:bodyDiv w:val="1"/>
      <w:marLeft w:val="0"/>
      <w:marRight w:val="0"/>
      <w:marTop w:val="0"/>
      <w:marBottom w:val="0"/>
      <w:divBdr>
        <w:top w:val="none" w:sz="0" w:space="0" w:color="auto"/>
        <w:left w:val="none" w:sz="0" w:space="0" w:color="auto"/>
        <w:bottom w:val="none" w:sz="0" w:space="0" w:color="auto"/>
        <w:right w:val="none" w:sz="0" w:space="0" w:color="auto"/>
      </w:divBdr>
    </w:div>
    <w:div w:id="554396372">
      <w:bodyDiv w:val="1"/>
      <w:marLeft w:val="0"/>
      <w:marRight w:val="0"/>
      <w:marTop w:val="0"/>
      <w:marBottom w:val="0"/>
      <w:divBdr>
        <w:top w:val="none" w:sz="0" w:space="0" w:color="auto"/>
        <w:left w:val="none" w:sz="0" w:space="0" w:color="auto"/>
        <w:bottom w:val="none" w:sz="0" w:space="0" w:color="auto"/>
        <w:right w:val="none" w:sz="0" w:space="0" w:color="auto"/>
      </w:divBdr>
    </w:div>
    <w:div w:id="555120384">
      <w:bodyDiv w:val="1"/>
      <w:marLeft w:val="0"/>
      <w:marRight w:val="0"/>
      <w:marTop w:val="0"/>
      <w:marBottom w:val="0"/>
      <w:divBdr>
        <w:top w:val="none" w:sz="0" w:space="0" w:color="auto"/>
        <w:left w:val="none" w:sz="0" w:space="0" w:color="auto"/>
        <w:bottom w:val="none" w:sz="0" w:space="0" w:color="auto"/>
        <w:right w:val="none" w:sz="0" w:space="0" w:color="auto"/>
      </w:divBdr>
    </w:div>
    <w:div w:id="555431937">
      <w:bodyDiv w:val="1"/>
      <w:marLeft w:val="0"/>
      <w:marRight w:val="0"/>
      <w:marTop w:val="0"/>
      <w:marBottom w:val="0"/>
      <w:divBdr>
        <w:top w:val="none" w:sz="0" w:space="0" w:color="auto"/>
        <w:left w:val="none" w:sz="0" w:space="0" w:color="auto"/>
        <w:bottom w:val="none" w:sz="0" w:space="0" w:color="auto"/>
        <w:right w:val="none" w:sz="0" w:space="0" w:color="auto"/>
      </w:divBdr>
    </w:div>
    <w:div w:id="558517541">
      <w:bodyDiv w:val="1"/>
      <w:marLeft w:val="0"/>
      <w:marRight w:val="0"/>
      <w:marTop w:val="0"/>
      <w:marBottom w:val="0"/>
      <w:divBdr>
        <w:top w:val="none" w:sz="0" w:space="0" w:color="auto"/>
        <w:left w:val="none" w:sz="0" w:space="0" w:color="auto"/>
        <w:bottom w:val="none" w:sz="0" w:space="0" w:color="auto"/>
        <w:right w:val="none" w:sz="0" w:space="0" w:color="auto"/>
      </w:divBdr>
    </w:div>
    <w:div w:id="562257032">
      <w:bodyDiv w:val="1"/>
      <w:marLeft w:val="0"/>
      <w:marRight w:val="0"/>
      <w:marTop w:val="0"/>
      <w:marBottom w:val="0"/>
      <w:divBdr>
        <w:top w:val="none" w:sz="0" w:space="0" w:color="auto"/>
        <w:left w:val="none" w:sz="0" w:space="0" w:color="auto"/>
        <w:bottom w:val="none" w:sz="0" w:space="0" w:color="auto"/>
        <w:right w:val="none" w:sz="0" w:space="0" w:color="auto"/>
      </w:divBdr>
    </w:div>
    <w:div w:id="563100184">
      <w:bodyDiv w:val="1"/>
      <w:marLeft w:val="0"/>
      <w:marRight w:val="0"/>
      <w:marTop w:val="0"/>
      <w:marBottom w:val="0"/>
      <w:divBdr>
        <w:top w:val="none" w:sz="0" w:space="0" w:color="auto"/>
        <w:left w:val="none" w:sz="0" w:space="0" w:color="auto"/>
        <w:bottom w:val="none" w:sz="0" w:space="0" w:color="auto"/>
        <w:right w:val="none" w:sz="0" w:space="0" w:color="auto"/>
      </w:divBdr>
    </w:div>
    <w:div w:id="564216554">
      <w:bodyDiv w:val="1"/>
      <w:marLeft w:val="0"/>
      <w:marRight w:val="0"/>
      <w:marTop w:val="0"/>
      <w:marBottom w:val="0"/>
      <w:divBdr>
        <w:top w:val="none" w:sz="0" w:space="0" w:color="auto"/>
        <w:left w:val="none" w:sz="0" w:space="0" w:color="auto"/>
        <w:bottom w:val="none" w:sz="0" w:space="0" w:color="auto"/>
        <w:right w:val="none" w:sz="0" w:space="0" w:color="auto"/>
      </w:divBdr>
    </w:div>
    <w:div w:id="572350203">
      <w:bodyDiv w:val="1"/>
      <w:marLeft w:val="0"/>
      <w:marRight w:val="0"/>
      <w:marTop w:val="0"/>
      <w:marBottom w:val="0"/>
      <w:divBdr>
        <w:top w:val="none" w:sz="0" w:space="0" w:color="auto"/>
        <w:left w:val="none" w:sz="0" w:space="0" w:color="auto"/>
        <w:bottom w:val="none" w:sz="0" w:space="0" w:color="auto"/>
        <w:right w:val="none" w:sz="0" w:space="0" w:color="auto"/>
      </w:divBdr>
    </w:div>
    <w:div w:id="573315490">
      <w:bodyDiv w:val="1"/>
      <w:marLeft w:val="0"/>
      <w:marRight w:val="0"/>
      <w:marTop w:val="0"/>
      <w:marBottom w:val="0"/>
      <w:divBdr>
        <w:top w:val="none" w:sz="0" w:space="0" w:color="auto"/>
        <w:left w:val="none" w:sz="0" w:space="0" w:color="auto"/>
        <w:bottom w:val="none" w:sz="0" w:space="0" w:color="auto"/>
        <w:right w:val="none" w:sz="0" w:space="0" w:color="auto"/>
      </w:divBdr>
    </w:div>
    <w:div w:id="574708352">
      <w:bodyDiv w:val="1"/>
      <w:marLeft w:val="0"/>
      <w:marRight w:val="0"/>
      <w:marTop w:val="0"/>
      <w:marBottom w:val="0"/>
      <w:divBdr>
        <w:top w:val="none" w:sz="0" w:space="0" w:color="auto"/>
        <w:left w:val="none" w:sz="0" w:space="0" w:color="auto"/>
        <w:bottom w:val="none" w:sz="0" w:space="0" w:color="auto"/>
        <w:right w:val="none" w:sz="0" w:space="0" w:color="auto"/>
      </w:divBdr>
    </w:div>
    <w:div w:id="575629475">
      <w:bodyDiv w:val="1"/>
      <w:marLeft w:val="0"/>
      <w:marRight w:val="0"/>
      <w:marTop w:val="0"/>
      <w:marBottom w:val="0"/>
      <w:divBdr>
        <w:top w:val="none" w:sz="0" w:space="0" w:color="auto"/>
        <w:left w:val="none" w:sz="0" w:space="0" w:color="auto"/>
        <w:bottom w:val="none" w:sz="0" w:space="0" w:color="auto"/>
        <w:right w:val="none" w:sz="0" w:space="0" w:color="auto"/>
      </w:divBdr>
    </w:div>
    <w:div w:id="575669494">
      <w:bodyDiv w:val="1"/>
      <w:marLeft w:val="0"/>
      <w:marRight w:val="0"/>
      <w:marTop w:val="0"/>
      <w:marBottom w:val="0"/>
      <w:divBdr>
        <w:top w:val="none" w:sz="0" w:space="0" w:color="auto"/>
        <w:left w:val="none" w:sz="0" w:space="0" w:color="auto"/>
        <w:bottom w:val="none" w:sz="0" w:space="0" w:color="auto"/>
        <w:right w:val="none" w:sz="0" w:space="0" w:color="auto"/>
      </w:divBdr>
    </w:div>
    <w:div w:id="577373701">
      <w:bodyDiv w:val="1"/>
      <w:marLeft w:val="0"/>
      <w:marRight w:val="0"/>
      <w:marTop w:val="0"/>
      <w:marBottom w:val="0"/>
      <w:divBdr>
        <w:top w:val="none" w:sz="0" w:space="0" w:color="auto"/>
        <w:left w:val="none" w:sz="0" w:space="0" w:color="auto"/>
        <w:bottom w:val="none" w:sz="0" w:space="0" w:color="auto"/>
        <w:right w:val="none" w:sz="0" w:space="0" w:color="auto"/>
      </w:divBdr>
    </w:div>
    <w:div w:id="577518121">
      <w:bodyDiv w:val="1"/>
      <w:marLeft w:val="0"/>
      <w:marRight w:val="0"/>
      <w:marTop w:val="0"/>
      <w:marBottom w:val="0"/>
      <w:divBdr>
        <w:top w:val="none" w:sz="0" w:space="0" w:color="auto"/>
        <w:left w:val="none" w:sz="0" w:space="0" w:color="auto"/>
        <w:bottom w:val="none" w:sz="0" w:space="0" w:color="auto"/>
        <w:right w:val="none" w:sz="0" w:space="0" w:color="auto"/>
      </w:divBdr>
    </w:div>
    <w:div w:id="587884678">
      <w:bodyDiv w:val="1"/>
      <w:marLeft w:val="0"/>
      <w:marRight w:val="0"/>
      <w:marTop w:val="0"/>
      <w:marBottom w:val="0"/>
      <w:divBdr>
        <w:top w:val="none" w:sz="0" w:space="0" w:color="auto"/>
        <w:left w:val="none" w:sz="0" w:space="0" w:color="auto"/>
        <w:bottom w:val="none" w:sz="0" w:space="0" w:color="auto"/>
        <w:right w:val="none" w:sz="0" w:space="0" w:color="auto"/>
      </w:divBdr>
    </w:div>
    <w:div w:id="593829022">
      <w:bodyDiv w:val="1"/>
      <w:marLeft w:val="0"/>
      <w:marRight w:val="0"/>
      <w:marTop w:val="0"/>
      <w:marBottom w:val="0"/>
      <w:divBdr>
        <w:top w:val="none" w:sz="0" w:space="0" w:color="auto"/>
        <w:left w:val="none" w:sz="0" w:space="0" w:color="auto"/>
        <w:bottom w:val="none" w:sz="0" w:space="0" w:color="auto"/>
        <w:right w:val="none" w:sz="0" w:space="0" w:color="auto"/>
      </w:divBdr>
    </w:div>
    <w:div w:id="596716008">
      <w:bodyDiv w:val="1"/>
      <w:marLeft w:val="0"/>
      <w:marRight w:val="0"/>
      <w:marTop w:val="0"/>
      <w:marBottom w:val="0"/>
      <w:divBdr>
        <w:top w:val="none" w:sz="0" w:space="0" w:color="auto"/>
        <w:left w:val="none" w:sz="0" w:space="0" w:color="auto"/>
        <w:bottom w:val="none" w:sz="0" w:space="0" w:color="auto"/>
        <w:right w:val="none" w:sz="0" w:space="0" w:color="auto"/>
      </w:divBdr>
    </w:div>
    <w:div w:id="597979859">
      <w:bodyDiv w:val="1"/>
      <w:marLeft w:val="0"/>
      <w:marRight w:val="0"/>
      <w:marTop w:val="0"/>
      <w:marBottom w:val="0"/>
      <w:divBdr>
        <w:top w:val="none" w:sz="0" w:space="0" w:color="auto"/>
        <w:left w:val="none" w:sz="0" w:space="0" w:color="auto"/>
        <w:bottom w:val="none" w:sz="0" w:space="0" w:color="auto"/>
        <w:right w:val="none" w:sz="0" w:space="0" w:color="auto"/>
      </w:divBdr>
    </w:div>
    <w:div w:id="599027508">
      <w:bodyDiv w:val="1"/>
      <w:marLeft w:val="0"/>
      <w:marRight w:val="0"/>
      <w:marTop w:val="0"/>
      <w:marBottom w:val="0"/>
      <w:divBdr>
        <w:top w:val="none" w:sz="0" w:space="0" w:color="auto"/>
        <w:left w:val="none" w:sz="0" w:space="0" w:color="auto"/>
        <w:bottom w:val="none" w:sz="0" w:space="0" w:color="auto"/>
        <w:right w:val="none" w:sz="0" w:space="0" w:color="auto"/>
      </w:divBdr>
    </w:div>
    <w:div w:id="603269911">
      <w:bodyDiv w:val="1"/>
      <w:marLeft w:val="0"/>
      <w:marRight w:val="0"/>
      <w:marTop w:val="0"/>
      <w:marBottom w:val="0"/>
      <w:divBdr>
        <w:top w:val="none" w:sz="0" w:space="0" w:color="auto"/>
        <w:left w:val="none" w:sz="0" w:space="0" w:color="auto"/>
        <w:bottom w:val="none" w:sz="0" w:space="0" w:color="auto"/>
        <w:right w:val="none" w:sz="0" w:space="0" w:color="auto"/>
      </w:divBdr>
    </w:div>
    <w:div w:id="604657964">
      <w:bodyDiv w:val="1"/>
      <w:marLeft w:val="0"/>
      <w:marRight w:val="0"/>
      <w:marTop w:val="0"/>
      <w:marBottom w:val="0"/>
      <w:divBdr>
        <w:top w:val="none" w:sz="0" w:space="0" w:color="auto"/>
        <w:left w:val="none" w:sz="0" w:space="0" w:color="auto"/>
        <w:bottom w:val="none" w:sz="0" w:space="0" w:color="auto"/>
        <w:right w:val="none" w:sz="0" w:space="0" w:color="auto"/>
      </w:divBdr>
    </w:div>
    <w:div w:id="609817193">
      <w:bodyDiv w:val="1"/>
      <w:marLeft w:val="0"/>
      <w:marRight w:val="0"/>
      <w:marTop w:val="0"/>
      <w:marBottom w:val="0"/>
      <w:divBdr>
        <w:top w:val="none" w:sz="0" w:space="0" w:color="auto"/>
        <w:left w:val="none" w:sz="0" w:space="0" w:color="auto"/>
        <w:bottom w:val="none" w:sz="0" w:space="0" w:color="auto"/>
        <w:right w:val="none" w:sz="0" w:space="0" w:color="auto"/>
      </w:divBdr>
    </w:div>
    <w:div w:id="610472777">
      <w:bodyDiv w:val="1"/>
      <w:marLeft w:val="0"/>
      <w:marRight w:val="0"/>
      <w:marTop w:val="0"/>
      <w:marBottom w:val="0"/>
      <w:divBdr>
        <w:top w:val="none" w:sz="0" w:space="0" w:color="auto"/>
        <w:left w:val="none" w:sz="0" w:space="0" w:color="auto"/>
        <w:bottom w:val="none" w:sz="0" w:space="0" w:color="auto"/>
        <w:right w:val="none" w:sz="0" w:space="0" w:color="auto"/>
      </w:divBdr>
    </w:div>
    <w:div w:id="612127092">
      <w:bodyDiv w:val="1"/>
      <w:marLeft w:val="0"/>
      <w:marRight w:val="0"/>
      <w:marTop w:val="0"/>
      <w:marBottom w:val="0"/>
      <w:divBdr>
        <w:top w:val="none" w:sz="0" w:space="0" w:color="auto"/>
        <w:left w:val="none" w:sz="0" w:space="0" w:color="auto"/>
        <w:bottom w:val="none" w:sz="0" w:space="0" w:color="auto"/>
        <w:right w:val="none" w:sz="0" w:space="0" w:color="auto"/>
      </w:divBdr>
    </w:div>
    <w:div w:id="614679895">
      <w:bodyDiv w:val="1"/>
      <w:marLeft w:val="0"/>
      <w:marRight w:val="0"/>
      <w:marTop w:val="0"/>
      <w:marBottom w:val="0"/>
      <w:divBdr>
        <w:top w:val="none" w:sz="0" w:space="0" w:color="auto"/>
        <w:left w:val="none" w:sz="0" w:space="0" w:color="auto"/>
        <w:bottom w:val="none" w:sz="0" w:space="0" w:color="auto"/>
        <w:right w:val="none" w:sz="0" w:space="0" w:color="auto"/>
      </w:divBdr>
    </w:div>
    <w:div w:id="618685162">
      <w:bodyDiv w:val="1"/>
      <w:marLeft w:val="0"/>
      <w:marRight w:val="0"/>
      <w:marTop w:val="0"/>
      <w:marBottom w:val="0"/>
      <w:divBdr>
        <w:top w:val="none" w:sz="0" w:space="0" w:color="auto"/>
        <w:left w:val="none" w:sz="0" w:space="0" w:color="auto"/>
        <w:bottom w:val="none" w:sz="0" w:space="0" w:color="auto"/>
        <w:right w:val="none" w:sz="0" w:space="0" w:color="auto"/>
      </w:divBdr>
    </w:div>
    <w:div w:id="622076424">
      <w:bodyDiv w:val="1"/>
      <w:marLeft w:val="0"/>
      <w:marRight w:val="0"/>
      <w:marTop w:val="0"/>
      <w:marBottom w:val="0"/>
      <w:divBdr>
        <w:top w:val="none" w:sz="0" w:space="0" w:color="auto"/>
        <w:left w:val="none" w:sz="0" w:space="0" w:color="auto"/>
        <w:bottom w:val="none" w:sz="0" w:space="0" w:color="auto"/>
        <w:right w:val="none" w:sz="0" w:space="0" w:color="auto"/>
      </w:divBdr>
    </w:div>
    <w:div w:id="622926850">
      <w:bodyDiv w:val="1"/>
      <w:marLeft w:val="0"/>
      <w:marRight w:val="0"/>
      <w:marTop w:val="0"/>
      <w:marBottom w:val="0"/>
      <w:divBdr>
        <w:top w:val="none" w:sz="0" w:space="0" w:color="auto"/>
        <w:left w:val="none" w:sz="0" w:space="0" w:color="auto"/>
        <w:bottom w:val="none" w:sz="0" w:space="0" w:color="auto"/>
        <w:right w:val="none" w:sz="0" w:space="0" w:color="auto"/>
      </w:divBdr>
    </w:div>
    <w:div w:id="625547476">
      <w:bodyDiv w:val="1"/>
      <w:marLeft w:val="0"/>
      <w:marRight w:val="0"/>
      <w:marTop w:val="0"/>
      <w:marBottom w:val="0"/>
      <w:divBdr>
        <w:top w:val="none" w:sz="0" w:space="0" w:color="auto"/>
        <w:left w:val="none" w:sz="0" w:space="0" w:color="auto"/>
        <w:bottom w:val="none" w:sz="0" w:space="0" w:color="auto"/>
        <w:right w:val="none" w:sz="0" w:space="0" w:color="auto"/>
      </w:divBdr>
    </w:div>
    <w:div w:id="626395707">
      <w:bodyDiv w:val="1"/>
      <w:marLeft w:val="0"/>
      <w:marRight w:val="0"/>
      <w:marTop w:val="0"/>
      <w:marBottom w:val="0"/>
      <w:divBdr>
        <w:top w:val="none" w:sz="0" w:space="0" w:color="auto"/>
        <w:left w:val="none" w:sz="0" w:space="0" w:color="auto"/>
        <w:bottom w:val="none" w:sz="0" w:space="0" w:color="auto"/>
        <w:right w:val="none" w:sz="0" w:space="0" w:color="auto"/>
      </w:divBdr>
    </w:div>
    <w:div w:id="627005790">
      <w:bodyDiv w:val="1"/>
      <w:marLeft w:val="0"/>
      <w:marRight w:val="0"/>
      <w:marTop w:val="0"/>
      <w:marBottom w:val="0"/>
      <w:divBdr>
        <w:top w:val="none" w:sz="0" w:space="0" w:color="auto"/>
        <w:left w:val="none" w:sz="0" w:space="0" w:color="auto"/>
        <w:bottom w:val="none" w:sz="0" w:space="0" w:color="auto"/>
        <w:right w:val="none" w:sz="0" w:space="0" w:color="auto"/>
      </w:divBdr>
    </w:div>
    <w:div w:id="628588310">
      <w:bodyDiv w:val="1"/>
      <w:marLeft w:val="0"/>
      <w:marRight w:val="0"/>
      <w:marTop w:val="0"/>
      <w:marBottom w:val="0"/>
      <w:divBdr>
        <w:top w:val="none" w:sz="0" w:space="0" w:color="auto"/>
        <w:left w:val="none" w:sz="0" w:space="0" w:color="auto"/>
        <w:bottom w:val="none" w:sz="0" w:space="0" w:color="auto"/>
        <w:right w:val="none" w:sz="0" w:space="0" w:color="auto"/>
      </w:divBdr>
    </w:div>
    <w:div w:id="629361358">
      <w:bodyDiv w:val="1"/>
      <w:marLeft w:val="0"/>
      <w:marRight w:val="0"/>
      <w:marTop w:val="0"/>
      <w:marBottom w:val="0"/>
      <w:divBdr>
        <w:top w:val="none" w:sz="0" w:space="0" w:color="auto"/>
        <w:left w:val="none" w:sz="0" w:space="0" w:color="auto"/>
        <w:bottom w:val="none" w:sz="0" w:space="0" w:color="auto"/>
        <w:right w:val="none" w:sz="0" w:space="0" w:color="auto"/>
      </w:divBdr>
    </w:div>
    <w:div w:id="629556504">
      <w:bodyDiv w:val="1"/>
      <w:marLeft w:val="0"/>
      <w:marRight w:val="0"/>
      <w:marTop w:val="0"/>
      <w:marBottom w:val="0"/>
      <w:divBdr>
        <w:top w:val="none" w:sz="0" w:space="0" w:color="auto"/>
        <w:left w:val="none" w:sz="0" w:space="0" w:color="auto"/>
        <w:bottom w:val="none" w:sz="0" w:space="0" w:color="auto"/>
        <w:right w:val="none" w:sz="0" w:space="0" w:color="auto"/>
      </w:divBdr>
    </w:div>
    <w:div w:id="632708498">
      <w:bodyDiv w:val="1"/>
      <w:marLeft w:val="0"/>
      <w:marRight w:val="0"/>
      <w:marTop w:val="0"/>
      <w:marBottom w:val="0"/>
      <w:divBdr>
        <w:top w:val="none" w:sz="0" w:space="0" w:color="auto"/>
        <w:left w:val="none" w:sz="0" w:space="0" w:color="auto"/>
        <w:bottom w:val="none" w:sz="0" w:space="0" w:color="auto"/>
        <w:right w:val="none" w:sz="0" w:space="0" w:color="auto"/>
      </w:divBdr>
    </w:div>
    <w:div w:id="633945695">
      <w:bodyDiv w:val="1"/>
      <w:marLeft w:val="0"/>
      <w:marRight w:val="0"/>
      <w:marTop w:val="0"/>
      <w:marBottom w:val="0"/>
      <w:divBdr>
        <w:top w:val="none" w:sz="0" w:space="0" w:color="auto"/>
        <w:left w:val="none" w:sz="0" w:space="0" w:color="auto"/>
        <w:bottom w:val="none" w:sz="0" w:space="0" w:color="auto"/>
        <w:right w:val="none" w:sz="0" w:space="0" w:color="auto"/>
      </w:divBdr>
    </w:div>
    <w:div w:id="634218586">
      <w:bodyDiv w:val="1"/>
      <w:marLeft w:val="0"/>
      <w:marRight w:val="0"/>
      <w:marTop w:val="0"/>
      <w:marBottom w:val="0"/>
      <w:divBdr>
        <w:top w:val="none" w:sz="0" w:space="0" w:color="auto"/>
        <w:left w:val="none" w:sz="0" w:space="0" w:color="auto"/>
        <w:bottom w:val="none" w:sz="0" w:space="0" w:color="auto"/>
        <w:right w:val="none" w:sz="0" w:space="0" w:color="auto"/>
      </w:divBdr>
    </w:div>
    <w:div w:id="635985277">
      <w:bodyDiv w:val="1"/>
      <w:marLeft w:val="0"/>
      <w:marRight w:val="0"/>
      <w:marTop w:val="0"/>
      <w:marBottom w:val="0"/>
      <w:divBdr>
        <w:top w:val="none" w:sz="0" w:space="0" w:color="auto"/>
        <w:left w:val="none" w:sz="0" w:space="0" w:color="auto"/>
        <w:bottom w:val="none" w:sz="0" w:space="0" w:color="auto"/>
        <w:right w:val="none" w:sz="0" w:space="0" w:color="auto"/>
      </w:divBdr>
    </w:div>
    <w:div w:id="636763681">
      <w:bodyDiv w:val="1"/>
      <w:marLeft w:val="0"/>
      <w:marRight w:val="0"/>
      <w:marTop w:val="0"/>
      <w:marBottom w:val="0"/>
      <w:divBdr>
        <w:top w:val="none" w:sz="0" w:space="0" w:color="auto"/>
        <w:left w:val="none" w:sz="0" w:space="0" w:color="auto"/>
        <w:bottom w:val="none" w:sz="0" w:space="0" w:color="auto"/>
        <w:right w:val="none" w:sz="0" w:space="0" w:color="auto"/>
      </w:divBdr>
    </w:div>
    <w:div w:id="637804958">
      <w:bodyDiv w:val="1"/>
      <w:marLeft w:val="0"/>
      <w:marRight w:val="0"/>
      <w:marTop w:val="0"/>
      <w:marBottom w:val="0"/>
      <w:divBdr>
        <w:top w:val="none" w:sz="0" w:space="0" w:color="auto"/>
        <w:left w:val="none" w:sz="0" w:space="0" w:color="auto"/>
        <w:bottom w:val="none" w:sz="0" w:space="0" w:color="auto"/>
        <w:right w:val="none" w:sz="0" w:space="0" w:color="auto"/>
      </w:divBdr>
    </w:div>
    <w:div w:id="638456118">
      <w:bodyDiv w:val="1"/>
      <w:marLeft w:val="0"/>
      <w:marRight w:val="0"/>
      <w:marTop w:val="0"/>
      <w:marBottom w:val="0"/>
      <w:divBdr>
        <w:top w:val="none" w:sz="0" w:space="0" w:color="auto"/>
        <w:left w:val="none" w:sz="0" w:space="0" w:color="auto"/>
        <w:bottom w:val="none" w:sz="0" w:space="0" w:color="auto"/>
        <w:right w:val="none" w:sz="0" w:space="0" w:color="auto"/>
      </w:divBdr>
    </w:div>
    <w:div w:id="642582479">
      <w:bodyDiv w:val="1"/>
      <w:marLeft w:val="0"/>
      <w:marRight w:val="0"/>
      <w:marTop w:val="0"/>
      <w:marBottom w:val="0"/>
      <w:divBdr>
        <w:top w:val="none" w:sz="0" w:space="0" w:color="auto"/>
        <w:left w:val="none" w:sz="0" w:space="0" w:color="auto"/>
        <w:bottom w:val="none" w:sz="0" w:space="0" w:color="auto"/>
        <w:right w:val="none" w:sz="0" w:space="0" w:color="auto"/>
      </w:divBdr>
    </w:div>
    <w:div w:id="645862804">
      <w:bodyDiv w:val="1"/>
      <w:marLeft w:val="0"/>
      <w:marRight w:val="0"/>
      <w:marTop w:val="0"/>
      <w:marBottom w:val="0"/>
      <w:divBdr>
        <w:top w:val="none" w:sz="0" w:space="0" w:color="auto"/>
        <w:left w:val="none" w:sz="0" w:space="0" w:color="auto"/>
        <w:bottom w:val="none" w:sz="0" w:space="0" w:color="auto"/>
        <w:right w:val="none" w:sz="0" w:space="0" w:color="auto"/>
      </w:divBdr>
    </w:div>
    <w:div w:id="654843520">
      <w:bodyDiv w:val="1"/>
      <w:marLeft w:val="0"/>
      <w:marRight w:val="0"/>
      <w:marTop w:val="0"/>
      <w:marBottom w:val="0"/>
      <w:divBdr>
        <w:top w:val="none" w:sz="0" w:space="0" w:color="auto"/>
        <w:left w:val="none" w:sz="0" w:space="0" w:color="auto"/>
        <w:bottom w:val="none" w:sz="0" w:space="0" w:color="auto"/>
        <w:right w:val="none" w:sz="0" w:space="0" w:color="auto"/>
      </w:divBdr>
    </w:div>
    <w:div w:id="654846042">
      <w:bodyDiv w:val="1"/>
      <w:marLeft w:val="0"/>
      <w:marRight w:val="0"/>
      <w:marTop w:val="0"/>
      <w:marBottom w:val="0"/>
      <w:divBdr>
        <w:top w:val="none" w:sz="0" w:space="0" w:color="auto"/>
        <w:left w:val="none" w:sz="0" w:space="0" w:color="auto"/>
        <w:bottom w:val="none" w:sz="0" w:space="0" w:color="auto"/>
        <w:right w:val="none" w:sz="0" w:space="0" w:color="auto"/>
      </w:divBdr>
    </w:div>
    <w:div w:id="656419918">
      <w:bodyDiv w:val="1"/>
      <w:marLeft w:val="0"/>
      <w:marRight w:val="0"/>
      <w:marTop w:val="0"/>
      <w:marBottom w:val="0"/>
      <w:divBdr>
        <w:top w:val="none" w:sz="0" w:space="0" w:color="auto"/>
        <w:left w:val="none" w:sz="0" w:space="0" w:color="auto"/>
        <w:bottom w:val="none" w:sz="0" w:space="0" w:color="auto"/>
        <w:right w:val="none" w:sz="0" w:space="0" w:color="auto"/>
      </w:divBdr>
    </w:div>
    <w:div w:id="660499585">
      <w:bodyDiv w:val="1"/>
      <w:marLeft w:val="0"/>
      <w:marRight w:val="0"/>
      <w:marTop w:val="0"/>
      <w:marBottom w:val="0"/>
      <w:divBdr>
        <w:top w:val="none" w:sz="0" w:space="0" w:color="auto"/>
        <w:left w:val="none" w:sz="0" w:space="0" w:color="auto"/>
        <w:bottom w:val="none" w:sz="0" w:space="0" w:color="auto"/>
        <w:right w:val="none" w:sz="0" w:space="0" w:color="auto"/>
      </w:divBdr>
    </w:div>
    <w:div w:id="662318831">
      <w:bodyDiv w:val="1"/>
      <w:marLeft w:val="0"/>
      <w:marRight w:val="0"/>
      <w:marTop w:val="0"/>
      <w:marBottom w:val="0"/>
      <w:divBdr>
        <w:top w:val="none" w:sz="0" w:space="0" w:color="auto"/>
        <w:left w:val="none" w:sz="0" w:space="0" w:color="auto"/>
        <w:bottom w:val="none" w:sz="0" w:space="0" w:color="auto"/>
        <w:right w:val="none" w:sz="0" w:space="0" w:color="auto"/>
      </w:divBdr>
    </w:div>
    <w:div w:id="673535450">
      <w:bodyDiv w:val="1"/>
      <w:marLeft w:val="0"/>
      <w:marRight w:val="0"/>
      <w:marTop w:val="0"/>
      <w:marBottom w:val="0"/>
      <w:divBdr>
        <w:top w:val="none" w:sz="0" w:space="0" w:color="auto"/>
        <w:left w:val="none" w:sz="0" w:space="0" w:color="auto"/>
        <w:bottom w:val="none" w:sz="0" w:space="0" w:color="auto"/>
        <w:right w:val="none" w:sz="0" w:space="0" w:color="auto"/>
      </w:divBdr>
    </w:div>
    <w:div w:id="678848997">
      <w:bodyDiv w:val="1"/>
      <w:marLeft w:val="0"/>
      <w:marRight w:val="0"/>
      <w:marTop w:val="0"/>
      <w:marBottom w:val="0"/>
      <w:divBdr>
        <w:top w:val="none" w:sz="0" w:space="0" w:color="auto"/>
        <w:left w:val="none" w:sz="0" w:space="0" w:color="auto"/>
        <w:bottom w:val="none" w:sz="0" w:space="0" w:color="auto"/>
        <w:right w:val="none" w:sz="0" w:space="0" w:color="auto"/>
      </w:divBdr>
    </w:div>
    <w:div w:id="679162081">
      <w:bodyDiv w:val="1"/>
      <w:marLeft w:val="0"/>
      <w:marRight w:val="0"/>
      <w:marTop w:val="0"/>
      <w:marBottom w:val="0"/>
      <w:divBdr>
        <w:top w:val="none" w:sz="0" w:space="0" w:color="auto"/>
        <w:left w:val="none" w:sz="0" w:space="0" w:color="auto"/>
        <w:bottom w:val="none" w:sz="0" w:space="0" w:color="auto"/>
        <w:right w:val="none" w:sz="0" w:space="0" w:color="auto"/>
      </w:divBdr>
    </w:div>
    <w:div w:id="683630036">
      <w:bodyDiv w:val="1"/>
      <w:marLeft w:val="0"/>
      <w:marRight w:val="0"/>
      <w:marTop w:val="0"/>
      <w:marBottom w:val="0"/>
      <w:divBdr>
        <w:top w:val="none" w:sz="0" w:space="0" w:color="auto"/>
        <w:left w:val="none" w:sz="0" w:space="0" w:color="auto"/>
        <w:bottom w:val="none" w:sz="0" w:space="0" w:color="auto"/>
        <w:right w:val="none" w:sz="0" w:space="0" w:color="auto"/>
      </w:divBdr>
    </w:div>
    <w:div w:id="683635057">
      <w:bodyDiv w:val="1"/>
      <w:marLeft w:val="0"/>
      <w:marRight w:val="0"/>
      <w:marTop w:val="0"/>
      <w:marBottom w:val="0"/>
      <w:divBdr>
        <w:top w:val="none" w:sz="0" w:space="0" w:color="auto"/>
        <w:left w:val="none" w:sz="0" w:space="0" w:color="auto"/>
        <w:bottom w:val="none" w:sz="0" w:space="0" w:color="auto"/>
        <w:right w:val="none" w:sz="0" w:space="0" w:color="auto"/>
      </w:divBdr>
    </w:div>
    <w:div w:id="686057381">
      <w:bodyDiv w:val="1"/>
      <w:marLeft w:val="0"/>
      <w:marRight w:val="0"/>
      <w:marTop w:val="0"/>
      <w:marBottom w:val="0"/>
      <w:divBdr>
        <w:top w:val="none" w:sz="0" w:space="0" w:color="auto"/>
        <w:left w:val="none" w:sz="0" w:space="0" w:color="auto"/>
        <w:bottom w:val="none" w:sz="0" w:space="0" w:color="auto"/>
        <w:right w:val="none" w:sz="0" w:space="0" w:color="auto"/>
      </w:divBdr>
    </w:div>
    <w:div w:id="687095975">
      <w:bodyDiv w:val="1"/>
      <w:marLeft w:val="0"/>
      <w:marRight w:val="0"/>
      <w:marTop w:val="0"/>
      <w:marBottom w:val="0"/>
      <w:divBdr>
        <w:top w:val="none" w:sz="0" w:space="0" w:color="auto"/>
        <w:left w:val="none" w:sz="0" w:space="0" w:color="auto"/>
        <w:bottom w:val="none" w:sz="0" w:space="0" w:color="auto"/>
        <w:right w:val="none" w:sz="0" w:space="0" w:color="auto"/>
      </w:divBdr>
    </w:div>
    <w:div w:id="691105703">
      <w:bodyDiv w:val="1"/>
      <w:marLeft w:val="0"/>
      <w:marRight w:val="0"/>
      <w:marTop w:val="0"/>
      <w:marBottom w:val="0"/>
      <w:divBdr>
        <w:top w:val="none" w:sz="0" w:space="0" w:color="auto"/>
        <w:left w:val="none" w:sz="0" w:space="0" w:color="auto"/>
        <w:bottom w:val="none" w:sz="0" w:space="0" w:color="auto"/>
        <w:right w:val="none" w:sz="0" w:space="0" w:color="auto"/>
      </w:divBdr>
    </w:div>
    <w:div w:id="692734066">
      <w:bodyDiv w:val="1"/>
      <w:marLeft w:val="0"/>
      <w:marRight w:val="0"/>
      <w:marTop w:val="0"/>
      <w:marBottom w:val="0"/>
      <w:divBdr>
        <w:top w:val="none" w:sz="0" w:space="0" w:color="auto"/>
        <w:left w:val="none" w:sz="0" w:space="0" w:color="auto"/>
        <w:bottom w:val="none" w:sz="0" w:space="0" w:color="auto"/>
        <w:right w:val="none" w:sz="0" w:space="0" w:color="auto"/>
      </w:divBdr>
    </w:div>
    <w:div w:id="694160793">
      <w:bodyDiv w:val="1"/>
      <w:marLeft w:val="0"/>
      <w:marRight w:val="0"/>
      <w:marTop w:val="0"/>
      <w:marBottom w:val="0"/>
      <w:divBdr>
        <w:top w:val="none" w:sz="0" w:space="0" w:color="auto"/>
        <w:left w:val="none" w:sz="0" w:space="0" w:color="auto"/>
        <w:bottom w:val="none" w:sz="0" w:space="0" w:color="auto"/>
        <w:right w:val="none" w:sz="0" w:space="0" w:color="auto"/>
      </w:divBdr>
    </w:div>
    <w:div w:id="694237913">
      <w:bodyDiv w:val="1"/>
      <w:marLeft w:val="0"/>
      <w:marRight w:val="0"/>
      <w:marTop w:val="0"/>
      <w:marBottom w:val="0"/>
      <w:divBdr>
        <w:top w:val="none" w:sz="0" w:space="0" w:color="auto"/>
        <w:left w:val="none" w:sz="0" w:space="0" w:color="auto"/>
        <w:bottom w:val="none" w:sz="0" w:space="0" w:color="auto"/>
        <w:right w:val="none" w:sz="0" w:space="0" w:color="auto"/>
      </w:divBdr>
    </w:div>
    <w:div w:id="696856906">
      <w:bodyDiv w:val="1"/>
      <w:marLeft w:val="0"/>
      <w:marRight w:val="0"/>
      <w:marTop w:val="0"/>
      <w:marBottom w:val="0"/>
      <w:divBdr>
        <w:top w:val="none" w:sz="0" w:space="0" w:color="auto"/>
        <w:left w:val="none" w:sz="0" w:space="0" w:color="auto"/>
        <w:bottom w:val="none" w:sz="0" w:space="0" w:color="auto"/>
        <w:right w:val="none" w:sz="0" w:space="0" w:color="auto"/>
      </w:divBdr>
    </w:div>
    <w:div w:id="699817417">
      <w:bodyDiv w:val="1"/>
      <w:marLeft w:val="0"/>
      <w:marRight w:val="0"/>
      <w:marTop w:val="0"/>
      <w:marBottom w:val="0"/>
      <w:divBdr>
        <w:top w:val="none" w:sz="0" w:space="0" w:color="auto"/>
        <w:left w:val="none" w:sz="0" w:space="0" w:color="auto"/>
        <w:bottom w:val="none" w:sz="0" w:space="0" w:color="auto"/>
        <w:right w:val="none" w:sz="0" w:space="0" w:color="auto"/>
      </w:divBdr>
    </w:div>
    <w:div w:id="700788415">
      <w:bodyDiv w:val="1"/>
      <w:marLeft w:val="0"/>
      <w:marRight w:val="0"/>
      <w:marTop w:val="0"/>
      <w:marBottom w:val="0"/>
      <w:divBdr>
        <w:top w:val="none" w:sz="0" w:space="0" w:color="auto"/>
        <w:left w:val="none" w:sz="0" w:space="0" w:color="auto"/>
        <w:bottom w:val="none" w:sz="0" w:space="0" w:color="auto"/>
        <w:right w:val="none" w:sz="0" w:space="0" w:color="auto"/>
      </w:divBdr>
    </w:div>
    <w:div w:id="703334687">
      <w:bodyDiv w:val="1"/>
      <w:marLeft w:val="0"/>
      <w:marRight w:val="0"/>
      <w:marTop w:val="0"/>
      <w:marBottom w:val="0"/>
      <w:divBdr>
        <w:top w:val="none" w:sz="0" w:space="0" w:color="auto"/>
        <w:left w:val="none" w:sz="0" w:space="0" w:color="auto"/>
        <w:bottom w:val="none" w:sz="0" w:space="0" w:color="auto"/>
        <w:right w:val="none" w:sz="0" w:space="0" w:color="auto"/>
      </w:divBdr>
    </w:div>
    <w:div w:id="707491919">
      <w:bodyDiv w:val="1"/>
      <w:marLeft w:val="0"/>
      <w:marRight w:val="0"/>
      <w:marTop w:val="0"/>
      <w:marBottom w:val="0"/>
      <w:divBdr>
        <w:top w:val="none" w:sz="0" w:space="0" w:color="auto"/>
        <w:left w:val="none" w:sz="0" w:space="0" w:color="auto"/>
        <w:bottom w:val="none" w:sz="0" w:space="0" w:color="auto"/>
        <w:right w:val="none" w:sz="0" w:space="0" w:color="auto"/>
      </w:divBdr>
    </w:div>
    <w:div w:id="709107044">
      <w:bodyDiv w:val="1"/>
      <w:marLeft w:val="0"/>
      <w:marRight w:val="0"/>
      <w:marTop w:val="0"/>
      <w:marBottom w:val="0"/>
      <w:divBdr>
        <w:top w:val="none" w:sz="0" w:space="0" w:color="auto"/>
        <w:left w:val="none" w:sz="0" w:space="0" w:color="auto"/>
        <w:bottom w:val="none" w:sz="0" w:space="0" w:color="auto"/>
        <w:right w:val="none" w:sz="0" w:space="0" w:color="auto"/>
      </w:divBdr>
    </w:div>
    <w:div w:id="712460715">
      <w:bodyDiv w:val="1"/>
      <w:marLeft w:val="0"/>
      <w:marRight w:val="0"/>
      <w:marTop w:val="0"/>
      <w:marBottom w:val="0"/>
      <w:divBdr>
        <w:top w:val="none" w:sz="0" w:space="0" w:color="auto"/>
        <w:left w:val="none" w:sz="0" w:space="0" w:color="auto"/>
        <w:bottom w:val="none" w:sz="0" w:space="0" w:color="auto"/>
        <w:right w:val="none" w:sz="0" w:space="0" w:color="auto"/>
      </w:divBdr>
    </w:div>
    <w:div w:id="713194033">
      <w:bodyDiv w:val="1"/>
      <w:marLeft w:val="0"/>
      <w:marRight w:val="0"/>
      <w:marTop w:val="0"/>
      <w:marBottom w:val="0"/>
      <w:divBdr>
        <w:top w:val="none" w:sz="0" w:space="0" w:color="auto"/>
        <w:left w:val="none" w:sz="0" w:space="0" w:color="auto"/>
        <w:bottom w:val="none" w:sz="0" w:space="0" w:color="auto"/>
        <w:right w:val="none" w:sz="0" w:space="0" w:color="auto"/>
      </w:divBdr>
    </w:div>
    <w:div w:id="716317220">
      <w:bodyDiv w:val="1"/>
      <w:marLeft w:val="0"/>
      <w:marRight w:val="0"/>
      <w:marTop w:val="0"/>
      <w:marBottom w:val="0"/>
      <w:divBdr>
        <w:top w:val="none" w:sz="0" w:space="0" w:color="auto"/>
        <w:left w:val="none" w:sz="0" w:space="0" w:color="auto"/>
        <w:bottom w:val="none" w:sz="0" w:space="0" w:color="auto"/>
        <w:right w:val="none" w:sz="0" w:space="0" w:color="auto"/>
      </w:divBdr>
    </w:div>
    <w:div w:id="716854142">
      <w:bodyDiv w:val="1"/>
      <w:marLeft w:val="0"/>
      <w:marRight w:val="0"/>
      <w:marTop w:val="0"/>
      <w:marBottom w:val="0"/>
      <w:divBdr>
        <w:top w:val="none" w:sz="0" w:space="0" w:color="auto"/>
        <w:left w:val="none" w:sz="0" w:space="0" w:color="auto"/>
        <w:bottom w:val="none" w:sz="0" w:space="0" w:color="auto"/>
        <w:right w:val="none" w:sz="0" w:space="0" w:color="auto"/>
      </w:divBdr>
    </w:div>
    <w:div w:id="717976458">
      <w:bodyDiv w:val="1"/>
      <w:marLeft w:val="0"/>
      <w:marRight w:val="0"/>
      <w:marTop w:val="0"/>
      <w:marBottom w:val="0"/>
      <w:divBdr>
        <w:top w:val="none" w:sz="0" w:space="0" w:color="auto"/>
        <w:left w:val="none" w:sz="0" w:space="0" w:color="auto"/>
        <w:bottom w:val="none" w:sz="0" w:space="0" w:color="auto"/>
        <w:right w:val="none" w:sz="0" w:space="0" w:color="auto"/>
      </w:divBdr>
    </w:div>
    <w:div w:id="719549009">
      <w:bodyDiv w:val="1"/>
      <w:marLeft w:val="0"/>
      <w:marRight w:val="0"/>
      <w:marTop w:val="0"/>
      <w:marBottom w:val="0"/>
      <w:divBdr>
        <w:top w:val="none" w:sz="0" w:space="0" w:color="auto"/>
        <w:left w:val="none" w:sz="0" w:space="0" w:color="auto"/>
        <w:bottom w:val="none" w:sz="0" w:space="0" w:color="auto"/>
        <w:right w:val="none" w:sz="0" w:space="0" w:color="auto"/>
      </w:divBdr>
    </w:div>
    <w:div w:id="724988124">
      <w:bodyDiv w:val="1"/>
      <w:marLeft w:val="0"/>
      <w:marRight w:val="0"/>
      <w:marTop w:val="0"/>
      <w:marBottom w:val="0"/>
      <w:divBdr>
        <w:top w:val="none" w:sz="0" w:space="0" w:color="auto"/>
        <w:left w:val="none" w:sz="0" w:space="0" w:color="auto"/>
        <w:bottom w:val="none" w:sz="0" w:space="0" w:color="auto"/>
        <w:right w:val="none" w:sz="0" w:space="0" w:color="auto"/>
      </w:divBdr>
    </w:div>
    <w:div w:id="733240530">
      <w:bodyDiv w:val="1"/>
      <w:marLeft w:val="0"/>
      <w:marRight w:val="0"/>
      <w:marTop w:val="0"/>
      <w:marBottom w:val="0"/>
      <w:divBdr>
        <w:top w:val="none" w:sz="0" w:space="0" w:color="auto"/>
        <w:left w:val="none" w:sz="0" w:space="0" w:color="auto"/>
        <w:bottom w:val="none" w:sz="0" w:space="0" w:color="auto"/>
        <w:right w:val="none" w:sz="0" w:space="0" w:color="auto"/>
      </w:divBdr>
    </w:div>
    <w:div w:id="733773298">
      <w:bodyDiv w:val="1"/>
      <w:marLeft w:val="0"/>
      <w:marRight w:val="0"/>
      <w:marTop w:val="0"/>
      <w:marBottom w:val="0"/>
      <w:divBdr>
        <w:top w:val="none" w:sz="0" w:space="0" w:color="auto"/>
        <w:left w:val="none" w:sz="0" w:space="0" w:color="auto"/>
        <w:bottom w:val="none" w:sz="0" w:space="0" w:color="auto"/>
        <w:right w:val="none" w:sz="0" w:space="0" w:color="auto"/>
      </w:divBdr>
    </w:div>
    <w:div w:id="735586311">
      <w:bodyDiv w:val="1"/>
      <w:marLeft w:val="0"/>
      <w:marRight w:val="0"/>
      <w:marTop w:val="0"/>
      <w:marBottom w:val="0"/>
      <w:divBdr>
        <w:top w:val="none" w:sz="0" w:space="0" w:color="auto"/>
        <w:left w:val="none" w:sz="0" w:space="0" w:color="auto"/>
        <w:bottom w:val="none" w:sz="0" w:space="0" w:color="auto"/>
        <w:right w:val="none" w:sz="0" w:space="0" w:color="auto"/>
      </w:divBdr>
    </w:div>
    <w:div w:id="738819986">
      <w:bodyDiv w:val="1"/>
      <w:marLeft w:val="0"/>
      <w:marRight w:val="0"/>
      <w:marTop w:val="0"/>
      <w:marBottom w:val="0"/>
      <w:divBdr>
        <w:top w:val="none" w:sz="0" w:space="0" w:color="auto"/>
        <w:left w:val="none" w:sz="0" w:space="0" w:color="auto"/>
        <w:bottom w:val="none" w:sz="0" w:space="0" w:color="auto"/>
        <w:right w:val="none" w:sz="0" w:space="0" w:color="auto"/>
      </w:divBdr>
    </w:div>
    <w:div w:id="746029019">
      <w:bodyDiv w:val="1"/>
      <w:marLeft w:val="0"/>
      <w:marRight w:val="0"/>
      <w:marTop w:val="0"/>
      <w:marBottom w:val="0"/>
      <w:divBdr>
        <w:top w:val="none" w:sz="0" w:space="0" w:color="auto"/>
        <w:left w:val="none" w:sz="0" w:space="0" w:color="auto"/>
        <w:bottom w:val="none" w:sz="0" w:space="0" w:color="auto"/>
        <w:right w:val="none" w:sz="0" w:space="0" w:color="auto"/>
      </w:divBdr>
    </w:div>
    <w:div w:id="746848378">
      <w:bodyDiv w:val="1"/>
      <w:marLeft w:val="0"/>
      <w:marRight w:val="0"/>
      <w:marTop w:val="0"/>
      <w:marBottom w:val="0"/>
      <w:divBdr>
        <w:top w:val="none" w:sz="0" w:space="0" w:color="auto"/>
        <w:left w:val="none" w:sz="0" w:space="0" w:color="auto"/>
        <w:bottom w:val="none" w:sz="0" w:space="0" w:color="auto"/>
        <w:right w:val="none" w:sz="0" w:space="0" w:color="auto"/>
      </w:divBdr>
    </w:div>
    <w:div w:id="747390314">
      <w:bodyDiv w:val="1"/>
      <w:marLeft w:val="0"/>
      <w:marRight w:val="0"/>
      <w:marTop w:val="0"/>
      <w:marBottom w:val="0"/>
      <w:divBdr>
        <w:top w:val="none" w:sz="0" w:space="0" w:color="auto"/>
        <w:left w:val="none" w:sz="0" w:space="0" w:color="auto"/>
        <w:bottom w:val="none" w:sz="0" w:space="0" w:color="auto"/>
        <w:right w:val="none" w:sz="0" w:space="0" w:color="auto"/>
      </w:divBdr>
    </w:div>
    <w:div w:id="750783125">
      <w:bodyDiv w:val="1"/>
      <w:marLeft w:val="0"/>
      <w:marRight w:val="0"/>
      <w:marTop w:val="0"/>
      <w:marBottom w:val="0"/>
      <w:divBdr>
        <w:top w:val="none" w:sz="0" w:space="0" w:color="auto"/>
        <w:left w:val="none" w:sz="0" w:space="0" w:color="auto"/>
        <w:bottom w:val="none" w:sz="0" w:space="0" w:color="auto"/>
        <w:right w:val="none" w:sz="0" w:space="0" w:color="auto"/>
      </w:divBdr>
    </w:div>
    <w:div w:id="751389844">
      <w:bodyDiv w:val="1"/>
      <w:marLeft w:val="0"/>
      <w:marRight w:val="0"/>
      <w:marTop w:val="0"/>
      <w:marBottom w:val="0"/>
      <w:divBdr>
        <w:top w:val="none" w:sz="0" w:space="0" w:color="auto"/>
        <w:left w:val="none" w:sz="0" w:space="0" w:color="auto"/>
        <w:bottom w:val="none" w:sz="0" w:space="0" w:color="auto"/>
        <w:right w:val="none" w:sz="0" w:space="0" w:color="auto"/>
      </w:divBdr>
    </w:div>
    <w:div w:id="753939636">
      <w:bodyDiv w:val="1"/>
      <w:marLeft w:val="0"/>
      <w:marRight w:val="0"/>
      <w:marTop w:val="0"/>
      <w:marBottom w:val="0"/>
      <w:divBdr>
        <w:top w:val="none" w:sz="0" w:space="0" w:color="auto"/>
        <w:left w:val="none" w:sz="0" w:space="0" w:color="auto"/>
        <w:bottom w:val="none" w:sz="0" w:space="0" w:color="auto"/>
        <w:right w:val="none" w:sz="0" w:space="0" w:color="auto"/>
      </w:divBdr>
    </w:div>
    <w:div w:id="754741602">
      <w:bodyDiv w:val="1"/>
      <w:marLeft w:val="0"/>
      <w:marRight w:val="0"/>
      <w:marTop w:val="0"/>
      <w:marBottom w:val="0"/>
      <w:divBdr>
        <w:top w:val="none" w:sz="0" w:space="0" w:color="auto"/>
        <w:left w:val="none" w:sz="0" w:space="0" w:color="auto"/>
        <w:bottom w:val="none" w:sz="0" w:space="0" w:color="auto"/>
        <w:right w:val="none" w:sz="0" w:space="0" w:color="auto"/>
      </w:divBdr>
    </w:div>
    <w:div w:id="764498276">
      <w:bodyDiv w:val="1"/>
      <w:marLeft w:val="0"/>
      <w:marRight w:val="0"/>
      <w:marTop w:val="0"/>
      <w:marBottom w:val="0"/>
      <w:divBdr>
        <w:top w:val="none" w:sz="0" w:space="0" w:color="auto"/>
        <w:left w:val="none" w:sz="0" w:space="0" w:color="auto"/>
        <w:bottom w:val="none" w:sz="0" w:space="0" w:color="auto"/>
        <w:right w:val="none" w:sz="0" w:space="0" w:color="auto"/>
      </w:divBdr>
    </w:div>
    <w:div w:id="771166509">
      <w:bodyDiv w:val="1"/>
      <w:marLeft w:val="0"/>
      <w:marRight w:val="0"/>
      <w:marTop w:val="0"/>
      <w:marBottom w:val="0"/>
      <w:divBdr>
        <w:top w:val="none" w:sz="0" w:space="0" w:color="auto"/>
        <w:left w:val="none" w:sz="0" w:space="0" w:color="auto"/>
        <w:bottom w:val="none" w:sz="0" w:space="0" w:color="auto"/>
        <w:right w:val="none" w:sz="0" w:space="0" w:color="auto"/>
      </w:divBdr>
    </w:div>
    <w:div w:id="779763083">
      <w:bodyDiv w:val="1"/>
      <w:marLeft w:val="0"/>
      <w:marRight w:val="0"/>
      <w:marTop w:val="0"/>
      <w:marBottom w:val="0"/>
      <w:divBdr>
        <w:top w:val="none" w:sz="0" w:space="0" w:color="auto"/>
        <w:left w:val="none" w:sz="0" w:space="0" w:color="auto"/>
        <w:bottom w:val="none" w:sz="0" w:space="0" w:color="auto"/>
        <w:right w:val="none" w:sz="0" w:space="0" w:color="auto"/>
      </w:divBdr>
    </w:div>
    <w:div w:id="787891478">
      <w:bodyDiv w:val="1"/>
      <w:marLeft w:val="0"/>
      <w:marRight w:val="0"/>
      <w:marTop w:val="0"/>
      <w:marBottom w:val="0"/>
      <w:divBdr>
        <w:top w:val="none" w:sz="0" w:space="0" w:color="auto"/>
        <w:left w:val="none" w:sz="0" w:space="0" w:color="auto"/>
        <w:bottom w:val="none" w:sz="0" w:space="0" w:color="auto"/>
        <w:right w:val="none" w:sz="0" w:space="0" w:color="auto"/>
      </w:divBdr>
    </w:div>
    <w:div w:id="792021129">
      <w:bodyDiv w:val="1"/>
      <w:marLeft w:val="0"/>
      <w:marRight w:val="0"/>
      <w:marTop w:val="0"/>
      <w:marBottom w:val="0"/>
      <w:divBdr>
        <w:top w:val="none" w:sz="0" w:space="0" w:color="auto"/>
        <w:left w:val="none" w:sz="0" w:space="0" w:color="auto"/>
        <w:bottom w:val="none" w:sz="0" w:space="0" w:color="auto"/>
        <w:right w:val="none" w:sz="0" w:space="0" w:color="auto"/>
      </w:divBdr>
    </w:div>
    <w:div w:id="793064715">
      <w:bodyDiv w:val="1"/>
      <w:marLeft w:val="0"/>
      <w:marRight w:val="0"/>
      <w:marTop w:val="0"/>
      <w:marBottom w:val="0"/>
      <w:divBdr>
        <w:top w:val="none" w:sz="0" w:space="0" w:color="auto"/>
        <w:left w:val="none" w:sz="0" w:space="0" w:color="auto"/>
        <w:bottom w:val="none" w:sz="0" w:space="0" w:color="auto"/>
        <w:right w:val="none" w:sz="0" w:space="0" w:color="auto"/>
      </w:divBdr>
    </w:div>
    <w:div w:id="795442956">
      <w:bodyDiv w:val="1"/>
      <w:marLeft w:val="0"/>
      <w:marRight w:val="0"/>
      <w:marTop w:val="0"/>
      <w:marBottom w:val="0"/>
      <w:divBdr>
        <w:top w:val="none" w:sz="0" w:space="0" w:color="auto"/>
        <w:left w:val="none" w:sz="0" w:space="0" w:color="auto"/>
        <w:bottom w:val="none" w:sz="0" w:space="0" w:color="auto"/>
        <w:right w:val="none" w:sz="0" w:space="0" w:color="auto"/>
      </w:divBdr>
    </w:div>
    <w:div w:id="797257245">
      <w:bodyDiv w:val="1"/>
      <w:marLeft w:val="0"/>
      <w:marRight w:val="0"/>
      <w:marTop w:val="0"/>
      <w:marBottom w:val="0"/>
      <w:divBdr>
        <w:top w:val="none" w:sz="0" w:space="0" w:color="auto"/>
        <w:left w:val="none" w:sz="0" w:space="0" w:color="auto"/>
        <w:bottom w:val="none" w:sz="0" w:space="0" w:color="auto"/>
        <w:right w:val="none" w:sz="0" w:space="0" w:color="auto"/>
      </w:divBdr>
    </w:div>
    <w:div w:id="801727061">
      <w:bodyDiv w:val="1"/>
      <w:marLeft w:val="0"/>
      <w:marRight w:val="0"/>
      <w:marTop w:val="0"/>
      <w:marBottom w:val="0"/>
      <w:divBdr>
        <w:top w:val="none" w:sz="0" w:space="0" w:color="auto"/>
        <w:left w:val="none" w:sz="0" w:space="0" w:color="auto"/>
        <w:bottom w:val="none" w:sz="0" w:space="0" w:color="auto"/>
        <w:right w:val="none" w:sz="0" w:space="0" w:color="auto"/>
      </w:divBdr>
    </w:div>
    <w:div w:id="803038997">
      <w:bodyDiv w:val="1"/>
      <w:marLeft w:val="0"/>
      <w:marRight w:val="0"/>
      <w:marTop w:val="0"/>
      <w:marBottom w:val="0"/>
      <w:divBdr>
        <w:top w:val="none" w:sz="0" w:space="0" w:color="auto"/>
        <w:left w:val="none" w:sz="0" w:space="0" w:color="auto"/>
        <w:bottom w:val="none" w:sz="0" w:space="0" w:color="auto"/>
        <w:right w:val="none" w:sz="0" w:space="0" w:color="auto"/>
      </w:divBdr>
    </w:div>
    <w:div w:id="805662238">
      <w:bodyDiv w:val="1"/>
      <w:marLeft w:val="0"/>
      <w:marRight w:val="0"/>
      <w:marTop w:val="0"/>
      <w:marBottom w:val="0"/>
      <w:divBdr>
        <w:top w:val="none" w:sz="0" w:space="0" w:color="auto"/>
        <w:left w:val="none" w:sz="0" w:space="0" w:color="auto"/>
        <w:bottom w:val="none" w:sz="0" w:space="0" w:color="auto"/>
        <w:right w:val="none" w:sz="0" w:space="0" w:color="auto"/>
      </w:divBdr>
    </w:div>
    <w:div w:id="805896582">
      <w:bodyDiv w:val="1"/>
      <w:marLeft w:val="0"/>
      <w:marRight w:val="0"/>
      <w:marTop w:val="0"/>
      <w:marBottom w:val="0"/>
      <w:divBdr>
        <w:top w:val="none" w:sz="0" w:space="0" w:color="auto"/>
        <w:left w:val="none" w:sz="0" w:space="0" w:color="auto"/>
        <w:bottom w:val="none" w:sz="0" w:space="0" w:color="auto"/>
        <w:right w:val="none" w:sz="0" w:space="0" w:color="auto"/>
      </w:divBdr>
    </w:div>
    <w:div w:id="807866653">
      <w:bodyDiv w:val="1"/>
      <w:marLeft w:val="0"/>
      <w:marRight w:val="0"/>
      <w:marTop w:val="0"/>
      <w:marBottom w:val="0"/>
      <w:divBdr>
        <w:top w:val="none" w:sz="0" w:space="0" w:color="auto"/>
        <w:left w:val="none" w:sz="0" w:space="0" w:color="auto"/>
        <w:bottom w:val="none" w:sz="0" w:space="0" w:color="auto"/>
        <w:right w:val="none" w:sz="0" w:space="0" w:color="auto"/>
      </w:divBdr>
    </w:div>
    <w:div w:id="809401296">
      <w:bodyDiv w:val="1"/>
      <w:marLeft w:val="0"/>
      <w:marRight w:val="0"/>
      <w:marTop w:val="0"/>
      <w:marBottom w:val="0"/>
      <w:divBdr>
        <w:top w:val="none" w:sz="0" w:space="0" w:color="auto"/>
        <w:left w:val="none" w:sz="0" w:space="0" w:color="auto"/>
        <w:bottom w:val="none" w:sz="0" w:space="0" w:color="auto"/>
        <w:right w:val="none" w:sz="0" w:space="0" w:color="auto"/>
      </w:divBdr>
    </w:div>
    <w:div w:id="810367176">
      <w:bodyDiv w:val="1"/>
      <w:marLeft w:val="0"/>
      <w:marRight w:val="0"/>
      <w:marTop w:val="0"/>
      <w:marBottom w:val="0"/>
      <w:divBdr>
        <w:top w:val="none" w:sz="0" w:space="0" w:color="auto"/>
        <w:left w:val="none" w:sz="0" w:space="0" w:color="auto"/>
        <w:bottom w:val="none" w:sz="0" w:space="0" w:color="auto"/>
        <w:right w:val="none" w:sz="0" w:space="0" w:color="auto"/>
      </w:divBdr>
    </w:div>
    <w:div w:id="816461122">
      <w:bodyDiv w:val="1"/>
      <w:marLeft w:val="0"/>
      <w:marRight w:val="0"/>
      <w:marTop w:val="0"/>
      <w:marBottom w:val="0"/>
      <w:divBdr>
        <w:top w:val="none" w:sz="0" w:space="0" w:color="auto"/>
        <w:left w:val="none" w:sz="0" w:space="0" w:color="auto"/>
        <w:bottom w:val="none" w:sz="0" w:space="0" w:color="auto"/>
        <w:right w:val="none" w:sz="0" w:space="0" w:color="auto"/>
      </w:divBdr>
    </w:div>
    <w:div w:id="816532164">
      <w:bodyDiv w:val="1"/>
      <w:marLeft w:val="0"/>
      <w:marRight w:val="0"/>
      <w:marTop w:val="0"/>
      <w:marBottom w:val="0"/>
      <w:divBdr>
        <w:top w:val="none" w:sz="0" w:space="0" w:color="auto"/>
        <w:left w:val="none" w:sz="0" w:space="0" w:color="auto"/>
        <w:bottom w:val="none" w:sz="0" w:space="0" w:color="auto"/>
        <w:right w:val="none" w:sz="0" w:space="0" w:color="auto"/>
      </w:divBdr>
    </w:div>
    <w:div w:id="818032197">
      <w:bodyDiv w:val="1"/>
      <w:marLeft w:val="0"/>
      <w:marRight w:val="0"/>
      <w:marTop w:val="0"/>
      <w:marBottom w:val="0"/>
      <w:divBdr>
        <w:top w:val="none" w:sz="0" w:space="0" w:color="auto"/>
        <w:left w:val="none" w:sz="0" w:space="0" w:color="auto"/>
        <w:bottom w:val="none" w:sz="0" w:space="0" w:color="auto"/>
        <w:right w:val="none" w:sz="0" w:space="0" w:color="auto"/>
      </w:divBdr>
    </w:div>
    <w:div w:id="829906601">
      <w:bodyDiv w:val="1"/>
      <w:marLeft w:val="0"/>
      <w:marRight w:val="0"/>
      <w:marTop w:val="0"/>
      <w:marBottom w:val="0"/>
      <w:divBdr>
        <w:top w:val="none" w:sz="0" w:space="0" w:color="auto"/>
        <w:left w:val="none" w:sz="0" w:space="0" w:color="auto"/>
        <w:bottom w:val="none" w:sz="0" w:space="0" w:color="auto"/>
        <w:right w:val="none" w:sz="0" w:space="0" w:color="auto"/>
      </w:divBdr>
    </w:div>
    <w:div w:id="831138572">
      <w:bodyDiv w:val="1"/>
      <w:marLeft w:val="0"/>
      <w:marRight w:val="0"/>
      <w:marTop w:val="0"/>
      <w:marBottom w:val="0"/>
      <w:divBdr>
        <w:top w:val="none" w:sz="0" w:space="0" w:color="auto"/>
        <w:left w:val="none" w:sz="0" w:space="0" w:color="auto"/>
        <w:bottom w:val="none" w:sz="0" w:space="0" w:color="auto"/>
        <w:right w:val="none" w:sz="0" w:space="0" w:color="auto"/>
      </w:divBdr>
    </w:div>
    <w:div w:id="832257331">
      <w:bodyDiv w:val="1"/>
      <w:marLeft w:val="0"/>
      <w:marRight w:val="0"/>
      <w:marTop w:val="0"/>
      <w:marBottom w:val="0"/>
      <w:divBdr>
        <w:top w:val="none" w:sz="0" w:space="0" w:color="auto"/>
        <w:left w:val="none" w:sz="0" w:space="0" w:color="auto"/>
        <w:bottom w:val="none" w:sz="0" w:space="0" w:color="auto"/>
        <w:right w:val="none" w:sz="0" w:space="0" w:color="auto"/>
      </w:divBdr>
    </w:div>
    <w:div w:id="834417572">
      <w:bodyDiv w:val="1"/>
      <w:marLeft w:val="0"/>
      <w:marRight w:val="0"/>
      <w:marTop w:val="0"/>
      <w:marBottom w:val="0"/>
      <w:divBdr>
        <w:top w:val="none" w:sz="0" w:space="0" w:color="auto"/>
        <w:left w:val="none" w:sz="0" w:space="0" w:color="auto"/>
        <w:bottom w:val="none" w:sz="0" w:space="0" w:color="auto"/>
        <w:right w:val="none" w:sz="0" w:space="0" w:color="auto"/>
      </w:divBdr>
    </w:div>
    <w:div w:id="836118944">
      <w:bodyDiv w:val="1"/>
      <w:marLeft w:val="0"/>
      <w:marRight w:val="0"/>
      <w:marTop w:val="0"/>
      <w:marBottom w:val="0"/>
      <w:divBdr>
        <w:top w:val="none" w:sz="0" w:space="0" w:color="auto"/>
        <w:left w:val="none" w:sz="0" w:space="0" w:color="auto"/>
        <w:bottom w:val="none" w:sz="0" w:space="0" w:color="auto"/>
        <w:right w:val="none" w:sz="0" w:space="0" w:color="auto"/>
      </w:divBdr>
    </w:div>
    <w:div w:id="839933679">
      <w:bodyDiv w:val="1"/>
      <w:marLeft w:val="0"/>
      <w:marRight w:val="0"/>
      <w:marTop w:val="0"/>
      <w:marBottom w:val="0"/>
      <w:divBdr>
        <w:top w:val="none" w:sz="0" w:space="0" w:color="auto"/>
        <w:left w:val="none" w:sz="0" w:space="0" w:color="auto"/>
        <w:bottom w:val="none" w:sz="0" w:space="0" w:color="auto"/>
        <w:right w:val="none" w:sz="0" w:space="0" w:color="auto"/>
      </w:divBdr>
    </w:div>
    <w:div w:id="841579223">
      <w:bodyDiv w:val="1"/>
      <w:marLeft w:val="0"/>
      <w:marRight w:val="0"/>
      <w:marTop w:val="0"/>
      <w:marBottom w:val="0"/>
      <w:divBdr>
        <w:top w:val="none" w:sz="0" w:space="0" w:color="auto"/>
        <w:left w:val="none" w:sz="0" w:space="0" w:color="auto"/>
        <w:bottom w:val="none" w:sz="0" w:space="0" w:color="auto"/>
        <w:right w:val="none" w:sz="0" w:space="0" w:color="auto"/>
      </w:divBdr>
    </w:div>
    <w:div w:id="843251867">
      <w:bodyDiv w:val="1"/>
      <w:marLeft w:val="0"/>
      <w:marRight w:val="0"/>
      <w:marTop w:val="0"/>
      <w:marBottom w:val="0"/>
      <w:divBdr>
        <w:top w:val="none" w:sz="0" w:space="0" w:color="auto"/>
        <w:left w:val="none" w:sz="0" w:space="0" w:color="auto"/>
        <w:bottom w:val="none" w:sz="0" w:space="0" w:color="auto"/>
        <w:right w:val="none" w:sz="0" w:space="0" w:color="auto"/>
      </w:divBdr>
    </w:div>
    <w:div w:id="843473006">
      <w:bodyDiv w:val="1"/>
      <w:marLeft w:val="0"/>
      <w:marRight w:val="0"/>
      <w:marTop w:val="0"/>
      <w:marBottom w:val="0"/>
      <w:divBdr>
        <w:top w:val="none" w:sz="0" w:space="0" w:color="auto"/>
        <w:left w:val="none" w:sz="0" w:space="0" w:color="auto"/>
        <w:bottom w:val="none" w:sz="0" w:space="0" w:color="auto"/>
        <w:right w:val="none" w:sz="0" w:space="0" w:color="auto"/>
      </w:divBdr>
    </w:div>
    <w:div w:id="843713298">
      <w:bodyDiv w:val="1"/>
      <w:marLeft w:val="0"/>
      <w:marRight w:val="0"/>
      <w:marTop w:val="0"/>
      <w:marBottom w:val="0"/>
      <w:divBdr>
        <w:top w:val="none" w:sz="0" w:space="0" w:color="auto"/>
        <w:left w:val="none" w:sz="0" w:space="0" w:color="auto"/>
        <w:bottom w:val="none" w:sz="0" w:space="0" w:color="auto"/>
        <w:right w:val="none" w:sz="0" w:space="0" w:color="auto"/>
      </w:divBdr>
    </w:div>
    <w:div w:id="845823519">
      <w:bodyDiv w:val="1"/>
      <w:marLeft w:val="0"/>
      <w:marRight w:val="0"/>
      <w:marTop w:val="0"/>
      <w:marBottom w:val="0"/>
      <w:divBdr>
        <w:top w:val="none" w:sz="0" w:space="0" w:color="auto"/>
        <w:left w:val="none" w:sz="0" w:space="0" w:color="auto"/>
        <w:bottom w:val="none" w:sz="0" w:space="0" w:color="auto"/>
        <w:right w:val="none" w:sz="0" w:space="0" w:color="auto"/>
      </w:divBdr>
    </w:div>
    <w:div w:id="848451941">
      <w:bodyDiv w:val="1"/>
      <w:marLeft w:val="0"/>
      <w:marRight w:val="0"/>
      <w:marTop w:val="0"/>
      <w:marBottom w:val="0"/>
      <w:divBdr>
        <w:top w:val="none" w:sz="0" w:space="0" w:color="auto"/>
        <w:left w:val="none" w:sz="0" w:space="0" w:color="auto"/>
        <w:bottom w:val="none" w:sz="0" w:space="0" w:color="auto"/>
        <w:right w:val="none" w:sz="0" w:space="0" w:color="auto"/>
      </w:divBdr>
    </w:div>
    <w:div w:id="849566745">
      <w:bodyDiv w:val="1"/>
      <w:marLeft w:val="0"/>
      <w:marRight w:val="0"/>
      <w:marTop w:val="0"/>
      <w:marBottom w:val="0"/>
      <w:divBdr>
        <w:top w:val="none" w:sz="0" w:space="0" w:color="auto"/>
        <w:left w:val="none" w:sz="0" w:space="0" w:color="auto"/>
        <w:bottom w:val="none" w:sz="0" w:space="0" w:color="auto"/>
        <w:right w:val="none" w:sz="0" w:space="0" w:color="auto"/>
      </w:divBdr>
    </w:div>
    <w:div w:id="850723272">
      <w:bodyDiv w:val="1"/>
      <w:marLeft w:val="0"/>
      <w:marRight w:val="0"/>
      <w:marTop w:val="0"/>
      <w:marBottom w:val="0"/>
      <w:divBdr>
        <w:top w:val="none" w:sz="0" w:space="0" w:color="auto"/>
        <w:left w:val="none" w:sz="0" w:space="0" w:color="auto"/>
        <w:bottom w:val="none" w:sz="0" w:space="0" w:color="auto"/>
        <w:right w:val="none" w:sz="0" w:space="0" w:color="auto"/>
      </w:divBdr>
    </w:div>
    <w:div w:id="856044841">
      <w:bodyDiv w:val="1"/>
      <w:marLeft w:val="0"/>
      <w:marRight w:val="0"/>
      <w:marTop w:val="0"/>
      <w:marBottom w:val="0"/>
      <w:divBdr>
        <w:top w:val="none" w:sz="0" w:space="0" w:color="auto"/>
        <w:left w:val="none" w:sz="0" w:space="0" w:color="auto"/>
        <w:bottom w:val="none" w:sz="0" w:space="0" w:color="auto"/>
        <w:right w:val="none" w:sz="0" w:space="0" w:color="auto"/>
      </w:divBdr>
    </w:div>
    <w:div w:id="857306852">
      <w:bodyDiv w:val="1"/>
      <w:marLeft w:val="0"/>
      <w:marRight w:val="0"/>
      <w:marTop w:val="0"/>
      <w:marBottom w:val="0"/>
      <w:divBdr>
        <w:top w:val="none" w:sz="0" w:space="0" w:color="auto"/>
        <w:left w:val="none" w:sz="0" w:space="0" w:color="auto"/>
        <w:bottom w:val="none" w:sz="0" w:space="0" w:color="auto"/>
        <w:right w:val="none" w:sz="0" w:space="0" w:color="auto"/>
      </w:divBdr>
    </w:div>
    <w:div w:id="859392352">
      <w:bodyDiv w:val="1"/>
      <w:marLeft w:val="0"/>
      <w:marRight w:val="0"/>
      <w:marTop w:val="0"/>
      <w:marBottom w:val="0"/>
      <w:divBdr>
        <w:top w:val="none" w:sz="0" w:space="0" w:color="auto"/>
        <w:left w:val="none" w:sz="0" w:space="0" w:color="auto"/>
        <w:bottom w:val="none" w:sz="0" w:space="0" w:color="auto"/>
        <w:right w:val="none" w:sz="0" w:space="0" w:color="auto"/>
      </w:divBdr>
    </w:div>
    <w:div w:id="865019926">
      <w:bodyDiv w:val="1"/>
      <w:marLeft w:val="0"/>
      <w:marRight w:val="0"/>
      <w:marTop w:val="0"/>
      <w:marBottom w:val="0"/>
      <w:divBdr>
        <w:top w:val="none" w:sz="0" w:space="0" w:color="auto"/>
        <w:left w:val="none" w:sz="0" w:space="0" w:color="auto"/>
        <w:bottom w:val="none" w:sz="0" w:space="0" w:color="auto"/>
        <w:right w:val="none" w:sz="0" w:space="0" w:color="auto"/>
      </w:divBdr>
    </w:div>
    <w:div w:id="868489853">
      <w:bodyDiv w:val="1"/>
      <w:marLeft w:val="0"/>
      <w:marRight w:val="0"/>
      <w:marTop w:val="0"/>
      <w:marBottom w:val="0"/>
      <w:divBdr>
        <w:top w:val="none" w:sz="0" w:space="0" w:color="auto"/>
        <w:left w:val="none" w:sz="0" w:space="0" w:color="auto"/>
        <w:bottom w:val="none" w:sz="0" w:space="0" w:color="auto"/>
        <w:right w:val="none" w:sz="0" w:space="0" w:color="auto"/>
      </w:divBdr>
    </w:div>
    <w:div w:id="870412773">
      <w:bodyDiv w:val="1"/>
      <w:marLeft w:val="0"/>
      <w:marRight w:val="0"/>
      <w:marTop w:val="0"/>
      <w:marBottom w:val="0"/>
      <w:divBdr>
        <w:top w:val="none" w:sz="0" w:space="0" w:color="auto"/>
        <w:left w:val="none" w:sz="0" w:space="0" w:color="auto"/>
        <w:bottom w:val="none" w:sz="0" w:space="0" w:color="auto"/>
        <w:right w:val="none" w:sz="0" w:space="0" w:color="auto"/>
      </w:divBdr>
    </w:div>
    <w:div w:id="872691727">
      <w:bodyDiv w:val="1"/>
      <w:marLeft w:val="0"/>
      <w:marRight w:val="0"/>
      <w:marTop w:val="0"/>
      <w:marBottom w:val="0"/>
      <w:divBdr>
        <w:top w:val="none" w:sz="0" w:space="0" w:color="auto"/>
        <w:left w:val="none" w:sz="0" w:space="0" w:color="auto"/>
        <w:bottom w:val="none" w:sz="0" w:space="0" w:color="auto"/>
        <w:right w:val="none" w:sz="0" w:space="0" w:color="auto"/>
      </w:divBdr>
    </w:div>
    <w:div w:id="872696555">
      <w:bodyDiv w:val="1"/>
      <w:marLeft w:val="0"/>
      <w:marRight w:val="0"/>
      <w:marTop w:val="0"/>
      <w:marBottom w:val="0"/>
      <w:divBdr>
        <w:top w:val="none" w:sz="0" w:space="0" w:color="auto"/>
        <w:left w:val="none" w:sz="0" w:space="0" w:color="auto"/>
        <w:bottom w:val="none" w:sz="0" w:space="0" w:color="auto"/>
        <w:right w:val="none" w:sz="0" w:space="0" w:color="auto"/>
      </w:divBdr>
    </w:div>
    <w:div w:id="873495410">
      <w:bodyDiv w:val="1"/>
      <w:marLeft w:val="0"/>
      <w:marRight w:val="0"/>
      <w:marTop w:val="0"/>
      <w:marBottom w:val="0"/>
      <w:divBdr>
        <w:top w:val="none" w:sz="0" w:space="0" w:color="auto"/>
        <w:left w:val="none" w:sz="0" w:space="0" w:color="auto"/>
        <w:bottom w:val="none" w:sz="0" w:space="0" w:color="auto"/>
        <w:right w:val="none" w:sz="0" w:space="0" w:color="auto"/>
      </w:divBdr>
    </w:div>
    <w:div w:id="893350078">
      <w:bodyDiv w:val="1"/>
      <w:marLeft w:val="0"/>
      <w:marRight w:val="0"/>
      <w:marTop w:val="0"/>
      <w:marBottom w:val="0"/>
      <w:divBdr>
        <w:top w:val="none" w:sz="0" w:space="0" w:color="auto"/>
        <w:left w:val="none" w:sz="0" w:space="0" w:color="auto"/>
        <w:bottom w:val="none" w:sz="0" w:space="0" w:color="auto"/>
        <w:right w:val="none" w:sz="0" w:space="0" w:color="auto"/>
      </w:divBdr>
    </w:div>
    <w:div w:id="893463297">
      <w:bodyDiv w:val="1"/>
      <w:marLeft w:val="0"/>
      <w:marRight w:val="0"/>
      <w:marTop w:val="0"/>
      <w:marBottom w:val="0"/>
      <w:divBdr>
        <w:top w:val="none" w:sz="0" w:space="0" w:color="auto"/>
        <w:left w:val="none" w:sz="0" w:space="0" w:color="auto"/>
        <w:bottom w:val="none" w:sz="0" w:space="0" w:color="auto"/>
        <w:right w:val="none" w:sz="0" w:space="0" w:color="auto"/>
      </w:divBdr>
    </w:div>
    <w:div w:id="896860708">
      <w:bodyDiv w:val="1"/>
      <w:marLeft w:val="0"/>
      <w:marRight w:val="0"/>
      <w:marTop w:val="0"/>
      <w:marBottom w:val="0"/>
      <w:divBdr>
        <w:top w:val="none" w:sz="0" w:space="0" w:color="auto"/>
        <w:left w:val="none" w:sz="0" w:space="0" w:color="auto"/>
        <w:bottom w:val="none" w:sz="0" w:space="0" w:color="auto"/>
        <w:right w:val="none" w:sz="0" w:space="0" w:color="auto"/>
      </w:divBdr>
    </w:div>
    <w:div w:id="897285763">
      <w:bodyDiv w:val="1"/>
      <w:marLeft w:val="0"/>
      <w:marRight w:val="0"/>
      <w:marTop w:val="0"/>
      <w:marBottom w:val="0"/>
      <w:divBdr>
        <w:top w:val="none" w:sz="0" w:space="0" w:color="auto"/>
        <w:left w:val="none" w:sz="0" w:space="0" w:color="auto"/>
        <w:bottom w:val="none" w:sz="0" w:space="0" w:color="auto"/>
        <w:right w:val="none" w:sz="0" w:space="0" w:color="auto"/>
      </w:divBdr>
    </w:div>
    <w:div w:id="900402759">
      <w:bodyDiv w:val="1"/>
      <w:marLeft w:val="0"/>
      <w:marRight w:val="0"/>
      <w:marTop w:val="0"/>
      <w:marBottom w:val="0"/>
      <w:divBdr>
        <w:top w:val="none" w:sz="0" w:space="0" w:color="auto"/>
        <w:left w:val="none" w:sz="0" w:space="0" w:color="auto"/>
        <w:bottom w:val="none" w:sz="0" w:space="0" w:color="auto"/>
        <w:right w:val="none" w:sz="0" w:space="0" w:color="auto"/>
      </w:divBdr>
    </w:div>
    <w:div w:id="902714000">
      <w:bodyDiv w:val="1"/>
      <w:marLeft w:val="0"/>
      <w:marRight w:val="0"/>
      <w:marTop w:val="0"/>
      <w:marBottom w:val="0"/>
      <w:divBdr>
        <w:top w:val="none" w:sz="0" w:space="0" w:color="auto"/>
        <w:left w:val="none" w:sz="0" w:space="0" w:color="auto"/>
        <w:bottom w:val="none" w:sz="0" w:space="0" w:color="auto"/>
        <w:right w:val="none" w:sz="0" w:space="0" w:color="auto"/>
      </w:divBdr>
    </w:div>
    <w:div w:id="904293658">
      <w:bodyDiv w:val="1"/>
      <w:marLeft w:val="0"/>
      <w:marRight w:val="0"/>
      <w:marTop w:val="0"/>
      <w:marBottom w:val="0"/>
      <w:divBdr>
        <w:top w:val="none" w:sz="0" w:space="0" w:color="auto"/>
        <w:left w:val="none" w:sz="0" w:space="0" w:color="auto"/>
        <w:bottom w:val="none" w:sz="0" w:space="0" w:color="auto"/>
        <w:right w:val="none" w:sz="0" w:space="0" w:color="auto"/>
      </w:divBdr>
    </w:div>
    <w:div w:id="905533138">
      <w:bodyDiv w:val="1"/>
      <w:marLeft w:val="0"/>
      <w:marRight w:val="0"/>
      <w:marTop w:val="0"/>
      <w:marBottom w:val="0"/>
      <w:divBdr>
        <w:top w:val="none" w:sz="0" w:space="0" w:color="auto"/>
        <w:left w:val="none" w:sz="0" w:space="0" w:color="auto"/>
        <w:bottom w:val="none" w:sz="0" w:space="0" w:color="auto"/>
        <w:right w:val="none" w:sz="0" w:space="0" w:color="auto"/>
      </w:divBdr>
    </w:div>
    <w:div w:id="905727968">
      <w:bodyDiv w:val="1"/>
      <w:marLeft w:val="0"/>
      <w:marRight w:val="0"/>
      <w:marTop w:val="0"/>
      <w:marBottom w:val="0"/>
      <w:divBdr>
        <w:top w:val="none" w:sz="0" w:space="0" w:color="auto"/>
        <w:left w:val="none" w:sz="0" w:space="0" w:color="auto"/>
        <w:bottom w:val="none" w:sz="0" w:space="0" w:color="auto"/>
        <w:right w:val="none" w:sz="0" w:space="0" w:color="auto"/>
      </w:divBdr>
    </w:div>
    <w:div w:id="906305554">
      <w:bodyDiv w:val="1"/>
      <w:marLeft w:val="0"/>
      <w:marRight w:val="0"/>
      <w:marTop w:val="0"/>
      <w:marBottom w:val="0"/>
      <w:divBdr>
        <w:top w:val="none" w:sz="0" w:space="0" w:color="auto"/>
        <w:left w:val="none" w:sz="0" w:space="0" w:color="auto"/>
        <w:bottom w:val="none" w:sz="0" w:space="0" w:color="auto"/>
        <w:right w:val="none" w:sz="0" w:space="0" w:color="auto"/>
      </w:divBdr>
    </w:div>
    <w:div w:id="910189694">
      <w:bodyDiv w:val="1"/>
      <w:marLeft w:val="0"/>
      <w:marRight w:val="0"/>
      <w:marTop w:val="0"/>
      <w:marBottom w:val="0"/>
      <w:divBdr>
        <w:top w:val="none" w:sz="0" w:space="0" w:color="auto"/>
        <w:left w:val="none" w:sz="0" w:space="0" w:color="auto"/>
        <w:bottom w:val="none" w:sz="0" w:space="0" w:color="auto"/>
        <w:right w:val="none" w:sz="0" w:space="0" w:color="auto"/>
      </w:divBdr>
    </w:div>
    <w:div w:id="910966323">
      <w:bodyDiv w:val="1"/>
      <w:marLeft w:val="0"/>
      <w:marRight w:val="0"/>
      <w:marTop w:val="0"/>
      <w:marBottom w:val="0"/>
      <w:divBdr>
        <w:top w:val="none" w:sz="0" w:space="0" w:color="auto"/>
        <w:left w:val="none" w:sz="0" w:space="0" w:color="auto"/>
        <w:bottom w:val="none" w:sz="0" w:space="0" w:color="auto"/>
        <w:right w:val="none" w:sz="0" w:space="0" w:color="auto"/>
      </w:divBdr>
    </w:div>
    <w:div w:id="911234843">
      <w:bodyDiv w:val="1"/>
      <w:marLeft w:val="0"/>
      <w:marRight w:val="0"/>
      <w:marTop w:val="0"/>
      <w:marBottom w:val="0"/>
      <w:divBdr>
        <w:top w:val="none" w:sz="0" w:space="0" w:color="auto"/>
        <w:left w:val="none" w:sz="0" w:space="0" w:color="auto"/>
        <w:bottom w:val="none" w:sz="0" w:space="0" w:color="auto"/>
        <w:right w:val="none" w:sz="0" w:space="0" w:color="auto"/>
      </w:divBdr>
    </w:div>
    <w:div w:id="921061607">
      <w:bodyDiv w:val="1"/>
      <w:marLeft w:val="0"/>
      <w:marRight w:val="0"/>
      <w:marTop w:val="0"/>
      <w:marBottom w:val="0"/>
      <w:divBdr>
        <w:top w:val="none" w:sz="0" w:space="0" w:color="auto"/>
        <w:left w:val="none" w:sz="0" w:space="0" w:color="auto"/>
        <w:bottom w:val="none" w:sz="0" w:space="0" w:color="auto"/>
        <w:right w:val="none" w:sz="0" w:space="0" w:color="auto"/>
      </w:divBdr>
    </w:div>
    <w:div w:id="924067868">
      <w:bodyDiv w:val="1"/>
      <w:marLeft w:val="0"/>
      <w:marRight w:val="0"/>
      <w:marTop w:val="0"/>
      <w:marBottom w:val="0"/>
      <w:divBdr>
        <w:top w:val="none" w:sz="0" w:space="0" w:color="auto"/>
        <w:left w:val="none" w:sz="0" w:space="0" w:color="auto"/>
        <w:bottom w:val="none" w:sz="0" w:space="0" w:color="auto"/>
        <w:right w:val="none" w:sz="0" w:space="0" w:color="auto"/>
      </w:divBdr>
    </w:div>
    <w:div w:id="927468166">
      <w:bodyDiv w:val="1"/>
      <w:marLeft w:val="0"/>
      <w:marRight w:val="0"/>
      <w:marTop w:val="0"/>
      <w:marBottom w:val="0"/>
      <w:divBdr>
        <w:top w:val="none" w:sz="0" w:space="0" w:color="auto"/>
        <w:left w:val="none" w:sz="0" w:space="0" w:color="auto"/>
        <w:bottom w:val="none" w:sz="0" w:space="0" w:color="auto"/>
        <w:right w:val="none" w:sz="0" w:space="0" w:color="auto"/>
      </w:divBdr>
    </w:div>
    <w:div w:id="940913710">
      <w:bodyDiv w:val="1"/>
      <w:marLeft w:val="0"/>
      <w:marRight w:val="0"/>
      <w:marTop w:val="0"/>
      <w:marBottom w:val="0"/>
      <w:divBdr>
        <w:top w:val="none" w:sz="0" w:space="0" w:color="auto"/>
        <w:left w:val="none" w:sz="0" w:space="0" w:color="auto"/>
        <w:bottom w:val="none" w:sz="0" w:space="0" w:color="auto"/>
        <w:right w:val="none" w:sz="0" w:space="0" w:color="auto"/>
      </w:divBdr>
    </w:div>
    <w:div w:id="941839896">
      <w:bodyDiv w:val="1"/>
      <w:marLeft w:val="0"/>
      <w:marRight w:val="0"/>
      <w:marTop w:val="0"/>
      <w:marBottom w:val="0"/>
      <w:divBdr>
        <w:top w:val="none" w:sz="0" w:space="0" w:color="auto"/>
        <w:left w:val="none" w:sz="0" w:space="0" w:color="auto"/>
        <w:bottom w:val="none" w:sz="0" w:space="0" w:color="auto"/>
        <w:right w:val="none" w:sz="0" w:space="0" w:color="auto"/>
      </w:divBdr>
    </w:div>
    <w:div w:id="942080316">
      <w:bodyDiv w:val="1"/>
      <w:marLeft w:val="0"/>
      <w:marRight w:val="0"/>
      <w:marTop w:val="0"/>
      <w:marBottom w:val="0"/>
      <w:divBdr>
        <w:top w:val="none" w:sz="0" w:space="0" w:color="auto"/>
        <w:left w:val="none" w:sz="0" w:space="0" w:color="auto"/>
        <w:bottom w:val="none" w:sz="0" w:space="0" w:color="auto"/>
        <w:right w:val="none" w:sz="0" w:space="0" w:color="auto"/>
      </w:divBdr>
    </w:div>
    <w:div w:id="942224690">
      <w:bodyDiv w:val="1"/>
      <w:marLeft w:val="0"/>
      <w:marRight w:val="0"/>
      <w:marTop w:val="0"/>
      <w:marBottom w:val="0"/>
      <w:divBdr>
        <w:top w:val="none" w:sz="0" w:space="0" w:color="auto"/>
        <w:left w:val="none" w:sz="0" w:space="0" w:color="auto"/>
        <w:bottom w:val="none" w:sz="0" w:space="0" w:color="auto"/>
        <w:right w:val="none" w:sz="0" w:space="0" w:color="auto"/>
      </w:divBdr>
    </w:div>
    <w:div w:id="943268391">
      <w:bodyDiv w:val="1"/>
      <w:marLeft w:val="0"/>
      <w:marRight w:val="0"/>
      <w:marTop w:val="0"/>
      <w:marBottom w:val="0"/>
      <w:divBdr>
        <w:top w:val="none" w:sz="0" w:space="0" w:color="auto"/>
        <w:left w:val="none" w:sz="0" w:space="0" w:color="auto"/>
        <w:bottom w:val="none" w:sz="0" w:space="0" w:color="auto"/>
        <w:right w:val="none" w:sz="0" w:space="0" w:color="auto"/>
      </w:divBdr>
    </w:div>
    <w:div w:id="944187614">
      <w:bodyDiv w:val="1"/>
      <w:marLeft w:val="0"/>
      <w:marRight w:val="0"/>
      <w:marTop w:val="0"/>
      <w:marBottom w:val="0"/>
      <w:divBdr>
        <w:top w:val="none" w:sz="0" w:space="0" w:color="auto"/>
        <w:left w:val="none" w:sz="0" w:space="0" w:color="auto"/>
        <w:bottom w:val="none" w:sz="0" w:space="0" w:color="auto"/>
        <w:right w:val="none" w:sz="0" w:space="0" w:color="auto"/>
      </w:divBdr>
    </w:div>
    <w:div w:id="951403358">
      <w:bodyDiv w:val="1"/>
      <w:marLeft w:val="0"/>
      <w:marRight w:val="0"/>
      <w:marTop w:val="0"/>
      <w:marBottom w:val="0"/>
      <w:divBdr>
        <w:top w:val="none" w:sz="0" w:space="0" w:color="auto"/>
        <w:left w:val="none" w:sz="0" w:space="0" w:color="auto"/>
        <w:bottom w:val="none" w:sz="0" w:space="0" w:color="auto"/>
        <w:right w:val="none" w:sz="0" w:space="0" w:color="auto"/>
      </w:divBdr>
    </w:div>
    <w:div w:id="964193362">
      <w:bodyDiv w:val="1"/>
      <w:marLeft w:val="0"/>
      <w:marRight w:val="0"/>
      <w:marTop w:val="0"/>
      <w:marBottom w:val="0"/>
      <w:divBdr>
        <w:top w:val="none" w:sz="0" w:space="0" w:color="auto"/>
        <w:left w:val="none" w:sz="0" w:space="0" w:color="auto"/>
        <w:bottom w:val="none" w:sz="0" w:space="0" w:color="auto"/>
        <w:right w:val="none" w:sz="0" w:space="0" w:color="auto"/>
      </w:divBdr>
    </w:div>
    <w:div w:id="964578381">
      <w:bodyDiv w:val="1"/>
      <w:marLeft w:val="0"/>
      <w:marRight w:val="0"/>
      <w:marTop w:val="0"/>
      <w:marBottom w:val="0"/>
      <w:divBdr>
        <w:top w:val="none" w:sz="0" w:space="0" w:color="auto"/>
        <w:left w:val="none" w:sz="0" w:space="0" w:color="auto"/>
        <w:bottom w:val="none" w:sz="0" w:space="0" w:color="auto"/>
        <w:right w:val="none" w:sz="0" w:space="0" w:color="auto"/>
      </w:divBdr>
    </w:div>
    <w:div w:id="965820310">
      <w:bodyDiv w:val="1"/>
      <w:marLeft w:val="0"/>
      <w:marRight w:val="0"/>
      <w:marTop w:val="0"/>
      <w:marBottom w:val="0"/>
      <w:divBdr>
        <w:top w:val="none" w:sz="0" w:space="0" w:color="auto"/>
        <w:left w:val="none" w:sz="0" w:space="0" w:color="auto"/>
        <w:bottom w:val="none" w:sz="0" w:space="0" w:color="auto"/>
        <w:right w:val="none" w:sz="0" w:space="0" w:color="auto"/>
      </w:divBdr>
    </w:div>
    <w:div w:id="967978943">
      <w:bodyDiv w:val="1"/>
      <w:marLeft w:val="0"/>
      <w:marRight w:val="0"/>
      <w:marTop w:val="0"/>
      <w:marBottom w:val="0"/>
      <w:divBdr>
        <w:top w:val="none" w:sz="0" w:space="0" w:color="auto"/>
        <w:left w:val="none" w:sz="0" w:space="0" w:color="auto"/>
        <w:bottom w:val="none" w:sz="0" w:space="0" w:color="auto"/>
        <w:right w:val="none" w:sz="0" w:space="0" w:color="auto"/>
      </w:divBdr>
    </w:div>
    <w:div w:id="970986498">
      <w:bodyDiv w:val="1"/>
      <w:marLeft w:val="0"/>
      <w:marRight w:val="0"/>
      <w:marTop w:val="0"/>
      <w:marBottom w:val="0"/>
      <w:divBdr>
        <w:top w:val="none" w:sz="0" w:space="0" w:color="auto"/>
        <w:left w:val="none" w:sz="0" w:space="0" w:color="auto"/>
        <w:bottom w:val="none" w:sz="0" w:space="0" w:color="auto"/>
        <w:right w:val="none" w:sz="0" w:space="0" w:color="auto"/>
      </w:divBdr>
    </w:div>
    <w:div w:id="973752442">
      <w:bodyDiv w:val="1"/>
      <w:marLeft w:val="0"/>
      <w:marRight w:val="0"/>
      <w:marTop w:val="0"/>
      <w:marBottom w:val="0"/>
      <w:divBdr>
        <w:top w:val="none" w:sz="0" w:space="0" w:color="auto"/>
        <w:left w:val="none" w:sz="0" w:space="0" w:color="auto"/>
        <w:bottom w:val="none" w:sz="0" w:space="0" w:color="auto"/>
        <w:right w:val="none" w:sz="0" w:space="0" w:color="auto"/>
      </w:divBdr>
    </w:div>
    <w:div w:id="973944185">
      <w:bodyDiv w:val="1"/>
      <w:marLeft w:val="0"/>
      <w:marRight w:val="0"/>
      <w:marTop w:val="0"/>
      <w:marBottom w:val="0"/>
      <w:divBdr>
        <w:top w:val="none" w:sz="0" w:space="0" w:color="auto"/>
        <w:left w:val="none" w:sz="0" w:space="0" w:color="auto"/>
        <w:bottom w:val="none" w:sz="0" w:space="0" w:color="auto"/>
        <w:right w:val="none" w:sz="0" w:space="0" w:color="auto"/>
      </w:divBdr>
    </w:div>
    <w:div w:id="977418875">
      <w:bodyDiv w:val="1"/>
      <w:marLeft w:val="0"/>
      <w:marRight w:val="0"/>
      <w:marTop w:val="0"/>
      <w:marBottom w:val="0"/>
      <w:divBdr>
        <w:top w:val="none" w:sz="0" w:space="0" w:color="auto"/>
        <w:left w:val="none" w:sz="0" w:space="0" w:color="auto"/>
        <w:bottom w:val="none" w:sz="0" w:space="0" w:color="auto"/>
        <w:right w:val="none" w:sz="0" w:space="0" w:color="auto"/>
      </w:divBdr>
    </w:div>
    <w:div w:id="981009474">
      <w:bodyDiv w:val="1"/>
      <w:marLeft w:val="0"/>
      <w:marRight w:val="0"/>
      <w:marTop w:val="0"/>
      <w:marBottom w:val="0"/>
      <w:divBdr>
        <w:top w:val="none" w:sz="0" w:space="0" w:color="auto"/>
        <w:left w:val="none" w:sz="0" w:space="0" w:color="auto"/>
        <w:bottom w:val="none" w:sz="0" w:space="0" w:color="auto"/>
        <w:right w:val="none" w:sz="0" w:space="0" w:color="auto"/>
      </w:divBdr>
    </w:div>
    <w:div w:id="981231759">
      <w:bodyDiv w:val="1"/>
      <w:marLeft w:val="0"/>
      <w:marRight w:val="0"/>
      <w:marTop w:val="0"/>
      <w:marBottom w:val="0"/>
      <w:divBdr>
        <w:top w:val="none" w:sz="0" w:space="0" w:color="auto"/>
        <w:left w:val="none" w:sz="0" w:space="0" w:color="auto"/>
        <w:bottom w:val="none" w:sz="0" w:space="0" w:color="auto"/>
        <w:right w:val="none" w:sz="0" w:space="0" w:color="auto"/>
      </w:divBdr>
    </w:div>
    <w:div w:id="985548817">
      <w:bodyDiv w:val="1"/>
      <w:marLeft w:val="0"/>
      <w:marRight w:val="0"/>
      <w:marTop w:val="0"/>
      <w:marBottom w:val="0"/>
      <w:divBdr>
        <w:top w:val="none" w:sz="0" w:space="0" w:color="auto"/>
        <w:left w:val="none" w:sz="0" w:space="0" w:color="auto"/>
        <w:bottom w:val="none" w:sz="0" w:space="0" w:color="auto"/>
        <w:right w:val="none" w:sz="0" w:space="0" w:color="auto"/>
      </w:divBdr>
    </w:div>
    <w:div w:id="986470908">
      <w:bodyDiv w:val="1"/>
      <w:marLeft w:val="0"/>
      <w:marRight w:val="0"/>
      <w:marTop w:val="0"/>
      <w:marBottom w:val="0"/>
      <w:divBdr>
        <w:top w:val="none" w:sz="0" w:space="0" w:color="auto"/>
        <w:left w:val="none" w:sz="0" w:space="0" w:color="auto"/>
        <w:bottom w:val="none" w:sz="0" w:space="0" w:color="auto"/>
        <w:right w:val="none" w:sz="0" w:space="0" w:color="auto"/>
      </w:divBdr>
    </w:div>
    <w:div w:id="992372457">
      <w:bodyDiv w:val="1"/>
      <w:marLeft w:val="0"/>
      <w:marRight w:val="0"/>
      <w:marTop w:val="0"/>
      <w:marBottom w:val="0"/>
      <w:divBdr>
        <w:top w:val="none" w:sz="0" w:space="0" w:color="auto"/>
        <w:left w:val="none" w:sz="0" w:space="0" w:color="auto"/>
        <w:bottom w:val="none" w:sz="0" w:space="0" w:color="auto"/>
        <w:right w:val="none" w:sz="0" w:space="0" w:color="auto"/>
      </w:divBdr>
    </w:div>
    <w:div w:id="993677351">
      <w:bodyDiv w:val="1"/>
      <w:marLeft w:val="0"/>
      <w:marRight w:val="0"/>
      <w:marTop w:val="0"/>
      <w:marBottom w:val="0"/>
      <w:divBdr>
        <w:top w:val="none" w:sz="0" w:space="0" w:color="auto"/>
        <w:left w:val="none" w:sz="0" w:space="0" w:color="auto"/>
        <w:bottom w:val="none" w:sz="0" w:space="0" w:color="auto"/>
        <w:right w:val="none" w:sz="0" w:space="0" w:color="auto"/>
      </w:divBdr>
    </w:div>
    <w:div w:id="998270447">
      <w:bodyDiv w:val="1"/>
      <w:marLeft w:val="0"/>
      <w:marRight w:val="0"/>
      <w:marTop w:val="0"/>
      <w:marBottom w:val="0"/>
      <w:divBdr>
        <w:top w:val="none" w:sz="0" w:space="0" w:color="auto"/>
        <w:left w:val="none" w:sz="0" w:space="0" w:color="auto"/>
        <w:bottom w:val="none" w:sz="0" w:space="0" w:color="auto"/>
        <w:right w:val="none" w:sz="0" w:space="0" w:color="auto"/>
      </w:divBdr>
    </w:div>
    <w:div w:id="998582986">
      <w:bodyDiv w:val="1"/>
      <w:marLeft w:val="0"/>
      <w:marRight w:val="0"/>
      <w:marTop w:val="0"/>
      <w:marBottom w:val="0"/>
      <w:divBdr>
        <w:top w:val="none" w:sz="0" w:space="0" w:color="auto"/>
        <w:left w:val="none" w:sz="0" w:space="0" w:color="auto"/>
        <w:bottom w:val="none" w:sz="0" w:space="0" w:color="auto"/>
        <w:right w:val="none" w:sz="0" w:space="0" w:color="auto"/>
      </w:divBdr>
    </w:div>
    <w:div w:id="999043261">
      <w:bodyDiv w:val="1"/>
      <w:marLeft w:val="0"/>
      <w:marRight w:val="0"/>
      <w:marTop w:val="0"/>
      <w:marBottom w:val="0"/>
      <w:divBdr>
        <w:top w:val="none" w:sz="0" w:space="0" w:color="auto"/>
        <w:left w:val="none" w:sz="0" w:space="0" w:color="auto"/>
        <w:bottom w:val="none" w:sz="0" w:space="0" w:color="auto"/>
        <w:right w:val="none" w:sz="0" w:space="0" w:color="auto"/>
      </w:divBdr>
    </w:div>
    <w:div w:id="1002196889">
      <w:bodyDiv w:val="1"/>
      <w:marLeft w:val="0"/>
      <w:marRight w:val="0"/>
      <w:marTop w:val="0"/>
      <w:marBottom w:val="0"/>
      <w:divBdr>
        <w:top w:val="none" w:sz="0" w:space="0" w:color="auto"/>
        <w:left w:val="none" w:sz="0" w:space="0" w:color="auto"/>
        <w:bottom w:val="none" w:sz="0" w:space="0" w:color="auto"/>
        <w:right w:val="none" w:sz="0" w:space="0" w:color="auto"/>
      </w:divBdr>
    </w:div>
    <w:div w:id="1005014424">
      <w:bodyDiv w:val="1"/>
      <w:marLeft w:val="0"/>
      <w:marRight w:val="0"/>
      <w:marTop w:val="0"/>
      <w:marBottom w:val="0"/>
      <w:divBdr>
        <w:top w:val="none" w:sz="0" w:space="0" w:color="auto"/>
        <w:left w:val="none" w:sz="0" w:space="0" w:color="auto"/>
        <w:bottom w:val="none" w:sz="0" w:space="0" w:color="auto"/>
        <w:right w:val="none" w:sz="0" w:space="0" w:color="auto"/>
      </w:divBdr>
    </w:div>
    <w:div w:id="1009717120">
      <w:bodyDiv w:val="1"/>
      <w:marLeft w:val="0"/>
      <w:marRight w:val="0"/>
      <w:marTop w:val="0"/>
      <w:marBottom w:val="0"/>
      <w:divBdr>
        <w:top w:val="none" w:sz="0" w:space="0" w:color="auto"/>
        <w:left w:val="none" w:sz="0" w:space="0" w:color="auto"/>
        <w:bottom w:val="none" w:sz="0" w:space="0" w:color="auto"/>
        <w:right w:val="none" w:sz="0" w:space="0" w:color="auto"/>
      </w:divBdr>
    </w:div>
    <w:div w:id="1013337344">
      <w:bodyDiv w:val="1"/>
      <w:marLeft w:val="0"/>
      <w:marRight w:val="0"/>
      <w:marTop w:val="0"/>
      <w:marBottom w:val="0"/>
      <w:divBdr>
        <w:top w:val="none" w:sz="0" w:space="0" w:color="auto"/>
        <w:left w:val="none" w:sz="0" w:space="0" w:color="auto"/>
        <w:bottom w:val="none" w:sz="0" w:space="0" w:color="auto"/>
        <w:right w:val="none" w:sz="0" w:space="0" w:color="auto"/>
      </w:divBdr>
    </w:div>
    <w:div w:id="1017268740">
      <w:bodyDiv w:val="1"/>
      <w:marLeft w:val="0"/>
      <w:marRight w:val="0"/>
      <w:marTop w:val="0"/>
      <w:marBottom w:val="0"/>
      <w:divBdr>
        <w:top w:val="none" w:sz="0" w:space="0" w:color="auto"/>
        <w:left w:val="none" w:sz="0" w:space="0" w:color="auto"/>
        <w:bottom w:val="none" w:sz="0" w:space="0" w:color="auto"/>
        <w:right w:val="none" w:sz="0" w:space="0" w:color="auto"/>
      </w:divBdr>
    </w:div>
    <w:div w:id="1019428859">
      <w:bodyDiv w:val="1"/>
      <w:marLeft w:val="0"/>
      <w:marRight w:val="0"/>
      <w:marTop w:val="0"/>
      <w:marBottom w:val="0"/>
      <w:divBdr>
        <w:top w:val="none" w:sz="0" w:space="0" w:color="auto"/>
        <w:left w:val="none" w:sz="0" w:space="0" w:color="auto"/>
        <w:bottom w:val="none" w:sz="0" w:space="0" w:color="auto"/>
        <w:right w:val="none" w:sz="0" w:space="0" w:color="auto"/>
      </w:divBdr>
    </w:div>
    <w:div w:id="1022197129">
      <w:bodyDiv w:val="1"/>
      <w:marLeft w:val="0"/>
      <w:marRight w:val="0"/>
      <w:marTop w:val="0"/>
      <w:marBottom w:val="0"/>
      <w:divBdr>
        <w:top w:val="none" w:sz="0" w:space="0" w:color="auto"/>
        <w:left w:val="none" w:sz="0" w:space="0" w:color="auto"/>
        <w:bottom w:val="none" w:sz="0" w:space="0" w:color="auto"/>
        <w:right w:val="none" w:sz="0" w:space="0" w:color="auto"/>
      </w:divBdr>
    </w:div>
    <w:div w:id="1025643292">
      <w:bodyDiv w:val="1"/>
      <w:marLeft w:val="0"/>
      <w:marRight w:val="0"/>
      <w:marTop w:val="0"/>
      <w:marBottom w:val="0"/>
      <w:divBdr>
        <w:top w:val="none" w:sz="0" w:space="0" w:color="auto"/>
        <w:left w:val="none" w:sz="0" w:space="0" w:color="auto"/>
        <w:bottom w:val="none" w:sz="0" w:space="0" w:color="auto"/>
        <w:right w:val="none" w:sz="0" w:space="0" w:color="auto"/>
      </w:divBdr>
    </w:div>
    <w:div w:id="1033573237">
      <w:bodyDiv w:val="1"/>
      <w:marLeft w:val="0"/>
      <w:marRight w:val="0"/>
      <w:marTop w:val="0"/>
      <w:marBottom w:val="0"/>
      <w:divBdr>
        <w:top w:val="none" w:sz="0" w:space="0" w:color="auto"/>
        <w:left w:val="none" w:sz="0" w:space="0" w:color="auto"/>
        <w:bottom w:val="none" w:sz="0" w:space="0" w:color="auto"/>
        <w:right w:val="none" w:sz="0" w:space="0" w:color="auto"/>
      </w:divBdr>
    </w:div>
    <w:div w:id="1033654311">
      <w:bodyDiv w:val="1"/>
      <w:marLeft w:val="0"/>
      <w:marRight w:val="0"/>
      <w:marTop w:val="0"/>
      <w:marBottom w:val="0"/>
      <w:divBdr>
        <w:top w:val="none" w:sz="0" w:space="0" w:color="auto"/>
        <w:left w:val="none" w:sz="0" w:space="0" w:color="auto"/>
        <w:bottom w:val="none" w:sz="0" w:space="0" w:color="auto"/>
        <w:right w:val="none" w:sz="0" w:space="0" w:color="auto"/>
      </w:divBdr>
    </w:div>
    <w:div w:id="1036545054">
      <w:bodyDiv w:val="1"/>
      <w:marLeft w:val="0"/>
      <w:marRight w:val="0"/>
      <w:marTop w:val="0"/>
      <w:marBottom w:val="0"/>
      <w:divBdr>
        <w:top w:val="none" w:sz="0" w:space="0" w:color="auto"/>
        <w:left w:val="none" w:sz="0" w:space="0" w:color="auto"/>
        <w:bottom w:val="none" w:sz="0" w:space="0" w:color="auto"/>
        <w:right w:val="none" w:sz="0" w:space="0" w:color="auto"/>
      </w:divBdr>
    </w:div>
    <w:div w:id="1039209324">
      <w:bodyDiv w:val="1"/>
      <w:marLeft w:val="0"/>
      <w:marRight w:val="0"/>
      <w:marTop w:val="0"/>
      <w:marBottom w:val="0"/>
      <w:divBdr>
        <w:top w:val="none" w:sz="0" w:space="0" w:color="auto"/>
        <w:left w:val="none" w:sz="0" w:space="0" w:color="auto"/>
        <w:bottom w:val="none" w:sz="0" w:space="0" w:color="auto"/>
        <w:right w:val="none" w:sz="0" w:space="0" w:color="auto"/>
      </w:divBdr>
    </w:div>
    <w:div w:id="1042679042">
      <w:bodyDiv w:val="1"/>
      <w:marLeft w:val="0"/>
      <w:marRight w:val="0"/>
      <w:marTop w:val="0"/>
      <w:marBottom w:val="0"/>
      <w:divBdr>
        <w:top w:val="none" w:sz="0" w:space="0" w:color="auto"/>
        <w:left w:val="none" w:sz="0" w:space="0" w:color="auto"/>
        <w:bottom w:val="none" w:sz="0" w:space="0" w:color="auto"/>
        <w:right w:val="none" w:sz="0" w:space="0" w:color="auto"/>
      </w:divBdr>
    </w:div>
    <w:div w:id="1043334202">
      <w:bodyDiv w:val="1"/>
      <w:marLeft w:val="0"/>
      <w:marRight w:val="0"/>
      <w:marTop w:val="0"/>
      <w:marBottom w:val="0"/>
      <w:divBdr>
        <w:top w:val="none" w:sz="0" w:space="0" w:color="auto"/>
        <w:left w:val="none" w:sz="0" w:space="0" w:color="auto"/>
        <w:bottom w:val="none" w:sz="0" w:space="0" w:color="auto"/>
        <w:right w:val="none" w:sz="0" w:space="0" w:color="auto"/>
      </w:divBdr>
    </w:div>
    <w:div w:id="1047559416">
      <w:bodyDiv w:val="1"/>
      <w:marLeft w:val="0"/>
      <w:marRight w:val="0"/>
      <w:marTop w:val="0"/>
      <w:marBottom w:val="0"/>
      <w:divBdr>
        <w:top w:val="none" w:sz="0" w:space="0" w:color="auto"/>
        <w:left w:val="none" w:sz="0" w:space="0" w:color="auto"/>
        <w:bottom w:val="none" w:sz="0" w:space="0" w:color="auto"/>
        <w:right w:val="none" w:sz="0" w:space="0" w:color="auto"/>
      </w:divBdr>
    </w:div>
    <w:div w:id="1056784010">
      <w:bodyDiv w:val="1"/>
      <w:marLeft w:val="0"/>
      <w:marRight w:val="0"/>
      <w:marTop w:val="0"/>
      <w:marBottom w:val="0"/>
      <w:divBdr>
        <w:top w:val="none" w:sz="0" w:space="0" w:color="auto"/>
        <w:left w:val="none" w:sz="0" w:space="0" w:color="auto"/>
        <w:bottom w:val="none" w:sz="0" w:space="0" w:color="auto"/>
        <w:right w:val="none" w:sz="0" w:space="0" w:color="auto"/>
      </w:divBdr>
    </w:div>
    <w:div w:id="1064983318">
      <w:bodyDiv w:val="1"/>
      <w:marLeft w:val="0"/>
      <w:marRight w:val="0"/>
      <w:marTop w:val="0"/>
      <w:marBottom w:val="0"/>
      <w:divBdr>
        <w:top w:val="none" w:sz="0" w:space="0" w:color="auto"/>
        <w:left w:val="none" w:sz="0" w:space="0" w:color="auto"/>
        <w:bottom w:val="none" w:sz="0" w:space="0" w:color="auto"/>
        <w:right w:val="none" w:sz="0" w:space="0" w:color="auto"/>
      </w:divBdr>
    </w:div>
    <w:div w:id="1065639499">
      <w:bodyDiv w:val="1"/>
      <w:marLeft w:val="0"/>
      <w:marRight w:val="0"/>
      <w:marTop w:val="0"/>
      <w:marBottom w:val="0"/>
      <w:divBdr>
        <w:top w:val="none" w:sz="0" w:space="0" w:color="auto"/>
        <w:left w:val="none" w:sz="0" w:space="0" w:color="auto"/>
        <w:bottom w:val="none" w:sz="0" w:space="0" w:color="auto"/>
        <w:right w:val="none" w:sz="0" w:space="0" w:color="auto"/>
      </w:divBdr>
    </w:div>
    <w:div w:id="1069184614">
      <w:bodyDiv w:val="1"/>
      <w:marLeft w:val="0"/>
      <w:marRight w:val="0"/>
      <w:marTop w:val="0"/>
      <w:marBottom w:val="0"/>
      <w:divBdr>
        <w:top w:val="none" w:sz="0" w:space="0" w:color="auto"/>
        <w:left w:val="none" w:sz="0" w:space="0" w:color="auto"/>
        <w:bottom w:val="none" w:sz="0" w:space="0" w:color="auto"/>
        <w:right w:val="none" w:sz="0" w:space="0" w:color="auto"/>
      </w:divBdr>
    </w:div>
    <w:div w:id="1074400515">
      <w:bodyDiv w:val="1"/>
      <w:marLeft w:val="0"/>
      <w:marRight w:val="0"/>
      <w:marTop w:val="0"/>
      <w:marBottom w:val="0"/>
      <w:divBdr>
        <w:top w:val="none" w:sz="0" w:space="0" w:color="auto"/>
        <w:left w:val="none" w:sz="0" w:space="0" w:color="auto"/>
        <w:bottom w:val="none" w:sz="0" w:space="0" w:color="auto"/>
        <w:right w:val="none" w:sz="0" w:space="0" w:color="auto"/>
      </w:divBdr>
    </w:div>
    <w:div w:id="1076785912">
      <w:bodyDiv w:val="1"/>
      <w:marLeft w:val="0"/>
      <w:marRight w:val="0"/>
      <w:marTop w:val="0"/>
      <w:marBottom w:val="0"/>
      <w:divBdr>
        <w:top w:val="none" w:sz="0" w:space="0" w:color="auto"/>
        <w:left w:val="none" w:sz="0" w:space="0" w:color="auto"/>
        <w:bottom w:val="none" w:sz="0" w:space="0" w:color="auto"/>
        <w:right w:val="none" w:sz="0" w:space="0" w:color="auto"/>
      </w:divBdr>
    </w:div>
    <w:div w:id="1078552683">
      <w:bodyDiv w:val="1"/>
      <w:marLeft w:val="0"/>
      <w:marRight w:val="0"/>
      <w:marTop w:val="0"/>
      <w:marBottom w:val="0"/>
      <w:divBdr>
        <w:top w:val="none" w:sz="0" w:space="0" w:color="auto"/>
        <w:left w:val="none" w:sz="0" w:space="0" w:color="auto"/>
        <w:bottom w:val="none" w:sz="0" w:space="0" w:color="auto"/>
        <w:right w:val="none" w:sz="0" w:space="0" w:color="auto"/>
      </w:divBdr>
    </w:div>
    <w:div w:id="1082025016">
      <w:bodyDiv w:val="1"/>
      <w:marLeft w:val="0"/>
      <w:marRight w:val="0"/>
      <w:marTop w:val="0"/>
      <w:marBottom w:val="0"/>
      <w:divBdr>
        <w:top w:val="none" w:sz="0" w:space="0" w:color="auto"/>
        <w:left w:val="none" w:sz="0" w:space="0" w:color="auto"/>
        <w:bottom w:val="none" w:sz="0" w:space="0" w:color="auto"/>
        <w:right w:val="none" w:sz="0" w:space="0" w:color="auto"/>
      </w:divBdr>
    </w:div>
    <w:div w:id="1082262800">
      <w:bodyDiv w:val="1"/>
      <w:marLeft w:val="0"/>
      <w:marRight w:val="0"/>
      <w:marTop w:val="0"/>
      <w:marBottom w:val="0"/>
      <w:divBdr>
        <w:top w:val="none" w:sz="0" w:space="0" w:color="auto"/>
        <w:left w:val="none" w:sz="0" w:space="0" w:color="auto"/>
        <w:bottom w:val="none" w:sz="0" w:space="0" w:color="auto"/>
        <w:right w:val="none" w:sz="0" w:space="0" w:color="auto"/>
      </w:divBdr>
    </w:div>
    <w:div w:id="1085800917">
      <w:bodyDiv w:val="1"/>
      <w:marLeft w:val="0"/>
      <w:marRight w:val="0"/>
      <w:marTop w:val="0"/>
      <w:marBottom w:val="0"/>
      <w:divBdr>
        <w:top w:val="none" w:sz="0" w:space="0" w:color="auto"/>
        <w:left w:val="none" w:sz="0" w:space="0" w:color="auto"/>
        <w:bottom w:val="none" w:sz="0" w:space="0" w:color="auto"/>
        <w:right w:val="none" w:sz="0" w:space="0" w:color="auto"/>
      </w:divBdr>
    </w:div>
    <w:div w:id="1092697953">
      <w:bodyDiv w:val="1"/>
      <w:marLeft w:val="0"/>
      <w:marRight w:val="0"/>
      <w:marTop w:val="0"/>
      <w:marBottom w:val="0"/>
      <w:divBdr>
        <w:top w:val="none" w:sz="0" w:space="0" w:color="auto"/>
        <w:left w:val="none" w:sz="0" w:space="0" w:color="auto"/>
        <w:bottom w:val="none" w:sz="0" w:space="0" w:color="auto"/>
        <w:right w:val="none" w:sz="0" w:space="0" w:color="auto"/>
      </w:divBdr>
    </w:div>
    <w:div w:id="1094745248">
      <w:bodyDiv w:val="1"/>
      <w:marLeft w:val="0"/>
      <w:marRight w:val="0"/>
      <w:marTop w:val="0"/>
      <w:marBottom w:val="0"/>
      <w:divBdr>
        <w:top w:val="none" w:sz="0" w:space="0" w:color="auto"/>
        <w:left w:val="none" w:sz="0" w:space="0" w:color="auto"/>
        <w:bottom w:val="none" w:sz="0" w:space="0" w:color="auto"/>
        <w:right w:val="none" w:sz="0" w:space="0" w:color="auto"/>
      </w:divBdr>
    </w:div>
    <w:div w:id="1098676999">
      <w:bodyDiv w:val="1"/>
      <w:marLeft w:val="0"/>
      <w:marRight w:val="0"/>
      <w:marTop w:val="0"/>
      <w:marBottom w:val="0"/>
      <w:divBdr>
        <w:top w:val="none" w:sz="0" w:space="0" w:color="auto"/>
        <w:left w:val="none" w:sz="0" w:space="0" w:color="auto"/>
        <w:bottom w:val="none" w:sz="0" w:space="0" w:color="auto"/>
        <w:right w:val="none" w:sz="0" w:space="0" w:color="auto"/>
      </w:divBdr>
    </w:div>
    <w:div w:id="1105273175">
      <w:bodyDiv w:val="1"/>
      <w:marLeft w:val="0"/>
      <w:marRight w:val="0"/>
      <w:marTop w:val="0"/>
      <w:marBottom w:val="0"/>
      <w:divBdr>
        <w:top w:val="none" w:sz="0" w:space="0" w:color="auto"/>
        <w:left w:val="none" w:sz="0" w:space="0" w:color="auto"/>
        <w:bottom w:val="none" w:sz="0" w:space="0" w:color="auto"/>
        <w:right w:val="none" w:sz="0" w:space="0" w:color="auto"/>
      </w:divBdr>
    </w:div>
    <w:div w:id="1108046166">
      <w:bodyDiv w:val="1"/>
      <w:marLeft w:val="0"/>
      <w:marRight w:val="0"/>
      <w:marTop w:val="0"/>
      <w:marBottom w:val="0"/>
      <w:divBdr>
        <w:top w:val="none" w:sz="0" w:space="0" w:color="auto"/>
        <w:left w:val="none" w:sz="0" w:space="0" w:color="auto"/>
        <w:bottom w:val="none" w:sz="0" w:space="0" w:color="auto"/>
        <w:right w:val="none" w:sz="0" w:space="0" w:color="auto"/>
      </w:divBdr>
    </w:div>
    <w:div w:id="1108429925">
      <w:bodyDiv w:val="1"/>
      <w:marLeft w:val="0"/>
      <w:marRight w:val="0"/>
      <w:marTop w:val="0"/>
      <w:marBottom w:val="0"/>
      <w:divBdr>
        <w:top w:val="none" w:sz="0" w:space="0" w:color="auto"/>
        <w:left w:val="none" w:sz="0" w:space="0" w:color="auto"/>
        <w:bottom w:val="none" w:sz="0" w:space="0" w:color="auto"/>
        <w:right w:val="none" w:sz="0" w:space="0" w:color="auto"/>
      </w:divBdr>
    </w:div>
    <w:div w:id="1108744586">
      <w:bodyDiv w:val="1"/>
      <w:marLeft w:val="0"/>
      <w:marRight w:val="0"/>
      <w:marTop w:val="0"/>
      <w:marBottom w:val="0"/>
      <w:divBdr>
        <w:top w:val="none" w:sz="0" w:space="0" w:color="auto"/>
        <w:left w:val="none" w:sz="0" w:space="0" w:color="auto"/>
        <w:bottom w:val="none" w:sz="0" w:space="0" w:color="auto"/>
        <w:right w:val="none" w:sz="0" w:space="0" w:color="auto"/>
      </w:divBdr>
    </w:div>
    <w:div w:id="1120148402">
      <w:bodyDiv w:val="1"/>
      <w:marLeft w:val="0"/>
      <w:marRight w:val="0"/>
      <w:marTop w:val="0"/>
      <w:marBottom w:val="0"/>
      <w:divBdr>
        <w:top w:val="none" w:sz="0" w:space="0" w:color="auto"/>
        <w:left w:val="none" w:sz="0" w:space="0" w:color="auto"/>
        <w:bottom w:val="none" w:sz="0" w:space="0" w:color="auto"/>
        <w:right w:val="none" w:sz="0" w:space="0" w:color="auto"/>
      </w:divBdr>
    </w:div>
    <w:div w:id="1127775107">
      <w:bodyDiv w:val="1"/>
      <w:marLeft w:val="0"/>
      <w:marRight w:val="0"/>
      <w:marTop w:val="0"/>
      <w:marBottom w:val="0"/>
      <w:divBdr>
        <w:top w:val="none" w:sz="0" w:space="0" w:color="auto"/>
        <w:left w:val="none" w:sz="0" w:space="0" w:color="auto"/>
        <w:bottom w:val="none" w:sz="0" w:space="0" w:color="auto"/>
        <w:right w:val="none" w:sz="0" w:space="0" w:color="auto"/>
      </w:divBdr>
    </w:div>
    <w:div w:id="1133402670">
      <w:bodyDiv w:val="1"/>
      <w:marLeft w:val="0"/>
      <w:marRight w:val="0"/>
      <w:marTop w:val="0"/>
      <w:marBottom w:val="0"/>
      <w:divBdr>
        <w:top w:val="none" w:sz="0" w:space="0" w:color="auto"/>
        <w:left w:val="none" w:sz="0" w:space="0" w:color="auto"/>
        <w:bottom w:val="none" w:sz="0" w:space="0" w:color="auto"/>
        <w:right w:val="none" w:sz="0" w:space="0" w:color="auto"/>
      </w:divBdr>
    </w:div>
    <w:div w:id="1136987900">
      <w:bodyDiv w:val="1"/>
      <w:marLeft w:val="0"/>
      <w:marRight w:val="0"/>
      <w:marTop w:val="0"/>
      <w:marBottom w:val="0"/>
      <w:divBdr>
        <w:top w:val="none" w:sz="0" w:space="0" w:color="auto"/>
        <w:left w:val="none" w:sz="0" w:space="0" w:color="auto"/>
        <w:bottom w:val="none" w:sz="0" w:space="0" w:color="auto"/>
        <w:right w:val="none" w:sz="0" w:space="0" w:color="auto"/>
      </w:divBdr>
    </w:div>
    <w:div w:id="1137796376">
      <w:bodyDiv w:val="1"/>
      <w:marLeft w:val="0"/>
      <w:marRight w:val="0"/>
      <w:marTop w:val="0"/>
      <w:marBottom w:val="0"/>
      <w:divBdr>
        <w:top w:val="none" w:sz="0" w:space="0" w:color="auto"/>
        <w:left w:val="none" w:sz="0" w:space="0" w:color="auto"/>
        <w:bottom w:val="none" w:sz="0" w:space="0" w:color="auto"/>
        <w:right w:val="none" w:sz="0" w:space="0" w:color="auto"/>
      </w:divBdr>
    </w:div>
    <w:div w:id="1138257023">
      <w:bodyDiv w:val="1"/>
      <w:marLeft w:val="0"/>
      <w:marRight w:val="0"/>
      <w:marTop w:val="0"/>
      <w:marBottom w:val="0"/>
      <w:divBdr>
        <w:top w:val="none" w:sz="0" w:space="0" w:color="auto"/>
        <w:left w:val="none" w:sz="0" w:space="0" w:color="auto"/>
        <w:bottom w:val="none" w:sz="0" w:space="0" w:color="auto"/>
        <w:right w:val="none" w:sz="0" w:space="0" w:color="auto"/>
      </w:divBdr>
    </w:div>
    <w:div w:id="1142432213">
      <w:bodyDiv w:val="1"/>
      <w:marLeft w:val="0"/>
      <w:marRight w:val="0"/>
      <w:marTop w:val="0"/>
      <w:marBottom w:val="0"/>
      <w:divBdr>
        <w:top w:val="none" w:sz="0" w:space="0" w:color="auto"/>
        <w:left w:val="none" w:sz="0" w:space="0" w:color="auto"/>
        <w:bottom w:val="none" w:sz="0" w:space="0" w:color="auto"/>
        <w:right w:val="none" w:sz="0" w:space="0" w:color="auto"/>
      </w:divBdr>
    </w:div>
    <w:div w:id="1148665032">
      <w:bodyDiv w:val="1"/>
      <w:marLeft w:val="0"/>
      <w:marRight w:val="0"/>
      <w:marTop w:val="0"/>
      <w:marBottom w:val="0"/>
      <w:divBdr>
        <w:top w:val="none" w:sz="0" w:space="0" w:color="auto"/>
        <w:left w:val="none" w:sz="0" w:space="0" w:color="auto"/>
        <w:bottom w:val="none" w:sz="0" w:space="0" w:color="auto"/>
        <w:right w:val="none" w:sz="0" w:space="0" w:color="auto"/>
      </w:divBdr>
    </w:div>
    <w:div w:id="1151020453">
      <w:bodyDiv w:val="1"/>
      <w:marLeft w:val="0"/>
      <w:marRight w:val="0"/>
      <w:marTop w:val="0"/>
      <w:marBottom w:val="0"/>
      <w:divBdr>
        <w:top w:val="none" w:sz="0" w:space="0" w:color="auto"/>
        <w:left w:val="none" w:sz="0" w:space="0" w:color="auto"/>
        <w:bottom w:val="none" w:sz="0" w:space="0" w:color="auto"/>
        <w:right w:val="none" w:sz="0" w:space="0" w:color="auto"/>
      </w:divBdr>
    </w:div>
    <w:div w:id="1151558310">
      <w:bodyDiv w:val="1"/>
      <w:marLeft w:val="0"/>
      <w:marRight w:val="0"/>
      <w:marTop w:val="0"/>
      <w:marBottom w:val="0"/>
      <w:divBdr>
        <w:top w:val="none" w:sz="0" w:space="0" w:color="auto"/>
        <w:left w:val="none" w:sz="0" w:space="0" w:color="auto"/>
        <w:bottom w:val="none" w:sz="0" w:space="0" w:color="auto"/>
        <w:right w:val="none" w:sz="0" w:space="0" w:color="auto"/>
      </w:divBdr>
    </w:div>
    <w:div w:id="1151825245">
      <w:bodyDiv w:val="1"/>
      <w:marLeft w:val="0"/>
      <w:marRight w:val="0"/>
      <w:marTop w:val="0"/>
      <w:marBottom w:val="0"/>
      <w:divBdr>
        <w:top w:val="none" w:sz="0" w:space="0" w:color="auto"/>
        <w:left w:val="none" w:sz="0" w:space="0" w:color="auto"/>
        <w:bottom w:val="none" w:sz="0" w:space="0" w:color="auto"/>
        <w:right w:val="none" w:sz="0" w:space="0" w:color="auto"/>
      </w:divBdr>
    </w:div>
    <w:div w:id="1154838698">
      <w:bodyDiv w:val="1"/>
      <w:marLeft w:val="0"/>
      <w:marRight w:val="0"/>
      <w:marTop w:val="0"/>
      <w:marBottom w:val="0"/>
      <w:divBdr>
        <w:top w:val="none" w:sz="0" w:space="0" w:color="auto"/>
        <w:left w:val="none" w:sz="0" w:space="0" w:color="auto"/>
        <w:bottom w:val="none" w:sz="0" w:space="0" w:color="auto"/>
        <w:right w:val="none" w:sz="0" w:space="0" w:color="auto"/>
      </w:divBdr>
    </w:div>
    <w:div w:id="1156797101">
      <w:bodyDiv w:val="1"/>
      <w:marLeft w:val="0"/>
      <w:marRight w:val="0"/>
      <w:marTop w:val="0"/>
      <w:marBottom w:val="0"/>
      <w:divBdr>
        <w:top w:val="none" w:sz="0" w:space="0" w:color="auto"/>
        <w:left w:val="none" w:sz="0" w:space="0" w:color="auto"/>
        <w:bottom w:val="none" w:sz="0" w:space="0" w:color="auto"/>
        <w:right w:val="none" w:sz="0" w:space="0" w:color="auto"/>
      </w:divBdr>
    </w:div>
    <w:div w:id="1156992354">
      <w:bodyDiv w:val="1"/>
      <w:marLeft w:val="0"/>
      <w:marRight w:val="0"/>
      <w:marTop w:val="0"/>
      <w:marBottom w:val="0"/>
      <w:divBdr>
        <w:top w:val="none" w:sz="0" w:space="0" w:color="auto"/>
        <w:left w:val="none" w:sz="0" w:space="0" w:color="auto"/>
        <w:bottom w:val="none" w:sz="0" w:space="0" w:color="auto"/>
        <w:right w:val="none" w:sz="0" w:space="0" w:color="auto"/>
      </w:divBdr>
    </w:div>
    <w:div w:id="1159535177">
      <w:bodyDiv w:val="1"/>
      <w:marLeft w:val="0"/>
      <w:marRight w:val="0"/>
      <w:marTop w:val="0"/>
      <w:marBottom w:val="0"/>
      <w:divBdr>
        <w:top w:val="none" w:sz="0" w:space="0" w:color="auto"/>
        <w:left w:val="none" w:sz="0" w:space="0" w:color="auto"/>
        <w:bottom w:val="none" w:sz="0" w:space="0" w:color="auto"/>
        <w:right w:val="none" w:sz="0" w:space="0" w:color="auto"/>
      </w:divBdr>
    </w:div>
    <w:div w:id="1160922909">
      <w:bodyDiv w:val="1"/>
      <w:marLeft w:val="0"/>
      <w:marRight w:val="0"/>
      <w:marTop w:val="0"/>
      <w:marBottom w:val="0"/>
      <w:divBdr>
        <w:top w:val="none" w:sz="0" w:space="0" w:color="auto"/>
        <w:left w:val="none" w:sz="0" w:space="0" w:color="auto"/>
        <w:bottom w:val="none" w:sz="0" w:space="0" w:color="auto"/>
        <w:right w:val="none" w:sz="0" w:space="0" w:color="auto"/>
      </w:divBdr>
    </w:div>
    <w:div w:id="1163006628">
      <w:bodyDiv w:val="1"/>
      <w:marLeft w:val="0"/>
      <w:marRight w:val="0"/>
      <w:marTop w:val="0"/>
      <w:marBottom w:val="0"/>
      <w:divBdr>
        <w:top w:val="none" w:sz="0" w:space="0" w:color="auto"/>
        <w:left w:val="none" w:sz="0" w:space="0" w:color="auto"/>
        <w:bottom w:val="none" w:sz="0" w:space="0" w:color="auto"/>
        <w:right w:val="none" w:sz="0" w:space="0" w:color="auto"/>
      </w:divBdr>
    </w:div>
    <w:div w:id="1163742166">
      <w:bodyDiv w:val="1"/>
      <w:marLeft w:val="0"/>
      <w:marRight w:val="0"/>
      <w:marTop w:val="0"/>
      <w:marBottom w:val="0"/>
      <w:divBdr>
        <w:top w:val="none" w:sz="0" w:space="0" w:color="auto"/>
        <w:left w:val="none" w:sz="0" w:space="0" w:color="auto"/>
        <w:bottom w:val="none" w:sz="0" w:space="0" w:color="auto"/>
        <w:right w:val="none" w:sz="0" w:space="0" w:color="auto"/>
      </w:divBdr>
    </w:div>
    <w:div w:id="1164590126">
      <w:bodyDiv w:val="1"/>
      <w:marLeft w:val="0"/>
      <w:marRight w:val="0"/>
      <w:marTop w:val="0"/>
      <w:marBottom w:val="0"/>
      <w:divBdr>
        <w:top w:val="none" w:sz="0" w:space="0" w:color="auto"/>
        <w:left w:val="none" w:sz="0" w:space="0" w:color="auto"/>
        <w:bottom w:val="none" w:sz="0" w:space="0" w:color="auto"/>
        <w:right w:val="none" w:sz="0" w:space="0" w:color="auto"/>
      </w:divBdr>
    </w:div>
    <w:div w:id="1171531969">
      <w:bodyDiv w:val="1"/>
      <w:marLeft w:val="0"/>
      <w:marRight w:val="0"/>
      <w:marTop w:val="0"/>
      <w:marBottom w:val="0"/>
      <w:divBdr>
        <w:top w:val="none" w:sz="0" w:space="0" w:color="auto"/>
        <w:left w:val="none" w:sz="0" w:space="0" w:color="auto"/>
        <w:bottom w:val="none" w:sz="0" w:space="0" w:color="auto"/>
        <w:right w:val="none" w:sz="0" w:space="0" w:color="auto"/>
      </w:divBdr>
    </w:div>
    <w:div w:id="1173185383">
      <w:bodyDiv w:val="1"/>
      <w:marLeft w:val="0"/>
      <w:marRight w:val="0"/>
      <w:marTop w:val="0"/>
      <w:marBottom w:val="0"/>
      <w:divBdr>
        <w:top w:val="none" w:sz="0" w:space="0" w:color="auto"/>
        <w:left w:val="none" w:sz="0" w:space="0" w:color="auto"/>
        <w:bottom w:val="none" w:sz="0" w:space="0" w:color="auto"/>
        <w:right w:val="none" w:sz="0" w:space="0" w:color="auto"/>
      </w:divBdr>
    </w:div>
    <w:div w:id="1174346552">
      <w:bodyDiv w:val="1"/>
      <w:marLeft w:val="0"/>
      <w:marRight w:val="0"/>
      <w:marTop w:val="0"/>
      <w:marBottom w:val="0"/>
      <w:divBdr>
        <w:top w:val="none" w:sz="0" w:space="0" w:color="auto"/>
        <w:left w:val="none" w:sz="0" w:space="0" w:color="auto"/>
        <w:bottom w:val="none" w:sz="0" w:space="0" w:color="auto"/>
        <w:right w:val="none" w:sz="0" w:space="0" w:color="auto"/>
      </w:divBdr>
    </w:div>
    <w:div w:id="1179271368">
      <w:bodyDiv w:val="1"/>
      <w:marLeft w:val="0"/>
      <w:marRight w:val="0"/>
      <w:marTop w:val="0"/>
      <w:marBottom w:val="0"/>
      <w:divBdr>
        <w:top w:val="none" w:sz="0" w:space="0" w:color="auto"/>
        <w:left w:val="none" w:sz="0" w:space="0" w:color="auto"/>
        <w:bottom w:val="none" w:sz="0" w:space="0" w:color="auto"/>
        <w:right w:val="none" w:sz="0" w:space="0" w:color="auto"/>
      </w:divBdr>
    </w:div>
    <w:div w:id="1181433352">
      <w:bodyDiv w:val="1"/>
      <w:marLeft w:val="0"/>
      <w:marRight w:val="0"/>
      <w:marTop w:val="0"/>
      <w:marBottom w:val="0"/>
      <w:divBdr>
        <w:top w:val="none" w:sz="0" w:space="0" w:color="auto"/>
        <w:left w:val="none" w:sz="0" w:space="0" w:color="auto"/>
        <w:bottom w:val="none" w:sz="0" w:space="0" w:color="auto"/>
        <w:right w:val="none" w:sz="0" w:space="0" w:color="auto"/>
      </w:divBdr>
    </w:div>
    <w:div w:id="1187864096">
      <w:bodyDiv w:val="1"/>
      <w:marLeft w:val="0"/>
      <w:marRight w:val="0"/>
      <w:marTop w:val="0"/>
      <w:marBottom w:val="0"/>
      <w:divBdr>
        <w:top w:val="none" w:sz="0" w:space="0" w:color="auto"/>
        <w:left w:val="none" w:sz="0" w:space="0" w:color="auto"/>
        <w:bottom w:val="none" w:sz="0" w:space="0" w:color="auto"/>
        <w:right w:val="none" w:sz="0" w:space="0" w:color="auto"/>
      </w:divBdr>
    </w:div>
    <w:div w:id="1188906341">
      <w:bodyDiv w:val="1"/>
      <w:marLeft w:val="0"/>
      <w:marRight w:val="0"/>
      <w:marTop w:val="0"/>
      <w:marBottom w:val="0"/>
      <w:divBdr>
        <w:top w:val="none" w:sz="0" w:space="0" w:color="auto"/>
        <w:left w:val="none" w:sz="0" w:space="0" w:color="auto"/>
        <w:bottom w:val="none" w:sz="0" w:space="0" w:color="auto"/>
        <w:right w:val="none" w:sz="0" w:space="0" w:color="auto"/>
      </w:divBdr>
    </w:div>
    <w:div w:id="1189413674">
      <w:bodyDiv w:val="1"/>
      <w:marLeft w:val="0"/>
      <w:marRight w:val="0"/>
      <w:marTop w:val="0"/>
      <w:marBottom w:val="0"/>
      <w:divBdr>
        <w:top w:val="none" w:sz="0" w:space="0" w:color="auto"/>
        <w:left w:val="none" w:sz="0" w:space="0" w:color="auto"/>
        <w:bottom w:val="none" w:sz="0" w:space="0" w:color="auto"/>
        <w:right w:val="none" w:sz="0" w:space="0" w:color="auto"/>
      </w:divBdr>
    </w:div>
    <w:div w:id="1189442044">
      <w:bodyDiv w:val="1"/>
      <w:marLeft w:val="0"/>
      <w:marRight w:val="0"/>
      <w:marTop w:val="0"/>
      <w:marBottom w:val="0"/>
      <w:divBdr>
        <w:top w:val="none" w:sz="0" w:space="0" w:color="auto"/>
        <w:left w:val="none" w:sz="0" w:space="0" w:color="auto"/>
        <w:bottom w:val="none" w:sz="0" w:space="0" w:color="auto"/>
        <w:right w:val="none" w:sz="0" w:space="0" w:color="auto"/>
      </w:divBdr>
    </w:div>
    <w:div w:id="1192913848">
      <w:bodyDiv w:val="1"/>
      <w:marLeft w:val="0"/>
      <w:marRight w:val="0"/>
      <w:marTop w:val="0"/>
      <w:marBottom w:val="0"/>
      <w:divBdr>
        <w:top w:val="none" w:sz="0" w:space="0" w:color="auto"/>
        <w:left w:val="none" w:sz="0" w:space="0" w:color="auto"/>
        <w:bottom w:val="none" w:sz="0" w:space="0" w:color="auto"/>
        <w:right w:val="none" w:sz="0" w:space="0" w:color="auto"/>
      </w:divBdr>
    </w:div>
    <w:div w:id="1193879470">
      <w:bodyDiv w:val="1"/>
      <w:marLeft w:val="0"/>
      <w:marRight w:val="0"/>
      <w:marTop w:val="0"/>
      <w:marBottom w:val="0"/>
      <w:divBdr>
        <w:top w:val="none" w:sz="0" w:space="0" w:color="auto"/>
        <w:left w:val="none" w:sz="0" w:space="0" w:color="auto"/>
        <w:bottom w:val="none" w:sz="0" w:space="0" w:color="auto"/>
        <w:right w:val="none" w:sz="0" w:space="0" w:color="auto"/>
      </w:divBdr>
    </w:div>
    <w:div w:id="1197695216">
      <w:bodyDiv w:val="1"/>
      <w:marLeft w:val="0"/>
      <w:marRight w:val="0"/>
      <w:marTop w:val="0"/>
      <w:marBottom w:val="0"/>
      <w:divBdr>
        <w:top w:val="none" w:sz="0" w:space="0" w:color="auto"/>
        <w:left w:val="none" w:sz="0" w:space="0" w:color="auto"/>
        <w:bottom w:val="none" w:sz="0" w:space="0" w:color="auto"/>
        <w:right w:val="none" w:sz="0" w:space="0" w:color="auto"/>
      </w:divBdr>
    </w:div>
    <w:div w:id="1200245981">
      <w:bodyDiv w:val="1"/>
      <w:marLeft w:val="0"/>
      <w:marRight w:val="0"/>
      <w:marTop w:val="0"/>
      <w:marBottom w:val="0"/>
      <w:divBdr>
        <w:top w:val="none" w:sz="0" w:space="0" w:color="auto"/>
        <w:left w:val="none" w:sz="0" w:space="0" w:color="auto"/>
        <w:bottom w:val="none" w:sz="0" w:space="0" w:color="auto"/>
        <w:right w:val="none" w:sz="0" w:space="0" w:color="auto"/>
      </w:divBdr>
    </w:div>
    <w:div w:id="1204561191">
      <w:bodyDiv w:val="1"/>
      <w:marLeft w:val="0"/>
      <w:marRight w:val="0"/>
      <w:marTop w:val="0"/>
      <w:marBottom w:val="0"/>
      <w:divBdr>
        <w:top w:val="none" w:sz="0" w:space="0" w:color="auto"/>
        <w:left w:val="none" w:sz="0" w:space="0" w:color="auto"/>
        <w:bottom w:val="none" w:sz="0" w:space="0" w:color="auto"/>
        <w:right w:val="none" w:sz="0" w:space="0" w:color="auto"/>
      </w:divBdr>
    </w:div>
    <w:div w:id="1206023996">
      <w:bodyDiv w:val="1"/>
      <w:marLeft w:val="0"/>
      <w:marRight w:val="0"/>
      <w:marTop w:val="0"/>
      <w:marBottom w:val="0"/>
      <w:divBdr>
        <w:top w:val="none" w:sz="0" w:space="0" w:color="auto"/>
        <w:left w:val="none" w:sz="0" w:space="0" w:color="auto"/>
        <w:bottom w:val="none" w:sz="0" w:space="0" w:color="auto"/>
        <w:right w:val="none" w:sz="0" w:space="0" w:color="auto"/>
      </w:divBdr>
    </w:div>
    <w:div w:id="1209342254">
      <w:bodyDiv w:val="1"/>
      <w:marLeft w:val="0"/>
      <w:marRight w:val="0"/>
      <w:marTop w:val="0"/>
      <w:marBottom w:val="0"/>
      <w:divBdr>
        <w:top w:val="none" w:sz="0" w:space="0" w:color="auto"/>
        <w:left w:val="none" w:sz="0" w:space="0" w:color="auto"/>
        <w:bottom w:val="none" w:sz="0" w:space="0" w:color="auto"/>
        <w:right w:val="none" w:sz="0" w:space="0" w:color="auto"/>
      </w:divBdr>
    </w:div>
    <w:div w:id="1211921731">
      <w:bodyDiv w:val="1"/>
      <w:marLeft w:val="0"/>
      <w:marRight w:val="0"/>
      <w:marTop w:val="0"/>
      <w:marBottom w:val="0"/>
      <w:divBdr>
        <w:top w:val="none" w:sz="0" w:space="0" w:color="auto"/>
        <w:left w:val="none" w:sz="0" w:space="0" w:color="auto"/>
        <w:bottom w:val="none" w:sz="0" w:space="0" w:color="auto"/>
        <w:right w:val="none" w:sz="0" w:space="0" w:color="auto"/>
      </w:divBdr>
    </w:div>
    <w:div w:id="1213268352">
      <w:bodyDiv w:val="1"/>
      <w:marLeft w:val="0"/>
      <w:marRight w:val="0"/>
      <w:marTop w:val="0"/>
      <w:marBottom w:val="0"/>
      <w:divBdr>
        <w:top w:val="none" w:sz="0" w:space="0" w:color="auto"/>
        <w:left w:val="none" w:sz="0" w:space="0" w:color="auto"/>
        <w:bottom w:val="none" w:sz="0" w:space="0" w:color="auto"/>
        <w:right w:val="none" w:sz="0" w:space="0" w:color="auto"/>
      </w:divBdr>
    </w:div>
    <w:div w:id="1214930610">
      <w:bodyDiv w:val="1"/>
      <w:marLeft w:val="0"/>
      <w:marRight w:val="0"/>
      <w:marTop w:val="0"/>
      <w:marBottom w:val="0"/>
      <w:divBdr>
        <w:top w:val="none" w:sz="0" w:space="0" w:color="auto"/>
        <w:left w:val="none" w:sz="0" w:space="0" w:color="auto"/>
        <w:bottom w:val="none" w:sz="0" w:space="0" w:color="auto"/>
        <w:right w:val="none" w:sz="0" w:space="0" w:color="auto"/>
      </w:divBdr>
    </w:div>
    <w:div w:id="1215892006">
      <w:bodyDiv w:val="1"/>
      <w:marLeft w:val="0"/>
      <w:marRight w:val="0"/>
      <w:marTop w:val="0"/>
      <w:marBottom w:val="0"/>
      <w:divBdr>
        <w:top w:val="none" w:sz="0" w:space="0" w:color="auto"/>
        <w:left w:val="none" w:sz="0" w:space="0" w:color="auto"/>
        <w:bottom w:val="none" w:sz="0" w:space="0" w:color="auto"/>
        <w:right w:val="none" w:sz="0" w:space="0" w:color="auto"/>
      </w:divBdr>
    </w:div>
    <w:div w:id="1217232256">
      <w:bodyDiv w:val="1"/>
      <w:marLeft w:val="0"/>
      <w:marRight w:val="0"/>
      <w:marTop w:val="0"/>
      <w:marBottom w:val="0"/>
      <w:divBdr>
        <w:top w:val="none" w:sz="0" w:space="0" w:color="auto"/>
        <w:left w:val="none" w:sz="0" w:space="0" w:color="auto"/>
        <w:bottom w:val="none" w:sz="0" w:space="0" w:color="auto"/>
        <w:right w:val="none" w:sz="0" w:space="0" w:color="auto"/>
      </w:divBdr>
    </w:div>
    <w:div w:id="1217276665">
      <w:bodyDiv w:val="1"/>
      <w:marLeft w:val="0"/>
      <w:marRight w:val="0"/>
      <w:marTop w:val="0"/>
      <w:marBottom w:val="0"/>
      <w:divBdr>
        <w:top w:val="none" w:sz="0" w:space="0" w:color="auto"/>
        <w:left w:val="none" w:sz="0" w:space="0" w:color="auto"/>
        <w:bottom w:val="none" w:sz="0" w:space="0" w:color="auto"/>
        <w:right w:val="none" w:sz="0" w:space="0" w:color="auto"/>
      </w:divBdr>
    </w:div>
    <w:div w:id="1217358251">
      <w:bodyDiv w:val="1"/>
      <w:marLeft w:val="0"/>
      <w:marRight w:val="0"/>
      <w:marTop w:val="0"/>
      <w:marBottom w:val="0"/>
      <w:divBdr>
        <w:top w:val="none" w:sz="0" w:space="0" w:color="auto"/>
        <w:left w:val="none" w:sz="0" w:space="0" w:color="auto"/>
        <w:bottom w:val="none" w:sz="0" w:space="0" w:color="auto"/>
        <w:right w:val="none" w:sz="0" w:space="0" w:color="auto"/>
      </w:divBdr>
    </w:div>
    <w:div w:id="1220048505">
      <w:bodyDiv w:val="1"/>
      <w:marLeft w:val="0"/>
      <w:marRight w:val="0"/>
      <w:marTop w:val="0"/>
      <w:marBottom w:val="0"/>
      <w:divBdr>
        <w:top w:val="none" w:sz="0" w:space="0" w:color="auto"/>
        <w:left w:val="none" w:sz="0" w:space="0" w:color="auto"/>
        <w:bottom w:val="none" w:sz="0" w:space="0" w:color="auto"/>
        <w:right w:val="none" w:sz="0" w:space="0" w:color="auto"/>
      </w:divBdr>
    </w:div>
    <w:div w:id="1223492223">
      <w:bodyDiv w:val="1"/>
      <w:marLeft w:val="0"/>
      <w:marRight w:val="0"/>
      <w:marTop w:val="0"/>
      <w:marBottom w:val="0"/>
      <w:divBdr>
        <w:top w:val="none" w:sz="0" w:space="0" w:color="auto"/>
        <w:left w:val="none" w:sz="0" w:space="0" w:color="auto"/>
        <w:bottom w:val="none" w:sz="0" w:space="0" w:color="auto"/>
        <w:right w:val="none" w:sz="0" w:space="0" w:color="auto"/>
      </w:divBdr>
    </w:div>
    <w:div w:id="1226180906">
      <w:bodyDiv w:val="1"/>
      <w:marLeft w:val="0"/>
      <w:marRight w:val="0"/>
      <w:marTop w:val="0"/>
      <w:marBottom w:val="0"/>
      <w:divBdr>
        <w:top w:val="none" w:sz="0" w:space="0" w:color="auto"/>
        <w:left w:val="none" w:sz="0" w:space="0" w:color="auto"/>
        <w:bottom w:val="none" w:sz="0" w:space="0" w:color="auto"/>
        <w:right w:val="none" w:sz="0" w:space="0" w:color="auto"/>
      </w:divBdr>
    </w:div>
    <w:div w:id="1231497358">
      <w:bodyDiv w:val="1"/>
      <w:marLeft w:val="0"/>
      <w:marRight w:val="0"/>
      <w:marTop w:val="0"/>
      <w:marBottom w:val="0"/>
      <w:divBdr>
        <w:top w:val="none" w:sz="0" w:space="0" w:color="auto"/>
        <w:left w:val="none" w:sz="0" w:space="0" w:color="auto"/>
        <w:bottom w:val="none" w:sz="0" w:space="0" w:color="auto"/>
        <w:right w:val="none" w:sz="0" w:space="0" w:color="auto"/>
      </w:divBdr>
    </w:div>
    <w:div w:id="1233007509">
      <w:bodyDiv w:val="1"/>
      <w:marLeft w:val="0"/>
      <w:marRight w:val="0"/>
      <w:marTop w:val="0"/>
      <w:marBottom w:val="0"/>
      <w:divBdr>
        <w:top w:val="none" w:sz="0" w:space="0" w:color="auto"/>
        <w:left w:val="none" w:sz="0" w:space="0" w:color="auto"/>
        <w:bottom w:val="none" w:sz="0" w:space="0" w:color="auto"/>
        <w:right w:val="none" w:sz="0" w:space="0" w:color="auto"/>
      </w:divBdr>
    </w:div>
    <w:div w:id="1234900427">
      <w:bodyDiv w:val="1"/>
      <w:marLeft w:val="0"/>
      <w:marRight w:val="0"/>
      <w:marTop w:val="0"/>
      <w:marBottom w:val="0"/>
      <w:divBdr>
        <w:top w:val="none" w:sz="0" w:space="0" w:color="auto"/>
        <w:left w:val="none" w:sz="0" w:space="0" w:color="auto"/>
        <w:bottom w:val="none" w:sz="0" w:space="0" w:color="auto"/>
        <w:right w:val="none" w:sz="0" w:space="0" w:color="auto"/>
      </w:divBdr>
    </w:div>
    <w:div w:id="1236820041">
      <w:bodyDiv w:val="1"/>
      <w:marLeft w:val="0"/>
      <w:marRight w:val="0"/>
      <w:marTop w:val="0"/>
      <w:marBottom w:val="0"/>
      <w:divBdr>
        <w:top w:val="none" w:sz="0" w:space="0" w:color="auto"/>
        <w:left w:val="none" w:sz="0" w:space="0" w:color="auto"/>
        <w:bottom w:val="none" w:sz="0" w:space="0" w:color="auto"/>
        <w:right w:val="none" w:sz="0" w:space="0" w:color="auto"/>
      </w:divBdr>
    </w:div>
    <w:div w:id="1238518171">
      <w:bodyDiv w:val="1"/>
      <w:marLeft w:val="0"/>
      <w:marRight w:val="0"/>
      <w:marTop w:val="0"/>
      <w:marBottom w:val="0"/>
      <w:divBdr>
        <w:top w:val="none" w:sz="0" w:space="0" w:color="auto"/>
        <w:left w:val="none" w:sz="0" w:space="0" w:color="auto"/>
        <w:bottom w:val="none" w:sz="0" w:space="0" w:color="auto"/>
        <w:right w:val="none" w:sz="0" w:space="0" w:color="auto"/>
      </w:divBdr>
    </w:div>
    <w:div w:id="1240092600">
      <w:bodyDiv w:val="1"/>
      <w:marLeft w:val="0"/>
      <w:marRight w:val="0"/>
      <w:marTop w:val="0"/>
      <w:marBottom w:val="0"/>
      <w:divBdr>
        <w:top w:val="none" w:sz="0" w:space="0" w:color="auto"/>
        <w:left w:val="none" w:sz="0" w:space="0" w:color="auto"/>
        <w:bottom w:val="none" w:sz="0" w:space="0" w:color="auto"/>
        <w:right w:val="none" w:sz="0" w:space="0" w:color="auto"/>
      </w:divBdr>
    </w:div>
    <w:div w:id="1241796132">
      <w:bodyDiv w:val="1"/>
      <w:marLeft w:val="0"/>
      <w:marRight w:val="0"/>
      <w:marTop w:val="0"/>
      <w:marBottom w:val="0"/>
      <w:divBdr>
        <w:top w:val="none" w:sz="0" w:space="0" w:color="auto"/>
        <w:left w:val="none" w:sz="0" w:space="0" w:color="auto"/>
        <w:bottom w:val="none" w:sz="0" w:space="0" w:color="auto"/>
        <w:right w:val="none" w:sz="0" w:space="0" w:color="auto"/>
      </w:divBdr>
    </w:div>
    <w:div w:id="1243367789">
      <w:bodyDiv w:val="1"/>
      <w:marLeft w:val="0"/>
      <w:marRight w:val="0"/>
      <w:marTop w:val="0"/>
      <w:marBottom w:val="0"/>
      <w:divBdr>
        <w:top w:val="none" w:sz="0" w:space="0" w:color="auto"/>
        <w:left w:val="none" w:sz="0" w:space="0" w:color="auto"/>
        <w:bottom w:val="none" w:sz="0" w:space="0" w:color="auto"/>
        <w:right w:val="none" w:sz="0" w:space="0" w:color="auto"/>
      </w:divBdr>
    </w:div>
    <w:div w:id="1247689527">
      <w:bodyDiv w:val="1"/>
      <w:marLeft w:val="0"/>
      <w:marRight w:val="0"/>
      <w:marTop w:val="0"/>
      <w:marBottom w:val="0"/>
      <w:divBdr>
        <w:top w:val="none" w:sz="0" w:space="0" w:color="auto"/>
        <w:left w:val="none" w:sz="0" w:space="0" w:color="auto"/>
        <w:bottom w:val="none" w:sz="0" w:space="0" w:color="auto"/>
        <w:right w:val="none" w:sz="0" w:space="0" w:color="auto"/>
      </w:divBdr>
    </w:div>
    <w:div w:id="1250313309">
      <w:bodyDiv w:val="1"/>
      <w:marLeft w:val="0"/>
      <w:marRight w:val="0"/>
      <w:marTop w:val="0"/>
      <w:marBottom w:val="0"/>
      <w:divBdr>
        <w:top w:val="none" w:sz="0" w:space="0" w:color="auto"/>
        <w:left w:val="none" w:sz="0" w:space="0" w:color="auto"/>
        <w:bottom w:val="none" w:sz="0" w:space="0" w:color="auto"/>
        <w:right w:val="none" w:sz="0" w:space="0" w:color="auto"/>
      </w:divBdr>
    </w:div>
    <w:div w:id="1256205237">
      <w:bodyDiv w:val="1"/>
      <w:marLeft w:val="0"/>
      <w:marRight w:val="0"/>
      <w:marTop w:val="0"/>
      <w:marBottom w:val="0"/>
      <w:divBdr>
        <w:top w:val="none" w:sz="0" w:space="0" w:color="auto"/>
        <w:left w:val="none" w:sz="0" w:space="0" w:color="auto"/>
        <w:bottom w:val="none" w:sz="0" w:space="0" w:color="auto"/>
        <w:right w:val="none" w:sz="0" w:space="0" w:color="auto"/>
      </w:divBdr>
    </w:div>
    <w:div w:id="1257208437">
      <w:bodyDiv w:val="1"/>
      <w:marLeft w:val="0"/>
      <w:marRight w:val="0"/>
      <w:marTop w:val="0"/>
      <w:marBottom w:val="0"/>
      <w:divBdr>
        <w:top w:val="none" w:sz="0" w:space="0" w:color="auto"/>
        <w:left w:val="none" w:sz="0" w:space="0" w:color="auto"/>
        <w:bottom w:val="none" w:sz="0" w:space="0" w:color="auto"/>
        <w:right w:val="none" w:sz="0" w:space="0" w:color="auto"/>
      </w:divBdr>
    </w:div>
    <w:div w:id="1258749965">
      <w:bodyDiv w:val="1"/>
      <w:marLeft w:val="0"/>
      <w:marRight w:val="0"/>
      <w:marTop w:val="0"/>
      <w:marBottom w:val="0"/>
      <w:divBdr>
        <w:top w:val="none" w:sz="0" w:space="0" w:color="auto"/>
        <w:left w:val="none" w:sz="0" w:space="0" w:color="auto"/>
        <w:bottom w:val="none" w:sz="0" w:space="0" w:color="auto"/>
        <w:right w:val="none" w:sz="0" w:space="0" w:color="auto"/>
      </w:divBdr>
    </w:div>
    <w:div w:id="1259679020">
      <w:bodyDiv w:val="1"/>
      <w:marLeft w:val="0"/>
      <w:marRight w:val="0"/>
      <w:marTop w:val="0"/>
      <w:marBottom w:val="0"/>
      <w:divBdr>
        <w:top w:val="none" w:sz="0" w:space="0" w:color="auto"/>
        <w:left w:val="none" w:sz="0" w:space="0" w:color="auto"/>
        <w:bottom w:val="none" w:sz="0" w:space="0" w:color="auto"/>
        <w:right w:val="none" w:sz="0" w:space="0" w:color="auto"/>
      </w:divBdr>
      <w:divsChild>
        <w:div w:id="1223558443">
          <w:marLeft w:val="0"/>
          <w:marRight w:val="0"/>
          <w:marTop w:val="0"/>
          <w:marBottom w:val="0"/>
          <w:divBdr>
            <w:top w:val="none" w:sz="0" w:space="0" w:color="auto"/>
            <w:left w:val="none" w:sz="0" w:space="0" w:color="auto"/>
            <w:bottom w:val="none" w:sz="0" w:space="0" w:color="auto"/>
            <w:right w:val="none" w:sz="0" w:space="0" w:color="auto"/>
          </w:divBdr>
        </w:div>
      </w:divsChild>
    </w:div>
    <w:div w:id="1259951541">
      <w:bodyDiv w:val="1"/>
      <w:marLeft w:val="0"/>
      <w:marRight w:val="0"/>
      <w:marTop w:val="0"/>
      <w:marBottom w:val="0"/>
      <w:divBdr>
        <w:top w:val="none" w:sz="0" w:space="0" w:color="auto"/>
        <w:left w:val="none" w:sz="0" w:space="0" w:color="auto"/>
        <w:bottom w:val="none" w:sz="0" w:space="0" w:color="auto"/>
        <w:right w:val="none" w:sz="0" w:space="0" w:color="auto"/>
      </w:divBdr>
    </w:div>
    <w:div w:id="1261064155">
      <w:bodyDiv w:val="1"/>
      <w:marLeft w:val="0"/>
      <w:marRight w:val="0"/>
      <w:marTop w:val="0"/>
      <w:marBottom w:val="0"/>
      <w:divBdr>
        <w:top w:val="none" w:sz="0" w:space="0" w:color="auto"/>
        <w:left w:val="none" w:sz="0" w:space="0" w:color="auto"/>
        <w:bottom w:val="none" w:sz="0" w:space="0" w:color="auto"/>
        <w:right w:val="none" w:sz="0" w:space="0" w:color="auto"/>
      </w:divBdr>
    </w:div>
    <w:div w:id="1261916935">
      <w:bodyDiv w:val="1"/>
      <w:marLeft w:val="0"/>
      <w:marRight w:val="0"/>
      <w:marTop w:val="0"/>
      <w:marBottom w:val="0"/>
      <w:divBdr>
        <w:top w:val="none" w:sz="0" w:space="0" w:color="auto"/>
        <w:left w:val="none" w:sz="0" w:space="0" w:color="auto"/>
        <w:bottom w:val="none" w:sz="0" w:space="0" w:color="auto"/>
        <w:right w:val="none" w:sz="0" w:space="0" w:color="auto"/>
      </w:divBdr>
    </w:div>
    <w:div w:id="1262446629">
      <w:bodyDiv w:val="1"/>
      <w:marLeft w:val="0"/>
      <w:marRight w:val="0"/>
      <w:marTop w:val="0"/>
      <w:marBottom w:val="0"/>
      <w:divBdr>
        <w:top w:val="none" w:sz="0" w:space="0" w:color="auto"/>
        <w:left w:val="none" w:sz="0" w:space="0" w:color="auto"/>
        <w:bottom w:val="none" w:sz="0" w:space="0" w:color="auto"/>
        <w:right w:val="none" w:sz="0" w:space="0" w:color="auto"/>
      </w:divBdr>
    </w:div>
    <w:div w:id="1266573244">
      <w:bodyDiv w:val="1"/>
      <w:marLeft w:val="0"/>
      <w:marRight w:val="0"/>
      <w:marTop w:val="0"/>
      <w:marBottom w:val="0"/>
      <w:divBdr>
        <w:top w:val="none" w:sz="0" w:space="0" w:color="auto"/>
        <w:left w:val="none" w:sz="0" w:space="0" w:color="auto"/>
        <w:bottom w:val="none" w:sz="0" w:space="0" w:color="auto"/>
        <w:right w:val="none" w:sz="0" w:space="0" w:color="auto"/>
      </w:divBdr>
    </w:div>
    <w:div w:id="1270046806">
      <w:bodyDiv w:val="1"/>
      <w:marLeft w:val="0"/>
      <w:marRight w:val="0"/>
      <w:marTop w:val="0"/>
      <w:marBottom w:val="0"/>
      <w:divBdr>
        <w:top w:val="none" w:sz="0" w:space="0" w:color="auto"/>
        <w:left w:val="none" w:sz="0" w:space="0" w:color="auto"/>
        <w:bottom w:val="none" w:sz="0" w:space="0" w:color="auto"/>
        <w:right w:val="none" w:sz="0" w:space="0" w:color="auto"/>
      </w:divBdr>
    </w:div>
    <w:div w:id="1274753372">
      <w:bodyDiv w:val="1"/>
      <w:marLeft w:val="0"/>
      <w:marRight w:val="0"/>
      <w:marTop w:val="0"/>
      <w:marBottom w:val="0"/>
      <w:divBdr>
        <w:top w:val="none" w:sz="0" w:space="0" w:color="auto"/>
        <w:left w:val="none" w:sz="0" w:space="0" w:color="auto"/>
        <w:bottom w:val="none" w:sz="0" w:space="0" w:color="auto"/>
        <w:right w:val="none" w:sz="0" w:space="0" w:color="auto"/>
      </w:divBdr>
    </w:div>
    <w:div w:id="1276593170">
      <w:bodyDiv w:val="1"/>
      <w:marLeft w:val="0"/>
      <w:marRight w:val="0"/>
      <w:marTop w:val="0"/>
      <w:marBottom w:val="0"/>
      <w:divBdr>
        <w:top w:val="none" w:sz="0" w:space="0" w:color="auto"/>
        <w:left w:val="none" w:sz="0" w:space="0" w:color="auto"/>
        <w:bottom w:val="none" w:sz="0" w:space="0" w:color="auto"/>
        <w:right w:val="none" w:sz="0" w:space="0" w:color="auto"/>
      </w:divBdr>
    </w:div>
    <w:div w:id="1288123987">
      <w:bodyDiv w:val="1"/>
      <w:marLeft w:val="0"/>
      <w:marRight w:val="0"/>
      <w:marTop w:val="0"/>
      <w:marBottom w:val="0"/>
      <w:divBdr>
        <w:top w:val="none" w:sz="0" w:space="0" w:color="auto"/>
        <w:left w:val="none" w:sz="0" w:space="0" w:color="auto"/>
        <w:bottom w:val="none" w:sz="0" w:space="0" w:color="auto"/>
        <w:right w:val="none" w:sz="0" w:space="0" w:color="auto"/>
      </w:divBdr>
    </w:div>
    <w:div w:id="1293823796">
      <w:bodyDiv w:val="1"/>
      <w:marLeft w:val="0"/>
      <w:marRight w:val="0"/>
      <w:marTop w:val="0"/>
      <w:marBottom w:val="0"/>
      <w:divBdr>
        <w:top w:val="none" w:sz="0" w:space="0" w:color="auto"/>
        <w:left w:val="none" w:sz="0" w:space="0" w:color="auto"/>
        <w:bottom w:val="none" w:sz="0" w:space="0" w:color="auto"/>
        <w:right w:val="none" w:sz="0" w:space="0" w:color="auto"/>
      </w:divBdr>
    </w:div>
    <w:div w:id="1297678954">
      <w:bodyDiv w:val="1"/>
      <w:marLeft w:val="0"/>
      <w:marRight w:val="0"/>
      <w:marTop w:val="0"/>
      <w:marBottom w:val="0"/>
      <w:divBdr>
        <w:top w:val="none" w:sz="0" w:space="0" w:color="auto"/>
        <w:left w:val="none" w:sz="0" w:space="0" w:color="auto"/>
        <w:bottom w:val="none" w:sz="0" w:space="0" w:color="auto"/>
        <w:right w:val="none" w:sz="0" w:space="0" w:color="auto"/>
      </w:divBdr>
    </w:div>
    <w:div w:id="1298611334">
      <w:bodyDiv w:val="1"/>
      <w:marLeft w:val="0"/>
      <w:marRight w:val="0"/>
      <w:marTop w:val="0"/>
      <w:marBottom w:val="0"/>
      <w:divBdr>
        <w:top w:val="none" w:sz="0" w:space="0" w:color="auto"/>
        <w:left w:val="none" w:sz="0" w:space="0" w:color="auto"/>
        <w:bottom w:val="none" w:sz="0" w:space="0" w:color="auto"/>
        <w:right w:val="none" w:sz="0" w:space="0" w:color="auto"/>
      </w:divBdr>
    </w:div>
    <w:div w:id="1303197626">
      <w:bodyDiv w:val="1"/>
      <w:marLeft w:val="0"/>
      <w:marRight w:val="0"/>
      <w:marTop w:val="0"/>
      <w:marBottom w:val="0"/>
      <w:divBdr>
        <w:top w:val="none" w:sz="0" w:space="0" w:color="auto"/>
        <w:left w:val="none" w:sz="0" w:space="0" w:color="auto"/>
        <w:bottom w:val="none" w:sz="0" w:space="0" w:color="auto"/>
        <w:right w:val="none" w:sz="0" w:space="0" w:color="auto"/>
      </w:divBdr>
    </w:div>
    <w:div w:id="1308317170">
      <w:bodyDiv w:val="1"/>
      <w:marLeft w:val="0"/>
      <w:marRight w:val="0"/>
      <w:marTop w:val="0"/>
      <w:marBottom w:val="0"/>
      <w:divBdr>
        <w:top w:val="none" w:sz="0" w:space="0" w:color="auto"/>
        <w:left w:val="none" w:sz="0" w:space="0" w:color="auto"/>
        <w:bottom w:val="none" w:sz="0" w:space="0" w:color="auto"/>
        <w:right w:val="none" w:sz="0" w:space="0" w:color="auto"/>
      </w:divBdr>
    </w:div>
    <w:div w:id="1316835176">
      <w:bodyDiv w:val="1"/>
      <w:marLeft w:val="0"/>
      <w:marRight w:val="0"/>
      <w:marTop w:val="0"/>
      <w:marBottom w:val="0"/>
      <w:divBdr>
        <w:top w:val="none" w:sz="0" w:space="0" w:color="auto"/>
        <w:left w:val="none" w:sz="0" w:space="0" w:color="auto"/>
        <w:bottom w:val="none" w:sz="0" w:space="0" w:color="auto"/>
        <w:right w:val="none" w:sz="0" w:space="0" w:color="auto"/>
      </w:divBdr>
    </w:div>
    <w:div w:id="1318653943">
      <w:bodyDiv w:val="1"/>
      <w:marLeft w:val="0"/>
      <w:marRight w:val="0"/>
      <w:marTop w:val="0"/>
      <w:marBottom w:val="0"/>
      <w:divBdr>
        <w:top w:val="none" w:sz="0" w:space="0" w:color="auto"/>
        <w:left w:val="none" w:sz="0" w:space="0" w:color="auto"/>
        <w:bottom w:val="none" w:sz="0" w:space="0" w:color="auto"/>
        <w:right w:val="none" w:sz="0" w:space="0" w:color="auto"/>
      </w:divBdr>
    </w:div>
    <w:div w:id="1323124698">
      <w:bodyDiv w:val="1"/>
      <w:marLeft w:val="0"/>
      <w:marRight w:val="0"/>
      <w:marTop w:val="0"/>
      <w:marBottom w:val="0"/>
      <w:divBdr>
        <w:top w:val="none" w:sz="0" w:space="0" w:color="auto"/>
        <w:left w:val="none" w:sz="0" w:space="0" w:color="auto"/>
        <w:bottom w:val="none" w:sz="0" w:space="0" w:color="auto"/>
        <w:right w:val="none" w:sz="0" w:space="0" w:color="auto"/>
      </w:divBdr>
    </w:div>
    <w:div w:id="1325816301">
      <w:bodyDiv w:val="1"/>
      <w:marLeft w:val="0"/>
      <w:marRight w:val="0"/>
      <w:marTop w:val="0"/>
      <w:marBottom w:val="0"/>
      <w:divBdr>
        <w:top w:val="none" w:sz="0" w:space="0" w:color="auto"/>
        <w:left w:val="none" w:sz="0" w:space="0" w:color="auto"/>
        <w:bottom w:val="none" w:sz="0" w:space="0" w:color="auto"/>
        <w:right w:val="none" w:sz="0" w:space="0" w:color="auto"/>
      </w:divBdr>
    </w:div>
    <w:div w:id="1329867795">
      <w:bodyDiv w:val="1"/>
      <w:marLeft w:val="0"/>
      <w:marRight w:val="0"/>
      <w:marTop w:val="0"/>
      <w:marBottom w:val="0"/>
      <w:divBdr>
        <w:top w:val="none" w:sz="0" w:space="0" w:color="auto"/>
        <w:left w:val="none" w:sz="0" w:space="0" w:color="auto"/>
        <w:bottom w:val="none" w:sz="0" w:space="0" w:color="auto"/>
        <w:right w:val="none" w:sz="0" w:space="0" w:color="auto"/>
      </w:divBdr>
    </w:div>
    <w:div w:id="1329870913">
      <w:bodyDiv w:val="1"/>
      <w:marLeft w:val="0"/>
      <w:marRight w:val="0"/>
      <w:marTop w:val="0"/>
      <w:marBottom w:val="0"/>
      <w:divBdr>
        <w:top w:val="none" w:sz="0" w:space="0" w:color="auto"/>
        <w:left w:val="none" w:sz="0" w:space="0" w:color="auto"/>
        <w:bottom w:val="none" w:sz="0" w:space="0" w:color="auto"/>
        <w:right w:val="none" w:sz="0" w:space="0" w:color="auto"/>
      </w:divBdr>
    </w:div>
    <w:div w:id="1331642128">
      <w:bodyDiv w:val="1"/>
      <w:marLeft w:val="0"/>
      <w:marRight w:val="0"/>
      <w:marTop w:val="0"/>
      <w:marBottom w:val="0"/>
      <w:divBdr>
        <w:top w:val="none" w:sz="0" w:space="0" w:color="auto"/>
        <w:left w:val="none" w:sz="0" w:space="0" w:color="auto"/>
        <w:bottom w:val="none" w:sz="0" w:space="0" w:color="auto"/>
        <w:right w:val="none" w:sz="0" w:space="0" w:color="auto"/>
      </w:divBdr>
    </w:div>
    <w:div w:id="1336107073">
      <w:bodyDiv w:val="1"/>
      <w:marLeft w:val="0"/>
      <w:marRight w:val="0"/>
      <w:marTop w:val="0"/>
      <w:marBottom w:val="0"/>
      <w:divBdr>
        <w:top w:val="none" w:sz="0" w:space="0" w:color="auto"/>
        <w:left w:val="none" w:sz="0" w:space="0" w:color="auto"/>
        <w:bottom w:val="none" w:sz="0" w:space="0" w:color="auto"/>
        <w:right w:val="none" w:sz="0" w:space="0" w:color="auto"/>
      </w:divBdr>
    </w:div>
    <w:div w:id="1338849041">
      <w:bodyDiv w:val="1"/>
      <w:marLeft w:val="0"/>
      <w:marRight w:val="0"/>
      <w:marTop w:val="0"/>
      <w:marBottom w:val="0"/>
      <w:divBdr>
        <w:top w:val="none" w:sz="0" w:space="0" w:color="auto"/>
        <w:left w:val="none" w:sz="0" w:space="0" w:color="auto"/>
        <w:bottom w:val="none" w:sz="0" w:space="0" w:color="auto"/>
        <w:right w:val="none" w:sz="0" w:space="0" w:color="auto"/>
      </w:divBdr>
    </w:div>
    <w:div w:id="1342852486">
      <w:bodyDiv w:val="1"/>
      <w:marLeft w:val="0"/>
      <w:marRight w:val="0"/>
      <w:marTop w:val="0"/>
      <w:marBottom w:val="0"/>
      <w:divBdr>
        <w:top w:val="none" w:sz="0" w:space="0" w:color="auto"/>
        <w:left w:val="none" w:sz="0" w:space="0" w:color="auto"/>
        <w:bottom w:val="none" w:sz="0" w:space="0" w:color="auto"/>
        <w:right w:val="none" w:sz="0" w:space="0" w:color="auto"/>
      </w:divBdr>
    </w:div>
    <w:div w:id="1346176729">
      <w:bodyDiv w:val="1"/>
      <w:marLeft w:val="0"/>
      <w:marRight w:val="0"/>
      <w:marTop w:val="0"/>
      <w:marBottom w:val="0"/>
      <w:divBdr>
        <w:top w:val="none" w:sz="0" w:space="0" w:color="auto"/>
        <w:left w:val="none" w:sz="0" w:space="0" w:color="auto"/>
        <w:bottom w:val="none" w:sz="0" w:space="0" w:color="auto"/>
        <w:right w:val="none" w:sz="0" w:space="0" w:color="auto"/>
      </w:divBdr>
    </w:div>
    <w:div w:id="1346975013">
      <w:bodyDiv w:val="1"/>
      <w:marLeft w:val="0"/>
      <w:marRight w:val="0"/>
      <w:marTop w:val="0"/>
      <w:marBottom w:val="0"/>
      <w:divBdr>
        <w:top w:val="none" w:sz="0" w:space="0" w:color="auto"/>
        <w:left w:val="none" w:sz="0" w:space="0" w:color="auto"/>
        <w:bottom w:val="none" w:sz="0" w:space="0" w:color="auto"/>
        <w:right w:val="none" w:sz="0" w:space="0" w:color="auto"/>
      </w:divBdr>
    </w:div>
    <w:div w:id="1348630015">
      <w:bodyDiv w:val="1"/>
      <w:marLeft w:val="0"/>
      <w:marRight w:val="0"/>
      <w:marTop w:val="0"/>
      <w:marBottom w:val="0"/>
      <w:divBdr>
        <w:top w:val="none" w:sz="0" w:space="0" w:color="auto"/>
        <w:left w:val="none" w:sz="0" w:space="0" w:color="auto"/>
        <w:bottom w:val="none" w:sz="0" w:space="0" w:color="auto"/>
        <w:right w:val="none" w:sz="0" w:space="0" w:color="auto"/>
      </w:divBdr>
    </w:div>
    <w:div w:id="1353847196">
      <w:bodyDiv w:val="1"/>
      <w:marLeft w:val="0"/>
      <w:marRight w:val="0"/>
      <w:marTop w:val="0"/>
      <w:marBottom w:val="0"/>
      <w:divBdr>
        <w:top w:val="none" w:sz="0" w:space="0" w:color="auto"/>
        <w:left w:val="none" w:sz="0" w:space="0" w:color="auto"/>
        <w:bottom w:val="none" w:sz="0" w:space="0" w:color="auto"/>
        <w:right w:val="none" w:sz="0" w:space="0" w:color="auto"/>
      </w:divBdr>
    </w:div>
    <w:div w:id="1355234278">
      <w:bodyDiv w:val="1"/>
      <w:marLeft w:val="0"/>
      <w:marRight w:val="0"/>
      <w:marTop w:val="0"/>
      <w:marBottom w:val="0"/>
      <w:divBdr>
        <w:top w:val="none" w:sz="0" w:space="0" w:color="auto"/>
        <w:left w:val="none" w:sz="0" w:space="0" w:color="auto"/>
        <w:bottom w:val="none" w:sz="0" w:space="0" w:color="auto"/>
        <w:right w:val="none" w:sz="0" w:space="0" w:color="auto"/>
      </w:divBdr>
    </w:div>
    <w:div w:id="1358770148">
      <w:bodyDiv w:val="1"/>
      <w:marLeft w:val="0"/>
      <w:marRight w:val="0"/>
      <w:marTop w:val="0"/>
      <w:marBottom w:val="0"/>
      <w:divBdr>
        <w:top w:val="none" w:sz="0" w:space="0" w:color="auto"/>
        <w:left w:val="none" w:sz="0" w:space="0" w:color="auto"/>
        <w:bottom w:val="none" w:sz="0" w:space="0" w:color="auto"/>
        <w:right w:val="none" w:sz="0" w:space="0" w:color="auto"/>
      </w:divBdr>
    </w:div>
    <w:div w:id="1359969785">
      <w:bodyDiv w:val="1"/>
      <w:marLeft w:val="0"/>
      <w:marRight w:val="0"/>
      <w:marTop w:val="0"/>
      <w:marBottom w:val="0"/>
      <w:divBdr>
        <w:top w:val="none" w:sz="0" w:space="0" w:color="auto"/>
        <w:left w:val="none" w:sz="0" w:space="0" w:color="auto"/>
        <w:bottom w:val="none" w:sz="0" w:space="0" w:color="auto"/>
        <w:right w:val="none" w:sz="0" w:space="0" w:color="auto"/>
      </w:divBdr>
    </w:div>
    <w:div w:id="1367020939">
      <w:bodyDiv w:val="1"/>
      <w:marLeft w:val="0"/>
      <w:marRight w:val="0"/>
      <w:marTop w:val="0"/>
      <w:marBottom w:val="0"/>
      <w:divBdr>
        <w:top w:val="none" w:sz="0" w:space="0" w:color="auto"/>
        <w:left w:val="none" w:sz="0" w:space="0" w:color="auto"/>
        <w:bottom w:val="none" w:sz="0" w:space="0" w:color="auto"/>
        <w:right w:val="none" w:sz="0" w:space="0" w:color="auto"/>
      </w:divBdr>
    </w:div>
    <w:div w:id="1368414950">
      <w:bodyDiv w:val="1"/>
      <w:marLeft w:val="0"/>
      <w:marRight w:val="0"/>
      <w:marTop w:val="0"/>
      <w:marBottom w:val="0"/>
      <w:divBdr>
        <w:top w:val="none" w:sz="0" w:space="0" w:color="auto"/>
        <w:left w:val="none" w:sz="0" w:space="0" w:color="auto"/>
        <w:bottom w:val="none" w:sz="0" w:space="0" w:color="auto"/>
        <w:right w:val="none" w:sz="0" w:space="0" w:color="auto"/>
      </w:divBdr>
    </w:div>
    <w:div w:id="1370182616">
      <w:bodyDiv w:val="1"/>
      <w:marLeft w:val="0"/>
      <w:marRight w:val="0"/>
      <w:marTop w:val="0"/>
      <w:marBottom w:val="0"/>
      <w:divBdr>
        <w:top w:val="none" w:sz="0" w:space="0" w:color="auto"/>
        <w:left w:val="none" w:sz="0" w:space="0" w:color="auto"/>
        <w:bottom w:val="none" w:sz="0" w:space="0" w:color="auto"/>
        <w:right w:val="none" w:sz="0" w:space="0" w:color="auto"/>
      </w:divBdr>
    </w:div>
    <w:div w:id="1371757053">
      <w:bodyDiv w:val="1"/>
      <w:marLeft w:val="0"/>
      <w:marRight w:val="0"/>
      <w:marTop w:val="0"/>
      <w:marBottom w:val="0"/>
      <w:divBdr>
        <w:top w:val="none" w:sz="0" w:space="0" w:color="auto"/>
        <w:left w:val="none" w:sz="0" w:space="0" w:color="auto"/>
        <w:bottom w:val="none" w:sz="0" w:space="0" w:color="auto"/>
        <w:right w:val="none" w:sz="0" w:space="0" w:color="auto"/>
      </w:divBdr>
    </w:div>
    <w:div w:id="1372799836">
      <w:bodyDiv w:val="1"/>
      <w:marLeft w:val="0"/>
      <w:marRight w:val="0"/>
      <w:marTop w:val="0"/>
      <w:marBottom w:val="0"/>
      <w:divBdr>
        <w:top w:val="none" w:sz="0" w:space="0" w:color="auto"/>
        <w:left w:val="none" w:sz="0" w:space="0" w:color="auto"/>
        <w:bottom w:val="none" w:sz="0" w:space="0" w:color="auto"/>
        <w:right w:val="none" w:sz="0" w:space="0" w:color="auto"/>
      </w:divBdr>
    </w:div>
    <w:div w:id="1377074533">
      <w:bodyDiv w:val="1"/>
      <w:marLeft w:val="0"/>
      <w:marRight w:val="0"/>
      <w:marTop w:val="0"/>
      <w:marBottom w:val="0"/>
      <w:divBdr>
        <w:top w:val="none" w:sz="0" w:space="0" w:color="auto"/>
        <w:left w:val="none" w:sz="0" w:space="0" w:color="auto"/>
        <w:bottom w:val="none" w:sz="0" w:space="0" w:color="auto"/>
        <w:right w:val="none" w:sz="0" w:space="0" w:color="auto"/>
      </w:divBdr>
    </w:div>
    <w:div w:id="1378243132">
      <w:bodyDiv w:val="1"/>
      <w:marLeft w:val="0"/>
      <w:marRight w:val="0"/>
      <w:marTop w:val="0"/>
      <w:marBottom w:val="0"/>
      <w:divBdr>
        <w:top w:val="none" w:sz="0" w:space="0" w:color="auto"/>
        <w:left w:val="none" w:sz="0" w:space="0" w:color="auto"/>
        <w:bottom w:val="none" w:sz="0" w:space="0" w:color="auto"/>
        <w:right w:val="none" w:sz="0" w:space="0" w:color="auto"/>
      </w:divBdr>
    </w:div>
    <w:div w:id="1379283531">
      <w:bodyDiv w:val="1"/>
      <w:marLeft w:val="0"/>
      <w:marRight w:val="0"/>
      <w:marTop w:val="0"/>
      <w:marBottom w:val="0"/>
      <w:divBdr>
        <w:top w:val="none" w:sz="0" w:space="0" w:color="auto"/>
        <w:left w:val="none" w:sz="0" w:space="0" w:color="auto"/>
        <w:bottom w:val="none" w:sz="0" w:space="0" w:color="auto"/>
        <w:right w:val="none" w:sz="0" w:space="0" w:color="auto"/>
      </w:divBdr>
    </w:div>
    <w:div w:id="1380396170">
      <w:bodyDiv w:val="1"/>
      <w:marLeft w:val="0"/>
      <w:marRight w:val="0"/>
      <w:marTop w:val="0"/>
      <w:marBottom w:val="0"/>
      <w:divBdr>
        <w:top w:val="none" w:sz="0" w:space="0" w:color="auto"/>
        <w:left w:val="none" w:sz="0" w:space="0" w:color="auto"/>
        <w:bottom w:val="none" w:sz="0" w:space="0" w:color="auto"/>
        <w:right w:val="none" w:sz="0" w:space="0" w:color="auto"/>
      </w:divBdr>
    </w:div>
    <w:div w:id="1384138998">
      <w:bodyDiv w:val="1"/>
      <w:marLeft w:val="0"/>
      <w:marRight w:val="0"/>
      <w:marTop w:val="0"/>
      <w:marBottom w:val="0"/>
      <w:divBdr>
        <w:top w:val="none" w:sz="0" w:space="0" w:color="auto"/>
        <w:left w:val="none" w:sz="0" w:space="0" w:color="auto"/>
        <w:bottom w:val="none" w:sz="0" w:space="0" w:color="auto"/>
        <w:right w:val="none" w:sz="0" w:space="0" w:color="auto"/>
      </w:divBdr>
    </w:div>
    <w:div w:id="1385759040">
      <w:bodyDiv w:val="1"/>
      <w:marLeft w:val="0"/>
      <w:marRight w:val="0"/>
      <w:marTop w:val="0"/>
      <w:marBottom w:val="0"/>
      <w:divBdr>
        <w:top w:val="none" w:sz="0" w:space="0" w:color="auto"/>
        <w:left w:val="none" w:sz="0" w:space="0" w:color="auto"/>
        <w:bottom w:val="none" w:sz="0" w:space="0" w:color="auto"/>
        <w:right w:val="none" w:sz="0" w:space="0" w:color="auto"/>
      </w:divBdr>
    </w:div>
    <w:div w:id="1386442800">
      <w:bodyDiv w:val="1"/>
      <w:marLeft w:val="0"/>
      <w:marRight w:val="0"/>
      <w:marTop w:val="0"/>
      <w:marBottom w:val="0"/>
      <w:divBdr>
        <w:top w:val="none" w:sz="0" w:space="0" w:color="auto"/>
        <w:left w:val="none" w:sz="0" w:space="0" w:color="auto"/>
        <w:bottom w:val="none" w:sz="0" w:space="0" w:color="auto"/>
        <w:right w:val="none" w:sz="0" w:space="0" w:color="auto"/>
      </w:divBdr>
    </w:div>
    <w:div w:id="1387409900">
      <w:bodyDiv w:val="1"/>
      <w:marLeft w:val="0"/>
      <w:marRight w:val="0"/>
      <w:marTop w:val="0"/>
      <w:marBottom w:val="0"/>
      <w:divBdr>
        <w:top w:val="none" w:sz="0" w:space="0" w:color="auto"/>
        <w:left w:val="none" w:sz="0" w:space="0" w:color="auto"/>
        <w:bottom w:val="none" w:sz="0" w:space="0" w:color="auto"/>
        <w:right w:val="none" w:sz="0" w:space="0" w:color="auto"/>
      </w:divBdr>
    </w:div>
    <w:div w:id="1397238973">
      <w:bodyDiv w:val="1"/>
      <w:marLeft w:val="0"/>
      <w:marRight w:val="0"/>
      <w:marTop w:val="0"/>
      <w:marBottom w:val="0"/>
      <w:divBdr>
        <w:top w:val="none" w:sz="0" w:space="0" w:color="auto"/>
        <w:left w:val="none" w:sz="0" w:space="0" w:color="auto"/>
        <w:bottom w:val="none" w:sz="0" w:space="0" w:color="auto"/>
        <w:right w:val="none" w:sz="0" w:space="0" w:color="auto"/>
      </w:divBdr>
    </w:div>
    <w:div w:id="1399938229">
      <w:bodyDiv w:val="1"/>
      <w:marLeft w:val="0"/>
      <w:marRight w:val="0"/>
      <w:marTop w:val="0"/>
      <w:marBottom w:val="0"/>
      <w:divBdr>
        <w:top w:val="none" w:sz="0" w:space="0" w:color="auto"/>
        <w:left w:val="none" w:sz="0" w:space="0" w:color="auto"/>
        <w:bottom w:val="none" w:sz="0" w:space="0" w:color="auto"/>
        <w:right w:val="none" w:sz="0" w:space="0" w:color="auto"/>
      </w:divBdr>
    </w:div>
    <w:div w:id="1402941726">
      <w:bodyDiv w:val="1"/>
      <w:marLeft w:val="0"/>
      <w:marRight w:val="0"/>
      <w:marTop w:val="0"/>
      <w:marBottom w:val="0"/>
      <w:divBdr>
        <w:top w:val="none" w:sz="0" w:space="0" w:color="auto"/>
        <w:left w:val="none" w:sz="0" w:space="0" w:color="auto"/>
        <w:bottom w:val="none" w:sz="0" w:space="0" w:color="auto"/>
        <w:right w:val="none" w:sz="0" w:space="0" w:color="auto"/>
      </w:divBdr>
    </w:div>
    <w:div w:id="1405907948">
      <w:bodyDiv w:val="1"/>
      <w:marLeft w:val="0"/>
      <w:marRight w:val="0"/>
      <w:marTop w:val="0"/>
      <w:marBottom w:val="0"/>
      <w:divBdr>
        <w:top w:val="none" w:sz="0" w:space="0" w:color="auto"/>
        <w:left w:val="none" w:sz="0" w:space="0" w:color="auto"/>
        <w:bottom w:val="none" w:sz="0" w:space="0" w:color="auto"/>
        <w:right w:val="none" w:sz="0" w:space="0" w:color="auto"/>
      </w:divBdr>
    </w:div>
    <w:div w:id="1411082171">
      <w:bodyDiv w:val="1"/>
      <w:marLeft w:val="0"/>
      <w:marRight w:val="0"/>
      <w:marTop w:val="0"/>
      <w:marBottom w:val="0"/>
      <w:divBdr>
        <w:top w:val="none" w:sz="0" w:space="0" w:color="auto"/>
        <w:left w:val="none" w:sz="0" w:space="0" w:color="auto"/>
        <w:bottom w:val="none" w:sz="0" w:space="0" w:color="auto"/>
        <w:right w:val="none" w:sz="0" w:space="0" w:color="auto"/>
      </w:divBdr>
    </w:div>
    <w:div w:id="1412852305">
      <w:bodyDiv w:val="1"/>
      <w:marLeft w:val="0"/>
      <w:marRight w:val="0"/>
      <w:marTop w:val="0"/>
      <w:marBottom w:val="0"/>
      <w:divBdr>
        <w:top w:val="none" w:sz="0" w:space="0" w:color="auto"/>
        <w:left w:val="none" w:sz="0" w:space="0" w:color="auto"/>
        <w:bottom w:val="none" w:sz="0" w:space="0" w:color="auto"/>
        <w:right w:val="none" w:sz="0" w:space="0" w:color="auto"/>
      </w:divBdr>
    </w:div>
    <w:div w:id="1413164448">
      <w:bodyDiv w:val="1"/>
      <w:marLeft w:val="0"/>
      <w:marRight w:val="0"/>
      <w:marTop w:val="0"/>
      <w:marBottom w:val="0"/>
      <w:divBdr>
        <w:top w:val="none" w:sz="0" w:space="0" w:color="auto"/>
        <w:left w:val="none" w:sz="0" w:space="0" w:color="auto"/>
        <w:bottom w:val="none" w:sz="0" w:space="0" w:color="auto"/>
        <w:right w:val="none" w:sz="0" w:space="0" w:color="auto"/>
      </w:divBdr>
    </w:div>
    <w:div w:id="1413700240">
      <w:bodyDiv w:val="1"/>
      <w:marLeft w:val="0"/>
      <w:marRight w:val="0"/>
      <w:marTop w:val="0"/>
      <w:marBottom w:val="0"/>
      <w:divBdr>
        <w:top w:val="none" w:sz="0" w:space="0" w:color="auto"/>
        <w:left w:val="none" w:sz="0" w:space="0" w:color="auto"/>
        <w:bottom w:val="none" w:sz="0" w:space="0" w:color="auto"/>
        <w:right w:val="none" w:sz="0" w:space="0" w:color="auto"/>
      </w:divBdr>
    </w:div>
    <w:div w:id="1418164741">
      <w:bodyDiv w:val="1"/>
      <w:marLeft w:val="0"/>
      <w:marRight w:val="0"/>
      <w:marTop w:val="0"/>
      <w:marBottom w:val="0"/>
      <w:divBdr>
        <w:top w:val="none" w:sz="0" w:space="0" w:color="auto"/>
        <w:left w:val="none" w:sz="0" w:space="0" w:color="auto"/>
        <w:bottom w:val="none" w:sz="0" w:space="0" w:color="auto"/>
        <w:right w:val="none" w:sz="0" w:space="0" w:color="auto"/>
      </w:divBdr>
    </w:div>
    <w:div w:id="1421482164">
      <w:bodyDiv w:val="1"/>
      <w:marLeft w:val="0"/>
      <w:marRight w:val="0"/>
      <w:marTop w:val="0"/>
      <w:marBottom w:val="0"/>
      <w:divBdr>
        <w:top w:val="none" w:sz="0" w:space="0" w:color="auto"/>
        <w:left w:val="none" w:sz="0" w:space="0" w:color="auto"/>
        <w:bottom w:val="none" w:sz="0" w:space="0" w:color="auto"/>
        <w:right w:val="none" w:sz="0" w:space="0" w:color="auto"/>
      </w:divBdr>
    </w:div>
    <w:div w:id="1426465211">
      <w:bodyDiv w:val="1"/>
      <w:marLeft w:val="0"/>
      <w:marRight w:val="0"/>
      <w:marTop w:val="0"/>
      <w:marBottom w:val="0"/>
      <w:divBdr>
        <w:top w:val="none" w:sz="0" w:space="0" w:color="auto"/>
        <w:left w:val="none" w:sz="0" w:space="0" w:color="auto"/>
        <w:bottom w:val="none" w:sz="0" w:space="0" w:color="auto"/>
        <w:right w:val="none" w:sz="0" w:space="0" w:color="auto"/>
      </w:divBdr>
    </w:div>
    <w:div w:id="1429034798">
      <w:bodyDiv w:val="1"/>
      <w:marLeft w:val="0"/>
      <w:marRight w:val="0"/>
      <w:marTop w:val="0"/>
      <w:marBottom w:val="0"/>
      <w:divBdr>
        <w:top w:val="none" w:sz="0" w:space="0" w:color="auto"/>
        <w:left w:val="none" w:sz="0" w:space="0" w:color="auto"/>
        <w:bottom w:val="none" w:sz="0" w:space="0" w:color="auto"/>
        <w:right w:val="none" w:sz="0" w:space="0" w:color="auto"/>
      </w:divBdr>
    </w:div>
    <w:div w:id="1435712440">
      <w:bodyDiv w:val="1"/>
      <w:marLeft w:val="0"/>
      <w:marRight w:val="0"/>
      <w:marTop w:val="0"/>
      <w:marBottom w:val="0"/>
      <w:divBdr>
        <w:top w:val="none" w:sz="0" w:space="0" w:color="auto"/>
        <w:left w:val="none" w:sz="0" w:space="0" w:color="auto"/>
        <w:bottom w:val="none" w:sz="0" w:space="0" w:color="auto"/>
        <w:right w:val="none" w:sz="0" w:space="0" w:color="auto"/>
      </w:divBdr>
    </w:div>
    <w:div w:id="1440678405">
      <w:bodyDiv w:val="1"/>
      <w:marLeft w:val="0"/>
      <w:marRight w:val="0"/>
      <w:marTop w:val="0"/>
      <w:marBottom w:val="0"/>
      <w:divBdr>
        <w:top w:val="none" w:sz="0" w:space="0" w:color="auto"/>
        <w:left w:val="none" w:sz="0" w:space="0" w:color="auto"/>
        <w:bottom w:val="none" w:sz="0" w:space="0" w:color="auto"/>
        <w:right w:val="none" w:sz="0" w:space="0" w:color="auto"/>
      </w:divBdr>
    </w:div>
    <w:div w:id="1444232497">
      <w:bodyDiv w:val="1"/>
      <w:marLeft w:val="0"/>
      <w:marRight w:val="0"/>
      <w:marTop w:val="0"/>
      <w:marBottom w:val="0"/>
      <w:divBdr>
        <w:top w:val="none" w:sz="0" w:space="0" w:color="auto"/>
        <w:left w:val="none" w:sz="0" w:space="0" w:color="auto"/>
        <w:bottom w:val="none" w:sz="0" w:space="0" w:color="auto"/>
        <w:right w:val="none" w:sz="0" w:space="0" w:color="auto"/>
      </w:divBdr>
    </w:div>
    <w:div w:id="1448428588">
      <w:bodyDiv w:val="1"/>
      <w:marLeft w:val="0"/>
      <w:marRight w:val="0"/>
      <w:marTop w:val="0"/>
      <w:marBottom w:val="0"/>
      <w:divBdr>
        <w:top w:val="none" w:sz="0" w:space="0" w:color="auto"/>
        <w:left w:val="none" w:sz="0" w:space="0" w:color="auto"/>
        <w:bottom w:val="none" w:sz="0" w:space="0" w:color="auto"/>
        <w:right w:val="none" w:sz="0" w:space="0" w:color="auto"/>
      </w:divBdr>
    </w:div>
    <w:div w:id="1451585478">
      <w:bodyDiv w:val="1"/>
      <w:marLeft w:val="0"/>
      <w:marRight w:val="0"/>
      <w:marTop w:val="0"/>
      <w:marBottom w:val="0"/>
      <w:divBdr>
        <w:top w:val="none" w:sz="0" w:space="0" w:color="auto"/>
        <w:left w:val="none" w:sz="0" w:space="0" w:color="auto"/>
        <w:bottom w:val="none" w:sz="0" w:space="0" w:color="auto"/>
        <w:right w:val="none" w:sz="0" w:space="0" w:color="auto"/>
      </w:divBdr>
    </w:div>
    <w:div w:id="1452937792">
      <w:bodyDiv w:val="1"/>
      <w:marLeft w:val="0"/>
      <w:marRight w:val="0"/>
      <w:marTop w:val="0"/>
      <w:marBottom w:val="0"/>
      <w:divBdr>
        <w:top w:val="none" w:sz="0" w:space="0" w:color="auto"/>
        <w:left w:val="none" w:sz="0" w:space="0" w:color="auto"/>
        <w:bottom w:val="none" w:sz="0" w:space="0" w:color="auto"/>
        <w:right w:val="none" w:sz="0" w:space="0" w:color="auto"/>
      </w:divBdr>
    </w:div>
    <w:div w:id="1455102543">
      <w:bodyDiv w:val="1"/>
      <w:marLeft w:val="0"/>
      <w:marRight w:val="0"/>
      <w:marTop w:val="0"/>
      <w:marBottom w:val="0"/>
      <w:divBdr>
        <w:top w:val="none" w:sz="0" w:space="0" w:color="auto"/>
        <w:left w:val="none" w:sz="0" w:space="0" w:color="auto"/>
        <w:bottom w:val="none" w:sz="0" w:space="0" w:color="auto"/>
        <w:right w:val="none" w:sz="0" w:space="0" w:color="auto"/>
      </w:divBdr>
    </w:div>
    <w:div w:id="1457216909">
      <w:bodyDiv w:val="1"/>
      <w:marLeft w:val="0"/>
      <w:marRight w:val="0"/>
      <w:marTop w:val="0"/>
      <w:marBottom w:val="0"/>
      <w:divBdr>
        <w:top w:val="none" w:sz="0" w:space="0" w:color="auto"/>
        <w:left w:val="none" w:sz="0" w:space="0" w:color="auto"/>
        <w:bottom w:val="none" w:sz="0" w:space="0" w:color="auto"/>
        <w:right w:val="none" w:sz="0" w:space="0" w:color="auto"/>
      </w:divBdr>
    </w:div>
    <w:div w:id="1463889397">
      <w:bodyDiv w:val="1"/>
      <w:marLeft w:val="0"/>
      <w:marRight w:val="0"/>
      <w:marTop w:val="0"/>
      <w:marBottom w:val="0"/>
      <w:divBdr>
        <w:top w:val="none" w:sz="0" w:space="0" w:color="auto"/>
        <w:left w:val="none" w:sz="0" w:space="0" w:color="auto"/>
        <w:bottom w:val="none" w:sz="0" w:space="0" w:color="auto"/>
        <w:right w:val="none" w:sz="0" w:space="0" w:color="auto"/>
      </w:divBdr>
    </w:div>
    <w:div w:id="1464344357">
      <w:bodyDiv w:val="1"/>
      <w:marLeft w:val="0"/>
      <w:marRight w:val="0"/>
      <w:marTop w:val="0"/>
      <w:marBottom w:val="0"/>
      <w:divBdr>
        <w:top w:val="none" w:sz="0" w:space="0" w:color="auto"/>
        <w:left w:val="none" w:sz="0" w:space="0" w:color="auto"/>
        <w:bottom w:val="none" w:sz="0" w:space="0" w:color="auto"/>
        <w:right w:val="none" w:sz="0" w:space="0" w:color="auto"/>
      </w:divBdr>
    </w:div>
    <w:div w:id="1465002900">
      <w:bodyDiv w:val="1"/>
      <w:marLeft w:val="0"/>
      <w:marRight w:val="0"/>
      <w:marTop w:val="0"/>
      <w:marBottom w:val="0"/>
      <w:divBdr>
        <w:top w:val="none" w:sz="0" w:space="0" w:color="auto"/>
        <w:left w:val="none" w:sz="0" w:space="0" w:color="auto"/>
        <w:bottom w:val="none" w:sz="0" w:space="0" w:color="auto"/>
        <w:right w:val="none" w:sz="0" w:space="0" w:color="auto"/>
      </w:divBdr>
    </w:div>
    <w:div w:id="1489587557">
      <w:bodyDiv w:val="1"/>
      <w:marLeft w:val="0"/>
      <w:marRight w:val="0"/>
      <w:marTop w:val="0"/>
      <w:marBottom w:val="0"/>
      <w:divBdr>
        <w:top w:val="none" w:sz="0" w:space="0" w:color="auto"/>
        <w:left w:val="none" w:sz="0" w:space="0" w:color="auto"/>
        <w:bottom w:val="none" w:sz="0" w:space="0" w:color="auto"/>
        <w:right w:val="none" w:sz="0" w:space="0" w:color="auto"/>
      </w:divBdr>
    </w:div>
    <w:div w:id="1489860091">
      <w:bodyDiv w:val="1"/>
      <w:marLeft w:val="0"/>
      <w:marRight w:val="0"/>
      <w:marTop w:val="0"/>
      <w:marBottom w:val="0"/>
      <w:divBdr>
        <w:top w:val="none" w:sz="0" w:space="0" w:color="auto"/>
        <w:left w:val="none" w:sz="0" w:space="0" w:color="auto"/>
        <w:bottom w:val="none" w:sz="0" w:space="0" w:color="auto"/>
        <w:right w:val="none" w:sz="0" w:space="0" w:color="auto"/>
      </w:divBdr>
    </w:div>
    <w:div w:id="1496606663">
      <w:bodyDiv w:val="1"/>
      <w:marLeft w:val="0"/>
      <w:marRight w:val="0"/>
      <w:marTop w:val="0"/>
      <w:marBottom w:val="0"/>
      <w:divBdr>
        <w:top w:val="none" w:sz="0" w:space="0" w:color="auto"/>
        <w:left w:val="none" w:sz="0" w:space="0" w:color="auto"/>
        <w:bottom w:val="none" w:sz="0" w:space="0" w:color="auto"/>
        <w:right w:val="none" w:sz="0" w:space="0" w:color="auto"/>
      </w:divBdr>
    </w:div>
    <w:div w:id="1497106760">
      <w:bodyDiv w:val="1"/>
      <w:marLeft w:val="0"/>
      <w:marRight w:val="0"/>
      <w:marTop w:val="0"/>
      <w:marBottom w:val="0"/>
      <w:divBdr>
        <w:top w:val="none" w:sz="0" w:space="0" w:color="auto"/>
        <w:left w:val="none" w:sz="0" w:space="0" w:color="auto"/>
        <w:bottom w:val="none" w:sz="0" w:space="0" w:color="auto"/>
        <w:right w:val="none" w:sz="0" w:space="0" w:color="auto"/>
      </w:divBdr>
    </w:div>
    <w:div w:id="1498837750">
      <w:bodyDiv w:val="1"/>
      <w:marLeft w:val="0"/>
      <w:marRight w:val="0"/>
      <w:marTop w:val="0"/>
      <w:marBottom w:val="0"/>
      <w:divBdr>
        <w:top w:val="none" w:sz="0" w:space="0" w:color="auto"/>
        <w:left w:val="none" w:sz="0" w:space="0" w:color="auto"/>
        <w:bottom w:val="none" w:sz="0" w:space="0" w:color="auto"/>
        <w:right w:val="none" w:sz="0" w:space="0" w:color="auto"/>
      </w:divBdr>
    </w:div>
    <w:div w:id="1501702201">
      <w:bodyDiv w:val="1"/>
      <w:marLeft w:val="0"/>
      <w:marRight w:val="0"/>
      <w:marTop w:val="0"/>
      <w:marBottom w:val="0"/>
      <w:divBdr>
        <w:top w:val="none" w:sz="0" w:space="0" w:color="auto"/>
        <w:left w:val="none" w:sz="0" w:space="0" w:color="auto"/>
        <w:bottom w:val="none" w:sz="0" w:space="0" w:color="auto"/>
        <w:right w:val="none" w:sz="0" w:space="0" w:color="auto"/>
      </w:divBdr>
    </w:div>
    <w:div w:id="1501968179">
      <w:bodyDiv w:val="1"/>
      <w:marLeft w:val="0"/>
      <w:marRight w:val="0"/>
      <w:marTop w:val="0"/>
      <w:marBottom w:val="0"/>
      <w:divBdr>
        <w:top w:val="none" w:sz="0" w:space="0" w:color="auto"/>
        <w:left w:val="none" w:sz="0" w:space="0" w:color="auto"/>
        <w:bottom w:val="none" w:sz="0" w:space="0" w:color="auto"/>
        <w:right w:val="none" w:sz="0" w:space="0" w:color="auto"/>
      </w:divBdr>
    </w:div>
    <w:div w:id="1505515511">
      <w:bodyDiv w:val="1"/>
      <w:marLeft w:val="0"/>
      <w:marRight w:val="0"/>
      <w:marTop w:val="0"/>
      <w:marBottom w:val="0"/>
      <w:divBdr>
        <w:top w:val="none" w:sz="0" w:space="0" w:color="auto"/>
        <w:left w:val="none" w:sz="0" w:space="0" w:color="auto"/>
        <w:bottom w:val="none" w:sz="0" w:space="0" w:color="auto"/>
        <w:right w:val="none" w:sz="0" w:space="0" w:color="auto"/>
      </w:divBdr>
    </w:div>
    <w:div w:id="1506358893">
      <w:bodyDiv w:val="1"/>
      <w:marLeft w:val="0"/>
      <w:marRight w:val="0"/>
      <w:marTop w:val="0"/>
      <w:marBottom w:val="0"/>
      <w:divBdr>
        <w:top w:val="none" w:sz="0" w:space="0" w:color="auto"/>
        <w:left w:val="none" w:sz="0" w:space="0" w:color="auto"/>
        <w:bottom w:val="none" w:sz="0" w:space="0" w:color="auto"/>
        <w:right w:val="none" w:sz="0" w:space="0" w:color="auto"/>
      </w:divBdr>
    </w:div>
    <w:div w:id="1507093011">
      <w:bodyDiv w:val="1"/>
      <w:marLeft w:val="0"/>
      <w:marRight w:val="0"/>
      <w:marTop w:val="0"/>
      <w:marBottom w:val="0"/>
      <w:divBdr>
        <w:top w:val="none" w:sz="0" w:space="0" w:color="auto"/>
        <w:left w:val="none" w:sz="0" w:space="0" w:color="auto"/>
        <w:bottom w:val="none" w:sz="0" w:space="0" w:color="auto"/>
        <w:right w:val="none" w:sz="0" w:space="0" w:color="auto"/>
      </w:divBdr>
    </w:div>
    <w:div w:id="1510831206">
      <w:bodyDiv w:val="1"/>
      <w:marLeft w:val="0"/>
      <w:marRight w:val="0"/>
      <w:marTop w:val="0"/>
      <w:marBottom w:val="0"/>
      <w:divBdr>
        <w:top w:val="none" w:sz="0" w:space="0" w:color="auto"/>
        <w:left w:val="none" w:sz="0" w:space="0" w:color="auto"/>
        <w:bottom w:val="none" w:sz="0" w:space="0" w:color="auto"/>
        <w:right w:val="none" w:sz="0" w:space="0" w:color="auto"/>
      </w:divBdr>
    </w:div>
    <w:div w:id="1515457807">
      <w:bodyDiv w:val="1"/>
      <w:marLeft w:val="0"/>
      <w:marRight w:val="0"/>
      <w:marTop w:val="0"/>
      <w:marBottom w:val="0"/>
      <w:divBdr>
        <w:top w:val="none" w:sz="0" w:space="0" w:color="auto"/>
        <w:left w:val="none" w:sz="0" w:space="0" w:color="auto"/>
        <w:bottom w:val="none" w:sz="0" w:space="0" w:color="auto"/>
        <w:right w:val="none" w:sz="0" w:space="0" w:color="auto"/>
      </w:divBdr>
    </w:div>
    <w:div w:id="1525440768">
      <w:bodyDiv w:val="1"/>
      <w:marLeft w:val="0"/>
      <w:marRight w:val="0"/>
      <w:marTop w:val="0"/>
      <w:marBottom w:val="0"/>
      <w:divBdr>
        <w:top w:val="none" w:sz="0" w:space="0" w:color="auto"/>
        <w:left w:val="none" w:sz="0" w:space="0" w:color="auto"/>
        <w:bottom w:val="none" w:sz="0" w:space="0" w:color="auto"/>
        <w:right w:val="none" w:sz="0" w:space="0" w:color="auto"/>
      </w:divBdr>
    </w:div>
    <w:div w:id="1534071215">
      <w:bodyDiv w:val="1"/>
      <w:marLeft w:val="0"/>
      <w:marRight w:val="0"/>
      <w:marTop w:val="0"/>
      <w:marBottom w:val="0"/>
      <w:divBdr>
        <w:top w:val="none" w:sz="0" w:space="0" w:color="auto"/>
        <w:left w:val="none" w:sz="0" w:space="0" w:color="auto"/>
        <w:bottom w:val="none" w:sz="0" w:space="0" w:color="auto"/>
        <w:right w:val="none" w:sz="0" w:space="0" w:color="auto"/>
      </w:divBdr>
    </w:div>
    <w:div w:id="1535313208">
      <w:bodyDiv w:val="1"/>
      <w:marLeft w:val="0"/>
      <w:marRight w:val="0"/>
      <w:marTop w:val="0"/>
      <w:marBottom w:val="0"/>
      <w:divBdr>
        <w:top w:val="none" w:sz="0" w:space="0" w:color="auto"/>
        <w:left w:val="none" w:sz="0" w:space="0" w:color="auto"/>
        <w:bottom w:val="none" w:sz="0" w:space="0" w:color="auto"/>
        <w:right w:val="none" w:sz="0" w:space="0" w:color="auto"/>
      </w:divBdr>
    </w:div>
    <w:div w:id="1535772853">
      <w:bodyDiv w:val="1"/>
      <w:marLeft w:val="0"/>
      <w:marRight w:val="0"/>
      <w:marTop w:val="0"/>
      <w:marBottom w:val="0"/>
      <w:divBdr>
        <w:top w:val="none" w:sz="0" w:space="0" w:color="auto"/>
        <w:left w:val="none" w:sz="0" w:space="0" w:color="auto"/>
        <w:bottom w:val="none" w:sz="0" w:space="0" w:color="auto"/>
        <w:right w:val="none" w:sz="0" w:space="0" w:color="auto"/>
      </w:divBdr>
    </w:div>
    <w:div w:id="1538617912">
      <w:bodyDiv w:val="1"/>
      <w:marLeft w:val="0"/>
      <w:marRight w:val="0"/>
      <w:marTop w:val="0"/>
      <w:marBottom w:val="0"/>
      <w:divBdr>
        <w:top w:val="none" w:sz="0" w:space="0" w:color="auto"/>
        <w:left w:val="none" w:sz="0" w:space="0" w:color="auto"/>
        <w:bottom w:val="none" w:sz="0" w:space="0" w:color="auto"/>
        <w:right w:val="none" w:sz="0" w:space="0" w:color="auto"/>
      </w:divBdr>
    </w:div>
    <w:div w:id="1538852660">
      <w:bodyDiv w:val="1"/>
      <w:marLeft w:val="0"/>
      <w:marRight w:val="0"/>
      <w:marTop w:val="0"/>
      <w:marBottom w:val="0"/>
      <w:divBdr>
        <w:top w:val="none" w:sz="0" w:space="0" w:color="auto"/>
        <w:left w:val="none" w:sz="0" w:space="0" w:color="auto"/>
        <w:bottom w:val="none" w:sz="0" w:space="0" w:color="auto"/>
        <w:right w:val="none" w:sz="0" w:space="0" w:color="auto"/>
      </w:divBdr>
    </w:div>
    <w:div w:id="1540048388">
      <w:bodyDiv w:val="1"/>
      <w:marLeft w:val="0"/>
      <w:marRight w:val="0"/>
      <w:marTop w:val="0"/>
      <w:marBottom w:val="0"/>
      <w:divBdr>
        <w:top w:val="none" w:sz="0" w:space="0" w:color="auto"/>
        <w:left w:val="none" w:sz="0" w:space="0" w:color="auto"/>
        <w:bottom w:val="none" w:sz="0" w:space="0" w:color="auto"/>
        <w:right w:val="none" w:sz="0" w:space="0" w:color="auto"/>
      </w:divBdr>
    </w:div>
    <w:div w:id="1542132191">
      <w:bodyDiv w:val="1"/>
      <w:marLeft w:val="0"/>
      <w:marRight w:val="0"/>
      <w:marTop w:val="0"/>
      <w:marBottom w:val="0"/>
      <w:divBdr>
        <w:top w:val="none" w:sz="0" w:space="0" w:color="auto"/>
        <w:left w:val="none" w:sz="0" w:space="0" w:color="auto"/>
        <w:bottom w:val="none" w:sz="0" w:space="0" w:color="auto"/>
        <w:right w:val="none" w:sz="0" w:space="0" w:color="auto"/>
      </w:divBdr>
    </w:div>
    <w:div w:id="1542136118">
      <w:bodyDiv w:val="1"/>
      <w:marLeft w:val="0"/>
      <w:marRight w:val="0"/>
      <w:marTop w:val="0"/>
      <w:marBottom w:val="0"/>
      <w:divBdr>
        <w:top w:val="none" w:sz="0" w:space="0" w:color="auto"/>
        <w:left w:val="none" w:sz="0" w:space="0" w:color="auto"/>
        <w:bottom w:val="none" w:sz="0" w:space="0" w:color="auto"/>
        <w:right w:val="none" w:sz="0" w:space="0" w:color="auto"/>
      </w:divBdr>
    </w:div>
    <w:div w:id="1554391679">
      <w:bodyDiv w:val="1"/>
      <w:marLeft w:val="0"/>
      <w:marRight w:val="0"/>
      <w:marTop w:val="0"/>
      <w:marBottom w:val="0"/>
      <w:divBdr>
        <w:top w:val="none" w:sz="0" w:space="0" w:color="auto"/>
        <w:left w:val="none" w:sz="0" w:space="0" w:color="auto"/>
        <w:bottom w:val="none" w:sz="0" w:space="0" w:color="auto"/>
        <w:right w:val="none" w:sz="0" w:space="0" w:color="auto"/>
      </w:divBdr>
    </w:div>
    <w:div w:id="1557011109">
      <w:bodyDiv w:val="1"/>
      <w:marLeft w:val="0"/>
      <w:marRight w:val="0"/>
      <w:marTop w:val="0"/>
      <w:marBottom w:val="0"/>
      <w:divBdr>
        <w:top w:val="none" w:sz="0" w:space="0" w:color="auto"/>
        <w:left w:val="none" w:sz="0" w:space="0" w:color="auto"/>
        <w:bottom w:val="none" w:sz="0" w:space="0" w:color="auto"/>
        <w:right w:val="none" w:sz="0" w:space="0" w:color="auto"/>
      </w:divBdr>
    </w:div>
    <w:div w:id="1557551228">
      <w:bodyDiv w:val="1"/>
      <w:marLeft w:val="0"/>
      <w:marRight w:val="0"/>
      <w:marTop w:val="0"/>
      <w:marBottom w:val="0"/>
      <w:divBdr>
        <w:top w:val="none" w:sz="0" w:space="0" w:color="auto"/>
        <w:left w:val="none" w:sz="0" w:space="0" w:color="auto"/>
        <w:bottom w:val="none" w:sz="0" w:space="0" w:color="auto"/>
        <w:right w:val="none" w:sz="0" w:space="0" w:color="auto"/>
      </w:divBdr>
    </w:div>
    <w:div w:id="1560245625">
      <w:bodyDiv w:val="1"/>
      <w:marLeft w:val="0"/>
      <w:marRight w:val="0"/>
      <w:marTop w:val="0"/>
      <w:marBottom w:val="0"/>
      <w:divBdr>
        <w:top w:val="none" w:sz="0" w:space="0" w:color="auto"/>
        <w:left w:val="none" w:sz="0" w:space="0" w:color="auto"/>
        <w:bottom w:val="none" w:sz="0" w:space="0" w:color="auto"/>
        <w:right w:val="none" w:sz="0" w:space="0" w:color="auto"/>
      </w:divBdr>
    </w:div>
    <w:div w:id="1561474784">
      <w:bodyDiv w:val="1"/>
      <w:marLeft w:val="0"/>
      <w:marRight w:val="0"/>
      <w:marTop w:val="0"/>
      <w:marBottom w:val="0"/>
      <w:divBdr>
        <w:top w:val="none" w:sz="0" w:space="0" w:color="auto"/>
        <w:left w:val="none" w:sz="0" w:space="0" w:color="auto"/>
        <w:bottom w:val="none" w:sz="0" w:space="0" w:color="auto"/>
        <w:right w:val="none" w:sz="0" w:space="0" w:color="auto"/>
      </w:divBdr>
    </w:div>
    <w:div w:id="1566912992">
      <w:bodyDiv w:val="1"/>
      <w:marLeft w:val="0"/>
      <w:marRight w:val="0"/>
      <w:marTop w:val="0"/>
      <w:marBottom w:val="0"/>
      <w:divBdr>
        <w:top w:val="none" w:sz="0" w:space="0" w:color="auto"/>
        <w:left w:val="none" w:sz="0" w:space="0" w:color="auto"/>
        <w:bottom w:val="none" w:sz="0" w:space="0" w:color="auto"/>
        <w:right w:val="none" w:sz="0" w:space="0" w:color="auto"/>
      </w:divBdr>
    </w:div>
    <w:div w:id="1567766065">
      <w:bodyDiv w:val="1"/>
      <w:marLeft w:val="0"/>
      <w:marRight w:val="0"/>
      <w:marTop w:val="0"/>
      <w:marBottom w:val="0"/>
      <w:divBdr>
        <w:top w:val="none" w:sz="0" w:space="0" w:color="auto"/>
        <w:left w:val="none" w:sz="0" w:space="0" w:color="auto"/>
        <w:bottom w:val="none" w:sz="0" w:space="0" w:color="auto"/>
        <w:right w:val="none" w:sz="0" w:space="0" w:color="auto"/>
      </w:divBdr>
    </w:div>
    <w:div w:id="1572228757">
      <w:bodyDiv w:val="1"/>
      <w:marLeft w:val="0"/>
      <w:marRight w:val="0"/>
      <w:marTop w:val="0"/>
      <w:marBottom w:val="0"/>
      <w:divBdr>
        <w:top w:val="none" w:sz="0" w:space="0" w:color="auto"/>
        <w:left w:val="none" w:sz="0" w:space="0" w:color="auto"/>
        <w:bottom w:val="none" w:sz="0" w:space="0" w:color="auto"/>
        <w:right w:val="none" w:sz="0" w:space="0" w:color="auto"/>
      </w:divBdr>
    </w:div>
    <w:div w:id="1572500469">
      <w:bodyDiv w:val="1"/>
      <w:marLeft w:val="0"/>
      <w:marRight w:val="0"/>
      <w:marTop w:val="0"/>
      <w:marBottom w:val="0"/>
      <w:divBdr>
        <w:top w:val="none" w:sz="0" w:space="0" w:color="auto"/>
        <w:left w:val="none" w:sz="0" w:space="0" w:color="auto"/>
        <w:bottom w:val="none" w:sz="0" w:space="0" w:color="auto"/>
        <w:right w:val="none" w:sz="0" w:space="0" w:color="auto"/>
      </w:divBdr>
    </w:div>
    <w:div w:id="1575236276">
      <w:bodyDiv w:val="1"/>
      <w:marLeft w:val="0"/>
      <w:marRight w:val="0"/>
      <w:marTop w:val="0"/>
      <w:marBottom w:val="0"/>
      <w:divBdr>
        <w:top w:val="none" w:sz="0" w:space="0" w:color="auto"/>
        <w:left w:val="none" w:sz="0" w:space="0" w:color="auto"/>
        <w:bottom w:val="none" w:sz="0" w:space="0" w:color="auto"/>
        <w:right w:val="none" w:sz="0" w:space="0" w:color="auto"/>
      </w:divBdr>
    </w:div>
    <w:div w:id="1577589414">
      <w:bodyDiv w:val="1"/>
      <w:marLeft w:val="0"/>
      <w:marRight w:val="0"/>
      <w:marTop w:val="0"/>
      <w:marBottom w:val="0"/>
      <w:divBdr>
        <w:top w:val="none" w:sz="0" w:space="0" w:color="auto"/>
        <w:left w:val="none" w:sz="0" w:space="0" w:color="auto"/>
        <w:bottom w:val="none" w:sz="0" w:space="0" w:color="auto"/>
        <w:right w:val="none" w:sz="0" w:space="0" w:color="auto"/>
      </w:divBdr>
    </w:div>
    <w:div w:id="1578592113">
      <w:bodyDiv w:val="1"/>
      <w:marLeft w:val="0"/>
      <w:marRight w:val="0"/>
      <w:marTop w:val="0"/>
      <w:marBottom w:val="0"/>
      <w:divBdr>
        <w:top w:val="none" w:sz="0" w:space="0" w:color="auto"/>
        <w:left w:val="none" w:sz="0" w:space="0" w:color="auto"/>
        <w:bottom w:val="none" w:sz="0" w:space="0" w:color="auto"/>
        <w:right w:val="none" w:sz="0" w:space="0" w:color="auto"/>
      </w:divBdr>
    </w:div>
    <w:div w:id="1584484671">
      <w:bodyDiv w:val="1"/>
      <w:marLeft w:val="0"/>
      <w:marRight w:val="0"/>
      <w:marTop w:val="0"/>
      <w:marBottom w:val="0"/>
      <w:divBdr>
        <w:top w:val="none" w:sz="0" w:space="0" w:color="auto"/>
        <w:left w:val="none" w:sz="0" w:space="0" w:color="auto"/>
        <w:bottom w:val="none" w:sz="0" w:space="0" w:color="auto"/>
        <w:right w:val="none" w:sz="0" w:space="0" w:color="auto"/>
      </w:divBdr>
    </w:div>
    <w:div w:id="1587181033">
      <w:bodyDiv w:val="1"/>
      <w:marLeft w:val="0"/>
      <w:marRight w:val="0"/>
      <w:marTop w:val="0"/>
      <w:marBottom w:val="0"/>
      <w:divBdr>
        <w:top w:val="none" w:sz="0" w:space="0" w:color="auto"/>
        <w:left w:val="none" w:sz="0" w:space="0" w:color="auto"/>
        <w:bottom w:val="none" w:sz="0" w:space="0" w:color="auto"/>
        <w:right w:val="none" w:sz="0" w:space="0" w:color="auto"/>
      </w:divBdr>
    </w:div>
    <w:div w:id="1589998191">
      <w:bodyDiv w:val="1"/>
      <w:marLeft w:val="0"/>
      <w:marRight w:val="0"/>
      <w:marTop w:val="0"/>
      <w:marBottom w:val="0"/>
      <w:divBdr>
        <w:top w:val="none" w:sz="0" w:space="0" w:color="auto"/>
        <w:left w:val="none" w:sz="0" w:space="0" w:color="auto"/>
        <w:bottom w:val="none" w:sz="0" w:space="0" w:color="auto"/>
        <w:right w:val="none" w:sz="0" w:space="0" w:color="auto"/>
      </w:divBdr>
    </w:div>
    <w:div w:id="1590238999">
      <w:bodyDiv w:val="1"/>
      <w:marLeft w:val="0"/>
      <w:marRight w:val="0"/>
      <w:marTop w:val="0"/>
      <w:marBottom w:val="0"/>
      <w:divBdr>
        <w:top w:val="none" w:sz="0" w:space="0" w:color="auto"/>
        <w:left w:val="none" w:sz="0" w:space="0" w:color="auto"/>
        <w:bottom w:val="none" w:sz="0" w:space="0" w:color="auto"/>
        <w:right w:val="none" w:sz="0" w:space="0" w:color="auto"/>
      </w:divBdr>
    </w:div>
    <w:div w:id="1593466026">
      <w:bodyDiv w:val="1"/>
      <w:marLeft w:val="0"/>
      <w:marRight w:val="0"/>
      <w:marTop w:val="0"/>
      <w:marBottom w:val="0"/>
      <w:divBdr>
        <w:top w:val="none" w:sz="0" w:space="0" w:color="auto"/>
        <w:left w:val="none" w:sz="0" w:space="0" w:color="auto"/>
        <w:bottom w:val="none" w:sz="0" w:space="0" w:color="auto"/>
        <w:right w:val="none" w:sz="0" w:space="0" w:color="auto"/>
      </w:divBdr>
    </w:div>
    <w:div w:id="1595281248">
      <w:bodyDiv w:val="1"/>
      <w:marLeft w:val="0"/>
      <w:marRight w:val="0"/>
      <w:marTop w:val="0"/>
      <w:marBottom w:val="0"/>
      <w:divBdr>
        <w:top w:val="none" w:sz="0" w:space="0" w:color="auto"/>
        <w:left w:val="none" w:sz="0" w:space="0" w:color="auto"/>
        <w:bottom w:val="none" w:sz="0" w:space="0" w:color="auto"/>
        <w:right w:val="none" w:sz="0" w:space="0" w:color="auto"/>
      </w:divBdr>
    </w:div>
    <w:div w:id="1599411109">
      <w:bodyDiv w:val="1"/>
      <w:marLeft w:val="0"/>
      <w:marRight w:val="0"/>
      <w:marTop w:val="0"/>
      <w:marBottom w:val="0"/>
      <w:divBdr>
        <w:top w:val="none" w:sz="0" w:space="0" w:color="auto"/>
        <w:left w:val="none" w:sz="0" w:space="0" w:color="auto"/>
        <w:bottom w:val="none" w:sz="0" w:space="0" w:color="auto"/>
        <w:right w:val="none" w:sz="0" w:space="0" w:color="auto"/>
      </w:divBdr>
    </w:div>
    <w:div w:id="1599481317">
      <w:bodyDiv w:val="1"/>
      <w:marLeft w:val="0"/>
      <w:marRight w:val="0"/>
      <w:marTop w:val="0"/>
      <w:marBottom w:val="0"/>
      <w:divBdr>
        <w:top w:val="none" w:sz="0" w:space="0" w:color="auto"/>
        <w:left w:val="none" w:sz="0" w:space="0" w:color="auto"/>
        <w:bottom w:val="none" w:sz="0" w:space="0" w:color="auto"/>
        <w:right w:val="none" w:sz="0" w:space="0" w:color="auto"/>
      </w:divBdr>
    </w:div>
    <w:div w:id="1603299041">
      <w:bodyDiv w:val="1"/>
      <w:marLeft w:val="0"/>
      <w:marRight w:val="0"/>
      <w:marTop w:val="0"/>
      <w:marBottom w:val="0"/>
      <w:divBdr>
        <w:top w:val="none" w:sz="0" w:space="0" w:color="auto"/>
        <w:left w:val="none" w:sz="0" w:space="0" w:color="auto"/>
        <w:bottom w:val="none" w:sz="0" w:space="0" w:color="auto"/>
        <w:right w:val="none" w:sz="0" w:space="0" w:color="auto"/>
      </w:divBdr>
    </w:div>
    <w:div w:id="1605184798">
      <w:bodyDiv w:val="1"/>
      <w:marLeft w:val="0"/>
      <w:marRight w:val="0"/>
      <w:marTop w:val="0"/>
      <w:marBottom w:val="0"/>
      <w:divBdr>
        <w:top w:val="none" w:sz="0" w:space="0" w:color="auto"/>
        <w:left w:val="none" w:sz="0" w:space="0" w:color="auto"/>
        <w:bottom w:val="none" w:sz="0" w:space="0" w:color="auto"/>
        <w:right w:val="none" w:sz="0" w:space="0" w:color="auto"/>
      </w:divBdr>
    </w:div>
    <w:div w:id="1606227445">
      <w:bodyDiv w:val="1"/>
      <w:marLeft w:val="0"/>
      <w:marRight w:val="0"/>
      <w:marTop w:val="0"/>
      <w:marBottom w:val="0"/>
      <w:divBdr>
        <w:top w:val="none" w:sz="0" w:space="0" w:color="auto"/>
        <w:left w:val="none" w:sz="0" w:space="0" w:color="auto"/>
        <w:bottom w:val="none" w:sz="0" w:space="0" w:color="auto"/>
        <w:right w:val="none" w:sz="0" w:space="0" w:color="auto"/>
      </w:divBdr>
    </w:div>
    <w:div w:id="1607496727">
      <w:bodyDiv w:val="1"/>
      <w:marLeft w:val="0"/>
      <w:marRight w:val="0"/>
      <w:marTop w:val="0"/>
      <w:marBottom w:val="0"/>
      <w:divBdr>
        <w:top w:val="none" w:sz="0" w:space="0" w:color="auto"/>
        <w:left w:val="none" w:sz="0" w:space="0" w:color="auto"/>
        <w:bottom w:val="none" w:sz="0" w:space="0" w:color="auto"/>
        <w:right w:val="none" w:sz="0" w:space="0" w:color="auto"/>
      </w:divBdr>
    </w:div>
    <w:div w:id="1611352632">
      <w:bodyDiv w:val="1"/>
      <w:marLeft w:val="0"/>
      <w:marRight w:val="0"/>
      <w:marTop w:val="0"/>
      <w:marBottom w:val="0"/>
      <w:divBdr>
        <w:top w:val="none" w:sz="0" w:space="0" w:color="auto"/>
        <w:left w:val="none" w:sz="0" w:space="0" w:color="auto"/>
        <w:bottom w:val="none" w:sz="0" w:space="0" w:color="auto"/>
        <w:right w:val="none" w:sz="0" w:space="0" w:color="auto"/>
      </w:divBdr>
    </w:div>
    <w:div w:id="1611741289">
      <w:bodyDiv w:val="1"/>
      <w:marLeft w:val="0"/>
      <w:marRight w:val="0"/>
      <w:marTop w:val="0"/>
      <w:marBottom w:val="0"/>
      <w:divBdr>
        <w:top w:val="none" w:sz="0" w:space="0" w:color="auto"/>
        <w:left w:val="none" w:sz="0" w:space="0" w:color="auto"/>
        <w:bottom w:val="none" w:sz="0" w:space="0" w:color="auto"/>
        <w:right w:val="none" w:sz="0" w:space="0" w:color="auto"/>
      </w:divBdr>
    </w:div>
    <w:div w:id="1613052429">
      <w:bodyDiv w:val="1"/>
      <w:marLeft w:val="0"/>
      <w:marRight w:val="0"/>
      <w:marTop w:val="0"/>
      <w:marBottom w:val="0"/>
      <w:divBdr>
        <w:top w:val="none" w:sz="0" w:space="0" w:color="auto"/>
        <w:left w:val="none" w:sz="0" w:space="0" w:color="auto"/>
        <w:bottom w:val="none" w:sz="0" w:space="0" w:color="auto"/>
        <w:right w:val="none" w:sz="0" w:space="0" w:color="auto"/>
      </w:divBdr>
    </w:div>
    <w:div w:id="1614022222">
      <w:bodyDiv w:val="1"/>
      <w:marLeft w:val="0"/>
      <w:marRight w:val="0"/>
      <w:marTop w:val="0"/>
      <w:marBottom w:val="0"/>
      <w:divBdr>
        <w:top w:val="none" w:sz="0" w:space="0" w:color="auto"/>
        <w:left w:val="none" w:sz="0" w:space="0" w:color="auto"/>
        <w:bottom w:val="none" w:sz="0" w:space="0" w:color="auto"/>
        <w:right w:val="none" w:sz="0" w:space="0" w:color="auto"/>
      </w:divBdr>
    </w:div>
    <w:div w:id="1614241104">
      <w:bodyDiv w:val="1"/>
      <w:marLeft w:val="0"/>
      <w:marRight w:val="0"/>
      <w:marTop w:val="0"/>
      <w:marBottom w:val="0"/>
      <w:divBdr>
        <w:top w:val="none" w:sz="0" w:space="0" w:color="auto"/>
        <w:left w:val="none" w:sz="0" w:space="0" w:color="auto"/>
        <w:bottom w:val="none" w:sz="0" w:space="0" w:color="auto"/>
        <w:right w:val="none" w:sz="0" w:space="0" w:color="auto"/>
      </w:divBdr>
    </w:div>
    <w:div w:id="1614482407">
      <w:bodyDiv w:val="1"/>
      <w:marLeft w:val="0"/>
      <w:marRight w:val="0"/>
      <w:marTop w:val="0"/>
      <w:marBottom w:val="0"/>
      <w:divBdr>
        <w:top w:val="none" w:sz="0" w:space="0" w:color="auto"/>
        <w:left w:val="none" w:sz="0" w:space="0" w:color="auto"/>
        <w:bottom w:val="none" w:sz="0" w:space="0" w:color="auto"/>
        <w:right w:val="none" w:sz="0" w:space="0" w:color="auto"/>
      </w:divBdr>
    </w:div>
    <w:div w:id="1615600138">
      <w:bodyDiv w:val="1"/>
      <w:marLeft w:val="0"/>
      <w:marRight w:val="0"/>
      <w:marTop w:val="0"/>
      <w:marBottom w:val="0"/>
      <w:divBdr>
        <w:top w:val="none" w:sz="0" w:space="0" w:color="auto"/>
        <w:left w:val="none" w:sz="0" w:space="0" w:color="auto"/>
        <w:bottom w:val="none" w:sz="0" w:space="0" w:color="auto"/>
        <w:right w:val="none" w:sz="0" w:space="0" w:color="auto"/>
      </w:divBdr>
    </w:div>
    <w:div w:id="1618368886">
      <w:bodyDiv w:val="1"/>
      <w:marLeft w:val="0"/>
      <w:marRight w:val="0"/>
      <w:marTop w:val="0"/>
      <w:marBottom w:val="0"/>
      <w:divBdr>
        <w:top w:val="none" w:sz="0" w:space="0" w:color="auto"/>
        <w:left w:val="none" w:sz="0" w:space="0" w:color="auto"/>
        <w:bottom w:val="none" w:sz="0" w:space="0" w:color="auto"/>
        <w:right w:val="none" w:sz="0" w:space="0" w:color="auto"/>
      </w:divBdr>
    </w:div>
    <w:div w:id="1618565509">
      <w:bodyDiv w:val="1"/>
      <w:marLeft w:val="0"/>
      <w:marRight w:val="0"/>
      <w:marTop w:val="0"/>
      <w:marBottom w:val="0"/>
      <w:divBdr>
        <w:top w:val="none" w:sz="0" w:space="0" w:color="auto"/>
        <w:left w:val="none" w:sz="0" w:space="0" w:color="auto"/>
        <w:bottom w:val="none" w:sz="0" w:space="0" w:color="auto"/>
        <w:right w:val="none" w:sz="0" w:space="0" w:color="auto"/>
      </w:divBdr>
    </w:div>
    <w:div w:id="1620603570">
      <w:bodyDiv w:val="1"/>
      <w:marLeft w:val="0"/>
      <w:marRight w:val="0"/>
      <w:marTop w:val="0"/>
      <w:marBottom w:val="0"/>
      <w:divBdr>
        <w:top w:val="none" w:sz="0" w:space="0" w:color="auto"/>
        <w:left w:val="none" w:sz="0" w:space="0" w:color="auto"/>
        <w:bottom w:val="none" w:sz="0" w:space="0" w:color="auto"/>
        <w:right w:val="none" w:sz="0" w:space="0" w:color="auto"/>
      </w:divBdr>
    </w:div>
    <w:div w:id="1620720212">
      <w:bodyDiv w:val="1"/>
      <w:marLeft w:val="0"/>
      <w:marRight w:val="0"/>
      <w:marTop w:val="0"/>
      <w:marBottom w:val="0"/>
      <w:divBdr>
        <w:top w:val="none" w:sz="0" w:space="0" w:color="auto"/>
        <w:left w:val="none" w:sz="0" w:space="0" w:color="auto"/>
        <w:bottom w:val="none" w:sz="0" w:space="0" w:color="auto"/>
        <w:right w:val="none" w:sz="0" w:space="0" w:color="auto"/>
      </w:divBdr>
    </w:div>
    <w:div w:id="1625963342">
      <w:bodyDiv w:val="1"/>
      <w:marLeft w:val="0"/>
      <w:marRight w:val="0"/>
      <w:marTop w:val="0"/>
      <w:marBottom w:val="0"/>
      <w:divBdr>
        <w:top w:val="none" w:sz="0" w:space="0" w:color="auto"/>
        <w:left w:val="none" w:sz="0" w:space="0" w:color="auto"/>
        <w:bottom w:val="none" w:sz="0" w:space="0" w:color="auto"/>
        <w:right w:val="none" w:sz="0" w:space="0" w:color="auto"/>
      </w:divBdr>
    </w:div>
    <w:div w:id="1626962789">
      <w:bodyDiv w:val="1"/>
      <w:marLeft w:val="0"/>
      <w:marRight w:val="0"/>
      <w:marTop w:val="0"/>
      <w:marBottom w:val="0"/>
      <w:divBdr>
        <w:top w:val="none" w:sz="0" w:space="0" w:color="auto"/>
        <w:left w:val="none" w:sz="0" w:space="0" w:color="auto"/>
        <w:bottom w:val="none" w:sz="0" w:space="0" w:color="auto"/>
        <w:right w:val="none" w:sz="0" w:space="0" w:color="auto"/>
      </w:divBdr>
    </w:div>
    <w:div w:id="1628704915">
      <w:bodyDiv w:val="1"/>
      <w:marLeft w:val="0"/>
      <w:marRight w:val="0"/>
      <w:marTop w:val="0"/>
      <w:marBottom w:val="0"/>
      <w:divBdr>
        <w:top w:val="none" w:sz="0" w:space="0" w:color="auto"/>
        <w:left w:val="none" w:sz="0" w:space="0" w:color="auto"/>
        <w:bottom w:val="none" w:sz="0" w:space="0" w:color="auto"/>
        <w:right w:val="none" w:sz="0" w:space="0" w:color="auto"/>
      </w:divBdr>
      <w:divsChild>
        <w:div w:id="1884321474">
          <w:marLeft w:val="0"/>
          <w:marRight w:val="0"/>
          <w:marTop w:val="0"/>
          <w:marBottom w:val="0"/>
          <w:divBdr>
            <w:top w:val="none" w:sz="0" w:space="0" w:color="auto"/>
            <w:left w:val="none" w:sz="0" w:space="0" w:color="auto"/>
            <w:bottom w:val="none" w:sz="0" w:space="0" w:color="auto"/>
            <w:right w:val="none" w:sz="0" w:space="0" w:color="auto"/>
          </w:divBdr>
        </w:div>
      </w:divsChild>
    </w:div>
    <w:div w:id="1631549878">
      <w:bodyDiv w:val="1"/>
      <w:marLeft w:val="0"/>
      <w:marRight w:val="0"/>
      <w:marTop w:val="0"/>
      <w:marBottom w:val="0"/>
      <w:divBdr>
        <w:top w:val="none" w:sz="0" w:space="0" w:color="auto"/>
        <w:left w:val="none" w:sz="0" w:space="0" w:color="auto"/>
        <w:bottom w:val="none" w:sz="0" w:space="0" w:color="auto"/>
        <w:right w:val="none" w:sz="0" w:space="0" w:color="auto"/>
      </w:divBdr>
    </w:div>
    <w:div w:id="1636132764">
      <w:bodyDiv w:val="1"/>
      <w:marLeft w:val="0"/>
      <w:marRight w:val="0"/>
      <w:marTop w:val="0"/>
      <w:marBottom w:val="0"/>
      <w:divBdr>
        <w:top w:val="none" w:sz="0" w:space="0" w:color="auto"/>
        <w:left w:val="none" w:sz="0" w:space="0" w:color="auto"/>
        <w:bottom w:val="none" w:sz="0" w:space="0" w:color="auto"/>
        <w:right w:val="none" w:sz="0" w:space="0" w:color="auto"/>
      </w:divBdr>
    </w:div>
    <w:div w:id="1637486493">
      <w:bodyDiv w:val="1"/>
      <w:marLeft w:val="0"/>
      <w:marRight w:val="0"/>
      <w:marTop w:val="0"/>
      <w:marBottom w:val="0"/>
      <w:divBdr>
        <w:top w:val="none" w:sz="0" w:space="0" w:color="auto"/>
        <w:left w:val="none" w:sz="0" w:space="0" w:color="auto"/>
        <w:bottom w:val="none" w:sz="0" w:space="0" w:color="auto"/>
        <w:right w:val="none" w:sz="0" w:space="0" w:color="auto"/>
      </w:divBdr>
    </w:div>
    <w:div w:id="1639846765">
      <w:bodyDiv w:val="1"/>
      <w:marLeft w:val="0"/>
      <w:marRight w:val="0"/>
      <w:marTop w:val="0"/>
      <w:marBottom w:val="0"/>
      <w:divBdr>
        <w:top w:val="none" w:sz="0" w:space="0" w:color="auto"/>
        <w:left w:val="none" w:sz="0" w:space="0" w:color="auto"/>
        <w:bottom w:val="none" w:sz="0" w:space="0" w:color="auto"/>
        <w:right w:val="none" w:sz="0" w:space="0" w:color="auto"/>
      </w:divBdr>
    </w:div>
    <w:div w:id="1642423804">
      <w:bodyDiv w:val="1"/>
      <w:marLeft w:val="0"/>
      <w:marRight w:val="0"/>
      <w:marTop w:val="0"/>
      <w:marBottom w:val="0"/>
      <w:divBdr>
        <w:top w:val="none" w:sz="0" w:space="0" w:color="auto"/>
        <w:left w:val="none" w:sz="0" w:space="0" w:color="auto"/>
        <w:bottom w:val="none" w:sz="0" w:space="0" w:color="auto"/>
        <w:right w:val="none" w:sz="0" w:space="0" w:color="auto"/>
      </w:divBdr>
    </w:div>
    <w:div w:id="1648628332">
      <w:bodyDiv w:val="1"/>
      <w:marLeft w:val="0"/>
      <w:marRight w:val="0"/>
      <w:marTop w:val="0"/>
      <w:marBottom w:val="0"/>
      <w:divBdr>
        <w:top w:val="none" w:sz="0" w:space="0" w:color="auto"/>
        <w:left w:val="none" w:sz="0" w:space="0" w:color="auto"/>
        <w:bottom w:val="none" w:sz="0" w:space="0" w:color="auto"/>
        <w:right w:val="none" w:sz="0" w:space="0" w:color="auto"/>
      </w:divBdr>
    </w:div>
    <w:div w:id="1649701220">
      <w:bodyDiv w:val="1"/>
      <w:marLeft w:val="0"/>
      <w:marRight w:val="0"/>
      <w:marTop w:val="0"/>
      <w:marBottom w:val="0"/>
      <w:divBdr>
        <w:top w:val="none" w:sz="0" w:space="0" w:color="auto"/>
        <w:left w:val="none" w:sz="0" w:space="0" w:color="auto"/>
        <w:bottom w:val="none" w:sz="0" w:space="0" w:color="auto"/>
        <w:right w:val="none" w:sz="0" w:space="0" w:color="auto"/>
      </w:divBdr>
    </w:div>
    <w:div w:id="1650594210">
      <w:bodyDiv w:val="1"/>
      <w:marLeft w:val="0"/>
      <w:marRight w:val="0"/>
      <w:marTop w:val="0"/>
      <w:marBottom w:val="0"/>
      <w:divBdr>
        <w:top w:val="none" w:sz="0" w:space="0" w:color="auto"/>
        <w:left w:val="none" w:sz="0" w:space="0" w:color="auto"/>
        <w:bottom w:val="none" w:sz="0" w:space="0" w:color="auto"/>
        <w:right w:val="none" w:sz="0" w:space="0" w:color="auto"/>
      </w:divBdr>
    </w:div>
    <w:div w:id="1650935475">
      <w:bodyDiv w:val="1"/>
      <w:marLeft w:val="0"/>
      <w:marRight w:val="0"/>
      <w:marTop w:val="0"/>
      <w:marBottom w:val="0"/>
      <w:divBdr>
        <w:top w:val="none" w:sz="0" w:space="0" w:color="auto"/>
        <w:left w:val="none" w:sz="0" w:space="0" w:color="auto"/>
        <w:bottom w:val="none" w:sz="0" w:space="0" w:color="auto"/>
        <w:right w:val="none" w:sz="0" w:space="0" w:color="auto"/>
      </w:divBdr>
    </w:div>
    <w:div w:id="1651056667">
      <w:bodyDiv w:val="1"/>
      <w:marLeft w:val="0"/>
      <w:marRight w:val="0"/>
      <w:marTop w:val="0"/>
      <w:marBottom w:val="0"/>
      <w:divBdr>
        <w:top w:val="none" w:sz="0" w:space="0" w:color="auto"/>
        <w:left w:val="none" w:sz="0" w:space="0" w:color="auto"/>
        <w:bottom w:val="none" w:sz="0" w:space="0" w:color="auto"/>
        <w:right w:val="none" w:sz="0" w:space="0" w:color="auto"/>
      </w:divBdr>
    </w:div>
    <w:div w:id="1654720231">
      <w:bodyDiv w:val="1"/>
      <w:marLeft w:val="0"/>
      <w:marRight w:val="0"/>
      <w:marTop w:val="0"/>
      <w:marBottom w:val="0"/>
      <w:divBdr>
        <w:top w:val="none" w:sz="0" w:space="0" w:color="auto"/>
        <w:left w:val="none" w:sz="0" w:space="0" w:color="auto"/>
        <w:bottom w:val="none" w:sz="0" w:space="0" w:color="auto"/>
        <w:right w:val="none" w:sz="0" w:space="0" w:color="auto"/>
      </w:divBdr>
    </w:div>
    <w:div w:id="1655917454">
      <w:bodyDiv w:val="1"/>
      <w:marLeft w:val="0"/>
      <w:marRight w:val="0"/>
      <w:marTop w:val="0"/>
      <w:marBottom w:val="0"/>
      <w:divBdr>
        <w:top w:val="none" w:sz="0" w:space="0" w:color="auto"/>
        <w:left w:val="none" w:sz="0" w:space="0" w:color="auto"/>
        <w:bottom w:val="none" w:sz="0" w:space="0" w:color="auto"/>
        <w:right w:val="none" w:sz="0" w:space="0" w:color="auto"/>
      </w:divBdr>
    </w:div>
    <w:div w:id="1658879270">
      <w:bodyDiv w:val="1"/>
      <w:marLeft w:val="0"/>
      <w:marRight w:val="0"/>
      <w:marTop w:val="0"/>
      <w:marBottom w:val="0"/>
      <w:divBdr>
        <w:top w:val="none" w:sz="0" w:space="0" w:color="auto"/>
        <w:left w:val="none" w:sz="0" w:space="0" w:color="auto"/>
        <w:bottom w:val="none" w:sz="0" w:space="0" w:color="auto"/>
        <w:right w:val="none" w:sz="0" w:space="0" w:color="auto"/>
      </w:divBdr>
    </w:div>
    <w:div w:id="1659923139">
      <w:bodyDiv w:val="1"/>
      <w:marLeft w:val="0"/>
      <w:marRight w:val="0"/>
      <w:marTop w:val="0"/>
      <w:marBottom w:val="0"/>
      <w:divBdr>
        <w:top w:val="none" w:sz="0" w:space="0" w:color="auto"/>
        <w:left w:val="none" w:sz="0" w:space="0" w:color="auto"/>
        <w:bottom w:val="none" w:sz="0" w:space="0" w:color="auto"/>
        <w:right w:val="none" w:sz="0" w:space="0" w:color="auto"/>
      </w:divBdr>
    </w:div>
    <w:div w:id="1663584064">
      <w:bodyDiv w:val="1"/>
      <w:marLeft w:val="0"/>
      <w:marRight w:val="0"/>
      <w:marTop w:val="0"/>
      <w:marBottom w:val="0"/>
      <w:divBdr>
        <w:top w:val="none" w:sz="0" w:space="0" w:color="auto"/>
        <w:left w:val="none" w:sz="0" w:space="0" w:color="auto"/>
        <w:bottom w:val="none" w:sz="0" w:space="0" w:color="auto"/>
        <w:right w:val="none" w:sz="0" w:space="0" w:color="auto"/>
      </w:divBdr>
    </w:div>
    <w:div w:id="1665429660">
      <w:bodyDiv w:val="1"/>
      <w:marLeft w:val="0"/>
      <w:marRight w:val="0"/>
      <w:marTop w:val="0"/>
      <w:marBottom w:val="0"/>
      <w:divBdr>
        <w:top w:val="none" w:sz="0" w:space="0" w:color="auto"/>
        <w:left w:val="none" w:sz="0" w:space="0" w:color="auto"/>
        <w:bottom w:val="none" w:sz="0" w:space="0" w:color="auto"/>
        <w:right w:val="none" w:sz="0" w:space="0" w:color="auto"/>
      </w:divBdr>
    </w:div>
    <w:div w:id="1665432688">
      <w:bodyDiv w:val="1"/>
      <w:marLeft w:val="0"/>
      <w:marRight w:val="0"/>
      <w:marTop w:val="0"/>
      <w:marBottom w:val="0"/>
      <w:divBdr>
        <w:top w:val="none" w:sz="0" w:space="0" w:color="auto"/>
        <w:left w:val="none" w:sz="0" w:space="0" w:color="auto"/>
        <w:bottom w:val="none" w:sz="0" w:space="0" w:color="auto"/>
        <w:right w:val="none" w:sz="0" w:space="0" w:color="auto"/>
      </w:divBdr>
    </w:div>
    <w:div w:id="1668824860">
      <w:bodyDiv w:val="1"/>
      <w:marLeft w:val="0"/>
      <w:marRight w:val="0"/>
      <w:marTop w:val="0"/>
      <w:marBottom w:val="0"/>
      <w:divBdr>
        <w:top w:val="none" w:sz="0" w:space="0" w:color="auto"/>
        <w:left w:val="none" w:sz="0" w:space="0" w:color="auto"/>
        <w:bottom w:val="none" w:sz="0" w:space="0" w:color="auto"/>
        <w:right w:val="none" w:sz="0" w:space="0" w:color="auto"/>
      </w:divBdr>
    </w:div>
    <w:div w:id="1670448077">
      <w:bodyDiv w:val="1"/>
      <w:marLeft w:val="0"/>
      <w:marRight w:val="0"/>
      <w:marTop w:val="0"/>
      <w:marBottom w:val="0"/>
      <w:divBdr>
        <w:top w:val="none" w:sz="0" w:space="0" w:color="auto"/>
        <w:left w:val="none" w:sz="0" w:space="0" w:color="auto"/>
        <w:bottom w:val="none" w:sz="0" w:space="0" w:color="auto"/>
        <w:right w:val="none" w:sz="0" w:space="0" w:color="auto"/>
      </w:divBdr>
    </w:div>
    <w:div w:id="1670517165">
      <w:bodyDiv w:val="1"/>
      <w:marLeft w:val="0"/>
      <w:marRight w:val="0"/>
      <w:marTop w:val="0"/>
      <w:marBottom w:val="0"/>
      <w:divBdr>
        <w:top w:val="none" w:sz="0" w:space="0" w:color="auto"/>
        <w:left w:val="none" w:sz="0" w:space="0" w:color="auto"/>
        <w:bottom w:val="none" w:sz="0" w:space="0" w:color="auto"/>
        <w:right w:val="none" w:sz="0" w:space="0" w:color="auto"/>
      </w:divBdr>
    </w:div>
    <w:div w:id="1672099501">
      <w:bodyDiv w:val="1"/>
      <w:marLeft w:val="0"/>
      <w:marRight w:val="0"/>
      <w:marTop w:val="0"/>
      <w:marBottom w:val="0"/>
      <w:divBdr>
        <w:top w:val="none" w:sz="0" w:space="0" w:color="auto"/>
        <w:left w:val="none" w:sz="0" w:space="0" w:color="auto"/>
        <w:bottom w:val="none" w:sz="0" w:space="0" w:color="auto"/>
        <w:right w:val="none" w:sz="0" w:space="0" w:color="auto"/>
      </w:divBdr>
    </w:div>
    <w:div w:id="1674261576">
      <w:bodyDiv w:val="1"/>
      <w:marLeft w:val="0"/>
      <w:marRight w:val="0"/>
      <w:marTop w:val="0"/>
      <w:marBottom w:val="0"/>
      <w:divBdr>
        <w:top w:val="none" w:sz="0" w:space="0" w:color="auto"/>
        <w:left w:val="none" w:sz="0" w:space="0" w:color="auto"/>
        <w:bottom w:val="none" w:sz="0" w:space="0" w:color="auto"/>
        <w:right w:val="none" w:sz="0" w:space="0" w:color="auto"/>
      </w:divBdr>
    </w:div>
    <w:div w:id="1675721781">
      <w:bodyDiv w:val="1"/>
      <w:marLeft w:val="0"/>
      <w:marRight w:val="0"/>
      <w:marTop w:val="0"/>
      <w:marBottom w:val="0"/>
      <w:divBdr>
        <w:top w:val="none" w:sz="0" w:space="0" w:color="auto"/>
        <w:left w:val="none" w:sz="0" w:space="0" w:color="auto"/>
        <w:bottom w:val="none" w:sz="0" w:space="0" w:color="auto"/>
        <w:right w:val="none" w:sz="0" w:space="0" w:color="auto"/>
      </w:divBdr>
    </w:div>
    <w:div w:id="1677415563">
      <w:bodyDiv w:val="1"/>
      <w:marLeft w:val="0"/>
      <w:marRight w:val="0"/>
      <w:marTop w:val="0"/>
      <w:marBottom w:val="0"/>
      <w:divBdr>
        <w:top w:val="none" w:sz="0" w:space="0" w:color="auto"/>
        <w:left w:val="none" w:sz="0" w:space="0" w:color="auto"/>
        <w:bottom w:val="none" w:sz="0" w:space="0" w:color="auto"/>
        <w:right w:val="none" w:sz="0" w:space="0" w:color="auto"/>
      </w:divBdr>
    </w:div>
    <w:div w:id="1682664420">
      <w:bodyDiv w:val="1"/>
      <w:marLeft w:val="0"/>
      <w:marRight w:val="0"/>
      <w:marTop w:val="0"/>
      <w:marBottom w:val="0"/>
      <w:divBdr>
        <w:top w:val="none" w:sz="0" w:space="0" w:color="auto"/>
        <w:left w:val="none" w:sz="0" w:space="0" w:color="auto"/>
        <w:bottom w:val="none" w:sz="0" w:space="0" w:color="auto"/>
        <w:right w:val="none" w:sz="0" w:space="0" w:color="auto"/>
      </w:divBdr>
    </w:div>
    <w:div w:id="1686907186">
      <w:bodyDiv w:val="1"/>
      <w:marLeft w:val="0"/>
      <w:marRight w:val="0"/>
      <w:marTop w:val="0"/>
      <w:marBottom w:val="0"/>
      <w:divBdr>
        <w:top w:val="none" w:sz="0" w:space="0" w:color="auto"/>
        <w:left w:val="none" w:sz="0" w:space="0" w:color="auto"/>
        <w:bottom w:val="none" w:sz="0" w:space="0" w:color="auto"/>
        <w:right w:val="none" w:sz="0" w:space="0" w:color="auto"/>
      </w:divBdr>
    </w:div>
    <w:div w:id="1686981779">
      <w:bodyDiv w:val="1"/>
      <w:marLeft w:val="0"/>
      <w:marRight w:val="0"/>
      <w:marTop w:val="0"/>
      <w:marBottom w:val="0"/>
      <w:divBdr>
        <w:top w:val="none" w:sz="0" w:space="0" w:color="auto"/>
        <w:left w:val="none" w:sz="0" w:space="0" w:color="auto"/>
        <w:bottom w:val="none" w:sz="0" w:space="0" w:color="auto"/>
        <w:right w:val="none" w:sz="0" w:space="0" w:color="auto"/>
      </w:divBdr>
    </w:div>
    <w:div w:id="1695613090">
      <w:bodyDiv w:val="1"/>
      <w:marLeft w:val="0"/>
      <w:marRight w:val="0"/>
      <w:marTop w:val="0"/>
      <w:marBottom w:val="0"/>
      <w:divBdr>
        <w:top w:val="none" w:sz="0" w:space="0" w:color="auto"/>
        <w:left w:val="none" w:sz="0" w:space="0" w:color="auto"/>
        <w:bottom w:val="none" w:sz="0" w:space="0" w:color="auto"/>
        <w:right w:val="none" w:sz="0" w:space="0" w:color="auto"/>
      </w:divBdr>
    </w:div>
    <w:div w:id="1700546465">
      <w:bodyDiv w:val="1"/>
      <w:marLeft w:val="0"/>
      <w:marRight w:val="0"/>
      <w:marTop w:val="0"/>
      <w:marBottom w:val="0"/>
      <w:divBdr>
        <w:top w:val="none" w:sz="0" w:space="0" w:color="auto"/>
        <w:left w:val="none" w:sz="0" w:space="0" w:color="auto"/>
        <w:bottom w:val="none" w:sz="0" w:space="0" w:color="auto"/>
        <w:right w:val="none" w:sz="0" w:space="0" w:color="auto"/>
      </w:divBdr>
    </w:div>
    <w:div w:id="1705323524">
      <w:bodyDiv w:val="1"/>
      <w:marLeft w:val="0"/>
      <w:marRight w:val="0"/>
      <w:marTop w:val="0"/>
      <w:marBottom w:val="0"/>
      <w:divBdr>
        <w:top w:val="none" w:sz="0" w:space="0" w:color="auto"/>
        <w:left w:val="none" w:sz="0" w:space="0" w:color="auto"/>
        <w:bottom w:val="none" w:sz="0" w:space="0" w:color="auto"/>
        <w:right w:val="none" w:sz="0" w:space="0" w:color="auto"/>
      </w:divBdr>
    </w:div>
    <w:div w:id="1705786033">
      <w:bodyDiv w:val="1"/>
      <w:marLeft w:val="0"/>
      <w:marRight w:val="0"/>
      <w:marTop w:val="0"/>
      <w:marBottom w:val="0"/>
      <w:divBdr>
        <w:top w:val="none" w:sz="0" w:space="0" w:color="auto"/>
        <w:left w:val="none" w:sz="0" w:space="0" w:color="auto"/>
        <w:bottom w:val="none" w:sz="0" w:space="0" w:color="auto"/>
        <w:right w:val="none" w:sz="0" w:space="0" w:color="auto"/>
      </w:divBdr>
    </w:div>
    <w:div w:id="1706324509">
      <w:bodyDiv w:val="1"/>
      <w:marLeft w:val="0"/>
      <w:marRight w:val="0"/>
      <w:marTop w:val="0"/>
      <w:marBottom w:val="0"/>
      <w:divBdr>
        <w:top w:val="none" w:sz="0" w:space="0" w:color="auto"/>
        <w:left w:val="none" w:sz="0" w:space="0" w:color="auto"/>
        <w:bottom w:val="none" w:sz="0" w:space="0" w:color="auto"/>
        <w:right w:val="none" w:sz="0" w:space="0" w:color="auto"/>
      </w:divBdr>
    </w:div>
    <w:div w:id="1709717353">
      <w:bodyDiv w:val="1"/>
      <w:marLeft w:val="0"/>
      <w:marRight w:val="0"/>
      <w:marTop w:val="0"/>
      <w:marBottom w:val="0"/>
      <w:divBdr>
        <w:top w:val="none" w:sz="0" w:space="0" w:color="auto"/>
        <w:left w:val="none" w:sz="0" w:space="0" w:color="auto"/>
        <w:bottom w:val="none" w:sz="0" w:space="0" w:color="auto"/>
        <w:right w:val="none" w:sz="0" w:space="0" w:color="auto"/>
      </w:divBdr>
    </w:div>
    <w:div w:id="1711033728">
      <w:bodyDiv w:val="1"/>
      <w:marLeft w:val="0"/>
      <w:marRight w:val="0"/>
      <w:marTop w:val="0"/>
      <w:marBottom w:val="0"/>
      <w:divBdr>
        <w:top w:val="none" w:sz="0" w:space="0" w:color="auto"/>
        <w:left w:val="none" w:sz="0" w:space="0" w:color="auto"/>
        <w:bottom w:val="none" w:sz="0" w:space="0" w:color="auto"/>
        <w:right w:val="none" w:sz="0" w:space="0" w:color="auto"/>
      </w:divBdr>
    </w:div>
    <w:div w:id="1712656520">
      <w:bodyDiv w:val="1"/>
      <w:marLeft w:val="0"/>
      <w:marRight w:val="0"/>
      <w:marTop w:val="0"/>
      <w:marBottom w:val="0"/>
      <w:divBdr>
        <w:top w:val="none" w:sz="0" w:space="0" w:color="auto"/>
        <w:left w:val="none" w:sz="0" w:space="0" w:color="auto"/>
        <w:bottom w:val="none" w:sz="0" w:space="0" w:color="auto"/>
        <w:right w:val="none" w:sz="0" w:space="0" w:color="auto"/>
      </w:divBdr>
    </w:div>
    <w:div w:id="1715108444">
      <w:bodyDiv w:val="1"/>
      <w:marLeft w:val="0"/>
      <w:marRight w:val="0"/>
      <w:marTop w:val="0"/>
      <w:marBottom w:val="0"/>
      <w:divBdr>
        <w:top w:val="none" w:sz="0" w:space="0" w:color="auto"/>
        <w:left w:val="none" w:sz="0" w:space="0" w:color="auto"/>
        <w:bottom w:val="none" w:sz="0" w:space="0" w:color="auto"/>
        <w:right w:val="none" w:sz="0" w:space="0" w:color="auto"/>
      </w:divBdr>
    </w:div>
    <w:div w:id="1720519396">
      <w:bodyDiv w:val="1"/>
      <w:marLeft w:val="0"/>
      <w:marRight w:val="0"/>
      <w:marTop w:val="0"/>
      <w:marBottom w:val="0"/>
      <w:divBdr>
        <w:top w:val="none" w:sz="0" w:space="0" w:color="auto"/>
        <w:left w:val="none" w:sz="0" w:space="0" w:color="auto"/>
        <w:bottom w:val="none" w:sz="0" w:space="0" w:color="auto"/>
        <w:right w:val="none" w:sz="0" w:space="0" w:color="auto"/>
      </w:divBdr>
    </w:div>
    <w:div w:id="1725910219">
      <w:bodyDiv w:val="1"/>
      <w:marLeft w:val="0"/>
      <w:marRight w:val="0"/>
      <w:marTop w:val="0"/>
      <w:marBottom w:val="0"/>
      <w:divBdr>
        <w:top w:val="none" w:sz="0" w:space="0" w:color="auto"/>
        <w:left w:val="none" w:sz="0" w:space="0" w:color="auto"/>
        <w:bottom w:val="none" w:sz="0" w:space="0" w:color="auto"/>
        <w:right w:val="none" w:sz="0" w:space="0" w:color="auto"/>
      </w:divBdr>
    </w:div>
    <w:div w:id="1728796917">
      <w:bodyDiv w:val="1"/>
      <w:marLeft w:val="0"/>
      <w:marRight w:val="0"/>
      <w:marTop w:val="0"/>
      <w:marBottom w:val="0"/>
      <w:divBdr>
        <w:top w:val="none" w:sz="0" w:space="0" w:color="auto"/>
        <w:left w:val="none" w:sz="0" w:space="0" w:color="auto"/>
        <w:bottom w:val="none" w:sz="0" w:space="0" w:color="auto"/>
        <w:right w:val="none" w:sz="0" w:space="0" w:color="auto"/>
      </w:divBdr>
    </w:div>
    <w:div w:id="1733196368">
      <w:bodyDiv w:val="1"/>
      <w:marLeft w:val="0"/>
      <w:marRight w:val="0"/>
      <w:marTop w:val="0"/>
      <w:marBottom w:val="0"/>
      <w:divBdr>
        <w:top w:val="none" w:sz="0" w:space="0" w:color="auto"/>
        <w:left w:val="none" w:sz="0" w:space="0" w:color="auto"/>
        <w:bottom w:val="none" w:sz="0" w:space="0" w:color="auto"/>
        <w:right w:val="none" w:sz="0" w:space="0" w:color="auto"/>
      </w:divBdr>
    </w:div>
    <w:div w:id="1737170443">
      <w:bodyDiv w:val="1"/>
      <w:marLeft w:val="0"/>
      <w:marRight w:val="0"/>
      <w:marTop w:val="0"/>
      <w:marBottom w:val="0"/>
      <w:divBdr>
        <w:top w:val="none" w:sz="0" w:space="0" w:color="auto"/>
        <w:left w:val="none" w:sz="0" w:space="0" w:color="auto"/>
        <w:bottom w:val="none" w:sz="0" w:space="0" w:color="auto"/>
        <w:right w:val="none" w:sz="0" w:space="0" w:color="auto"/>
      </w:divBdr>
    </w:div>
    <w:div w:id="1737624386">
      <w:bodyDiv w:val="1"/>
      <w:marLeft w:val="0"/>
      <w:marRight w:val="0"/>
      <w:marTop w:val="0"/>
      <w:marBottom w:val="0"/>
      <w:divBdr>
        <w:top w:val="none" w:sz="0" w:space="0" w:color="auto"/>
        <w:left w:val="none" w:sz="0" w:space="0" w:color="auto"/>
        <w:bottom w:val="none" w:sz="0" w:space="0" w:color="auto"/>
        <w:right w:val="none" w:sz="0" w:space="0" w:color="auto"/>
      </w:divBdr>
    </w:div>
    <w:div w:id="1737849950">
      <w:bodyDiv w:val="1"/>
      <w:marLeft w:val="0"/>
      <w:marRight w:val="0"/>
      <w:marTop w:val="0"/>
      <w:marBottom w:val="0"/>
      <w:divBdr>
        <w:top w:val="none" w:sz="0" w:space="0" w:color="auto"/>
        <w:left w:val="none" w:sz="0" w:space="0" w:color="auto"/>
        <w:bottom w:val="none" w:sz="0" w:space="0" w:color="auto"/>
        <w:right w:val="none" w:sz="0" w:space="0" w:color="auto"/>
      </w:divBdr>
    </w:div>
    <w:div w:id="1739549519">
      <w:bodyDiv w:val="1"/>
      <w:marLeft w:val="0"/>
      <w:marRight w:val="0"/>
      <w:marTop w:val="0"/>
      <w:marBottom w:val="0"/>
      <w:divBdr>
        <w:top w:val="none" w:sz="0" w:space="0" w:color="auto"/>
        <w:left w:val="none" w:sz="0" w:space="0" w:color="auto"/>
        <w:bottom w:val="none" w:sz="0" w:space="0" w:color="auto"/>
        <w:right w:val="none" w:sz="0" w:space="0" w:color="auto"/>
      </w:divBdr>
    </w:div>
    <w:div w:id="1744330695">
      <w:bodyDiv w:val="1"/>
      <w:marLeft w:val="0"/>
      <w:marRight w:val="0"/>
      <w:marTop w:val="0"/>
      <w:marBottom w:val="0"/>
      <w:divBdr>
        <w:top w:val="none" w:sz="0" w:space="0" w:color="auto"/>
        <w:left w:val="none" w:sz="0" w:space="0" w:color="auto"/>
        <w:bottom w:val="none" w:sz="0" w:space="0" w:color="auto"/>
        <w:right w:val="none" w:sz="0" w:space="0" w:color="auto"/>
      </w:divBdr>
    </w:div>
    <w:div w:id="1744372565">
      <w:bodyDiv w:val="1"/>
      <w:marLeft w:val="0"/>
      <w:marRight w:val="0"/>
      <w:marTop w:val="0"/>
      <w:marBottom w:val="0"/>
      <w:divBdr>
        <w:top w:val="none" w:sz="0" w:space="0" w:color="auto"/>
        <w:left w:val="none" w:sz="0" w:space="0" w:color="auto"/>
        <w:bottom w:val="none" w:sz="0" w:space="0" w:color="auto"/>
        <w:right w:val="none" w:sz="0" w:space="0" w:color="auto"/>
      </w:divBdr>
    </w:div>
    <w:div w:id="1748385672">
      <w:bodyDiv w:val="1"/>
      <w:marLeft w:val="0"/>
      <w:marRight w:val="0"/>
      <w:marTop w:val="0"/>
      <w:marBottom w:val="0"/>
      <w:divBdr>
        <w:top w:val="none" w:sz="0" w:space="0" w:color="auto"/>
        <w:left w:val="none" w:sz="0" w:space="0" w:color="auto"/>
        <w:bottom w:val="none" w:sz="0" w:space="0" w:color="auto"/>
        <w:right w:val="none" w:sz="0" w:space="0" w:color="auto"/>
      </w:divBdr>
    </w:div>
    <w:div w:id="1752502614">
      <w:bodyDiv w:val="1"/>
      <w:marLeft w:val="0"/>
      <w:marRight w:val="0"/>
      <w:marTop w:val="0"/>
      <w:marBottom w:val="0"/>
      <w:divBdr>
        <w:top w:val="none" w:sz="0" w:space="0" w:color="auto"/>
        <w:left w:val="none" w:sz="0" w:space="0" w:color="auto"/>
        <w:bottom w:val="none" w:sz="0" w:space="0" w:color="auto"/>
        <w:right w:val="none" w:sz="0" w:space="0" w:color="auto"/>
      </w:divBdr>
    </w:div>
    <w:div w:id="1752700408">
      <w:bodyDiv w:val="1"/>
      <w:marLeft w:val="0"/>
      <w:marRight w:val="0"/>
      <w:marTop w:val="0"/>
      <w:marBottom w:val="0"/>
      <w:divBdr>
        <w:top w:val="none" w:sz="0" w:space="0" w:color="auto"/>
        <w:left w:val="none" w:sz="0" w:space="0" w:color="auto"/>
        <w:bottom w:val="none" w:sz="0" w:space="0" w:color="auto"/>
        <w:right w:val="none" w:sz="0" w:space="0" w:color="auto"/>
      </w:divBdr>
    </w:div>
    <w:div w:id="1755399732">
      <w:bodyDiv w:val="1"/>
      <w:marLeft w:val="0"/>
      <w:marRight w:val="0"/>
      <w:marTop w:val="0"/>
      <w:marBottom w:val="0"/>
      <w:divBdr>
        <w:top w:val="none" w:sz="0" w:space="0" w:color="auto"/>
        <w:left w:val="none" w:sz="0" w:space="0" w:color="auto"/>
        <w:bottom w:val="none" w:sz="0" w:space="0" w:color="auto"/>
        <w:right w:val="none" w:sz="0" w:space="0" w:color="auto"/>
      </w:divBdr>
    </w:div>
    <w:div w:id="1756516274">
      <w:bodyDiv w:val="1"/>
      <w:marLeft w:val="0"/>
      <w:marRight w:val="0"/>
      <w:marTop w:val="0"/>
      <w:marBottom w:val="0"/>
      <w:divBdr>
        <w:top w:val="none" w:sz="0" w:space="0" w:color="auto"/>
        <w:left w:val="none" w:sz="0" w:space="0" w:color="auto"/>
        <w:bottom w:val="none" w:sz="0" w:space="0" w:color="auto"/>
        <w:right w:val="none" w:sz="0" w:space="0" w:color="auto"/>
      </w:divBdr>
    </w:div>
    <w:div w:id="1756825099">
      <w:bodyDiv w:val="1"/>
      <w:marLeft w:val="0"/>
      <w:marRight w:val="0"/>
      <w:marTop w:val="0"/>
      <w:marBottom w:val="0"/>
      <w:divBdr>
        <w:top w:val="none" w:sz="0" w:space="0" w:color="auto"/>
        <w:left w:val="none" w:sz="0" w:space="0" w:color="auto"/>
        <w:bottom w:val="none" w:sz="0" w:space="0" w:color="auto"/>
        <w:right w:val="none" w:sz="0" w:space="0" w:color="auto"/>
      </w:divBdr>
    </w:div>
    <w:div w:id="1763915779">
      <w:bodyDiv w:val="1"/>
      <w:marLeft w:val="0"/>
      <w:marRight w:val="0"/>
      <w:marTop w:val="0"/>
      <w:marBottom w:val="0"/>
      <w:divBdr>
        <w:top w:val="none" w:sz="0" w:space="0" w:color="auto"/>
        <w:left w:val="none" w:sz="0" w:space="0" w:color="auto"/>
        <w:bottom w:val="none" w:sz="0" w:space="0" w:color="auto"/>
        <w:right w:val="none" w:sz="0" w:space="0" w:color="auto"/>
      </w:divBdr>
    </w:div>
    <w:div w:id="1763917799">
      <w:bodyDiv w:val="1"/>
      <w:marLeft w:val="0"/>
      <w:marRight w:val="0"/>
      <w:marTop w:val="0"/>
      <w:marBottom w:val="0"/>
      <w:divBdr>
        <w:top w:val="none" w:sz="0" w:space="0" w:color="auto"/>
        <w:left w:val="none" w:sz="0" w:space="0" w:color="auto"/>
        <w:bottom w:val="none" w:sz="0" w:space="0" w:color="auto"/>
        <w:right w:val="none" w:sz="0" w:space="0" w:color="auto"/>
      </w:divBdr>
    </w:div>
    <w:div w:id="1768038769">
      <w:bodyDiv w:val="1"/>
      <w:marLeft w:val="0"/>
      <w:marRight w:val="0"/>
      <w:marTop w:val="0"/>
      <w:marBottom w:val="0"/>
      <w:divBdr>
        <w:top w:val="none" w:sz="0" w:space="0" w:color="auto"/>
        <w:left w:val="none" w:sz="0" w:space="0" w:color="auto"/>
        <w:bottom w:val="none" w:sz="0" w:space="0" w:color="auto"/>
        <w:right w:val="none" w:sz="0" w:space="0" w:color="auto"/>
      </w:divBdr>
    </w:div>
    <w:div w:id="1768650563">
      <w:bodyDiv w:val="1"/>
      <w:marLeft w:val="0"/>
      <w:marRight w:val="0"/>
      <w:marTop w:val="0"/>
      <w:marBottom w:val="0"/>
      <w:divBdr>
        <w:top w:val="none" w:sz="0" w:space="0" w:color="auto"/>
        <w:left w:val="none" w:sz="0" w:space="0" w:color="auto"/>
        <w:bottom w:val="none" w:sz="0" w:space="0" w:color="auto"/>
        <w:right w:val="none" w:sz="0" w:space="0" w:color="auto"/>
      </w:divBdr>
    </w:div>
    <w:div w:id="1769884781">
      <w:bodyDiv w:val="1"/>
      <w:marLeft w:val="0"/>
      <w:marRight w:val="0"/>
      <w:marTop w:val="0"/>
      <w:marBottom w:val="0"/>
      <w:divBdr>
        <w:top w:val="none" w:sz="0" w:space="0" w:color="auto"/>
        <w:left w:val="none" w:sz="0" w:space="0" w:color="auto"/>
        <w:bottom w:val="none" w:sz="0" w:space="0" w:color="auto"/>
        <w:right w:val="none" w:sz="0" w:space="0" w:color="auto"/>
      </w:divBdr>
    </w:div>
    <w:div w:id="1770738047">
      <w:bodyDiv w:val="1"/>
      <w:marLeft w:val="0"/>
      <w:marRight w:val="0"/>
      <w:marTop w:val="0"/>
      <w:marBottom w:val="0"/>
      <w:divBdr>
        <w:top w:val="none" w:sz="0" w:space="0" w:color="auto"/>
        <w:left w:val="none" w:sz="0" w:space="0" w:color="auto"/>
        <w:bottom w:val="none" w:sz="0" w:space="0" w:color="auto"/>
        <w:right w:val="none" w:sz="0" w:space="0" w:color="auto"/>
      </w:divBdr>
    </w:div>
    <w:div w:id="1773546096">
      <w:bodyDiv w:val="1"/>
      <w:marLeft w:val="0"/>
      <w:marRight w:val="0"/>
      <w:marTop w:val="0"/>
      <w:marBottom w:val="0"/>
      <w:divBdr>
        <w:top w:val="none" w:sz="0" w:space="0" w:color="auto"/>
        <w:left w:val="none" w:sz="0" w:space="0" w:color="auto"/>
        <w:bottom w:val="none" w:sz="0" w:space="0" w:color="auto"/>
        <w:right w:val="none" w:sz="0" w:space="0" w:color="auto"/>
      </w:divBdr>
    </w:div>
    <w:div w:id="1777872011">
      <w:bodyDiv w:val="1"/>
      <w:marLeft w:val="0"/>
      <w:marRight w:val="0"/>
      <w:marTop w:val="0"/>
      <w:marBottom w:val="0"/>
      <w:divBdr>
        <w:top w:val="none" w:sz="0" w:space="0" w:color="auto"/>
        <w:left w:val="none" w:sz="0" w:space="0" w:color="auto"/>
        <w:bottom w:val="none" w:sz="0" w:space="0" w:color="auto"/>
        <w:right w:val="none" w:sz="0" w:space="0" w:color="auto"/>
      </w:divBdr>
    </w:div>
    <w:div w:id="1778671854">
      <w:bodyDiv w:val="1"/>
      <w:marLeft w:val="0"/>
      <w:marRight w:val="0"/>
      <w:marTop w:val="0"/>
      <w:marBottom w:val="0"/>
      <w:divBdr>
        <w:top w:val="none" w:sz="0" w:space="0" w:color="auto"/>
        <w:left w:val="none" w:sz="0" w:space="0" w:color="auto"/>
        <w:bottom w:val="none" w:sz="0" w:space="0" w:color="auto"/>
        <w:right w:val="none" w:sz="0" w:space="0" w:color="auto"/>
      </w:divBdr>
    </w:div>
    <w:div w:id="1786650501">
      <w:bodyDiv w:val="1"/>
      <w:marLeft w:val="0"/>
      <w:marRight w:val="0"/>
      <w:marTop w:val="0"/>
      <w:marBottom w:val="0"/>
      <w:divBdr>
        <w:top w:val="none" w:sz="0" w:space="0" w:color="auto"/>
        <w:left w:val="none" w:sz="0" w:space="0" w:color="auto"/>
        <w:bottom w:val="none" w:sz="0" w:space="0" w:color="auto"/>
        <w:right w:val="none" w:sz="0" w:space="0" w:color="auto"/>
      </w:divBdr>
    </w:div>
    <w:div w:id="1787389364">
      <w:bodyDiv w:val="1"/>
      <w:marLeft w:val="0"/>
      <w:marRight w:val="0"/>
      <w:marTop w:val="0"/>
      <w:marBottom w:val="0"/>
      <w:divBdr>
        <w:top w:val="none" w:sz="0" w:space="0" w:color="auto"/>
        <w:left w:val="none" w:sz="0" w:space="0" w:color="auto"/>
        <w:bottom w:val="none" w:sz="0" w:space="0" w:color="auto"/>
        <w:right w:val="none" w:sz="0" w:space="0" w:color="auto"/>
      </w:divBdr>
    </w:div>
    <w:div w:id="1790397408">
      <w:bodyDiv w:val="1"/>
      <w:marLeft w:val="0"/>
      <w:marRight w:val="0"/>
      <w:marTop w:val="0"/>
      <w:marBottom w:val="0"/>
      <w:divBdr>
        <w:top w:val="none" w:sz="0" w:space="0" w:color="auto"/>
        <w:left w:val="none" w:sz="0" w:space="0" w:color="auto"/>
        <w:bottom w:val="none" w:sz="0" w:space="0" w:color="auto"/>
        <w:right w:val="none" w:sz="0" w:space="0" w:color="auto"/>
      </w:divBdr>
    </w:div>
    <w:div w:id="1795370288">
      <w:bodyDiv w:val="1"/>
      <w:marLeft w:val="0"/>
      <w:marRight w:val="0"/>
      <w:marTop w:val="0"/>
      <w:marBottom w:val="0"/>
      <w:divBdr>
        <w:top w:val="none" w:sz="0" w:space="0" w:color="auto"/>
        <w:left w:val="none" w:sz="0" w:space="0" w:color="auto"/>
        <w:bottom w:val="none" w:sz="0" w:space="0" w:color="auto"/>
        <w:right w:val="none" w:sz="0" w:space="0" w:color="auto"/>
      </w:divBdr>
    </w:div>
    <w:div w:id="1797408448">
      <w:bodyDiv w:val="1"/>
      <w:marLeft w:val="0"/>
      <w:marRight w:val="0"/>
      <w:marTop w:val="0"/>
      <w:marBottom w:val="0"/>
      <w:divBdr>
        <w:top w:val="none" w:sz="0" w:space="0" w:color="auto"/>
        <w:left w:val="none" w:sz="0" w:space="0" w:color="auto"/>
        <w:bottom w:val="none" w:sz="0" w:space="0" w:color="auto"/>
        <w:right w:val="none" w:sz="0" w:space="0" w:color="auto"/>
      </w:divBdr>
    </w:div>
    <w:div w:id="1802575864">
      <w:bodyDiv w:val="1"/>
      <w:marLeft w:val="0"/>
      <w:marRight w:val="0"/>
      <w:marTop w:val="0"/>
      <w:marBottom w:val="0"/>
      <w:divBdr>
        <w:top w:val="none" w:sz="0" w:space="0" w:color="auto"/>
        <w:left w:val="none" w:sz="0" w:space="0" w:color="auto"/>
        <w:bottom w:val="none" w:sz="0" w:space="0" w:color="auto"/>
        <w:right w:val="none" w:sz="0" w:space="0" w:color="auto"/>
      </w:divBdr>
    </w:div>
    <w:div w:id="1804692656">
      <w:bodyDiv w:val="1"/>
      <w:marLeft w:val="0"/>
      <w:marRight w:val="0"/>
      <w:marTop w:val="0"/>
      <w:marBottom w:val="0"/>
      <w:divBdr>
        <w:top w:val="none" w:sz="0" w:space="0" w:color="auto"/>
        <w:left w:val="none" w:sz="0" w:space="0" w:color="auto"/>
        <w:bottom w:val="none" w:sz="0" w:space="0" w:color="auto"/>
        <w:right w:val="none" w:sz="0" w:space="0" w:color="auto"/>
      </w:divBdr>
    </w:div>
    <w:div w:id="1805810291">
      <w:bodyDiv w:val="1"/>
      <w:marLeft w:val="0"/>
      <w:marRight w:val="0"/>
      <w:marTop w:val="0"/>
      <w:marBottom w:val="0"/>
      <w:divBdr>
        <w:top w:val="none" w:sz="0" w:space="0" w:color="auto"/>
        <w:left w:val="none" w:sz="0" w:space="0" w:color="auto"/>
        <w:bottom w:val="none" w:sz="0" w:space="0" w:color="auto"/>
        <w:right w:val="none" w:sz="0" w:space="0" w:color="auto"/>
      </w:divBdr>
    </w:div>
    <w:div w:id="1807577872">
      <w:bodyDiv w:val="1"/>
      <w:marLeft w:val="0"/>
      <w:marRight w:val="0"/>
      <w:marTop w:val="0"/>
      <w:marBottom w:val="0"/>
      <w:divBdr>
        <w:top w:val="none" w:sz="0" w:space="0" w:color="auto"/>
        <w:left w:val="none" w:sz="0" w:space="0" w:color="auto"/>
        <w:bottom w:val="none" w:sz="0" w:space="0" w:color="auto"/>
        <w:right w:val="none" w:sz="0" w:space="0" w:color="auto"/>
      </w:divBdr>
    </w:div>
    <w:div w:id="1808933124">
      <w:bodyDiv w:val="1"/>
      <w:marLeft w:val="0"/>
      <w:marRight w:val="0"/>
      <w:marTop w:val="0"/>
      <w:marBottom w:val="0"/>
      <w:divBdr>
        <w:top w:val="none" w:sz="0" w:space="0" w:color="auto"/>
        <w:left w:val="none" w:sz="0" w:space="0" w:color="auto"/>
        <w:bottom w:val="none" w:sz="0" w:space="0" w:color="auto"/>
        <w:right w:val="none" w:sz="0" w:space="0" w:color="auto"/>
      </w:divBdr>
    </w:div>
    <w:div w:id="1810901129">
      <w:bodyDiv w:val="1"/>
      <w:marLeft w:val="0"/>
      <w:marRight w:val="0"/>
      <w:marTop w:val="0"/>
      <w:marBottom w:val="0"/>
      <w:divBdr>
        <w:top w:val="none" w:sz="0" w:space="0" w:color="auto"/>
        <w:left w:val="none" w:sz="0" w:space="0" w:color="auto"/>
        <w:bottom w:val="none" w:sz="0" w:space="0" w:color="auto"/>
        <w:right w:val="none" w:sz="0" w:space="0" w:color="auto"/>
      </w:divBdr>
    </w:div>
    <w:div w:id="1813012955">
      <w:bodyDiv w:val="1"/>
      <w:marLeft w:val="0"/>
      <w:marRight w:val="0"/>
      <w:marTop w:val="0"/>
      <w:marBottom w:val="0"/>
      <w:divBdr>
        <w:top w:val="none" w:sz="0" w:space="0" w:color="auto"/>
        <w:left w:val="none" w:sz="0" w:space="0" w:color="auto"/>
        <w:bottom w:val="none" w:sz="0" w:space="0" w:color="auto"/>
        <w:right w:val="none" w:sz="0" w:space="0" w:color="auto"/>
      </w:divBdr>
    </w:div>
    <w:div w:id="1815178563">
      <w:bodyDiv w:val="1"/>
      <w:marLeft w:val="0"/>
      <w:marRight w:val="0"/>
      <w:marTop w:val="0"/>
      <w:marBottom w:val="0"/>
      <w:divBdr>
        <w:top w:val="none" w:sz="0" w:space="0" w:color="auto"/>
        <w:left w:val="none" w:sz="0" w:space="0" w:color="auto"/>
        <w:bottom w:val="none" w:sz="0" w:space="0" w:color="auto"/>
        <w:right w:val="none" w:sz="0" w:space="0" w:color="auto"/>
      </w:divBdr>
    </w:div>
    <w:div w:id="1821338303">
      <w:bodyDiv w:val="1"/>
      <w:marLeft w:val="0"/>
      <w:marRight w:val="0"/>
      <w:marTop w:val="0"/>
      <w:marBottom w:val="0"/>
      <w:divBdr>
        <w:top w:val="none" w:sz="0" w:space="0" w:color="auto"/>
        <w:left w:val="none" w:sz="0" w:space="0" w:color="auto"/>
        <w:bottom w:val="none" w:sz="0" w:space="0" w:color="auto"/>
        <w:right w:val="none" w:sz="0" w:space="0" w:color="auto"/>
      </w:divBdr>
    </w:div>
    <w:div w:id="1821925664">
      <w:bodyDiv w:val="1"/>
      <w:marLeft w:val="0"/>
      <w:marRight w:val="0"/>
      <w:marTop w:val="0"/>
      <w:marBottom w:val="0"/>
      <w:divBdr>
        <w:top w:val="none" w:sz="0" w:space="0" w:color="auto"/>
        <w:left w:val="none" w:sz="0" w:space="0" w:color="auto"/>
        <w:bottom w:val="none" w:sz="0" w:space="0" w:color="auto"/>
        <w:right w:val="none" w:sz="0" w:space="0" w:color="auto"/>
      </w:divBdr>
    </w:div>
    <w:div w:id="1822892408">
      <w:bodyDiv w:val="1"/>
      <w:marLeft w:val="0"/>
      <w:marRight w:val="0"/>
      <w:marTop w:val="0"/>
      <w:marBottom w:val="0"/>
      <w:divBdr>
        <w:top w:val="none" w:sz="0" w:space="0" w:color="auto"/>
        <w:left w:val="none" w:sz="0" w:space="0" w:color="auto"/>
        <w:bottom w:val="none" w:sz="0" w:space="0" w:color="auto"/>
        <w:right w:val="none" w:sz="0" w:space="0" w:color="auto"/>
      </w:divBdr>
    </w:div>
    <w:div w:id="1828282401">
      <w:bodyDiv w:val="1"/>
      <w:marLeft w:val="0"/>
      <w:marRight w:val="0"/>
      <w:marTop w:val="0"/>
      <w:marBottom w:val="0"/>
      <w:divBdr>
        <w:top w:val="none" w:sz="0" w:space="0" w:color="auto"/>
        <w:left w:val="none" w:sz="0" w:space="0" w:color="auto"/>
        <w:bottom w:val="none" w:sz="0" w:space="0" w:color="auto"/>
        <w:right w:val="none" w:sz="0" w:space="0" w:color="auto"/>
      </w:divBdr>
    </w:div>
    <w:div w:id="1835146253">
      <w:bodyDiv w:val="1"/>
      <w:marLeft w:val="0"/>
      <w:marRight w:val="0"/>
      <w:marTop w:val="0"/>
      <w:marBottom w:val="0"/>
      <w:divBdr>
        <w:top w:val="none" w:sz="0" w:space="0" w:color="auto"/>
        <w:left w:val="none" w:sz="0" w:space="0" w:color="auto"/>
        <w:bottom w:val="none" w:sz="0" w:space="0" w:color="auto"/>
        <w:right w:val="none" w:sz="0" w:space="0" w:color="auto"/>
      </w:divBdr>
    </w:div>
    <w:div w:id="1835295276">
      <w:bodyDiv w:val="1"/>
      <w:marLeft w:val="0"/>
      <w:marRight w:val="0"/>
      <w:marTop w:val="0"/>
      <w:marBottom w:val="0"/>
      <w:divBdr>
        <w:top w:val="none" w:sz="0" w:space="0" w:color="auto"/>
        <w:left w:val="none" w:sz="0" w:space="0" w:color="auto"/>
        <w:bottom w:val="none" w:sz="0" w:space="0" w:color="auto"/>
        <w:right w:val="none" w:sz="0" w:space="0" w:color="auto"/>
      </w:divBdr>
    </w:div>
    <w:div w:id="1837186876">
      <w:bodyDiv w:val="1"/>
      <w:marLeft w:val="0"/>
      <w:marRight w:val="0"/>
      <w:marTop w:val="0"/>
      <w:marBottom w:val="0"/>
      <w:divBdr>
        <w:top w:val="none" w:sz="0" w:space="0" w:color="auto"/>
        <w:left w:val="none" w:sz="0" w:space="0" w:color="auto"/>
        <w:bottom w:val="none" w:sz="0" w:space="0" w:color="auto"/>
        <w:right w:val="none" w:sz="0" w:space="0" w:color="auto"/>
      </w:divBdr>
    </w:div>
    <w:div w:id="1837921772">
      <w:bodyDiv w:val="1"/>
      <w:marLeft w:val="0"/>
      <w:marRight w:val="0"/>
      <w:marTop w:val="0"/>
      <w:marBottom w:val="0"/>
      <w:divBdr>
        <w:top w:val="none" w:sz="0" w:space="0" w:color="auto"/>
        <w:left w:val="none" w:sz="0" w:space="0" w:color="auto"/>
        <w:bottom w:val="none" w:sz="0" w:space="0" w:color="auto"/>
        <w:right w:val="none" w:sz="0" w:space="0" w:color="auto"/>
      </w:divBdr>
    </w:div>
    <w:div w:id="1838184871">
      <w:bodyDiv w:val="1"/>
      <w:marLeft w:val="0"/>
      <w:marRight w:val="0"/>
      <w:marTop w:val="0"/>
      <w:marBottom w:val="0"/>
      <w:divBdr>
        <w:top w:val="none" w:sz="0" w:space="0" w:color="auto"/>
        <w:left w:val="none" w:sz="0" w:space="0" w:color="auto"/>
        <w:bottom w:val="none" w:sz="0" w:space="0" w:color="auto"/>
        <w:right w:val="none" w:sz="0" w:space="0" w:color="auto"/>
      </w:divBdr>
    </w:div>
    <w:div w:id="1839810807">
      <w:bodyDiv w:val="1"/>
      <w:marLeft w:val="0"/>
      <w:marRight w:val="0"/>
      <w:marTop w:val="0"/>
      <w:marBottom w:val="0"/>
      <w:divBdr>
        <w:top w:val="none" w:sz="0" w:space="0" w:color="auto"/>
        <w:left w:val="none" w:sz="0" w:space="0" w:color="auto"/>
        <w:bottom w:val="none" w:sz="0" w:space="0" w:color="auto"/>
        <w:right w:val="none" w:sz="0" w:space="0" w:color="auto"/>
      </w:divBdr>
    </w:div>
    <w:div w:id="1840272506">
      <w:bodyDiv w:val="1"/>
      <w:marLeft w:val="0"/>
      <w:marRight w:val="0"/>
      <w:marTop w:val="0"/>
      <w:marBottom w:val="0"/>
      <w:divBdr>
        <w:top w:val="none" w:sz="0" w:space="0" w:color="auto"/>
        <w:left w:val="none" w:sz="0" w:space="0" w:color="auto"/>
        <w:bottom w:val="none" w:sz="0" w:space="0" w:color="auto"/>
        <w:right w:val="none" w:sz="0" w:space="0" w:color="auto"/>
      </w:divBdr>
    </w:div>
    <w:div w:id="1840731667">
      <w:bodyDiv w:val="1"/>
      <w:marLeft w:val="0"/>
      <w:marRight w:val="0"/>
      <w:marTop w:val="0"/>
      <w:marBottom w:val="0"/>
      <w:divBdr>
        <w:top w:val="none" w:sz="0" w:space="0" w:color="auto"/>
        <w:left w:val="none" w:sz="0" w:space="0" w:color="auto"/>
        <w:bottom w:val="none" w:sz="0" w:space="0" w:color="auto"/>
        <w:right w:val="none" w:sz="0" w:space="0" w:color="auto"/>
      </w:divBdr>
    </w:div>
    <w:div w:id="1841849368">
      <w:bodyDiv w:val="1"/>
      <w:marLeft w:val="0"/>
      <w:marRight w:val="0"/>
      <w:marTop w:val="0"/>
      <w:marBottom w:val="0"/>
      <w:divBdr>
        <w:top w:val="none" w:sz="0" w:space="0" w:color="auto"/>
        <w:left w:val="none" w:sz="0" w:space="0" w:color="auto"/>
        <w:bottom w:val="none" w:sz="0" w:space="0" w:color="auto"/>
        <w:right w:val="none" w:sz="0" w:space="0" w:color="auto"/>
      </w:divBdr>
    </w:div>
    <w:div w:id="1845972736">
      <w:bodyDiv w:val="1"/>
      <w:marLeft w:val="0"/>
      <w:marRight w:val="0"/>
      <w:marTop w:val="0"/>
      <w:marBottom w:val="0"/>
      <w:divBdr>
        <w:top w:val="none" w:sz="0" w:space="0" w:color="auto"/>
        <w:left w:val="none" w:sz="0" w:space="0" w:color="auto"/>
        <w:bottom w:val="none" w:sz="0" w:space="0" w:color="auto"/>
        <w:right w:val="none" w:sz="0" w:space="0" w:color="auto"/>
      </w:divBdr>
    </w:div>
    <w:div w:id="1854537783">
      <w:bodyDiv w:val="1"/>
      <w:marLeft w:val="0"/>
      <w:marRight w:val="0"/>
      <w:marTop w:val="0"/>
      <w:marBottom w:val="0"/>
      <w:divBdr>
        <w:top w:val="none" w:sz="0" w:space="0" w:color="auto"/>
        <w:left w:val="none" w:sz="0" w:space="0" w:color="auto"/>
        <w:bottom w:val="none" w:sz="0" w:space="0" w:color="auto"/>
        <w:right w:val="none" w:sz="0" w:space="0" w:color="auto"/>
      </w:divBdr>
    </w:div>
    <w:div w:id="1862621148">
      <w:bodyDiv w:val="1"/>
      <w:marLeft w:val="0"/>
      <w:marRight w:val="0"/>
      <w:marTop w:val="0"/>
      <w:marBottom w:val="0"/>
      <w:divBdr>
        <w:top w:val="none" w:sz="0" w:space="0" w:color="auto"/>
        <w:left w:val="none" w:sz="0" w:space="0" w:color="auto"/>
        <w:bottom w:val="none" w:sz="0" w:space="0" w:color="auto"/>
        <w:right w:val="none" w:sz="0" w:space="0" w:color="auto"/>
      </w:divBdr>
    </w:div>
    <w:div w:id="1862622378">
      <w:bodyDiv w:val="1"/>
      <w:marLeft w:val="0"/>
      <w:marRight w:val="0"/>
      <w:marTop w:val="0"/>
      <w:marBottom w:val="0"/>
      <w:divBdr>
        <w:top w:val="none" w:sz="0" w:space="0" w:color="auto"/>
        <w:left w:val="none" w:sz="0" w:space="0" w:color="auto"/>
        <w:bottom w:val="none" w:sz="0" w:space="0" w:color="auto"/>
        <w:right w:val="none" w:sz="0" w:space="0" w:color="auto"/>
      </w:divBdr>
    </w:div>
    <w:div w:id="1864443055">
      <w:bodyDiv w:val="1"/>
      <w:marLeft w:val="0"/>
      <w:marRight w:val="0"/>
      <w:marTop w:val="0"/>
      <w:marBottom w:val="0"/>
      <w:divBdr>
        <w:top w:val="none" w:sz="0" w:space="0" w:color="auto"/>
        <w:left w:val="none" w:sz="0" w:space="0" w:color="auto"/>
        <w:bottom w:val="none" w:sz="0" w:space="0" w:color="auto"/>
        <w:right w:val="none" w:sz="0" w:space="0" w:color="auto"/>
      </w:divBdr>
    </w:div>
    <w:div w:id="1868911285">
      <w:bodyDiv w:val="1"/>
      <w:marLeft w:val="0"/>
      <w:marRight w:val="0"/>
      <w:marTop w:val="0"/>
      <w:marBottom w:val="0"/>
      <w:divBdr>
        <w:top w:val="none" w:sz="0" w:space="0" w:color="auto"/>
        <w:left w:val="none" w:sz="0" w:space="0" w:color="auto"/>
        <w:bottom w:val="none" w:sz="0" w:space="0" w:color="auto"/>
        <w:right w:val="none" w:sz="0" w:space="0" w:color="auto"/>
      </w:divBdr>
    </w:div>
    <w:div w:id="1869221063">
      <w:bodyDiv w:val="1"/>
      <w:marLeft w:val="0"/>
      <w:marRight w:val="0"/>
      <w:marTop w:val="0"/>
      <w:marBottom w:val="0"/>
      <w:divBdr>
        <w:top w:val="none" w:sz="0" w:space="0" w:color="auto"/>
        <w:left w:val="none" w:sz="0" w:space="0" w:color="auto"/>
        <w:bottom w:val="none" w:sz="0" w:space="0" w:color="auto"/>
        <w:right w:val="none" w:sz="0" w:space="0" w:color="auto"/>
      </w:divBdr>
    </w:div>
    <w:div w:id="1870143280">
      <w:bodyDiv w:val="1"/>
      <w:marLeft w:val="0"/>
      <w:marRight w:val="0"/>
      <w:marTop w:val="0"/>
      <w:marBottom w:val="0"/>
      <w:divBdr>
        <w:top w:val="none" w:sz="0" w:space="0" w:color="auto"/>
        <w:left w:val="none" w:sz="0" w:space="0" w:color="auto"/>
        <w:bottom w:val="none" w:sz="0" w:space="0" w:color="auto"/>
        <w:right w:val="none" w:sz="0" w:space="0" w:color="auto"/>
      </w:divBdr>
    </w:div>
    <w:div w:id="1870795906">
      <w:bodyDiv w:val="1"/>
      <w:marLeft w:val="0"/>
      <w:marRight w:val="0"/>
      <w:marTop w:val="0"/>
      <w:marBottom w:val="0"/>
      <w:divBdr>
        <w:top w:val="none" w:sz="0" w:space="0" w:color="auto"/>
        <w:left w:val="none" w:sz="0" w:space="0" w:color="auto"/>
        <w:bottom w:val="none" w:sz="0" w:space="0" w:color="auto"/>
        <w:right w:val="none" w:sz="0" w:space="0" w:color="auto"/>
      </w:divBdr>
    </w:div>
    <w:div w:id="1874226603">
      <w:bodyDiv w:val="1"/>
      <w:marLeft w:val="0"/>
      <w:marRight w:val="0"/>
      <w:marTop w:val="0"/>
      <w:marBottom w:val="0"/>
      <w:divBdr>
        <w:top w:val="none" w:sz="0" w:space="0" w:color="auto"/>
        <w:left w:val="none" w:sz="0" w:space="0" w:color="auto"/>
        <w:bottom w:val="none" w:sz="0" w:space="0" w:color="auto"/>
        <w:right w:val="none" w:sz="0" w:space="0" w:color="auto"/>
      </w:divBdr>
    </w:div>
    <w:div w:id="1878927375">
      <w:bodyDiv w:val="1"/>
      <w:marLeft w:val="0"/>
      <w:marRight w:val="0"/>
      <w:marTop w:val="0"/>
      <w:marBottom w:val="0"/>
      <w:divBdr>
        <w:top w:val="none" w:sz="0" w:space="0" w:color="auto"/>
        <w:left w:val="none" w:sz="0" w:space="0" w:color="auto"/>
        <w:bottom w:val="none" w:sz="0" w:space="0" w:color="auto"/>
        <w:right w:val="none" w:sz="0" w:space="0" w:color="auto"/>
      </w:divBdr>
    </w:div>
    <w:div w:id="1879272444">
      <w:bodyDiv w:val="1"/>
      <w:marLeft w:val="0"/>
      <w:marRight w:val="0"/>
      <w:marTop w:val="0"/>
      <w:marBottom w:val="0"/>
      <w:divBdr>
        <w:top w:val="none" w:sz="0" w:space="0" w:color="auto"/>
        <w:left w:val="none" w:sz="0" w:space="0" w:color="auto"/>
        <w:bottom w:val="none" w:sz="0" w:space="0" w:color="auto"/>
        <w:right w:val="none" w:sz="0" w:space="0" w:color="auto"/>
      </w:divBdr>
    </w:div>
    <w:div w:id="1879664923">
      <w:bodyDiv w:val="1"/>
      <w:marLeft w:val="0"/>
      <w:marRight w:val="0"/>
      <w:marTop w:val="0"/>
      <w:marBottom w:val="0"/>
      <w:divBdr>
        <w:top w:val="none" w:sz="0" w:space="0" w:color="auto"/>
        <w:left w:val="none" w:sz="0" w:space="0" w:color="auto"/>
        <w:bottom w:val="none" w:sz="0" w:space="0" w:color="auto"/>
        <w:right w:val="none" w:sz="0" w:space="0" w:color="auto"/>
      </w:divBdr>
    </w:div>
    <w:div w:id="1883639832">
      <w:bodyDiv w:val="1"/>
      <w:marLeft w:val="0"/>
      <w:marRight w:val="0"/>
      <w:marTop w:val="0"/>
      <w:marBottom w:val="0"/>
      <w:divBdr>
        <w:top w:val="none" w:sz="0" w:space="0" w:color="auto"/>
        <w:left w:val="none" w:sz="0" w:space="0" w:color="auto"/>
        <w:bottom w:val="none" w:sz="0" w:space="0" w:color="auto"/>
        <w:right w:val="none" w:sz="0" w:space="0" w:color="auto"/>
      </w:divBdr>
    </w:div>
    <w:div w:id="1888102334">
      <w:bodyDiv w:val="1"/>
      <w:marLeft w:val="0"/>
      <w:marRight w:val="0"/>
      <w:marTop w:val="0"/>
      <w:marBottom w:val="0"/>
      <w:divBdr>
        <w:top w:val="none" w:sz="0" w:space="0" w:color="auto"/>
        <w:left w:val="none" w:sz="0" w:space="0" w:color="auto"/>
        <w:bottom w:val="none" w:sz="0" w:space="0" w:color="auto"/>
        <w:right w:val="none" w:sz="0" w:space="0" w:color="auto"/>
      </w:divBdr>
    </w:div>
    <w:div w:id="1890415335">
      <w:bodyDiv w:val="1"/>
      <w:marLeft w:val="0"/>
      <w:marRight w:val="0"/>
      <w:marTop w:val="0"/>
      <w:marBottom w:val="0"/>
      <w:divBdr>
        <w:top w:val="none" w:sz="0" w:space="0" w:color="auto"/>
        <w:left w:val="none" w:sz="0" w:space="0" w:color="auto"/>
        <w:bottom w:val="none" w:sz="0" w:space="0" w:color="auto"/>
        <w:right w:val="none" w:sz="0" w:space="0" w:color="auto"/>
      </w:divBdr>
    </w:div>
    <w:div w:id="1892570290">
      <w:bodyDiv w:val="1"/>
      <w:marLeft w:val="0"/>
      <w:marRight w:val="0"/>
      <w:marTop w:val="0"/>
      <w:marBottom w:val="0"/>
      <w:divBdr>
        <w:top w:val="none" w:sz="0" w:space="0" w:color="auto"/>
        <w:left w:val="none" w:sz="0" w:space="0" w:color="auto"/>
        <w:bottom w:val="none" w:sz="0" w:space="0" w:color="auto"/>
        <w:right w:val="none" w:sz="0" w:space="0" w:color="auto"/>
      </w:divBdr>
    </w:div>
    <w:div w:id="1893034186">
      <w:bodyDiv w:val="1"/>
      <w:marLeft w:val="0"/>
      <w:marRight w:val="0"/>
      <w:marTop w:val="0"/>
      <w:marBottom w:val="0"/>
      <w:divBdr>
        <w:top w:val="none" w:sz="0" w:space="0" w:color="auto"/>
        <w:left w:val="none" w:sz="0" w:space="0" w:color="auto"/>
        <w:bottom w:val="none" w:sz="0" w:space="0" w:color="auto"/>
        <w:right w:val="none" w:sz="0" w:space="0" w:color="auto"/>
      </w:divBdr>
    </w:div>
    <w:div w:id="1893731088">
      <w:bodyDiv w:val="1"/>
      <w:marLeft w:val="0"/>
      <w:marRight w:val="0"/>
      <w:marTop w:val="0"/>
      <w:marBottom w:val="0"/>
      <w:divBdr>
        <w:top w:val="none" w:sz="0" w:space="0" w:color="auto"/>
        <w:left w:val="none" w:sz="0" w:space="0" w:color="auto"/>
        <w:bottom w:val="none" w:sz="0" w:space="0" w:color="auto"/>
        <w:right w:val="none" w:sz="0" w:space="0" w:color="auto"/>
      </w:divBdr>
    </w:div>
    <w:div w:id="1900897236">
      <w:bodyDiv w:val="1"/>
      <w:marLeft w:val="0"/>
      <w:marRight w:val="0"/>
      <w:marTop w:val="0"/>
      <w:marBottom w:val="0"/>
      <w:divBdr>
        <w:top w:val="none" w:sz="0" w:space="0" w:color="auto"/>
        <w:left w:val="none" w:sz="0" w:space="0" w:color="auto"/>
        <w:bottom w:val="none" w:sz="0" w:space="0" w:color="auto"/>
        <w:right w:val="none" w:sz="0" w:space="0" w:color="auto"/>
      </w:divBdr>
    </w:div>
    <w:div w:id="1910798760">
      <w:bodyDiv w:val="1"/>
      <w:marLeft w:val="0"/>
      <w:marRight w:val="0"/>
      <w:marTop w:val="0"/>
      <w:marBottom w:val="0"/>
      <w:divBdr>
        <w:top w:val="none" w:sz="0" w:space="0" w:color="auto"/>
        <w:left w:val="none" w:sz="0" w:space="0" w:color="auto"/>
        <w:bottom w:val="none" w:sz="0" w:space="0" w:color="auto"/>
        <w:right w:val="none" w:sz="0" w:space="0" w:color="auto"/>
      </w:divBdr>
    </w:div>
    <w:div w:id="1914389896">
      <w:bodyDiv w:val="1"/>
      <w:marLeft w:val="0"/>
      <w:marRight w:val="0"/>
      <w:marTop w:val="0"/>
      <w:marBottom w:val="0"/>
      <w:divBdr>
        <w:top w:val="none" w:sz="0" w:space="0" w:color="auto"/>
        <w:left w:val="none" w:sz="0" w:space="0" w:color="auto"/>
        <w:bottom w:val="none" w:sz="0" w:space="0" w:color="auto"/>
        <w:right w:val="none" w:sz="0" w:space="0" w:color="auto"/>
      </w:divBdr>
    </w:div>
    <w:div w:id="1915166599">
      <w:bodyDiv w:val="1"/>
      <w:marLeft w:val="0"/>
      <w:marRight w:val="0"/>
      <w:marTop w:val="0"/>
      <w:marBottom w:val="0"/>
      <w:divBdr>
        <w:top w:val="none" w:sz="0" w:space="0" w:color="auto"/>
        <w:left w:val="none" w:sz="0" w:space="0" w:color="auto"/>
        <w:bottom w:val="none" w:sz="0" w:space="0" w:color="auto"/>
        <w:right w:val="none" w:sz="0" w:space="0" w:color="auto"/>
      </w:divBdr>
    </w:div>
    <w:div w:id="1917324776">
      <w:bodyDiv w:val="1"/>
      <w:marLeft w:val="0"/>
      <w:marRight w:val="0"/>
      <w:marTop w:val="0"/>
      <w:marBottom w:val="0"/>
      <w:divBdr>
        <w:top w:val="none" w:sz="0" w:space="0" w:color="auto"/>
        <w:left w:val="none" w:sz="0" w:space="0" w:color="auto"/>
        <w:bottom w:val="none" w:sz="0" w:space="0" w:color="auto"/>
        <w:right w:val="none" w:sz="0" w:space="0" w:color="auto"/>
      </w:divBdr>
    </w:div>
    <w:div w:id="1921137908">
      <w:bodyDiv w:val="1"/>
      <w:marLeft w:val="0"/>
      <w:marRight w:val="0"/>
      <w:marTop w:val="0"/>
      <w:marBottom w:val="0"/>
      <w:divBdr>
        <w:top w:val="none" w:sz="0" w:space="0" w:color="auto"/>
        <w:left w:val="none" w:sz="0" w:space="0" w:color="auto"/>
        <w:bottom w:val="none" w:sz="0" w:space="0" w:color="auto"/>
        <w:right w:val="none" w:sz="0" w:space="0" w:color="auto"/>
      </w:divBdr>
    </w:div>
    <w:div w:id="1921985363">
      <w:bodyDiv w:val="1"/>
      <w:marLeft w:val="0"/>
      <w:marRight w:val="0"/>
      <w:marTop w:val="0"/>
      <w:marBottom w:val="0"/>
      <w:divBdr>
        <w:top w:val="none" w:sz="0" w:space="0" w:color="auto"/>
        <w:left w:val="none" w:sz="0" w:space="0" w:color="auto"/>
        <w:bottom w:val="none" w:sz="0" w:space="0" w:color="auto"/>
        <w:right w:val="none" w:sz="0" w:space="0" w:color="auto"/>
      </w:divBdr>
    </w:div>
    <w:div w:id="1923686105">
      <w:bodyDiv w:val="1"/>
      <w:marLeft w:val="0"/>
      <w:marRight w:val="0"/>
      <w:marTop w:val="0"/>
      <w:marBottom w:val="0"/>
      <w:divBdr>
        <w:top w:val="none" w:sz="0" w:space="0" w:color="auto"/>
        <w:left w:val="none" w:sz="0" w:space="0" w:color="auto"/>
        <w:bottom w:val="none" w:sz="0" w:space="0" w:color="auto"/>
        <w:right w:val="none" w:sz="0" w:space="0" w:color="auto"/>
      </w:divBdr>
    </w:div>
    <w:div w:id="1925259634">
      <w:bodyDiv w:val="1"/>
      <w:marLeft w:val="0"/>
      <w:marRight w:val="0"/>
      <w:marTop w:val="0"/>
      <w:marBottom w:val="0"/>
      <w:divBdr>
        <w:top w:val="none" w:sz="0" w:space="0" w:color="auto"/>
        <w:left w:val="none" w:sz="0" w:space="0" w:color="auto"/>
        <w:bottom w:val="none" w:sz="0" w:space="0" w:color="auto"/>
        <w:right w:val="none" w:sz="0" w:space="0" w:color="auto"/>
      </w:divBdr>
    </w:div>
    <w:div w:id="1925844198">
      <w:bodyDiv w:val="1"/>
      <w:marLeft w:val="0"/>
      <w:marRight w:val="0"/>
      <w:marTop w:val="0"/>
      <w:marBottom w:val="0"/>
      <w:divBdr>
        <w:top w:val="none" w:sz="0" w:space="0" w:color="auto"/>
        <w:left w:val="none" w:sz="0" w:space="0" w:color="auto"/>
        <w:bottom w:val="none" w:sz="0" w:space="0" w:color="auto"/>
        <w:right w:val="none" w:sz="0" w:space="0" w:color="auto"/>
      </w:divBdr>
    </w:div>
    <w:div w:id="1926645967">
      <w:bodyDiv w:val="1"/>
      <w:marLeft w:val="0"/>
      <w:marRight w:val="0"/>
      <w:marTop w:val="0"/>
      <w:marBottom w:val="0"/>
      <w:divBdr>
        <w:top w:val="none" w:sz="0" w:space="0" w:color="auto"/>
        <w:left w:val="none" w:sz="0" w:space="0" w:color="auto"/>
        <w:bottom w:val="none" w:sz="0" w:space="0" w:color="auto"/>
        <w:right w:val="none" w:sz="0" w:space="0" w:color="auto"/>
      </w:divBdr>
    </w:div>
    <w:div w:id="1928494293">
      <w:bodyDiv w:val="1"/>
      <w:marLeft w:val="0"/>
      <w:marRight w:val="0"/>
      <w:marTop w:val="0"/>
      <w:marBottom w:val="0"/>
      <w:divBdr>
        <w:top w:val="none" w:sz="0" w:space="0" w:color="auto"/>
        <w:left w:val="none" w:sz="0" w:space="0" w:color="auto"/>
        <w:bottom w:val="none" w:sz="0" w:space="0" w:color="auto"/>
        <w:right w:val="none" w:sz="0" w:space="0" w:color="auto"/>
      </w:divBdr>
    </w:div>
    <w:div w:id="1930312397">
      <w:bodyDiv w:val="1"/>
      <w:marLeft w:val="0"/>
      <w:marRight w:val="0"/>
      <w:marTop w:val="0"/>
      <w:marBottom w:val="0"/>
      <w:divBdr>
        <w:top w:val="none" w:sz="0" w:space="0" w:color="auto"/>
        <w:left w:val="none" w:sz="0" w:space="0" w:color="auto"/>
        <w:bottom w:val="none" w:sz="0" w:space="0" w:color="auto"/>
        <w:right w:val="none" w:sz="0" w:space="0" w:color="auto"/>
      </w:divBdr>
    </w:div>
    <w:div w:id="1937013507">
      <w:bodyDiv w:val="1"/>
      <w:marLeft w:val="0"/>
      <w:marRight w:val="0"/>
      <w:marTop w:val="0"/>
      <w:marBottom w:val="0"/>
      <w:divBdr>
        <w:top w:val="none" w:sz="0" w:space="0" w:color="auto"/>
        <w:left w:val="none" w:sz="0" w:space="0" w:color="auto"/>
        <w:bottom w:val="none" w:sz="0" w:space="0" w:color="auto"/>
        <w:right w:val="none" w:sz="0" w:space="0" w:color="auto"/>
      </w:divBdr>
    </w:div>
    <w:div w:id="1940789275">
      <w:bodyDiv w:val="1"/>
      <w:marLeft w:val="0"/>
      <w:marRight w:val="0"/>
      <w:marTop w:val="0"/>
      <w:marBottom w:val="0"/>
      <w:divBdr>
        <w:top w:val="none" w:sz="0" w:space="0" w:color="auto"/>
        <w:left w:val="none" w:sz="0" w:space="0" w:color="auto"/>
        <w:bottom w:val="none" w:sz="0" w:space="0" w:color="auto"/>
        <w:right w:val="none" w:sz="0" w:space="0" w:color="auto"/>
      </w:divBdr>
      <w:divsChild>
        <w:div w:id="1142502708">
          <w:marLeft w:val="0"/>
          <w:marRight w:val="0"/>
          <w:marTop w:val="0"/>
          <w:marBottom w:val="0"/>
          <w:divBdr>
            <w:top w:val="none" w:sz="0" w:space="0" w:color="auto"/>
            <w:left w:val="none" w:sz="0" w:space="0" w:color="auto"/>
            <w:bottom w:val="none" w:sz="0" w:space="0" w:color="auto"/>
            <w:right w:val="none" w:sz="0" w:space="0" w:color="auto"/>
          </w:divBdr>
          <w:divsChild>
            <w:div w:id="1804151439">
              <w:marLeft w:val="0"/>
              <w:marRight w:val="0"/>
              <w:marTop w:val="0"/>
              <w:marBottom w:val="0"/>
              <w:divBdr>
                <w:top w:val="none" w:sz="0" w:space="0" w:color="auto"/>
                <w:left w:val="none" w:sz="0" w:space="0" w:color="auto"/>
                <w:bottom w:val="none" w:sz="0" w:space="0" w:color="auto"/>
                <w:right w:val="none" w:sz="0" w:space="0" w:color="auto"/>
              </w:divBdr>
            </w:div>
          </w:divsChild>
        </w:div>
        <w:div w:id="2091847991">
          <w:marLeft w:val="0"/>
          <w:marRight w:val="0"/>
          <w:marTop w:val="0"/>
          <w:marBottom w:val="0"/>
          <w:divBdr>
            <w:top w:val="none" w:sz="0" w:space="0" w:color="auto"/>
            <w:left w:val="none" w:sz="0" w:space="0" w:color="auto"/>
            <w:bottom w:val="none" w:sz="0" w:space="0" w:color="auto"/>
            <w:right w:val="none" w:sz="0" w:space="0" w:color="auto"/>
          </w:divBdr>
          <w:divsChild>
            <w:div w:id="45305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8922">
      <w:bodyDiv w:val="1"/>
      <w:marLeft w:val="0"/>
      <w:marRight w:val="0"/>
      <w:marTop w:val="0"/>
      <w:marBottom w:val="0"/>
      <w:divBdr>
        <w:top w:val="none" w:sz="0" w:space="0" w:color="auto"/>
        <w:left w:val="none" w:sz="0" w:space="0" w:color="auto"/>
        <w:bottom w:val="none" w:sz="0" w:space="0" w:color="auto"/>
        <w:right w:val="none" w:sz="0" w:space="0" w:color="auto"/>
      </w:divBdr>
    </w:div>
    <w:div w:id="1944459122">
      <w:bodyDiv w:val="1"/>
      <w:marLeft w:val="0"/>
      <w:marRight w:val="0"/>
      <w:marTop w:val="0"/>
      <w:marBottom w:val="0"/>
      <w:divBdr>
        <w:top w:val="none" w:sz="0" w:space="0" w:color="auto"/>
        <w:left w:val="none" w:sz="0" w:space="0" w:color="auto"/>
        <w:bottom w:val="none" w:sz="0" w:space="0" w:color="auto"/>
        <w:right w:val="none" w:sz="0" w:space="0" w:color="auto"/>
      </w:divBdr>
    </w:div>
    <w:div w:id="1944923024">
      <w:bodyDiv w:val="1"/>
      <w:marLeft w:val="0"/>
      <w:marRight w:val="0"/>
      <w:marTop w:val="0"/>
      <w:marBottom w:val="0"/>
      <w:divBdr>
        <w:top w:val="none" w:sz="0" w:space="0" w:color="auto"/>
        <w:left w:val="none" w:sz="0" w:space="0" w:color="auto"/>
        <w:bottom w:val="none" w:sz="0" w:space="0" w:color="auto"/>
        <w:right w:val="none" w:sz="0" w:space="0" w:color="auto"/>
      </w:divBdr>
    </w:div>
    <w:div w:id="1947231958">
      <w:bodyDiv w:val="1"/>
      <w:marLeft w:val="0"/>
      <w:marRight w:val="0"/>
      <w:marTop w:val="0"/>
      <w:marBottom w:val="0"/>
      <w:divBdr>
        <w:top w:val="none" w:sz="0" w:space="0" w:color="auto"/>
        <w:left w:val="none" w:sz="0" w:space="0" w:color="auto"/>
        <w:bottom w:val="none" w:sz="0" w:space="0" w:color="auto"/>
        <w:right w:val="none" w:sz="0" w:space="0" w:color="auto"/>
      </w:divBdr>
    </w:div>
    <w:div w:id="1954357576">
      <w:bodyDiv w:val="1"/>
      <w:marLeft w:val="0"/>
      <w:marRight w:val="0"/>
      <w:marTop w:val="0"/>
      <w:marBottom w:val="0"/>
      <w:divBdr>
        <w:top w:val="none" w:sz="0" w:space="0" w:color="auto"/>
        <w:left w:val="none" w:sz="0" w:space="0" w:color="auto"/>
        <w:bottom w:val="none" w:sz="0" w:space="0" w:color="auto"/>
        <w:right w:val="none" w:sz="0" w:space="0" w:color="auto"/>
      </w:divBdr>
    </w:div>
    <w:div w:id="1954437330">
      <w:bodyDiv w:val="1"/>
      <w:marLeft w:val="0"/>
      <w:marRight w:val="0"/>
      <w:marTop w:val="0"/>
      <w:marBottom w:val="0"/>
      <w:divBdr>
        <w:top w:val="none" w:sz="0" w:space="0" w:color="auto"/>
        <w:left w:val="none" w:sz="0" w:space="0" w:color="auto"/>
        <w:bottom w:val="none" w:sz="0" w:space="0" w:color="auto"/>
        <w:right w:val="none" w:sz="0" w:space="0" w:color="auto"/>
      </w:divBdr>
    </w:div>
    <w:div w:id="1956401387">
      <w:bodyDiv w:val="1"/>
      <w:marLeft w:val="0"/>
      <w:marRight w:val="0"/>
      <w:marTop w:val="0"/>
      <w:marBottom w:val="0"/>
      <w:divBdr>
        <w:top w:val="none" w:sz="0" w:space="0" w:color="auto"/>
        <w:left w:val="none" w:sz="0" w:space="0" w:color="auto"/>
        <w:bottom w:val="none" w:sz="0" w:space="0" w:color="auto"/>
        <w:right w:val="none" w:sz="0" w:space="0" w:color="auto"/>
      </w:divBdr>
    </w:div>
    <w:div w:id="1957758226">
      <w:bodyDiv w:val="1"/>
      <w:marLeft w:val="0"/>
      <w:marRight w:val="0"/>
      <w:marTop w:val="0"/>
      <w:marBottom w:val="0"/>
      <w:divBdr>
        <w:top w:val="none" w:sz="0" w:space="0" w:color="auto"/>
        <w:left w:val="none" w:sz="0" w:space="0" w:color="auto"/>
        <w:bottom w:val="none" w:sz="0" w:space="0" w:color="auto"/>
        <w:right w:val="none" w:sz="0" w:space="0" w:color="auto"/>
      </w:divBdr>
    </w:div>
    <w:div w:id="1970282175">
      <w:bodyDiv w:val="1"/>
      <w:marLeft w:val="0"/>
      <w:marRight w:val="0"/>
      <w:marTop w:val="0"/>
      <w:marBottom w:val="0"/>
      <w:divBdr>
        <w:top w:val="none" w:sz="0" w:space="0" w:color="auto"/>
        <w:left w:val="none" w:sz="0" w:space="0" w:color="auto"/>
        <w:bottom w:val="none" w:sz="0" w:space="0" w:color="auto"/>
        <w:right w:val="none" w:sz="0" w:space="0" w:color="auto"/>
      </w:divBdr>
    </w:div>
    <w:div w:id="1971012453">
      <w:bodyDiv w:val="1"/>
      <w:marLeft w:val="0"/>
      <w:marRight w:val="0"/>
      <w:marTop w:val="0"/>
      <w:marBottom w:val="0"/>
      <w:divBdr>
        <w:top w:val="none" w:sz="0" w:space="0" w:color="auto"/>
        <w:left w:val="none" w:sz="0" w:space="0" w:color="auto"/>
        <w:bottom w:val="none" w:sz="0" w:space="0" w:color="auto"/>
        <w:right w:val="none" w:sz="0" w:space="0" w:color="auto"/>
      </w:divBdr>
    </w:div>
    <w:div w:id="1971281877">
      <w:bodyDiv w:val="1"/>
      <w:marLeft w:val="0"/>
      <w:marRight w:val="0"/>
      <w:marTop w:val="0"/>
      <w:marBottom w:val="0"/>
      <w:divBdr>
        <w:top w:val="none" w:sz="0" w:space="0" w:color="auto"/>
        <w:left w:val="none" w:sz="0" w:space="0" w:color="auto"/>
        <w:bottom w:val="none" w:sz="0" w:space="0" w:color="auto"/>
        <w:right w:val="none" w:sz="0" w:space="0" w:color="auto"/>
      </w:divBdr>
    </w:div>
    <w:div w:id="1971813265">
      <w:bodyDiv w:val="1"/>
      <w:marLeft w:val="0"/>
      <w:marRight w:val="0"/>
      <w:marTop w:val="0"/>
      <w:marBottom w:val="0"/>
      <w:divBdr>
        <w:top w:val="none" w:sz="0" w:space="0" w:color="auto"/>
        <w:left w:val="none" w:sz="0" w:space="0" w:color="auto"/>
        <w:bottom w:val="none" w:sz="0" w:space="0" w:color="auto"/>
        <w:right w:val="none" w:sz="0" w:space="0" w:color="auto"/>
      </w:divBdr>
    </w:div>
    <w:div w:id="1972862852">
      <w:bodyDiv w:val="1"/>
      <w:marLeft w:val="0"/>
      <w:marRight w:val="0"/>
      <w:marTop w:val="0"/>
      <w:marBottom w:val="0"/>
      <w:divBdr>
        <w:top w:val="none" w:sz="0" w:space="0" w:color="auto"/>
        <w:left w:val="none" w:sz="0" w:space="0" w:color="auto"/>
        <w:bottom w:val="none" w:sz="0" w:space="0" w:color="auto"/>
        <w:right w:val="none" w:sz="0" w:space="0" w:color="auto"/>
      </w:divBdr>
    </w:div>
    <w:div w:id="1975211737">
      <w:bodyDiv w:val="1"/>
      <w:marLeft w:val="0"/>
      <w:marRight w:val="0"/>
      <w:marTop w:val="0"/>
      <w:marBottom w:val="0"/>
      <w:divBdr>
        <w:top w:val="none" w:sz="0" w:space="0" w:color="auto"/>
        <w:left w:val="none" w:sz="0" w:space="0" w:color="auto"/>
        <w:bottom w:val="none" w:sz="0" w:space="0" w:color="auto"/>
        <w:right w:val="none" w:sz="0" w:space="0" w:color="auto"/>
      </w:divBdr>
    </w:div>
    <w:div w:id="1978532106">
      <w:bodyDiv w:val="1"/>
      <w:marLeft w:val="0"/>
      <w:marRight w:val="0"/>
      <w:marTop w:val="0"/>
      <w:marBottom w:val="0"/>
      <w:divBdr>
        <w:top w:val="none" w:sz="0" w:space="0" w:color="auto"/>
        <w:left w:val="none" w:sz="0" w:space="0" w:color="auto"/>
        <w:bottom w:val="none" w:sz="0" w:space="0" w:color="auto"/>
        <w:right w:val="none" w:sz="0" w:space="0" w:color="auto"/>
      </w:divBdr>
    </w:div>
    <w:div w:id="1978728520">
      <w:bodyDiv w:val="1"/>
      <w:marLeft w:val="0"/>
      <w:marRight w:val="0"/>
      <w:marTop w:val="0"/>
      <w:marBottom w:val="0"/>
      <w:divBdr>
        <w:top w:val="none" w:sz="0" w:space="0" w:color="auto"/>
        <w:left w:val="none" w:sz="0" w:space="0" w:color="auto"/>
        <w:bottom w:val="none" w:sz="0" w:space="0" w:color="auto"/>
        <w:right w:val="none" w:sz="0" w:space="0" w:color="auto"/>
      </w:divBdr>
    </w:div>
    <w:div w:id="1980724513">
      <w:bodyDiv w:val="1"/>
      <w:marLeft w:val="0"/>
      <w:marRight w:val="0"/>
      <w:marTop w:val="0"/>
      <w:marBottom w:val="0"/>
      <w:divBdr>
        <w:top w:val="none" w:sz="0" w:space="0" w:color="auto"/>
        <w:left w:val="none" w:sz="0" w:space="0" w:color="auto"/>
        <w:bottom w:val="none" w:sz="0" w:space="0" w:color="auto"/>
        <w:right w:val="none" w:sz="0" w:space="0" w:color="auto"/>
      </w:divBdr>
    </w:div>
    <w:div w:id="1987275749">
      <w:bodyDiv w:val="1"/>
      <w:marLeft w:val="0"/>
      <w:marRight w:val="0"/>
      <w:marTop w:val="0"/>
      <w:marBottom w:val="0"/>
      <w:divBdr>
        <w:top w:val="none" w:sz="0" w:space="0" w:color="auto"/>
        <w:left w:val="none" w:sz="0" w:space="0" w:color="auto"/>
        <w:bottom w:val="none" w:sz="0" w:space="0" w:color="auto"/>
        <w:right w:val="none" w:sz="0" w:space="0" w:color="auto"/>
      </w:divBdr>
    </w:div>
    <w:div w:id="1987973213">
      <w:bodyDiv w:val="1"/>
      <w:marLeft w:val="0"/>
      <w:marRight w:val="0"/>
      <w:marTop w:val="0"/>
      <w:marBottom w:val="0"/>
      <w:divBdr>
        <w:top w:val="none" w:sz="0" w:space="0" w:color="auto"/>
        <w:left w:val="none" w:sz="0" w:space="0" w:color="auto"/>
        <w:bottom w:val="none" w:sz="0" w:space="0" w:color="auto"/>
        <w:right w:val="none" w:sz="0" w:space="0" w:color="auto"/>
      </w:divBdr>
    </w:div>
    <w:div w:id="1988513015">
      <w:bodyDiv w:val="1"/>
      <w:marLeft w:val="0"/>
      <w:marRight w:val="0"/>
      <w:marTop w:val="0"/>
      <w:marBottom w:val="0"/>
      <w:divBdr>
        <w:top w:val="none" w:sz="0" w:space="0" w:color="auto"/>
        <w:left w:val="none" w:sz="0" w:space="0" w:color="auto"/>
        <w:bottom w:val="none" w:sz="0" w:space="0" w:color="auto"/>
        <w:right w:val="none" w:sz="0" w:space="0" w:color="auto"/>
      </w:divBdr>
    </w:div>
    <w:div w:id="2001807979">
      <w:bodyDiv w:val="1"/>
      <w:marLeft w:val="0"/>
      <w:marRight w:val="0"/>
      <w:marTop w:val="0"/>
      <w:marBottom w:val="0"/>
      <w:divBdr>
        <w:top w:val="none" w:sz="0" w:space="0" w:color="auto"/>
        <w:left w:val="none" w:sz="0" w:space="0" w:color="auto"/>
        <w:bottom w:val="none" w:sz="0" w:space="0" w:color="auto"/>
        <w:right w:val="none" w:sz="0" w:space="0" w:color="auto"/>
      </w:divBdr>
    </w:div>
    <w:div w:id="2008750325">
      <w:bodyDiv w:val="1"/>
      <w:marLeft w:val="0"/>
      <w:marRight w:val="0"/>
      <w:marTop w:val="0"/>
      <w:marBottom w:val="0"/>
      <w:divBdr>
        <w:top w:val="none" w:sz="0" w:space="0" w:color="auto"/>
        <w:left w:val="none" w:sz="0" w:space="0" w:color="auto"/>
        <w:bottom w:val="none" w:sz="0" w:space="0" w:color="auto"/>
        <w:right w:val="none" w:sz="0" w:space="0" w:color="auto"/>
      </w:divBdr>
    </w:div>
    <w:div w:id="2010209909">
      <w:bodyDiv w:val="1"/>
      <w:marLeft w:val="0"/>
      <w:marRight w:val="0"/>
      <w:marTop w:val="0"/>
      <w:marBottom w:val="0"/>
      <w:divBdr>
        <w:top w:val="none" w:sz="0" w:space="0" w:color="auto"/>
        <w:left w:val="none" w:sz="0" w:space="0" w:color="auto"/>
        <w:bottom w:val="none" w:sz="0" w:space="0" w:color="auto"/>
        <w:right w:val="none" w:sz="0" w:space="0" w:color="auto"/>
      </w:divBdr>
    </w:div>
    <w:div w:id="2011103404">
      <w:bodyDiv w:val="1"/>
      <w:marLeft w:val="0"/>
      <w:marRight w:val="0"/>
      <w:marTop w:val="0"/>
      <w:marBottom w:val="0"/>
      <w:divBdr>
        <w:top w:val="none" w:sz="0" w:space="0" w:color="auto"/>
        <w:left w:val="none" w:sz="0" w:space="0" w:color="auto"/>
        <w:bottom w:val="none" w:sz="0" w:space="0" w:color="auto"/>
        <w:right w:val="none" w:sz="0" w:space="0" w:color="auto"/>
      </w:divBdr>
    </w:div>
    <w:div w:id="2012678594">
      <w:bodyDiv w:val="1"/>
      <w:marLeft w:val="0"/>
      <w:marRight w:val="0"/>
      <w:marTop w:val="0"/>
      <w:marBottom w:val="0"/>
      <w:divBdr>
        <w:top w:val="none" w:sz="0" w:space="0" w:color="auto"/>
        <w:left w:val="none" w:sz="0" w:space="0" w:color="auto"/>
        <w:bottom w:val="none" w:sz="0" w:space="0" w:color="auto"/>
        <w:right w:val="none" w:sz="0" w:space="0" w:color="auto"/>
      </w:divBdr>
    </w:div>
    <w:div w:id="2019959730">
      <w:bodyDiv w:val="1"/>
      <w:marLeft w:val="0"/>
      <w:marRight w:val="0"/>
      <w:marTop w:val="0"/>
      <w:marBottom w:val="0"/>
      <w:divBdr>
        <w:top w:val="none" w:sz="0" w:space="0" w:color="auto"/>
        <w:left w:val="none" w:sz="0" w:space="0" w:color="auto"/>
        <w:bottom w:val="none" w:sz="0" w:space="0" w:color="auto"/>
        <w:right w:val="none" w:sz="0" w:space="0" w:color="auto"/>
      </w:divBdr>
    </w:div>
    <w:div w:id="2020889347">
      <w:bodyDiv w:val="1"/>
      <w:marLeft w:val="0"/>
      <w:marRight w:val="0"/>
      <w:marTop w:val="0"/>
      <w:marBottom w:val="0"/>
      <w:divBdr>
        <w:top w:val="none" w:sz="0" w:space="0" w:color="auto"/>
        <w:left w:val="none" w:sz="0" w:space="0" w:color="auto"/>
        <w:bottom w:val="none" w:sz="0" w:space="0" w:color="auto"/>
        <w:right w:val="none" w:sz="0" w:space="0" w:color="auto"/>
      </w:divBdr>
    </w:div>
    <w:div w:id="2022512489">
      <w:bodyDiv w:val="1"/>
      <w:marLeft w:val="0"/>
      <w:marRight w:val="0"/>
      <w:marTop w:val="0"/>
      <w:marBottom w:val="0"/>
      <w:divBdr>
        <w:top w:val="none" w:sz="0" w:space="0" w:color="auto"/>
        <w:left w:val="none" w:sz="0" w:space="0" w:color="auto"/>
        <w:bottom w:val="none" w:sz="0" w:space="0" w:color="auto"/>
        <w:right w:val="none" w:sz="0" w:space="0" w:color="auto"/>
      </w:divBdr>
    </w:div>
    <w:div w:id="2022853467">
      <w:bodyDiv w:val="1"/>
      <w:marLeft w:val="0"/>
      <w:marRight w:val="0"/>
      <w:marTop w:val="0"/>
      <w:marBottom w:val="0"/>
      <w:divBdr>
        <w:top w:val="none" w:sz="0" w:space="0" w:color="auto"/>
        <w:left w:val="none" w:sz="0" w:space="0" w:color="auto"/>
        <w:bottom w:val="none" w:sz="0" w:space="0" w:color="auto"/>
        <w:right w:val="none" w:sz="0" w:space="0" w:color="auto"/>
      </w:divBdr>
    </w:div>
    <w:div w:id="2026125970">
      <w:bodyDiv w:val="1"/>
      <w:marLeft w:val="0"/>
      <w:marRight w:val="0"/>
      <w:marTop w:val="0"/>
      <w:marBottom w:val="0"/>
      <w:divBdr>
        <w:top w:val="none" w:sz="0" w:space="0" w:color="auto"/>
        <w:left w:val="none" w:sz="0" w:space="0" w:color="auto"/>
        <w:bottom w:val="none" w:sz="0" w:space="0" w:color="auto"/>
        <w:right w:val="none" w:sz="0" w:space="0" w:color="auto"/>
      </w:divBdr>
    </w:div>
    <w:div w:id="2028208745">
      <w:bodyDiv w:val="1"/>
      <w:marLeft w:val="0"/>
      <w:marRight w:val="0"/>
      <w:marTop w:val="0"/>
      <w:marBottom w:val="0"/>
      <w:divBdr>
        <w:top w:val="none" w:sz="0" w:space="0" w:color="auto"/>
        <w:left w:val="none" w:sz="0" w:space="0" w:color="auto"/>
        <w:bottom w:val="none" w:sz="0" w:space="0" w:color="auto"/>
        <w:right w:val="none" w:sz="0" w:space="0" w:color="auto"/>
      </w:divBdr>
    </w:div>
    <w:div w:id="2028747667">
      <w:bodyDiv w:val="1"/>
      <w:marLeft w:val="0"/>
      <w:marRight w:val="0"/>
      <w:marTop w:val="0"/>
      <w:marBottom w:val="0"/>
      <w:divBdr>
        <w:top w:val="none" w:sz="0" w:space="0" w:color="auto"/>
        <w:left w:val="none" w:sz="0" w:space="0" w:color="auto"/>
        <w:bottom w:val="none" w:sz="0" w:space="0" w:color="auto"/>
        <w:right w:val="none" w:sz="0" w:space="0" w:color="auto"/>
      </w:divBdr>
    </w:div>
    <w:div w:id="2033801954">
      <w:bodyDiv w:val="1"/>
      <w:marLeft w:val="0"/>
      <w:marRight w:val="0"/>
      <w:marTop w:val="0"/>
      <w:marBottom w:val="0"/>
      <w:divBdr>
        <w:top w:val="none" w:sz="0" w:space="0" w:color="auto"/>
        <w:left w:val="none" w:sz="0" w:space="0" w:color="auto"/>
        <w:bottom w:val="none" w:sz="0" w:space="0" w:color="auto"/>
        <w:right w:val="none" w:sz="0" w:space="0" w:color="auto"/>
      </w:divBdr>
    </w:div>
    <w:div w:id="2037341235">
      <w:bodyDiv w:val="1"/>
      <w:marLeft w:val="0"/>
      <w:marRight w:val="0"/>
      <w:marTop w:val="0"/>
      <w:marBottom w:val="0"/>
      <w:divBdr>
        <w:top w:val="none" w:sz="0" w:space="0" w:color="auto"/>
        <w:left w:val="none" w:sz="0" w:space="0" w:color="auto"/>
        <w:bottom w:val="none" w:sz="0" w:space="0" w:color="auto"/>
        <w:right w:val="none" w:sz="0" w:space="0" w:color="auto"/>
      </w:divBdr>
    </w:div>
    <w:div w:id="2037655545">
      <w:bodyDiv w:val="1"/>
      <w:marLeft w:val="0"/>
      <w:marRight w:val="0"/>
      <w:marTop w:val="0"/>
      <w:marBottom w:val="0"/>
      <w:divBdr>
        <w:top w:val="none" w:sz="0" w:space="0" w:color="auto"/>
        <w:left w:val="none" w:sz="0" w:space="0" w:color="auto"/>
        <w:bottom w:val="none" w:sz="0" w:space="0" w:color="auto"/>
        <w:right w:val="none" w:sz="0" w:space="0" w:color="auto"/>
      </w:divBdr>
    </w:div>
    <w:div w:id="2044867406">
      <w:bodyDiv w:val="1"/>
      <w:marLeft w:val="0"/>
      <w:marRight w:val="0"/>
      <w:marTop w:val="0"/>
      <w:marBottom w:val="0"/>
      <w:divBdr>
        <w:top w:val="none" w:sz="0" w:space="0" w:color="auto"/>
        <w:left w:val="none" w:sz="0" w:space="0" w:color="auto"/>
        <w:bottom w:val="none" w:sz="0" w:space="0" w:color="auto"/>
        <w:right w:val="none" w:sz="0" w:space="0" w:color="auto"/>
      </w:divBdr>
    </w:div>
    <w:div w:id="2045247776">
      <w:bodyDiv w:val="1"/>
      <w:marLeft w:val="0"/>
      <w:marRight w:val="0"/>
      <w:marTop w:val="0"/>
      <w:marBottom w:val="0"/>
      <w:divBdr>
        <w:top w:val="none" w:sz="0" w:space="0" w:color="auto"/>
        <w:left w:val="none" w:sz="0" w:space="0" w:color="auto"/>
        <w:bottom w:val="none" w:sz="0" w:space="0" w:color="auto"/>
        <w:right w:val="none" w:sz="0" w:space="0" w:color="auto"/>
      </w:divBdr>
    </w:div>
    <w:div w:id="2045598154">
      <w:bodyDiv w:val="1"/>
      <w:marLeft w:val="0"/>
      <w:marRight w:val="0"/>
      <w:marTop w:val="0"/>
      <w:marBottom w:val="0"/>
      <w:divBdr>
        <w:top w:val="none" w:sz="0" w:space="0" w:color="auto"/>
        <w:left w:val="none" w:sz="0" w:space="0" w:color="auto"/>
        <w:bottom w:val="none" w:sz="0" w:space="0" w:color="auto"/>
        <w:right w:val="none" w:sz="0" w:space="0" w:color="auto"/>
      </w:divBdr>
    </w:div>
    <w:div w:id="2046560011">
      <w:bodyDiv w:val="1"/>
      <w:marLeft w:val="0"/>
      <w:marRight w:val="0"/>
      <w:marTop w:val="0"/>
      <w:marBottom w:val="0"/>
      <w:divBdr>
        <w:top w:val="none" w:sz="0" w:space="0" w:color="auto"/>
        <w:left w:val="none" w:sz="0" w:space="0" w:color="auto"/>
        <w:bottom w:val="none" w:sz="0" w:space="0" w:color="auto"/>
        <w:right w:val="none" w:sz="0" w:space="0" w:color="auto"/>
      </w:divBdr>
    </w:div>
    <w:div w:id="2054422713">
      <w:bodyDiv w:val="1"/>
      <w:marLeft w:val="0"/>
      <w:marRight w:val="0"/>
      <w:marTop w:val="0"/>
      <w:marBottom w:val="0"/>
      <w:divBdr>
        <w:top w:val="none" w:sz="0" w:space="0" w:color="auto"/>
        <w:left w:val="none" w:sz="0" w:space="0" w:color="auto"/>
        <w:bottom w:val="none" w:sz="0" w:space="0" w:color="auto"/>
        <w:right w:val="none" w:sz="0" w:space="0" w:color="auto"/>
      </w:divBdr>
    </w:div>
    <w:div w:id="2054497531">
      <w:bodyDiv w:val="1"/>
      <w:marLeft w:val="0"/>
      <w:marRight w:val="0"/>
      <w:marTop w:val="0"/>
      <w:marBottom w:val="0"/>
      <w:divBdr>
        <w:top w:val="none" w:sz="0" w:space="0" w:color="auto"/>
        <w:left w:val="none" w:sz="0" w:space="0" w:color="auto"/>
        <w:bottom w:val="none" w:sz="0" w:space="0" w:color="auto"/>
        <w:right w:val="none" w:sz="0" w:space="0" w:color="auto"/>
      </w:divBdr>
    </w:div>
    <w:div w:id="2056732937">
      <w:bodyDiv w:val="1"/>
      <w:marLeft w:val="0"/>
      <w:marRight w:val="0"/>
      <w:marTop w:val="0"/>
      <w:marBottom w:val="0"/>
      <w:divBdr>
        <w:top w:val="none" w:sz="0" w:space="0" w:color="auto"/>
        <w:left w:val="none" w:sz="0" w:space="0" w:color="auto"/>
        <w:bottom w:val="none" w:sz="0" w:space="0" w:color="auto"/>
        <w:right w:val="none" w:sz="0" w:space="0" w:color="auto"/>
      </w:divBdr>
    </w:div>
    <w:div w:id="2060469903">
      <w:bodyDiv w:val="1"/>
      <w:marLeft w:val="0"/>
      <w:marRight w:val="0"/>
      <w:marTop w:val="0"/>
      <w:marBottom w:val="0"/>
      <w:divBdr>
        <w:top w:val="none" w:sz="0" w:space="0" w:color="auto"/>
        <w:left w:val="none" w:sz="0" w:space="0" w:color="auto"/>
        <w:bottom w:val="none" w:sz="0" w:space="0" w:color="auto"/>
        <w:right w:val="none" w:sz="0" w:space="0" w:color="auto"/>
      </w:divBdr>
    </w:div>
    <w:div w:id="2062364419">
      <w:bodyDiv w:val="1"/>
      <w:marLeft w:val="0"/>
      <w:marRight w:val="0"/>
      <w:marTop w:val="0"/>
      <w:marBottom w:val="0"/>
      <w:divBdr>
        <w:top w:val="none" w:sz="0" w:space="0" w:color="auto"/>
        <w:left w:val="none" w:sz="0" w:space="0" w:color="auto"/>
        <w:bottom w:val="none" w:sz="0" w:space="0" w:color="auto"/>
        <w:right w:val="none" w:sz="0" w:space="0" w:color="auto"/>
      </w:divBdr>
    </w:div>
    <w:div w:id="2064597861">
      <w:bodyDiv w:val="1"/>
      <w:marLeft w:val="0"/>
      <w:marRight w:val="0"/>
      <w:marTop w:val="0"/>
      <w:marBottom w:val="0"/>
      <w:divBdr>
        <w:top w:val="none" w:sz="0" w:space="0" w:color="auto"/>
        <w:left w:val="none" w:sz="0" w:space="0" w:color="auto"/>
        <w:bottom w:val="none" w:sz="0" w:space="0" w:color="auto"/>
        <w:right w:val="none" w:sz="0" w:space="0" w:color="auto"/>
      </w:divBdr>
    </w:div>
    <w:div w:id="2066251340">
      <w:bodyDiv w:val="1"/>
      <w:marLeft w:val="0"/>
      <w:marRight w:val="0"/>
      <w:marTop w:val="0"/>
      <w:marBottom w:val="0"/>
      <w:divBdr>
        <w:top w:val="none" w:sz="0" w:space="0" w:color="auto"/>
        <w:left w:val="none" w:sz="0" w:space="0" w:color="auto"/>
        <w:bottom w:val="none" w:sz="0" w:space="0" w:color="auto"/>
        <w:right w:val="none" w:sz="0" w:space="0" w:color="auto"/>
      </w:divBdr>
    </w:div>
    <w:div w:id="2067297125">
      <w:bodyDiv w:val="1"/>
      <w:marLeft w:val="0"/>
      <w:marRight w:val="0"/>
      <w:marTop w:val="0"/>
      <w:marBottom w:val="0"/>
      <w:divBdr>
        <w:top w:val="none" w:sz="0" w:space="0" w:color="auto"/>
        <w:left w:val="none" w:sz="0" w:space="0" w:color="auto"/>
        <w:bottom w:val="none" w:sz="0" w:space="0" w:color="auto"/>
        <w:right w:val="none" w:sz="0" w:space="0" w:color="auto"/>
      </w:divBdr>
    </w:div>
    <w:div w:id="2067949805">
      <w:bodyDiv w:val="1"/>
      <w:marLeft w:val="0"/>
      <w:marRight w:val="0"/>
      <w:marTop w:val="0"/>
      <w:marBottom w:val="0"/>
      <w:divBdr>
        <w:top w:val="none" w:sz="0" w:space="0" w:color="auto"/>
        <w:left w:val="none" w:sz="0" w:space="0" w:color="auto"/>
        <w:bottom w:val="none" w:sz="0" w:space="0" w:color="auto"/>
        <w:right w:val="none" w:sz="0" w:space="0" w:color="auto"/>
      </w:divBdr>
    </w:div>
    <w:div w:id="2072926949">
      <w:bodyDiv w:val="1"/>
      <w:marLeft w:val="0"/>
      <w:marRight w:val="0"/>
      <w:marTop w:val="0"/>
      <w:marBottom w:val="0"/>
      <w:divBdr>
        <w:top w:val="none" w:sz="0" w:space="0" w:color="auto"/>
        <w:left w:val="none" w:sz="0" w:space="0" w:color="auto"/>
        <w:bottom w:val="none" w:sz="0" w:space="0" w:color="auto"/>
        <w:right w:val="none" w:sz="0" w:space="0" w:color="auto"/>
      </w:divBdr>
    </w:div>
    <w:div w:id="2075659182">
      <w:bodyDiv w:val="1"/>
      <w:marLeft w:val="0"/>
      <w:marRight w:val="0"/>
      <w:marTop w:val="0"/>
      <w:marBottom w:val="0"/>
      <w:divBdr>
        <w:top w:val="none" w:sz="0" w:space="0" w:color="auto"/>
        <w:left w:val="none" w:sz="0" w:space="0" w:color="auto"/>
        <w:bottom w:val="none" w:sz="0" w:space="0" w:color="auto"/>
        <w:right w:val="none" w:sz="0" w:space="0" w:color="auto"/>
      </w:divBdr>
    </w:div>
    <w:div w:id="2077167257">
      <w:bodyDiv w:val="1"/>
      <w:marLeft w:val="0"/>
      <w:marRight w:val="0"/>
      <w:marTop w:val="0"/>
      <w:marBottom w:val="0"/>
      <w:divBdr>
        <w:top w:val="none" w:sz="0" w:space="0" w:color="auto"/>
        <w:left w:val="none" w:sz="0" w:space="0" w:color="auto"/>
        <w:bottom w:val="none" w:sz="0" w:space="0" w:color="auto"/>
        <w:right w:val="none" w:sz="0" w:space="0" w:color="auto"/>
      </w:divBdr>
    </w:div>
    <w:div w:id="2088185448">
      <w:bodyDiv w:val="1"/>
      <w:marLeft w:val="0"/>
      <w:marRight w:val="0"/>
      <w:marTop w:val="0"/>
      <w:marBottom w:val="0"/>
      <w:divBdr>
        <w:top w:val="none" w:sz="0" w:space="0" w:color="auto"/>
        <w:left w:val="none" w:sz="0" w:space="0" w:color="auto"/>
        <w:bottom w:val="none" w:sz="0" w:space="0" w:color="auto"/>
        <w:right w:val="none" w:sz="0" w:space="0" w:color="auto"/>
      </w:divBdr>
    </w:div>
    <w:div w:id="2088573948">
      <w:bodyDiv w:val="1"/>
      <w:marLeft w:val="0"/>
      <w:marRight w:val="0"/>
      <w:marTop w:val="0"/>
      <w:marBottom w:val="0"/>
      <w:divBdr>
        <w:top w:val="none" w:sz="0" w:space="0" w:color="auto"/>
        <w:left w:val="none" w:sz="0" w:space="0" w:color="auto"/>
        <w:bottom w:val="none" w:sz="0" w:space="0" w:color="auto"/>
        <w:right w:val="none" w:sz="0" w:space="0" w:color="auto"/>
      </w:divBdr>
      <w:divsChild>
        <w:div w:id="1211721438">
          <w:marLeft w:val="0"/>
          <w:marRight w:val="0"/>
          <w:marTop w:val="0"/>
          <w:marBottom w:val="0"/>
          <w:divBdr>
            <w:top w:val="none" w:sz="0" w:space="0" w:color="auto"/>
            <w:left w:val="none" w:sz="0" w:space="0" w:color="auto"/>
            <w:bottom w:val="none" w:sz="0" w:space="0" w:color="auto"/>
            <w:right w:val="none" w:sz="0" w:space="0" w:color="auto"/>
          </w:divBdr>
        </w:div>
      </w:divsChild>
    </w:div>
    <w:div w:id="2088645748">
      <w:bodyDiv w:val="1"/>
      <w:marLeft w:val="0"/>
      <w:marRight w:val="0"/>
      <w:marTop w:val="0"/>
      <w:marBottom w:val="0"/>
      <w:divBdr>
        <w:top w:val="none" w:sz="0" w:space="0" w:color="auto"/>
        <w:left w:val="none" w:sz="0" w:space="0" w:color="auto"/>
        <w:bottom w:val="none" w:sz="0" w:space="0" w:color="auto"/>
        <w:right w:val="none" w:sz="0" w:space="0" w:color="auto"/>
      </w:divBdr>
    </w:div>
    <w:div w:id="2091080042">
      <w:bodyDiv w:val="1"/>
      <w:marLeft w:val="0"/>
      <w:marRight w:val="0"/>
      <w:marTop w:val="0"/>
      <w:marBottom w:val="0"/>
      <w:divBdr>
        <w:top w:val="none" w:sz="0" w:space="0" w:color="auto"/>
        <w:left w:val="none" w:sz="0" w:space="0" w:color="auto"/>
        <w:bottom w:val="none" w:sz="0" w:space="0" w:color="auto"/>
        <w:right w:val="none" w:sz="0" w:space="0" w:color="auto"/>
      </w:divBdr>
    </w:div>
    <w:div w:id="2092727101">
      <w:bodyDiv w:val="1"/>
      <w:marLeft w:val="0"/>
      <w:marRight w:val="0"/>
      <w:marTop w:val="0"/>
      <w:marBottom w:val="0"/>
      <w:divBdr>
        <w:top w:val="none" w:sz="0" w:space="0" w:color="auto"/>
        <w:left w:val="none" w:sz="0" w:space="0" w:color="auto"/>
        <w:bottom w:val="none" w:sz="0" w:space="0" w:color="auto"/>
        <w:right w:val="none" w:sz="0" w:space="0" w:color="auto"/>
      </w:divBdr>
    </w:div>
    <w:div w:id="2101758930">
      <w:bodyDiv w:val="1"/>
      <w:marLeft w:val="0"/>
      <w:marRight w:val="0"/>
      <w:marTop w:val="0"/>
      <w:marBottom w:val="0"/>
      <w:divBdr>
        <w:top w:val="none" w:sz="0" w:space="0" w:color="auto"/>
        <w:left w:val="none" w:sz="0" w:space="0" w:color="auto"/>
        <w:bottom w:val="none" w:sz="0" w:space="0" w:color="auto"/>
        <w:right w:val="none" w:sz="0" w:space="0" w:color="auto"/>
      </w:divBdr>
    </w:div>
    <w:div w:id="2105488048">
      <w:bodyDiv w:val="1"/>
      <w:marLeft w:val="0"/>
      <w:marRight w:val="0"/>
      <w:marTop w:val="0"/>
      <w:marBottom w:val="0"/>
      <w:divBdr>
        <w:top w:val="none" w:sz="0" w:space="0" w:color="auto"/>
        <w:left w:val="none" w:sz="0" w:space="0" w:color="auto"/>
        <w:bottom w:val="none" w:sz="0" w:space="0" w:color="auto"/>
        <w:right w:val="none" w:sz="0" w:space="0" w:color="auto"/>
      </w:divBdr>
    </w:div>
    <w:div w:id="2116709937">
      <w:bodyDiv w:val="1"/>
      <w:marLeft w:val="0"/>
      <w:marRight w:val="0"/>
      <w:marTop w:val="0"/>
      <w:marBottom w:val="0"/>
      <w:divBdr>
        <w:top w:val="none" w:sz="0" w:space="0" w:color="auto"/>
        <w:left w:val="none" w:sz="0" w:space="0" w:color="auto"/>
        <w:bottom w:val="none" w:sz="0" w:space="0" w:color="auto"/>
        <w:right w:val="none" w:sz="0" w:space="0" w:color="auto"/>
      </w:divBdr>
    </w:div>
    <w:div w:id="2120643999">
      <w:bodyDiv w:val="1"/>
      <w:marLeft w:val="0"/>
      <w:marRight w:val="0"/>
      <w:marTop w:val="0"/>
      <w:marBottom w:val="0"/>
      <w:divBdr>
        <w:top w:val="none" w:sz="0" w:space="0" w:color="auto"/>
        <w:left w:val="none" w:sz="0" w:space="0" w:color="auto"/>
        <w:bottom w:val="none" w:sz="0" w:space="0" w:color="auto"/>
        <w:right w:val="none" w:sz="0" w:space="0" w:color="auto"/>
      </w:divBdr>
    </w:div>
    <w:div w:id="2125691342">
      <w:bodyDiv w:val="1"/>
      <w:marLeft w:val="0"/>
      <w:marRight w:val="0"/>
      <w:marTop w:val="0"/>
      <w:marBottom w:val="0"/>
      <w:divBdr>
        <w:top w:val="none" w:sz="0" w:space="0" w:color="auto"/>
        <w:left w:val="none" w:sz="0" w:space="0" w:color="auto"/>
        <w:bottom w:val="none" w:sz="0" w:space="0" w:color="auto"/>
        <w:right w:val="none" w:sz="0" w:space="0" w:color="auto"/>
      </w:divBdr>
    </w:div>
    <w:div w:id="2126924548">
      <w:bodyDiv w:val="1"/>
      <w:marLeft w:val="0"/>
      <w:marRight w:val="0"/>
      <w:marTop w:val="0"/>
      <w:marBottom w:val="0"/>
      <w:divBdr>
        <w:top w:val="none" w:sz="0" w:space="0" w:color="auto"/>
        <w:left w:val="none" w:sz="0" w:space="0" w:color="auto"/>
        <w:bottom w:val="none" w:sz="0" w:space="0" w:color="auto"/>
        <w:right w:val="none" w:sz="0" w:space="0" w:color="auto"/>
      </w:divBdr>
    </w:div>
    <w:div w:id="2127458541">
      <w:bodyDiv w:val="1"/>
      <w:marLeft w:val="0"/>
      <w:marRight w:val="0"/>
      <w:marTop w:val="0"/>
      <w:marBottom w:val="0"/>
      <w:divBdr>
        <w:top w:val="none" w:sz="0" w:space="0" w:color="auto"/>
        <w:left w:val="none" w:sz="0" w:space="0" w:color="auto"/>
        <w:bottom w:val="none" w:sz="0" w:space="0" w:color="auto"/>
        <w:right w:val="none" w:sz="0" w:space="0" w:color="auto"/>
      </w:divBdr>
    </w:div>
    <w:div w:id="2133546765">
      <w:bodyDiv w:val="1"/>
      <w:marLeft w:val="0"/>
      <w:marRight w:val="0"/>
      <w:marTop w:val="0"/>
      <w:marBottom w:val="0"/>
      <w:divBdr>
        <w:top w:val="none" w:sz="0" w:space="0" w:color="auto"/>
        <w:left w:val="none" w:sz="0" w:space="0" w:color="auto"/>
        <w:bottom w:val="none" w:sz="0" w:space="0" w:color="auto"/>
        <w:right w:val="none" w:sz="0" w:space="0" w:color="auto"/>
      </w:divBdr>
    </w:div>
    <w:div w:id="2134444267">
      <w:bodyDiv w:val="1"/>
      <w:marLeft w:val="0"/>
      <w:marRight w:val="0"/>
      <w:marTop w:val="0"/>
      <w:marBottom w:val="0"/>
      <w:divBdr>
        <w:top w:val="none" w:sz="0" w:space="0" w:color="auto"/>
        <w:left w:val="none" w:sz="0" w:space="0" w:color="auto"/>
        <w:bottom w:val="none" w:sz="0" w:space="0" w:color="auto"/>
        <w:right w:val="none" w:sz="0" w:space="0" w:color="auto"/>
      </w:divBdr>
    </w:div>
    <w:div w:id="2138450544">
      <w:bodyDiv w:val="1"/>
      <w:marLeft w:val="0"/>
      <w:marRight w:val="0"/>
      <w:marTop w:val="0"/>
      <w:marBottom w:val="0"/>
      <w:divBdr>
        <w:top w:val="none" w:sz="0" w:space="0" w:color="auto"/>
        <w:left w:val="none" w:sz="0" w:space="0" w:color="auto"/>
        <w:bottom w:val="none" w:sz="0" w:space="0" w:color="auto"/>
        <w:right w:val="none" w:sz="0" w:space="0" w:color="auto"/>
      </w:divBdr>
    </w:div>
    <w:div w:id="2140874743">
      <w:bodyDiv w:val="1"/>
      <w:marLeft w:val="0"/>
      <w:marRight w:val="0"/>
      <w:marTop w:val="0"/>
      <w:marBottom w:val="0"/>
      <w:divBdr>
        <w:top w:val="none" w:sz="0" w:space="0" w:color="auto"/>
        <w:left w:val="none" w:sz="0" w:space="0" w:color="auto"/>
        <w:bottom w:val="none" w:sz="0" w:space="0" w:color="auto"/>
        <w:right w:val="none" w:sz="0" w:space="0" w:color="auto"/>
      </w:divBdr>
    </w:div>
    <w:div w:id="2141609983">
      <w:bodyDiv w:val="1"/>
      <w:marLeft w:val="0"/>
      <w:marRight w:val="0"/>
      <w:marTop w:val="0"/>
      <w:marBottom w:val="0"/>
      <w:divBdr>
        <w:top w:val="none" w:sz="0" w:space="0" w:color="auto"/>
        <w:left w:val="none" w:sz="0" w:space="0" w:color="auto"/>
        <w:bottom w:val="none" w:sz="0" w:space="0" w:color="auto"/>
        <w:right w:val="none" w:sz="0" w:space="0" w:color="auto"/>
      </w:divBdr>
    </w:div>
    <w:div w:id="2142380632">
      <w:bodyDiv w:val="1"/>
      <w:marLeft w:val="0"/>
      <w:marRight w:val="0"/>
      <w:marTop w:val="0"/>
      <w:marBottom w:val="0"/>
      <w:divBdr>
        <w:top w:val="none" w:sz="0" w:space="0" w:color="auto"/>
        <w:left w:val="none" w:sz="0" w:space="0" w:color="auto"/>
        <w:bottom w:val="none" w:sz="0" w:space="0" w:color="auto"/>
        <w:right w:val="none" w:sz="0" w:space="0" w:color="auto"/>
      </w:divBdr>
    </w:div>
    <w:div w:id="2144619851">
      <w:bodyDiv w:val="1"/>
      <w:marLeft w:val="0"/>
      <w:marRight w:val="0"/>
      <w:marTop w:val="0"/>
      <w:marBottom w:val="0"/>
      <w:divBdr>
        <w:top w:val="none" w:sz="0" w:space="0" w:color="auto"/>
        <w:left w:val="none" w:sz="0" w:space="0" w:color="auto"/>
        <w:bottom w:val="none" w:sz="0" w:space="0" w:color="auto"/>
        <w:right w:val="none" w:sz="0" w:space="0" w:color="auto"/>
      </w:divBdr>
    </w:div>
    <w:div w:id="2145924817">
      <w:bodyDiv w:val="1"/>
      <w:marLeft w:val="0"/>
      <w:marRight w:val="0"/>
      <w:marTop w:val="0"/>
      <w:marBottom w:val="0"/>
      <w:divBdr>
        <w:top w:val="none" w:sz="0" w:space="0" w:color="auto"/>
        <w:left w:val="none" w:sz="0" w:space="0" w:color="auto"/>
        <w:bottom w:val="none" w:sz="0" w:space="0" w:color="auto"/>
        <w:right w:val="none" w:sz="0" w:space="0" w:color="auto"/>
      </w:divBdr>
    </w:div>
    <w:div w:id="214677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4127F94A21D1A4DB519421285941FE9" ma:contentTypeVersion="2" ma:contentTypeDescription="Crie um novo documento." ma:contentTypeScope="" ma:versionID="57424cd0ed5925fb41b21f69238208ef">
  <xsd:schema xmlns:xsd="http://www.w3.org/2001/XMLSchema" xmlns:xs="http://www.w3.org/2001/XMLSchema" xmlns:p="http://schemas.microsoft.com/office/2006/metadata/properties" xmlns:ns2="e2f6adba-fe33-41f3-882e-aa128dfbcb50" targetNamespace="http://schemas.microsoft.com/office/2006/metadata/properties" ma:root="true" ma:fieldsID="70c0ad43cdcb845ea223d4fc767415f1" ns2:_="">
    <xsd:import namespace="e2f6adba-fe33-41f3-882e-aa128dfbcb5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f6adba-fe33-41f3-882e-aa128dfbc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E4DA4-32C8-45CB-958E-52E64C6657C0}">
  <ds:schemaRefs>
    <ds:schemaRef ds:uri="http://purl.org/dc/elements/1.1/"/>
    <ds:schemaRef ds:uri="http://schemas.microsoft.com/office/infopath/2007/PartnerControls"/>
    <ds:schemaRef ds:uri="http://purl.org/dc/dcmitype/"/>
    <ds:schemaRef ds:uri="http://schemas.openxmlformats.org/package/2006/metadata/core-properties"/>
    <ds:schemaRef ds:uri="http://www.w3.org/XML/1998/namespace"/>
    <ds:schemaRef ds:uri="http://schemas.microsoft.com/office/2006/documentManagement/types"/>
    <ds:schemaRef ds:uri="http://purl.org/dc/terms/"/>
    <ds:schemaRef ds:uri="e2f6adba-fe33-41f3-882e-aa128dfbcb50"/>
    <ds:schemaRef ds:uri="http://schemas.microsoft.com/office/2006/metadata/properties"/>
  </ds:schemaRefs>
</ds:datastoreItem>
</file>

<file path=customXml/itemProps2.xml><?xml version="1.0" encoding="utf-8"?>
<ds:datastoreItem xmlns:ds="http://schemas.openxmlformats.org/officeDocument/2006/customXml" ds:itemID="{E57315D6-AE76-4E2F-8EB6-957DB66228D9}">
  <ds:schemaRefs>
    <ds:schemaRef ds:uri="http://schemas.microsoft.com/sharepoint/v3/contenttype/forms"/>
  </ds:schemaRefs>
</ds:datastoreItem>
</file>

<file path=customXml/itemProps3.xml><?xml version="1.0" encoding="utf-8"?>
<ds:datastoreItem xmlns:ds="http://schemas.openxmlformats.org/officeDocument/2006/customXml" ds:itemID="{30027053-8B67-49C8-92C4-76ABAA9B4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f6adba-fe33-41f3-882e-aa128dfbc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B9C7C2-8F3B-430F-94BE-92AAB4C1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38</Pages>
  <Words>15643</Words>
  <Characters>107639</Characters>
  <Application>Microsoft Office Word</Application>
  <DocSecurity>0</DocSecurity>
  <Lines>896</Lines>
  <Paragraphs>246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VALEC - ENGENHARIA, CONSTRUÇÕES E FERROVIAS S</vt:lpstr>
      <vt:lpstr>VALEC - ENGENHARIA, CONSTRUÇÕES E FERROVIAS S</vt:lpstr>
    </vt:vector>
  </TitlesOfParts>
  <Company/>
  <LinksUpToDate>false</LinksUpToDate>
  <CharactersWithSpaces>123036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VALEC - ENGENHARIA, CONSTRUÇÕES E FERROVIAS S</dc:title>
  <dc:subject/>
  <dc:creator>Benjamim da Silva Teixeira</dc:creator>
  <cp:keywords/>
  <dc:description/>
  <cp:lastModifiedBy>Bruna Gabriela Rodrigues de Freitas</cp:lastModifiedBy>
  <cp:revision>5</cp:revision>
  <cp:lastPrinted>2021-12-15T17:52:00Z</cp:lastPrinted>
  <dcterms:created xsi:type="dcterms:W3CDTF">2021-12-21T01:03:00Z</dcterms:created>
  <dcterms:modified xsi:type="dcterms:W3CDTF">2021-12-21T12:11:00Z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0x01010054127F94A21D1A4DB519421285941FE9</vt:lpwstr>
  </property>
</Properties>
</file>